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93" w:rsidRPr="0070272F" w:rsidRDefault="0045557C" w:rsidP="00592E9D">
      <w:pPr>
        <w:pStyle w:val="Nessunaspaziatura"/>
        <w:jc w:val="both"/>
        <w:rPr>
          <w:rFonts w:ascii="Palatino Linotype" w:hAnsi="Palatino Linotype"/>
          <w:b/>
          <w:bCs/>
          <w:lang w:val="it-IT"/>
        </w:rPr>
      </w:pPr>
      <w:r>
        <w:rPr>
          <w:rFonts w:ascii="Palatino Linotype" w:hAnsi="Palatino Linotype"/>
          <w:b/>
          <w:bCs/>
        </w:rPr>
        <w:t>George of Pisidia</w:t>
      </w:r>
      <w:r w:rsidR="004B225E">
        <w:rPr>
          <w:rFonts w:ascii="Palatino Linotype" w:hAnsi="Palatino Linotype"/>
          <w:b/>
          <w:bCs/>
        </w:rPr>
        <w:t>, the recovery of the</w:t>
      </w:r>
      <w:r w:rsidR="00BE6A71">
        <w:rPr>
          <w:rFonts w:ascii="Palatino Linotype" w:hAnsi="Palatino Linotype"/>
          <w:b/>
          <w:bCs/>
        </w:rPr>
        <w:t xml:space="preserve"> True Cross</w:t>
      </w:r>
      <w:r w:rsidR="0070272F">
        <w:rPr>
          <w:rFonts w:ascii="Palatino Linotype" w:hAnsi="Palatino Linotype"/>
          <w:b/>
          <w:bCs/>
        </w:rPr>
        <w:t xml:space="preserve"> and the </w:t>
      </w:r>
      <w:proofErr w:type="spellStart"/>
      <w:r w:rsidR="0070272F">
        <w:rPr>
          <w:rFonts w:ascii="Palatino Linotype" w:hAnsi="Palatino Linotype"/>
          <w:b/>
          <w:bCs/>
          <w:lang w:val="el-GR"/>
        </w:rPr>
        <w:t>θεοδόχος</w:t>
      </w:r>
      <w:proofErr w:type="spellEnd"/>
      <w:r w:rsidR="0070272F">
        <w:rPr>
          <w:rFonts w:ascii="Palatino Linotype" w:hAnsi="Palatino Linotype"/>
          <w:b/>
          <w:bCs/>
          <w:lang w:val="it-IT"/>
        </w:rPr>
        <w:t xml:space="preserve"> </w:t>
      </w:r>
      <w:proofErr w:type="spellStart"/>
      <w:r w:rsidR="0070272F">
        <w:rPr>
          <w:rFonts w:ascii="Palatino Linotype" w:hAnsi="Palatino Linotype"/>
          <w:b/>
          <w:bCs/>
          <w:lang w:val="it-IT"/>
        </w:rPr>
        <w:t>Golgotha</w:t>
      </w:r>
      <w:proofErr w:type="spellEnd"/>
      <w:r w:rsidR="0070272F" w:rsidRPr="0070272F">
        <w:rPr>
          <w:rFonts w:ascii="Palatino Linotype" w:hAnsi="Palatino Linotype"/>
          <w:b/>
          <w:bCs/>
          <w:lang w:val="it-IT"/>
        </w:rPr>
        <w:t xml:space="preserve"> </w:t>
      </w:r>
    </w:p>
    <w:p w:rsidR="00951193" w:rsidRDefault="00951193" w:rsidP="00592E9D">
      <w:pPr>
        <w:pStyle w:val="Nessunaspaziatura"/>
        <w:jc w:val="both"/>
        <w:rPr>
          <w:rFonts w:ascii="Palatino Linotype" w:hAnsi="Palatino Linotype"/>
          <w:b/>
          <w:bCs/>
          <w:sz w:val="20"/>
          <w:szCs w:val="20"/>
        </w:rPr>
      </w:pPr>
    </w:p>
    <w:p w:rsidR="00676112" w:rsidRDefault="00676112" w:rsidP="00592E9D">
      <w:pPr>
        <w:pStyle w:val="Nessunaspaziatura"/>
        <w:jc w:val="both"/>
        <w:rPr>
          <w:rFonts w:ascii="Palatino Linotype" w:hAnsi="Palatino Linotype"/>
          <w:b/>
          <w:bCs/>
          <w:sz w:val="20"/>
          <w:szCs w:val="20"/>
        </w:rPr>
      </w:pPr>
    </w:p>
    <w:p w:rsidR="00F47F99" w:rsidRPr="00592E9D" w:rsidRDefault="00592E9D" w:rsidP="00592E9D">
      <w:pPr>
        <w:pStyle w:val="Nessunaspaziatura"/>
        <w:jc w:val="both"/>
        <w:rPr>
          <w:rFonts w:ascii="Palatino Linotype" w:hAnsi="Palatino Linotype"/>
          <w:b/>
          <w:bCs/>
          <w:sz w:val="20"/>
          <w:szCs w:val="20"/>
        </w:rPr>
      </w:pPr>
      <w:r>
        <w:rPr>
          <w:rFonts w:ascii="Palatino Linotype" w:hAnsi="Palatino Linotype"/>
          <w:b/>
          <w:bCs/>
          <w:sz w:val="20"/>
          <w:szCs w:val="20"/>
        </w:rPr>
        <w:t>1. I</w:t>
      </w:r>
      <w:r w:rsidRPr="00592E9D">
        <w:rPr>
          <w:rFonts w:ascii="Palatino Linotype" w:hAnsi="Palatino Linotype"/>
          <w:b/>
          <w:bCs/>
          <w:sz w:val="20"/>
          <w:szCs w:val="20"/>
        </w:rPr>
        <w:t>ntroduction</w:t>
      </w:r>
    </w:p>
    <w:p w:rsidR="00592E9D" w:rsidRPr="00592E9D" w:rsidRDefault="00592E9D" w:rsidP="00592E9D">
      <w:pPr>
        <w:pStyle w:val="Nessunaspaziatura"/>
        <w:ind w:left="720"/>
        <w:jc w:val="both"/>
        <w:rPr>
          <w:rFonts w:ascii="Palatino Linotype" w:hAnsi="Palatino Linotype"/>
          <w:sz w:val="20"/>
          <w:szCs w:val="20"/>
        </w:rPr>
      </w:pPr>
    </w:p>
    <w:p w:rsidR="009C63B1" w:rsidRDefault="00473600" w:rsidP="00592E9D">
      <w:pPr>
        <w:pStyle w:val="Nessunaspaziatura"/>
        <w:jc w:val="both"/>
        <w:rPr>
          <w:rFonts w:ascii="Palatino Linotype" w:hAnsi="Palatino Linotype"/>
          <w:sz w:val="20"/>
          <w:szCs w:val="20"/>
        </w:rPr>
      </w:pPr>
      <w:r w:rsidRPr="00592E9D">
        <w:rPr>
          <w:rFonts w:ascii="Palatino Linotype" w:hAnsi="Palatino Linotype"/>
          <w:sz w:val="20"/>
          <w:szCs w:val="20"/>
        </w:rPr>
        <w:t>The story of the Adoration of the True Cross constitutes one of the oldest traditions in the history of Christian faith, common for Catholics, Orthodox, Armenians and for all Christian denominations, even if with different nuances. The definit</w:t>
      </w:r>
      <w:r w:rsidR="00A970E2">
        <w:rPr>
          <w:rFonts w:ascii="Palatino Linotype" w:hAnsi="Palatino Linotype"/>
          <w:sz w:val="20"/>
          <w:szCs w:val="20"/>
        </w:rPr>
        <w:t>i</w:t>
      </w:r>
      <w:r w:rsidRPr="00592E9D">
        <w:rPr>
          <w:rFonts w:ascii="Palatino Linotype" w:hAnsi="Palatino Linotype"/>
          <w:sz w:val="20"/>
          <w:szCs w:val="20"/>
        </w:rPr>
        <w:t xml:space="preserve">on of </w:t>
      </w:r>
      <w:r w:rsidR="00B2215B" w:rsidRPr="00592E9D">
        <w:rPr>
          <w:rFonts w:ascii="Palatino Linotype" w:hAnsi="Palatino Linotype"/>
          <w:sz w:val="20"/>
          <w:szCs w:val="20"/>
        </w:rPr>
        <w:t xml:space="preserve">this </w:t>
      </w:r>
      <w:r w:rsidRPr="00592E9D">
        <w:rPr>
          <w:rFonts w:ascii="Palatino Linotype" w:hAnsi="Palatino Linotype"/>
          <w:sz w:val="20"/>
          <w:szCs w:val="20"/>
        </w:rPr>
        <w:t>traditi</w:t>
      </w:r>
      <w:r w:rsidR="00B2215B" w:rsidRPr="00592E9D">
        <w:rPr>
          <w:rFonts w:ascii="Palatino Linotype" w:hAnsi="Palatino Linotype"/>
          <w:sz w:val="20"/>
          <w:szCs w:val="20"/>
        </w:rPr>
        <w:t>on</w:t>
      </w:r>
      <w:r w:rsidRPr="00592E9D">
        <w:rPr>
          <w:rFonts w:ascii="Palatino Linotype" w:hAnsi="Palatino Linotype"/>
          <w:sz w:val="20"/>
          <w:szCs w:val="20"/>
        </w:rPr>
        <w:t xml:space="preserve"> dates back to the 4th century, when the liberation of cults promoted by Constantine with edict for tolerance paved the way for a progressive Christianization of the Roman Empire. </w:t>
      </w:r>
    </w:p>
    <w:p w:rsidR="00CD33BA" w:rsidRDefault="00473600" w:rsidP="00592E9D">
      <w:pPr>
        <w:pStyle w:val="Nessunaspaziatura"/>
        <w:jc w:val="both"/>
        <w:rPr>
          <w:rFonts w:ascii="Palatino Linotype" w:hAnsi="Palatino Linotype"/>
          <w:sz w:val="20"/>
          <w:szCs w:val="20"/>
        </w:rPr>
      </w:pPr>
      <w:r w:rsidRPr="00592E9D">
        <w:rPr>
          <w:rFonts w:ascii="Palatino Linotype" w:hAnsi="Palatino Linotype"/>
          <w:sz w:val="20"/>
          <w:szCs w:val="20"/>
        </w:rPr>
        <w:t>The Gospels, in fact, maintained a relativ</w:t>
      </w:r>
      <w:r w:rsidR="00592E9D" w:rsidRPr="00951193">
        <w:rPr>
          <w:rFonts w:ascii="Palatino Linotype" w:hAnsi="Palatino Linotype"/>
          <w:sz w:val="20"/>
          <w:szCs w:val="20"/>
        </w:rPr>
        <w:t>e</w:t>
      </w:r>
      <w:r w:rsidRPr="00592E9D">
        <w:rPr>
          <w:rFonts w:ascii="Palatino Linotype" w:hAnsi="Palatino Linotype"/>
          <w:sz w:val="20"/>
          <w:szCs w:val="20"/>
        </w:rPr>
        <w:t xml:space="preserve">ly low tone regarding </w:t>
      </w:r>
      <w:r w:rsidR="00B2215B" w:rsidRPr="00592E9D">
        <w:rPr>
          <w:rFonts w:ascii="Palatino Linotype" w:hAnsi="Palatino Linotype"/>
          <w:sz w:val="20"/>
          <w:szCs w:val="20"/>
        </w:rPr>
        <w:t xml:space="preserve">the cross (in the Septuagint the term </w:t>
      </w:r>
      <w:r w:rsidR="00137027" w:rsidRPr="00592E9D">
        <w:rPr>
          <w:rFonts w:ascii="Palatino Linotype" w:hAnsi="Palatino Linotype"/>
          <w:sz w:val="20"/>
          <w:szCs w:val="20"/>
          <w:lang w:val="el-GR"/>
        </w:rPr>
        <w:t>σταυρός</w:t>
      </w:r>
      <w:r w:rsidR="00B2215B" w:rsidRPr="00592E9D">
        <w:rPr>
          <w:rFonts w:ascii="Palatino Linotype" w:hAnsi="Palatino Linotype"/>
          <w:sz w:val="20"/>
          <w:szCs w:val="20"/>
        </w:rPr>
        <w:t xml:space="preserve"> </w:t>
      </w:r>
      <w:r w:rsidRPr="00592E9D">
        <w:rPr>
          <w:rFonts w:ascii="Palatino Linotype" w:hAnsi="Palatino Linotype"/>
          <w:sz w:val="20"/>
          <w:szCs w:val="20"/>
        </w:rPr>
        <w:t xml:space="preserve">is actually absent, which we can however, find </w:t>
      </w:r>
      <w:proofErr w:type="spellStart"/>
      <w:r w:rsidRPr="00592E9D">
        <w:rPr>
          <w:rFonts w:ascii="Palatino Linotype" w:hAnsi="Palatino Linotype"/>
          <w:sz w:val="20"/>
          <w:szCs w:val="20"/>
        </w:rPr>
        <w:t>subtituted</w:t>
      </w:r>
      <w:proofErr w:type="spellEnd"/>
      <w:r w:rsidRPr="00592E9D">
        <w:rPr>
          <w:rFonts w:ascii="Palatino Linotype" w:hAnsi="Palatino Linotype"/>
          <w:sz w:val="20"/>
          <w:szCs w:val="20"/>
        </w:rPr>
        <w:t xml:space="preserve"> as </w:t>
      </w:r>
      <w:proofErr w:type="spellStart"/>
      <w:r w:rsidR="00137027" w:rsidRPr="00592E9D">
        <w:rPr>
          <w:rFonts w:ascii="Palatino Linotype" w:hAnsi="Palatino Linotype"/>
          <w:sz w:val="20"/>
          <w:szCs w:val="20"/>
          <w:lang w:val="el-GR"/>
        </w:rPr>
        <w:t>ξύλον</w:t>
      </w:r>
      <w:proofErr w:type="spellEnd"/>
      <w:r w:rsidRPr="00592E9D">
        <w:rPr>
          <w:rFonts w:ascii="Palatino Linotype" w:hAnsi="Palatino Linotype"/>
          <w:sz w:val="20"/>
          <w:szCs w:val="20"/>
        </w:rPr>
        <w:t>): the first to make the cross a central element of his salvific journey was Paul.</w:t>
      </w:r>
      <w:r w:rsidR="00592E9D">
        <w:rPr>
          <w:rStyle w:val="Rimandonotaapidipagina"/>
          <w:rFonts w:ascii="Palatino Linotype" w:hAnsi="Palatino Linotype"/>
          <w:sz w:val="20"/>
          <w:szCs w:val="20"/>
        </w:rPr>
        <w:footnoteReference w:id="1"/>
      </w:r>
      <w:r w:rsidRPr="00592E9D">
        <w:rPr>
          <w:rFonts w:ascii="Palatino Linotype" w:hAnsi="Palatino Linotype"/>
          <w:sz w:val="20"/>
          <w:szCs w:val="20"/>
        </w:rPr>
        <w:t xml:space="preserve"> In </w:t>
      </w:r>
      <w:r w:rsidR="00CD33BA">
        <w:rPr>
          <w:rFonts w:ascii="Palatino Linotype" w:hAnsi="Palatino Linotype"/>
          <w:sz w:val="20"/>
          <w:szCs w:val="20"/>
        </w:rPr>
        <w:t>fact</w:t>
      </w:r>
      <w:r w:rsidRPr="00592E9D">
        <w:rPr>
          <w:rFonts w:ascii="Palatino Linotype" w:hAnsi="Palatino Linotype"/>
          <w:sz w:val="20"/>
          <w:szCs w:val="20"/>
        </w:rPr>
        <w:t xml:space="preserve">, the cross is present in all ancient Christian literature, from the second half of the 2nd century until the end of the Patristic age, but it is certainly after the 4th century that it assumed an increasingly central role not only in general patristics but especially in homiletics, to which Enrico </w:t>
      </w:r>
      <w:proofErr w:type="spellStart"/>
      <w:r w:rsidRPr="00592E9D">
        <w:rPr>
          <w:rFonts w:ascii="Palatino Linotype" w:hAnsi="Palatino Linotype"/>
          <w:sz w:val="20"/>
          <w:szCs w:val="20"/>
        </w:rPr>
        <w:t>Cattaneo</w:t>
      </w:r>
      <w:proofErr w:type="spellEnd"/>
      <w:r w:rsidRPr="00592E9D">
        <w:rPr>
          <w:rFonts w:ascii="Palatino Linotype" w:hAnsi="Palatino Linotype"/>
          <w:sz w:val="20"/>
          <w:szCs w:val="20"/>
        </w:rPr>
        <w:t xml:space="preserve"> </w:t>
      </w:r>
      <w:r w:rsidR="00CD33BA">
        <w:rPr>
          <w:rFonts w:ascii="Palatino Linotype" w:hAnsi="Palatino Linotype"/>
          <w:sz w:val="20"/>
          <w:szCs w:val="20"/>
        </w:rPr>
        <w:t>has given</w:t>
      </w:r>
      <w:r w:rsidRPr="00592E9D">
        <w:rPr>
          <w:rFonts w:ascii="Palatino Linotype" w:hAnsi="Palatino Linotype"/>
          <w:sz w:val="20"/>
          <w:szCs w:val="20"/>
        </w:rPr>
        <w:t xml:space="preserve"> ample reason with his list of sources illustrating the cross theme.</w:t>
      </w:r>
      <w:r w:rsidR="00137027" w:rsidRPr="00592E9D">
        <w:rPr>
          <w:rStyle w:val="Rimandonotaapidipagina"/>
          <w:rFonts w:ascii="Palatino Linotype" w:hAnsi="Palatino Linotype"/>
          <w:sz w:val="20"/>
          <w:szCs w:val="20"/>
        </w:rPr>
        <w:footnoteReference w:id="2"/>
      </w:r>
      <w:r w:rsidRPr="00592E9D">
        <w:rPr>
          <w:rFonts w:ascii="Palatino Linotype" w:hAnsi="Palatino Linotype"/>
          <w:sz w:val="20"/>
          <w:szCs w:val="20"/>
        </w:rPr>
        <w:t xml:space="preserve"> </w:t>
      </w:r>
    </w:p>
    <w:p w:rsidR="004B225E" w:rsidRPr="003915C5" w:rsidRDefault="00CD33BA" w:rsidP="00592E9D">
      <w:pPr>
        <w:pStyle w:val="Nessunaspaziatura"/>
        <w:jc w:val="both"/>
        <w:rPr>
          <w:rFonts w:ascii="Palatino Linotype" w:hAnsi="Palatino Linotype"/>
          <w:sz w:val="20"/>
          <w:szCs w:val="20"/>
        </w:rPr>
      </w:pPr>
      <w:proofErr w:type="spellStart"/>
      <w:r>
        <w:rPr>
          <w:rFonts w:ascii="Palatino Linotype" w:hAnsi="Palatino Linotype"/>
          <w:sz w:val="20"/>
          <w:szCs w:val="20"/>
        </w:rPr>
        <w:t>Com’è</w:t>
      </w:r>
      <w:proofErr w:type="spellEnd"/>
      <w:r>
        <w:rPr>
          <w:rFonts w:ascii="Palatino Linotype" w:hAnsi="Palatino Linotype"/>
          <w:sz w:val="20"/>
          <w:szCs w:val="20"/>
        </w:rPr>
        <w:t xml:space="preserve"> </w:t>
      </w:r>
      <w:proofErr w:type="spellStart"/>
      <w:r>
        <w:rPr>
          <w:rFonts w:ascii="Palatino Linotype" w:hAnsi="Palatino Linotype"/>
          <w:sz w:val="20"/>
          <w:szCs w:val="20"/>
        </w:rPr>
        <w:t>noto</w:t>
      </w:r>
      <w:proofErr w:type="spellEnd"/>
      <w:r>
        <w:rPr>
          <w:rFonts w:ascii="Palatino Linotype" w:hAnsi="Palatino Linotype"/>
          <w:sz w:val="20"/>
          <w:szCs w:val="20"/>
        </w:rPr>
        <w:t xml:space="preserve">, secondo la </w:t>
      </w:r>
      <w:proofErr w:type="spellStart"/>
      <w:r>
        <w:rPr>
          <w:rFonts w:ascii="Palatino Linotype" w:hAnsi="Palatino Linotype"/>
          <w:sz w:val="20"/>
          <w:szCs w:val="20"/>
        </w:rPr>
        <w:t>tradizione</w:t>
      </w:r>
      <w:proofErr w:type="spellEnd"/>
      <w:r>
        <w:rPr>
          <w:rFonts w:ascii="Palatino Linotype" w:hAnsi="Palatino Linotype"/>
          <w:sz w:val="20"/>
          <w:szCs w:val="20"/>
        </w:rPr>
        <w:t xml:space="preserve"> un </w:t>
      </w:r>
      <w:proofErr w:type="spellStart"/>
      <w:r>
        <w:rPr>
          <w:rFonts w:ascii="Palatino Linotype" w:hAnsi="Palatino Linotype"/>
          <w:sz w:val="20"/>
          <w:szCs w:val="20"/>
        </w:rPr>
        <w:t>ruolo</w:t>
      </w:r>
      <w:proofErr w:type="spellEnd"/>
      <w:r>
        <w:rPr>
          <w:rFonts w:ascii="Palatino Linotype" w:hAnsi="Palatino Linotype"/>
          <w:sz w:val="20"/>
          <w:szCs w:val="20"/>
        </w:rPr>
        <w:t xml:space="preserve"> </w:t>
      </w:r>
      <w:proofErr w:type="spellStart"/>
      <w:r>
        <w:rPr>
          <w:rFonts w:ascii="Palatino Linotype" w:hAnsi="Palatino Linotype"/>
          <w:sz w:val="20"/>
          <w:szCs w:val="20"/>
        </w:rPr>
        <w:t>centrale</w:t>
      </w:r>
      <w:proofErr w:type="spellEnd"/>
      <w:r>
        <w:rPr>
          <w:rFonts w:ascii="Palatino Linotype" w:hAnsi="Palatino Linotype"/>
          <w:sz w:val="20"/>
          <w:szCs w:val="20"/>
        </w:rPr>
        <w:t xml:space="preserve"> </w:t>
      </w:r>
      <w:r>
        <w:rPr>
          <w:rFonts w:ascii="Palatino Linotype" w:hAnsi="Palatino Linotype"/>
          <w:color w:val="0070C0"/>
          <w:sz w:val="20"/>
          <w:szCs w:val="20"/>
        </w:rPr>
        <w:t>ne</w:t>
      </w:r>
      <w:r w:rsidR="004B225E" w:rsidRPr="004B225E">
        <w:rPr>
          <w:rFonts w:ascii="Palatino Linotype" w:hAnsi="Palatino Linotype"/>
          <w:color w:val="0070C0"/>
          <w:sz w:val="20"/>
          <w:szCs w:val="20"/>
          <w:lang w:val="it-IT"/>
        </w:rPr>
        <w:t xml:space="preserve">l rinvenimento della croce </w:t>
      </w:r>
      <w:r>
        <w:rPr>
          <w:rFonts w:ascii="Palatino Linotype" w:hAnsi="Palatino Linotype"/>
          <w:color w:val="0070C0"/>
          <w:sz w:val="20"/>
          <w:szCs w:val="20"/>
          <w:lang w:val="it-IT"/>
        </w:rPr>
        <w:t>fu svolto</w:t>
      </w:r>
      <w:r w:rsidR="004B225E" w:rsidRPr="004B225E">
        <w:rPr>
          <w:rFonts w:ascii="Palatino Linotype" w:hAnsi="Palatino Linotype"/>
          <w:color w:val="0070C0"/>
          <w:sz w:val="20"/>
          <w:szCs w:val="20"/>
          <w:lang w:val="it-IT"/>
        </w:rPr>
        <w:t xml:space="preserve"> </w:t>
      </w:r>
      <w:r w:rsidR="00E5134A">
        <w:rPr>
          <w:rFonts w:ascii="Palatino Linotype" w:hAnsi="Palatino Linotype"/>
          <w:color w:val="0070C0"/>
          <w:sz w:val="20"/>
          <w:szCs w:val="20"/>
          <w:lang w:val="it-IT"/>
        </w:rPr>
        <w:t xml:space="preserve">da </w:t>
      </w:r>
      <w:r w:rsidR="004B225E" w:rsidRPr="004B225E">
        <w:rPr>
          <w:rFonts w:ascii="Palatino Linotype" w:hAnsi="Palatino Linotype"/>
          <w:color w:val="0070C0"/>
          <w:sz w:val="20"/>
          <w:szCs w:val="20"/>
          <w:lang w:val="it-IT"/>
        </w:rPr>
        <w:t>Elena, madre dell’imperatore Costantino</w:t>
      </w:r>
      <w:r>
        <w:rPr>
          <w:rFonts w:ascii="Palatino Linotype" w:hAnsi="Palatino Linotype"/>
          <w:color w:val="0070C0"/>
          <w:sz w:val="20"/>
          <w:szCs w:val="20"/>
          <w:lang w:val="it-IT"/>
        </w:rPr>
        <w:t>:</w:t>
      </w:r>
      <w:r w:rsidR="004B225E">
        <w:rPr>
          <w:rFonts w:ascii="Palatino Linotype" w:hAnsi="Palatino Linotype"/>
          <w:color w:val="0070C0"/>
          <w:sz w:val="20"/>
          <w:szCs w:val="20"/>
          <w:lang w:val="it-IT"/>
        </w:rPr>
        <w:t xml:space="preserve"> </w:t>
      </w:r>
      <w:r>
        <w:rPr>
          <w:rFonts w:ascii="Palatino Linotype" w:hAnsi="Palatino Linotype"/>
          <w:color w:val="0070C0"/>
          <w:sz w:val="20"/>
          <w:szCs w:val="20"/>
          <w:lang w:val="it-IT"/>
        </w:rPr>
        <w:t xml:space="preserve">i </w:t>
      </w:r>
      <w:r w:rsidR="004B225E">
        <w:rPr>
          <w:rFonts w:ascii="Palatino Linotype" w:hAnsi="Palatino Linotype"/>
          <w:color w:val="0070C0"/>
          <w:sz w:val="20"/>
          <w:szCs w:val="20"/>
          <w:lang w:val="it-IT"/>
        </w:rPr>
        <w:t>riferimenti più antichi si trovano in Cirillo di Gerusalemme</w:t>
      </w:r>
      <w:r w:rsidR="004B225E">
        <w:rPr>
          <w:rStyle w:val="Rimandonotaapidipagina"/>
          <w:rFonts w:ascii="Palatino Linotype" w:hAnsi="Palatino Linotype"/>
          <w:color w:val="0070C0"/>
          <w:sz w:val="20"/>
          <w:szCs w:val="20"/>
          <w:lang w:val="it-IT"/>
        </w:rPr>
        <w:footnoteReference w:id="3"/>
      </w:r>
      <w:r w:rsidR="004B225E">
        <w:rPr>
          <w:rFonts w:ascii="Palatino Linotype" w:hAnsi="Palatino Linotype"/>
          <w:color w:val="0070C0"/>
          <w:sz w:val="20"/>
          <w:szCs w:val="20"/>
          <w:lang w:val="it-IT"/>
        </w:rPr>
        <w:t xml:space="preserve"> e Gelasio</w:t>
      </w:r>
      <w:r w:rsidR="004B225E">
        <w:rPr>
          <w:rStyle w:val="Rimandonotaapidipagina"/>
          <w:rFonts w:ascii="Palatino Linotype" w:hAnsi="Palatino Linotype"/>
          <w:color w:val="0070C0"/>
          <w:sz w:val="20"/>
          <w:szCs w:val="20"/>
          <w:lang w:val="it-IT"/>
        </w:rPr>
        <w:footnoteReference w:id="4"/>
      </w:r>
      <w:r w:rsidR="004B225E">
        <w:rPr>
          <w:rFonts w:ascii="Palatino Linotype" w:hAnsi="Palatino Linotype"/>
          <w:color w:val="0070C0"/>
          <w:sz w:val="20"/>
          <w:szCs w:val="20"/>
          <w:lang w:val="it-IT"/>
        </w:rPr>
        <w:t>.</w:t>
      </w:r>
    </w:p>
    <w:p w:rsidR="00592E9D" w:rsidRPr="004B225E" w:rsidRDefault="004B225E" w:rsidP="00592E9D">
      <w:pPr>
        <w:pStyle w:val="Nessunaspaziatura"/>
        <w:jc w:val="both"/>
        <w:rPr>
          <w:rFonts w:ascii="Palatino Linotype" w:hAnsi="Palatino Linotype"/>
          <w:color w:val="0070C0"/>
          <w:sz w:val="20"/>
          <w:szCs w:val="20"/>
          <w:lang w:val="it-IT"/>
        </w:rPr>
      </w:pPr>
      <w:r>
        <w:rPr>
          <w:rFonts w:ascii="Palatino Linotype" w:hAnsi="Palatino Linotype"/>
          <w:color w:val="0070C0"/>
          <w:sz w:val="20"/>
          <w:szCs w:val="20"/>
          <w:lang w:val="it-IT"/>
        </w:rPr>
        <w:t xml:space="preserve"> </w:t>
      </w:r>
    </w:p>
    <w:p w:rsidR="00592E9D" w:rsidRPr="00592E9D" w:rsidRDefault="00592E9D" w:rsidP="00592E9D">
      <w:pPr>
        <w:pStyle w:val="Nessunaspaziatura"/>
        <w:jc w:val="both"/>
        <w:rPr>
          <w:rFonts w:ascii="Palatino Linotype" w:hAnsi="Palatino Linotype"/>
          <w:b/>
          <w:bCs/>
          <w:sz w:val="20"/>
          <w:szCs w:val="20"/>
        </w:rPr>
      </w:pPr>
      <w:r w:rsidRPr="00592E9D">
        <w:rPr>
          <w:rFonts w:ascii="Palatino Linotype" w:hAnsi="Palatino Linotype"/>
          <w:b/>
          <w:bCs/>
          <w:sz w:val="20"/>
          <w:szCs w:val="20"/>
        </w:rPr>
        <w:t>2. The True Cross between Persians and Byzantines</w:t>
      </w:r>
    </w:p>
    <w:p w:rsidR="00592E9D" w:rsidRDefault="00592E9D" w:rsidP="00592E9D">
      <w:pPr>
        <w:pStyle w:val="Nessunaspaziatura"/>
        <w:jc w:val="both"/>
        <w:rPr>
          <w:rFonts w:ascii="Palatino Linotype" w:hAnsi="Palatino Linotype"/>
          <w:sz w:val="20"/>
          <w:szCs w:val="20"/>
        </w:rPr>
      </w:pPr>
    </w:p>
    <w:p w:rsidR="00CD33BA" w:rsidRDefault="00CD33BA" w:rsidP="00592E9D">
      <w:pPr>
        <w:pStyle w:val="Nessunaspaziatura"/>
        <w:jc w:val="both"/>
        <w:rPr>
          <w:rFonts w:ascii="Palatino Linotype" w:hAnsi="Palatino Linotype"/>
          <w:sz w:val="20"/>
          <w:szCs w:val="20"/>
        </w:rPr>
      </w:pPr>
      <w:r>
        <w:rPr>
          <w:rFonts w:ascii="Palatino Linotype" w:hAnsi="Palatino Linotype"/>
          <w:sz w:val="20"/>
          <w:szCs w:val="20"/>
        </w:rPr>
        <w:t>A</w:t>
      </w:r>
      <w:r w:rsidR="00473600" w:rsidRPr="00592E9D">
        <w:rPr>
          <w:rFonts w:ascii="Palatino Linotype" w:hAnsi="Palatino Linotype"/>
          <w:sz w:val="20"/>
          <w:szCs w:val="20"/>
        </w:rPr>
        <w:t xml:space="preserve"> moment in the history of the relic that played a fundamental role </w:t>
      </w:r>
      <w:r w:rsidR="00592E9D">
        <w:rPr>
          <w:rFonts w:ascii="Palatino Linotype" w:hAnsi="Palatino Linotype"/>
          <w:sz w:val="20"/>
          <w:szCs w:val="20"/>
        </w:rPr>
        <w:t>for the</w:t>
      </w:r>
      <w:r w:rsidR="00473600" w:rsidRPr="00592E9D">
        <w:rPr>
          <w:rFonts w:ascii="Palatino Linotype" w:hAnsi="Palatino Linotype"/>
          <w:sz w:val="20"/>
          <w:szCs w:val="20"/>
        </w:rPr>
        <w:t xml:space="preserve"> cult</w:t>
      </w:r>
      <w:r w:rsidR="00137027" w:rsidRPr="00592E9D">
        <w:rPr>
          <w:rFonts w:ascii="Palatino Linotype" w:hAnsi="Palatino Linotype"/>
          <w:sz w:val="20"/>
          <w:szCs w:val="20"/>
        </w:rPr>
        <w:t xml:space="preserve"> is</w:t>
      </w:r>
      <w:r w:rsidR="00473600" w:rsidRPr="00592E9D">
        <w:rPr>
          <w:rFonts w:ascii="Palatino Linotype" w:hAnsi="Palatino Linotype"/>
          <w:sz w:val="20"/>
          <w:szCs w:val="20"/>
        </w:rPr>
        <w:t xml:space="preserve"> its subtraction and reconquest in the 7th century. In May 614, after three weeks of siege, the holy city of Jerusalem fell into the hands of the Persians: this event was a blow to the morale of Christians and represents the beginning of more than twenty years of war now marked by a religious </w:t>
      </w:r>
      <w:proofErr w:type="spellStart"/>
      <w:r w:rsidR="00473600" w:rsidRPr="00592E9D">
        <w:rPr>
          <w:rFonts w:ascii="Palatino Linotype" w:hAnsi="Palatino Linotype"/>
          <w:sz w:val="20"/>
          <w:szCs w:val="20"/>
        </w:rPr>
        <w:t>caliber</w:t>
      </w:r>
      <w:proofErr w:type="spellEnd"/>
      <w:r w:rsidR="00473600" w:rsidRPr="00592E9D">
        <w:rPr>
          <w:rFonts w:ascii="Palatino Linotype" w:hAnsi="Palatino Linotype"/>
          <w:sz w:val="20"/>
          <w:szCs w:val="20"/>
        </w:rPr>
        <w:t>, then greeted as</w:t>
      </w:r>
      <w:r w:rsidR="00F12171">
        <w:rPr>
          <w:rFonts w:ascii="Palatino Linotype" w:hAnsi="Palatino Linotype"/>
          <w:sz w:val="20"/>
          <w:szCs w:val="20"/>
        </w:rPr>
        <w:t xml:space="preserve"> crusades </w:t>
      </w:r>
      <w:proofErr w:type="spellStart"/>
      <w:r w:rsidR="00473600" w:rsidRPr="00F12171">
        <w:rPr>
          <w:rFonts w:ascii="Palatino Linotype" w:hAnsi="Palatino Linotype"/>
          <w:i/>
          <w:iCs/>
          <w:sz w:val="20"/>
          <w:szCs w:val="20"/>
        </w:rPr>
        <w:t>avant</w:t>
      </w:r>
      <w:proofErr w:type="spellEnd"/>
      <w:r w:rsidR="00473600" w:rsidRPr="00F12171">
        <w:rPr>
          <w:rFonts w:ascii="Palatino Linotype" w:hAnsi="Palatino Linotype"/>
          <w:i/>
          <w:iCs/>
          <w:sz w:val="20"/>
          <w:szCs w:val="20"/>
        </w:rPr>
        <w:t xml:space="preserve"> la </w:t>
      </w:r>
      <w:proofErr w:type="spellStart"/>
      <w:r w:rsidR="00473600" w:rsidRPr="00F12171">
        <w:rPr>
          <w:rFonts w:ascii="Palatino Linotype" w:hAnsi="Palatino Linotype"/>
          <w:i/>
          <w:iCs/>
          <w:sz w:val="20"/>
          <w:szCs w:val="20"/>
        </w:rPr>
        <w:t>lettre</w:t>
      </w:r>
      <w:proofErr w:type="spellEnd"/>
      <w:r w:rsidR="00F12171">
        <w:rPr>
          <w:rFonts w:ascii="Palatino Linotype" w:hAnsi="Palatino Linotype"/>
          <w:sz w:val="20"/>
          <w:szCs w:val="20"/>
        </w:rPr>
        <w:t xml:space="preserve">. </w:t>
      </w:r>
    </w:p>
    <w:p w:rsidR="00D558AC" w:rsidRPr="00592E9D" w:rsidRDefault="00473600" w:rsidP="00592E9D">
      <w:pPr>
        <w:pStyle w:val="Nessunaspaziatura"/>
        <w:jc w:val="both"/>
        <w:rPr>
          <w:rFonts w:ascii="Palatino Linotype" w:hAnsi="Palatino Linotype"/>
          <w:sz w:val="20"/>
          <w:szCs w:val="20"/>
        </w:rPr>
      </w:pPr>
      <w:r w:rsidRPr="00592E9D">
        <w:rPr>
          <w:rFonts w:ascii="Palatino Linotype" w:hAnsi="Palatino Linotype"/>
          <w:sz w:val="20"/>
          <w:szCs w:val="20"/>
        </w:rPr>
        <w:t>Christian sources</w:t>
      </w:r>
      <w:r w:rsidR="001B5F30">
        <w:rPr>
          <w:rFonts w:ascii="Palatino Linotype" w:hAnsi="Palatino Linotype"/>
          <w:sz w:val="20"/>
          <w:szCs w:val="20"/>
        </w:rPr>
        <w:t xml:space="preserve"> </w:t>
      </w:r>
      <w:r w:rsidRPr="00592E9D">
        <w:rPr>
          <w:rFonts w:ascii="Palatino Linotype" w:hAnsi="Palatino Linotype"/>
          <w:sz w:val="20"/>
          <w:szCs w:val="20"/>
        </w:rPr>
        <w:t>report that it was the Jews of Jerusalem who opened the city gates for the Persians.</w:t>
      </w:r>
      <w:r w:rsidR="001B5F30" w:rsidRPr="00592E9D">
        <w:rPr>
          <w:rStyle w:val="Rimandonotaapidipagina"/>
          <w:rFonts w:ascii="Palatino Linotype" w:hAnsi="Palatino Linotype"/>
          <w:sz w:val="20"/>
          <w:szCs w:val="20"/>
        </w:rPr>
        <w:footnoteReference w:id="5"/>
      </w:r>
      <w:r w:rsidR="001B5F30" w:rsidRPr="00592E9D">
        <w:rPr>
          <w:rFonts w:ascii="Palatino Linotype" w:hAnsi="Palatino Linotype"/>
          <w:sz w:val="20"/>
          <w:szCs w:val="20"/>
        </w:rPr>
        <w:t xml:space="preserve"> </w:t>
      </w:r>
      <w:r w:rsidRPr="00592E9D">
        <w:rPr>
          <w:rFonts w:ascii="Palatino Linotype" w:hAnsi="Palatino Linotype"/>
          <w:sz w:val="20"/>
          <w:szCs w:val="20"/>
        </w:rPr>
        <w:t xml:space="preserve">Apparently, when they arrived under Jerusalem walls, the troupes of </w:t>
      </w:r>
      <w:r w:rsidR="002F0C73">
        <w:rPr>
          <w:rFonts w:ascii="Palatino Linotype" w:hAnsi="Palatino Linotype"/>
          <w:sz w:val="20"/>
          <w:szCs w:val="20"/>
        </w:rPr>
        <w:t>Khosrow II</w:t>
      </w:r>
      <w:r w:rsidRPr="00592E9D">
        <w:rPr>
          <w:rFonts w:ascii="Palatino Linotype" w:hAnsi="Palatino Linotype"/>
          <w:sz w:val="20"/>
          <w:szCs w:val="20"/>
        </w:rPr>
        <w:t xml:space="preserve"> were welcomed without resistance. In another moment, taking advantage of the fact that the conquerors had only left a small garrison guarding the city, the residents rose, destroyed the Jews who were blamed for having </w:t>
      </w:r>
      <w:proofErr w:type="spellStart"/>
      <w:r w:rsidRPr="00592E9D">
        <w:rPr>
          <w:rFonts w:ascii="Palatino Linotype" w:hAnsi="Palatino Linotype"/>
          <w:sz w:val="20"/>
          <w:szCs w:val="20"/>
        </w:rPr>
        <w:t>favored</w:t>
      </w:r>
      <w:proofErr w:type="spellEnd"/>
      <w:r w:rsidRPr="00592E9D">
        <w:rPr>
          <w:rFonts w:ascii="Palatino Linotype" w:hAnsi="Palatino Linotype"/>
          <w:sz w:val="20"/>
          <w:szCs w:val="20"/>
        </w:rPr>
        <w:t xml:space="preserve"> the Persians, and organized themselves for the resistance. Therefore, the following May, a second siege, was concluded with a horrid massacre. For many days, the occupied city was devastated by fire and slaughter, the Church of the Holy Sepulchre, built by order of Constantine, was burnt. According to the </w:t>
      </w:r>
      <w:r w:rsidR="002F0C73">
        <w:rPr>
          <w:rFonts w:ascii="Palatino Linotype" w:hAnsi="Palatino Linotype"/>
          <w:sz w:val="20"/>
          <w:szCs w:val="20"/>
        </w:rPr>
        <w:t>tradition</w:t>
      </w:r>
      <w:r w:rsidRPr="00592E9D">
        <w:rPr>
          <w:rFonts w:ascii="Palatino Linotype" w:hAnsi="Palatino Linotype"/>
          <w:sz w:val="20"/>
          <w:szCs w:val="20"/>
        </w:rPr>
        <w:t>,</w:t>
      </w:r>
      <w:r w:rsidR="0053481C">
        <w:rPr>
          <w:rFonts w:ascii="Palatino Linotype" w:hAnsi="Palatino Linotype"/>
          <w:sz w:val="20"/>
          <w:szCs w:val="20"/>
        </w:rPr>
        <w:t xml:space="preserve"> </w:t>
      </w:r>
      <w:r w:rsidRPr="00592E9D">
        <w:rPr>
          <w:rFonts w:ascii="Palatino Linotype" w:hAnsi="Palatino Linotype"/>
          <w:sz w:val="20"/>
          <w:szCs w:val="20"/>
        </w:rPr>
        <w:t>only the Bethlehemite Church of the Nativity was spared, as tribute to the mosaic depicting wise men in their national costumes adoring the Child.</w:t>
      </w:r>
      <w:r w:rsidR="00137027" w:rsidRPr="00592E9D">
        <w:rPr>
          <w:rStyle w:val="Rimandonotaapidipagina"/>
          <w:rFonts w:ascii="Palatino Linotype" w:hAnsi="Palatino Linotype"/>
          <w:sz w:val="20"/>
          <w:szCs w:val="20"/>
        </w:rPr>
        <w:footnoteReference w:id="6"/>
      </w:r>
    </w:p>
    <w:p w:rsidR="00A25CF6" w:rsidRDefault="00473600" w:rsidP="00592E9D">
      <w:pPr>
        <w:pStyle w:val="Nessunaspaziatura"/>
        <w:jc w:val="both"/>
        <w:rPr>
          <w:rFonts w:ascii="Palatino Linotype" w:hAnsi="Palatino Linotype"/>
          <w:sz w:val="20"/>
          <w:szCs w:val="20"/>
        </w:rPr>
      </w:pPr>
      <w:r w:rsidRPr="00592E9D">
        <w:rPr>
          <w:rFonts w:ascii="Palatino Linotype" w:hAnsi="Palatino Linotype"/>
          <w:sz w:val="20"/>
          <w:szCs w:val="20"/>
        </w:rPr>
        <w:t>By reading the sources (</w:t>
      </w:r>
      <w:proofErr w:type="spellStart"/>
      <w:r w:rsidRPr="00592E9D">
        <w:rPr>
          <w:rFonts w:ascii="Palatino Linotype" w:hAnsi="Palatino Linotype"/>
          <w:sz w:val="20"/>
          <w:szCs w:val="20"/>
        </w:rPr>
        <w:t>Theophanes</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Nikephoros</w:t>
      </w:r>
      <w:proofErr w:type="spellEnd"/>
      <w:r w:rsidRPr="00592E9D">
        <w:rPr>
          <w:rFonts w:ascii="Palatino Linotype" w:hAnsi="Palatino Linotype"/>
          <w:sz w:val="20"/>
          <w:szCs w:val="20"/>
        </w:rPr>
        <w:t xml:space="preserve">, </w:t>
      </w:r>
      <w:r w:rsidRPr="00592E9D">
        <w:rPr>
          <w:rFonts w:ascii="Palatino Linotype" w:hAnsi="Palatino Linotype"/>
          <w:i/>
          <w:sz w:val="20"/>
          <w:szCs w:val="20"/>
        </w:rPr>
        <w:t xml:space="preserve">Chronicon </w:t>
      </w:r>
      <w:proofErr w:type="spellStart"/>
      <w:r w:rsidRPr="00592E9D">
        <w:rPr>
          <w:rFonts w:ascii="Palatino Linotype" w:hAnsi="Palatino Linotype"/>
          <w:i/>
          <w:sz w:val="20"/>
          <w:szCs w:val="20"/>
        </w:rPr>
        <w:t>Paschale</w:t>
      </w:r>
      <w:proofErr w:type="spellEnd"/>
      <w:r w:rsidR="007376D3">
        <w:rPr>
          <w:rFonts w:ascii="Palatino Linotype" w:hAnsi="Palatino Linotype"/>
          <w:i/>
          <w:sz w:val="20"/>
          <w:szCs w:val="20"/>
        </w:rPr>
        <w:t xml:space="preserve">, </w:t>
      </w:r>
      <w:r w:rsidR="007376D3" w:rsidRPr="007376D3">
        <w:rPr>
          <w:rFonts w:ascii="Palatino Linotype" w:hAnsi="Palatino Linotype"/>
          <w:iCs/>
          <w:sz w:val="20"/>
          <w:szCs w:val="20"/>
        </w:rPr>
        <w:t xml:space="preserve">Antiochus </w:t>
      </w:r>
      <w:proofErr w:type="spellStart"/>
      <w:r w:rsidR="007376D3" w:rsidRPr="007376D3">
        <w:rPr>
          <w:rFonts w:ascii="Palatino Linotype" w:hAnsi="Palatino Linotype"/>
          <w:iCs/>
          <w:sz w:val="20"/>
          <w:szCs w:val="20"/>
        </w:rPr>
        <w:t>Strateg</w:t>
      </w:r>
      <w:r w:rsidR="007778EB">
        <w:rPr>
          <w:rFonts w:ascii="Palatino Linotype" w:hAnsi="Palatino Linotype"/>
          <w:iCs/>
          <w:sz w:val="20"/>
          <w:szCs w:val="20"/>
        </w:rPr>
        <w:t>o</w:t>
      </w:r>
      <w:r w:rsidR="007376D3" w:rsidRPr="007376D3">
        <w:rPr>
          <w:rFonts w:ascii="Palatino Linotype" w:hAnsi="Palatino Linotype"/>
          <w:iCs/>
          <w:sz w:val="20"/>
          <w:szCs w:val="20"/>
        </w:rPr>
        <w:t>s</w:t>
      </w:r>
      <w:proofErr w:type="spellEnd"/>
      <w:r w:rsidR="00F06355">
        <w:rPr>
          <w:rFonts w:ascii="Palatino Linotype" w:hAnsi="Palatino Linotype"/>
          <w:iCs/>
          <w:sz w:val="20"/>
          <w:szCs w:val="20"/>
        </w:rPr>
        <w:t xml:space="preserve">, the Armenian bishop </w:t>
      </w:r>
      <w:proofErr w:type="spellStart"/>
      <w:r w:rsidR="00F06355">
        <w:rPr>
          <w:rFonts w:ascii="Palatino Linotype" w:hAnsi="Palatino Linotype"/>
          <w:iCs/>
          <w:sz w:val="20"/>
          <w:szCs w:val="20"/>
        </w:rPr>
        <w:t>Sebeos</w:t>
      </w:r>
      <w:proofErr w:type="spellEnd"/>
      <w:r w:rsidRPr="00592E9D">
        <w:rPr>
          <w:rFonts w:ascii="Palatino Linotype" w:hAnsi="Palatino Linotype"/>
          <w:sz w:val="20"/>
          <w:szCs w:val="20"/>
        </w:rPr>
        <w:t>), it seems that during the short and harsh Persian occupation, patriarch Zacharias and</w:t>
      </w:r>
      <w:r w:rsidR="00F06355">
        <w:rPr>
          <w:rFonts w:ascii="Palatino Linotype" w:hAnsi="Palatino Linotype"/>
          <w:sz w:val="20"/>
          <w:szCs w:val="20"/>
        </w:rPr>
        <w:t xml:space="preserve"> a lot</w:t>
      </w:r>
      <w:r w:rsidRPr="00592E9D">
        <w:rPr>
          <w:rFonts w:ascii="Palatino Linotype" w:hAnsi="Palatino Linotype"/>
          <w:sz w:val="20"/>
          <w:szCs w:val="20"/>
        </w:rPr>
        <w:t xml:space="preserve"> of Christians were deported to Ctesiphon, capital of the Saxon Empire, where the relic of the True Cross was deported as a triumphal pre</w:t>
      </w:r>
      <w:r w:rsidR="0053481C">
        <w:rPr>
          <w:rFonts w:ascii="Palatino Linotype" w:hAnsi="Palatino Linotype"/>
          <w:sz w:val="20"/>
          <w:szCs w:val="20"/>
        </w:rPr>
        <w:t>y</w:t>
      </w:r>
      <w:r w:rsidRPr="00592E9D">
        <w:rPr>
          <w:rFonts w:ascii="Palatino Linotype" w:hAnsi="Palatino Linotype"/>
          <w:sz w:val="20"/>
          <w:szCs w:val="20"/>
        </w:rPr>
        <w:t>.</w:t>
      </w:r>
      <w:r w:rsidR="00F06355">
        <w:rPr>
          <w:rStyle w:val="Rimandonotaapidipagina"/>
          <w:rFonts w:ascii="Palatino Linotype" w:hAnsi="Palatino Linotype"/>
          <w:sz w:val="20"/>
          <w:szCs w:val="20"/>
        </w:rPr>
        <w:footnoteReference w:id="7"/>
      </w:r>
      <w:r w:rsidRPr="00592E9D">
        <w:rPr>
          <w:rFonts w:ascii="Palatino Linotype" w:hAnsi="Palatino Linotype"/>
          <w:sz w:val="20"/>
          <w:szCs w:val="20"/>
        </w:rPr>
        <w:t xml:space="preserve"> Other relics, like the chalice of the Last Supper, were dispersed. The Persians, guided by the King of Kings Khosrow II, burnt down the whole Eastern empire, reach</w:t>
      </w:r>
      <w:r w:rsidR="00384CA6" w:rsidRPr="00592E9D">
        <w:rPr>
          <w:rFonts w:ascii="Palatino Linotype" w:hAnsi="Palatino Linotype"/>
          <w:sz w:val="20"/>
          <w:szCs w:val="20"/>
        </w:rPr>
        <w:t>ing all the way to Egypt and Chalcedon,</w:t>
      </w:r>
      <w:r w:rsidRPr="00592E9D">
        <w:rPr>
          <w:rFonts w:ascii="Palatino Linotype" w:hAnsi="Palatino Linotype"/>
          <w:sz w:val="20"/>
          <w:szCs w:val="20"/>
        </w:rPr>
        <w:t xml:space="preserve"> to Constantinople's doors (616). </w:t>
      </w:r>
    </w:p>
    <w:p w:rsidR="00D558AC" w:rsidRPr="00592E9D" w:rsidRDefault="00A25CF6" w:rsidP="00592E9D">
      <w:pPr>
        <w:pStyle w:val="Nessunaspaziatura"/>
        <w:jc w:val="both"/>
        <w:rPr>
          <w:rFonts w:ascii="Palatino Linotype" w:hAnsi="Palatino Linotype"/>
          <w:sz w:val="20"/>
          <w:szCs w:val="20"/>
        </w:rPr>
      </w:pPr>
      <w:r>
        <w:rPr>
          <w:rFonts w:ascii="Palatino Linotype" w:hAnsi="Palatino Linotype"/>
          <w:sz w:val="20"/>
          <w:szCs w:val="20"/>
        </w:rPr>
        <w:lastRenderedPageBreak/>
        <w:t>T</w:t>
      </w:r>
      <w:r w:rsidR="00473600" w:rsidRPr="00592E9D">
        <w:rPr>
          <w:rFonts w:ascii="Palatino Linotype" w:hAnsi="Palatino Linotype"/>
          <w:sz w:val="20"/>
          <w:szCs w:val="20"/>
        </w:rPr>
        <w:t>he poetic work</w:t>
      </w:r>
      <w:r w:rsidR="00384CA6" w:rsidRPr="00592E9D">
        <w:rPr>
          <w:rFonts w:ascii="Palatino Linotype" w:hAnsi="Palatino Linotype"/>
          <w:sz w:val="20"/>
          <w:szCs w:val="20"/>
        </w:rPr>
        <w:t xml:space="preserve"> of George of Pisidia dates back to this period. </w:t>
      </w:r>
      <w:r>
        <w:rPr>
          <w:rFonts w:ascii="Palatino Linotype" w:hAnsi="Palatino Linotype"/>
          <w:sz w:val="20"/>
          <w:szCs w:val="20"/>
        </w:rPr>
        <w:t xml:space="preserve">Probably native of </w:t>
      </w:r>
      <w:proofErr w:type="spellStart"/>
      <w:r>
        <w:rPr>
          <w:rFonts w:ascii="Palatino Linotype" w:hAnsi="Palatino Linotype"/>
          <w:sz w:val="20"/>
          <w:szCs w:val="20"/>
        </w:rPr>
        <w:t>Antiochia</w:t>
      </w:r>
      <w:proofErr w:type="spellEnd"/>
      <w:r>
        <w:rPr>
          <w:rFonts w:ascii="Palatino Linotype" w:hAnsi="Palatino Linotype"/>
          <w:sz w:val="20"/>
          <w:szCs w:val="20"/>
        </w:rPr>
        <w:t xml:space="preserve"> in Pisidia</w:t>
      </w:r>
      <w:r w:rsidR="00384CA6" w:rsidRPr="00592E9D">
        <w:rPr>
          <w:rFonts w:ascii="Palatino Linotype" w:hAnsi="Palatino Linotype"/>
          <w:sz w:val="20"/>
          <w:szCs w:val="20"/>
        </w:rPr>
        <w:t>,</w:t>
      </w:r>
      <w:r w:rsidR="00137027" w:rsidRPr="00592E9D">
        <w:rPr>
          <w:rStyle w:val="Rimandonotaapidipagina"/>
          <w:rFonts w:ascii="Palatino Linotype" w:hAnsi="Palatino Linotype"/>
          <w:sz w:val="20"/>
          <w:szCs w:val="20"/>
        </w:rPr>
        <w:footnoteReference w:id="8"/>
      </w:r>
      <w:r w:rsidR="00384CA6" w:rsidRPr="00592E9D">
        <w:rPr>
          <w:rFonts w:ascii="Palatino Linotype" w:hAnsi="Palatino Linotype"/>
          <w:sz w:val="20"/>
          <w:szCs w:val="20"/>
        </w:rPr>
        <w:t xml:space="preserve"> he was deacon and first</w:t>
      </w:r>
      <w:r w:rsidR="00473600" w:rsidRPr="00592E9D">
        <w:rPr>
          <w:rFonts w:ascii="Palatino Linotype" w:hAnsi="Palatino Linotype"/>
          <w:sz w:val="20"/>
          <w:szCs w:val="20"/>
        </w:rPr>
        <w:t xml:space="preserve"> </w:t>
      </w:r>
      <w:proofErr w:type="spellStart"/>
      <w:r w:rsidR="00473600" w:rsidRPr="00592E9D">
        <w:rPr>
          <w:rFonts w:ascii="Palatino Linotype" w:hAnsi="Palatino Linotype"/>
          <w:i/>
          <w:sz w:val="20"/>
          <w:szCs w:val="20"/>
        </w:rPr>
        <w:t>skeuophylax</w:t>
      </w:r>
      <w:proofErr w:type="spellEnd"/>
      <w:r w:rsidR="00473600" w:rsidRPr="00592E9D">
        <w:rPr>
          <w:rFonts w:ascii="Palatino Linotype" w:hAnsi="Palatino Linotype"/>
          <w:sz w:val="20"/>
          <w:szCs w:val="20"/>
        </w:rPr>
        <w:t xml:space="preserve"> </w:t>
      </w:r>
      <w:r>
        <w:rPr>
          <w:rFonts w:ascii="Palatino Linotype" w:hAnsi="Palatino Linotype"/>
          <w:sz w:val="20"/>
          <w:szCs w:val="20"/>
        </w:rPr>
        <w:t>‘</w:t>
      </w:r>
      <w:r w:rsidR="00473600" w:rsidRPr="00592E9D">
        <w:rPr>
          <w:rFonts w:ascii="Palatino Linotype" w:hAnsi="Palatino Linotype"/>
          <w:sz w:val="20"/>
          <w:szCs w:val="20"/>
        </w:rPr>
        <w:t>sacristan</w:t>
      </w:r>
      <w:r>
        <w:rPr>
          <w:rFonts w:ascii="Palatino Linotype" w:hAnsi="Palatino Linotype"/>
          <w:sz w:val="20"/>
          <w:szCs w:val="20"/>
        </w:rPr>
        <w:t>’</w:t>
      </w:r>
      <w:r w:rsidR="00473600" w:rsidRPr="00592E9D">
        <w:rPr>
          <w:rFonts w:ascii="Palatino Linotype" w:hAnsi="Palatino Linotype"/>
          <w:sz w:val="20"/>
          <w:szCs w:val="20"/>
        </w:rPr>
        <w:t>, then legal secre</w:t>
      </w:r>
      <w:r w:rsidR="00384CA6" w:rsidRPr="00592E9D">
        <w:rPr>
          <w:rFonts w:ascii="Palatino Linotype" w:hAnsi="Palatino Linotype"/>
          <w:sz w:val="20"/>
          <w:szCs w:val="20"/>
        </w:rPr>
        <w:t>tary</w:t>
      </w:r>
      <w:r>
        <w:rPr>
          <w:rFonts w:ascii="Palatino Linotype" w:hAnsi="Palatino Linotype"/>
          <w:sz w:val="20"/>
          <w:szCs w:val="20"/>
        </w:rPr>
        <w:t>. i.e.</w:t>
      </w:r>
      <w:r w:rsidR="00384CA6" w:rsidRPr="00592E9D">
        <w:rPr>
          <w:rFonts w:ascii="Palatino Linotype" w:hAnsi="Palatino Linotype"/>
          <w:sz w:val="20"/>
          <w:szCs w:val="20"/>
        </w:rPr>
        <w:t xml:space="preserve"> </w:t>
      </w:r>
      <w:r>
        <w:rPr>
          <w:rFonts w:ascii="Palatino Linotype" w:hAnsi="Palatino Linotype"/>
          <w:sz w:val="20"/>
          <w:szCs w:val="20"/>
        </w:rPr>
        <w:t>‘</w:t>
      </w:r>
      <w:r w:rsidR="00384CA6" w:rsidRPr="00592E9D">
        <w:rPr>
          <w:rFonts w:ascii="Palatino Linotype" w:hAnsi="Palatino Linotype"/>
          <w:sz w:val="20"/>
          <w:szCs w:val="20"/>
        </w:rPr>
        <w:t>patriarchal nuncio</w:t>
      </w:r>
      <w:r>
        <w:rPr>
          <w:rFonts w:ascii="Palatino Linotype" w:hAnsi="Palatino Linotype"/>
          <w:sz w:val="20"/>
          <w:szCs w:val="20"/>
        </w:rPr>
        <w:t>’</w:t>
      </w:r>
      <w:r w:rsidR="00473600" w:rsidRPr="00592E9D">
        <w:rPr>
          <w:rFonts w:ascii="Palatino Linotype" w:hAnsi="Palatino Linotype"/>
          <w:sz w:val="20"/>
          <w:szCs w:val="20"/>
        </w:rPr>
        <w:t xml:space="preserve"> to the emperor </w:t>
      </w:r>
      <w:r>
        <w:rPr>
          <w:rFonts w:ascii="Palatino Linotype" w:hAnsi="Palatino Linotype"/>
          <w:sz w:val="20"/>
          <w:szCs w:val="20"/>
        </w:rPr>
        <w:t xml:space="preserve">at </w:t>
      </w:r>
      <w:r w:rsidR="00473600" w:rsidRPr="00592E9D">
        <w:rPr>
          <w:rFonts w:ascii="Palatino Linotype" w:hAnsi="Palatino Linotype"/>
          <w:sz w:val="20"/>
          <w:szCs w:val="20"/>
        </w:rPr>
        <w:t xml:space="preserve">S. Sophia Church in Constantinople. He had patriarch </w:t>
      </w:r>
      <w:proofErr w:type="spellStart"/>
      <w:r w:rsidR="00473600" w:rsidRPr="00592E9D">
        <w:rPr>
          <w:rFonts w:ascii="Palatino Linotype" w:hAnsi="Palatino Linotype"/>
          <w:sz w:val="20"/>
          <w:szCs w:val="20"/>
        </w:rPr>
        <w:t>Sergius</w:t>
      </w:r>
      <w:proofErr w:type="spellEnd"/>
      <w:r w:rsidR="00473600" w:rsidRPr="00592E9D">
        <w:rPr>
          <w:rFonts w:ascii="Palatino Linotype" w:hAnsi="Palatino Linotype"/>
          <w:sz w:val="20"/>
          <w:szCs w:val="20"/>
        </w:rPr>
        <w:t xml:space="preserve"> as his patron, his spiritual master and friend, and he had to be a part of the court entourage, as legal secretary, friend and close confidante of the emperor, who on more than one occasion narrated to him the journey of his life</w:t>
      </w:r>
      <w:r w:rsidR="00137027" w:rsidRPr="00592E9D">
        <w:rPr>
          <w:rFonts w:ascii="Palatino Linotype" w:hAnsi="Palatino Linotype"/>
          <w:sz w:val="20"/>
          <w:szCs w:val="20"/>
        </w:rPr>
        <w:t>.</w:t>
      </w:r>
      <w:r w:rsidR="00137027" w:rsidRPr="00592E9D">
        <w:rPr>
          <w:rStyle w:val="Rimandonotaapidipagina"/>
          <w:rFonts w:ascii="Palatino Linotype" w:hAnsi="Palatino Linotype"/>
          <w:sz w:val="20"/>
          <w:szCs w:val="20"/>
        </w:rPr>
        <w:footnoteReference w:id="9"/>
      </w:r>
      <w:r w:rsidR="00473600" w:rsidRPr="00592E9D">
        <w:rPr>
          <w:rFonts w:ascii="Palatino Linotype" w:hAnsi="Palatino Linotype"/>
          <w:sz w:val="20"/>
          <w:szCs w:val="20"/>
        </w:rPr>
        <w:t xml:space="preserve"> </w:t>
      </w:r>
    </w:p>
    <w:p w:rsidR="00D558AC" w:rsidRDefault="00473600" w:rsidP="00592E9D">
      <w:pPr>
        <w:pStyle w:val="Nessunaspaziatura"/>
        <w:jc w:val="both"/>
        <w:rPr>
          <w:rFonts w:ascii="Palatino Linotype" w:hAnsi="Palatino Linotype"/>
          <w:sz w:val="20"/>
          <w:szCs w:val="20"/>
        </w:rPr>
      </w:pPr>
      <w:r w:rsidRPr="00592E9D">
        <w:rPr>
          <w:rFonts w:ascii="Palatino Linotype" w:hAnsi="Palatino Linotype"/>
          <w:sz w:val="20"/>
          <w:szCs w:val="20"/>
        </w:rPr>
        <w:t>Compared to other panegyric texts, it is surprising that</w:t>
      </w:r>
      <w:r w:rsidR="007163A7" w:rsidRPr="00592E9D">
        <w:rPr>
          <w:rFonts w:ascii="Palatino Linotype" w:hAnsi="Palatino Linotype"/>
          <w:sz w:val="20"/>
          <w:szCs w:val="20"/>
        </w:rPr>
        <w:t xml:space="preserve"> his</w:t>
      </w:r>
      <w:r w:rsidRPr="00592E9D">
        <w:rPr>
          <w:rFonts w:ascii="Palatino Linotype" w:hAnsi="Palatino Linotype"/>
          <w:sz w:val="20"/>
          <w:szCs w:val="20"/>
        </w:rPr>
        <w:t xml:space="preserve"> poem </w:t>
      </w:r>
      <w:proofErr w:type="gramStart"/>
      <w:r w:rsidRPr="00592E9D">
        <w:rPr>
          <w:rFonts w:ascii="Palatino Linotype" w:hAnsi="Palatino Linotype"/>
          <w:i/>
          <w:sz w:val="20"/>
          <w:szCs w:val="20"/>
        </w:rPr>
        <w:t>In</w:t>
      </w:r>
      <w:proofErr w:type="gramEnd"/>
      <w:r w:rsidRPr="00592E9D">
        <w:rPr>
          <w:rFonts w:ascii="Palatino Linotype" w:hAnsi="Palatino Linotype"/>
          <w:i/>
          <w:sz w:val="20"/>
          <w:szCs w:val="20"/>
        </w:rPr>
        <w:t xml:space="preserve"> </w:t>
      </w:r>
      <w:proofErr w:type="spellStart"/>
      <w:r w:rsidRPr="00592E9D">
        <w:rPr>
          <w:rFonts w:ascii="Palatino Linotype" w:hAnsi="Palatino Linotype"/>
          <w:i/>
          <w:sz w:val="20"/>
          <w:szCs w:val="20"/>
        </w:rPr>
        <w:t>restitutionem</w:t>
      </w:r>
      <w:proofErr w:type="spellEnd"/>
      <w:r w:rsidRPr="00592E9D">
        <w:rPr>
          <w:rFonts w:ascii="Palatino Linotype" w:hAnsi="Palatino Linotype"/>
          <w:i/>
          <w:sz w:val="20"/>
          <w:szCs w:val="20"/>
        </w:rPr>
        <w:t xml:space="preserve"> Sanctae Crucis</w:t>
      </w:r>
      <w:r w:rsidRPr="00592E9D">
        <w:rPr>
          <w:rFonts w:ascii="Palatino Linotype" w:hAnsi="Palatino Linotype"/>
          <w:sz w:val="20"/>
          <w:szCs w:val="20"/>
        </w:rPr>
        <w:t xml:space="preserve"> (</w:t>
      </w:r>
      <w:proofErr w:type="spellStart"/>
      <w:r w:rsidRPr="00592E9D">
        <w:rPr>
          <w:rFonts w:ascii="Palatino Linotype" w:hAnsi="Palatino Linotype"/>
          <w:sz w:val="20"/>
          <w:szCs w:val="20"/>
        </w:rPr>
        <w:t>Αὐτοσχέδιοι</w:t>
      </w:r>
      <w:proofErr w:type="spellEnd"/>
      <w:r w:rsidRPr="00592E9D">
        <w:rPr>
          <w:rFonts w:ascii="Palatino Linotype" w:hAnsi="Palatino Linotype"/>
          <w:sz w:val="20"/>
          <w:szCs w:val="20"/>
        </w:rPr>
        <w:t xml:space="preserve"> π</w:t>
      </w:r>
      <w:proofErr w:type="spellStart"/>
      <w:r w:rsidRPr="00592E9D">
        <w:rPr>
          <w:rFonts w:ascii="Palatino Linotype" w:hAnsi="Palatino Linotype"/>
          <w:sz w:val="20"/>
          <w:szCs w:val="20"/>
        </w:rPr>
        <w:t>ρὸς</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τὴν</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γενομένην</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ἀνάγνωσιν</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τῶν</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κελεύσεων</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χάριν</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τῆς</w:t>
      </w:r>
      <w:proofErr w:type="spellEnd"/>
      <w:r w:rsidRPr="00592E9D">
        <w:rPr>
          <w:rFonts w:ascii="Palatino Linotype" w:hAnsi="Palatino Linotype"/>
          <w:sz w:val="20"/>
          <w:szCs w:val="20"/>
        </w:rPr>
        <w:t xml:space="preserve"> ἀπ</w:t>
      </w:r>
      <w:proofErr w:type="spellStart"/>
      <w:r w:rsidRPr="00592E9D">
        <w:rPr>
          <w:rFonts w:ascii="Palatino Linotype" w:hAnsi="Palatino Linotype"/>
          <w:sz w:val="20"/>
          <w:szCs w:val="20"/>
        </w:rPr>
        <w:t>οκ</w:t>
      </w:r>
      <w:proofErr w:type="spellEnd"/>
      <w:r w:rsidRPr="00592E9D">
        <w:rPr>
          <w:rFonts w:ascii="Palatino Linotype" w:hAnsi="Palatino Linotype"/>
          <w:sz w:val="20"/>
          <w:szCs w:val="20"/>
        </w:rPr>
        <w:t>ατα</w:t>
      </w:r>
      <w:proofErr w:type="spellStart"/>
      <w:r w:rsidRPr="00592E9D">
        <w:rPr>
          <w:rFonts w:ascii="Palatino Linotype" w:hAnsi="Palatino Linotype"/>
          <w:sz w:val="20"/>
          <w:szCs w:val="20"/>
        </w:rPr>
        <w:t>στάσεως</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τῶν</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τιμίων</w:t>
      </w:r>
      <w:proofErr w:type="spellEnd"/>
      <w:r w:rsidRPr="00592E9D">
        <w:rPr>
          <w:rFonts w:ascii="Palatino Linotype" w:hAnsi="Palatino Linotype"/>
          <w:sz w:val="20"/>
          <w:szCs w:val="20"/>
        </w:rPr>
        <w:t xml:space="preserve"> </w:t>
      </w:r>
      <w:proofErr w:type="spellStart"/>
      <w:r w:rsidRPr="00592E9D">
        <w:rPr>
          <w:rFonts w:ascii="Palatino Linotype" w:hAnsi="Palatino Linotype"/>
          <w:sz w:val="20"/>
          <w:szCs w:val="20"/>
        </w:rPr>
        <w:t>ξύλων</w:t>
      </w:r>
      <w:proofErr w:type="spellEnd"/>
      <w:r w:rsidRPr="00592E9D">
        <w:rPr>
          <w:rFonts w:ascii="Palatino Linotype" w:hAnsi="Palatino Linotype"/>
          <w:sz w:val="20"/>
          <w:szCs w:val="20"/>
        </w:rPr>
        <w:t xml:space="preserve">) has received such limited interest in later Byzantine literature. In this composition, the epic dimension, in fact, was successfully combined with the religious dimension in describing the warm welcome given </w:t>
      </w:r>
      <w:r w:rsidR="00384CA6" w:rsidRPr="00592E9D">
        <w:rPr>
          <w:rFonts w:ascii="Palatino Linotype" w:hAnsi="Palatino Linotype"/>
          <w:sz w:val="20"/>
          <w:szCs w:val="20"/>
        </w:rPr>
        <w:t xml:space="preserve">by the </w:t>
      </w:r>
      <w:proofErr w:type="spellStart"/>
      <w:r w:rsidR="00384CA6" w:rsidRPr="00592E9D">
        <w:rPr>
          <w:rFonts w:ascii="Palatino Linotype" w:hAnsi="Palatino Linotype"/>
          <w:sz w:val="20"/>
          <w:szCs w:val="20"/>
        </w:rPr>
        <w:t>Costantantinopolitans</w:t>
      </w:r>
      <w:proofErr w:type="spellEnd"/>
      <w:r w:rsidR="00384CA6" w:rsidRPr="00592E9D">
        <w:rPr>
          <w:rFonts w:ascii="Palatino Linotype" w:hAnsi="Palatino Linotype"/>
          <w:sz w:val="20"/>
          <w:szCs w:val="20"/>
        </w:rPr>
        <w:t xml:space="preserve"> </w:t>
      </w:r>
      <w:r w:rsidRPr="00592E9D">
        <w:rPr>
          <w:rFonts w:ascii="Palatino Linotype" w:hAnsi="Palatino Linotype"/>
          <w:sz w:val="20"/>
          <w:szCs w:val="20"/>
        </w:rPr>
        <w:t xml:space="preserve">to the </w:t>
      </w:r>
      <w:r w:rsidR="00384CA6" w:rsidRPr="00592E9D">
        <w:rPr>
          <w:rFonts w:ascii="Palatino Linotype" w:hAnsi="Palatino Linotype"/>
          <w:sz w:val="20"/>
          <w:szCs w:val="20"/>
        </w:rPr>
        <w:t xml:space="preserve">imperial dispatch </w:t>
      </w:r>
      <w:r w:rsidR="00367BC7">
        <w:rPr>
          <w:rFonts w:ascii="Palatino Linotype" w:hAnsi="Palatino Linotype"/>
          <w:sz w:val="20"/>
          <w:szCs w:val="20"/>
        </w:rPr>
        <w:t>referring</w:t>
      </w:r>
      <w:r w:rsidR="00384CA6" w:rsidRPr="00592E9D">
        <w:rPr>
          <w:rFonts w:ascii="Palatino Linotype" w:hAnsi="Palatino Linotype"/>
          <w:sz w:val="20"/>
          <w:szCs w:val="20"/>
        </w:rPr>
        <w:t xml:space="preserve"> the restitution of the True Cross</w:t>
      </w:r>
      <w:r w:rsidRPr="00592E9D">
        <w:rPr>
          <w:rFonts w:ascii="Palatino Linotype" w:hAnsi="Palatino Linotype"/>
          <w:sz w:val="20"/>
          <w:szCs w:val="20"/>
        </w:rPr>
        <w:t xml:space="preserve">. At the basis of everything was the definitive success of Heraclius over the Persians of Khosrow, who arrived in Nineveh only on 12 December 627, after six years of military campaigns and the dramatic page of the joint siege of Constantinople by the </w:t>
      </w:r>
      <w:proofErr w:type="spellStart"/>
      <w:r w:rsidRPr="00592E9D">
        <w:rPr>
          <w:rFonts w:ascii="Palatino Linotype" w:hAnsi="Palatino Linotype"/>
          <w:sz w:val="20"/>
          <w:szCs w:val="20"/>
        </w:rPr>
        <w:t>Avars</w:t>
      </w:r>
      <w:proofErr w:type="spellEnd"/>
      <w:r w:rsidRPr="00592E9D">
        <w:rPr>
          <w:rFonts w:ascii="Palatino Linotype" w:hAnsi="Palatino Linotype"/>
          <w:sz w:val="20"/>
          <w:szCs w:val="20"/>
        </w:rPr>
        <w:t xml:space="preserve"> and Persians on August 626.</w:t>
      </w:r>
      <w:r w:rsidR="00A970E2">
        <w:rPr>
          <w:rStyle w:val="Rimandonotaapidipagina"/>
          <w:rFonts w:ascii="Palatino Linotype" w:hAnsi="Palatino Linotype"/>
          <w:sz w:val="20"/>
          <w:szCs w:val="20"/>
        </w:rPr>
        <w:footnoteReference w:id="10"/>
      </w:r>
      <w:r w:rsidRPr="00592E9D">
        <w:rPr>
          <w:rFonts w:ascii="Palatino Linotype" w:hAnsi="Palatino Linotype"/>
          <w:sz w:val="20"/>
          <w:szCs w:val="20"/>
        </w:rPr>
        <w:t xml:space="preserve"> </w:t>
      </w:r>
    </w:p>
    <w:p w:rsidR="00D558AC" w:rsidRDefault="00473600" w:rsidP="00592E9D">
      <w:pPr>
        <w:pStyle w:val="Nessunaspaziatura"/>
        <w:jc w:val="both"/>
        <w:rPr>
          <w:rFonts w:ascii="Palatino Linotype" w:hAnsi="Palatino Linotype"/>
          <w:sz w:val="20"/>
          <w:szCs w:val="20"/>
        </w:rPr>
      </w:pPr>
      <w:r w:rsidRPr="00592E9D">
        <w:rPr>
          <w:rFonts w:ascii="Palatino Linotype" w:hAnsi="Palatino Linotype"/>
          <w:sz w:val="20"/>
          <w:szCs w:val="20"/>
        </w:rPr>
        <w:t xml:space="preserve">The reconquest of the relics of the True Cross, found in Persia and brought back to Jerusalem on March 21, 630, was presented by imperial propaganda as crowning of the Heraclius campaign. It seems that the </w:t>
      </w:r>
      <w:r w:rsidRPr="00592E9D">
        <w:rPr>
          <w:rFonts w:ascii="Palatino Linotype" w:hAnsi="Palatino Linotype"/>
          <w:i/>
          <w:sz w:val="20"/>
          <w:szCs w:val="20"/>
        </w:rPr>
        <w:t>basileus</w:t>
      </w:r>
      <w:r w:rsidRPr="00592E9D">
        <w:rPr>
          <w:rFonts w:ascii="Palatino Linotype" w:hAnsi="Palatino Linotype"/>
          <w:sz w:val="20"/>
          <w:szCs w:val="20"/>
        </w:rPr>
        <w:t xml:space="preserve"> freed a</w:t>
      </w:r>
      <w:r w:rsidR="00823E23">
        <w:rPr>
          <w:rFonts w:ascii="Palatino Linotype" w:hAnsi="Palatino Linotype"/>
          <w:sz w:val="20"/>
          <w:szCs w:val="20"/>
        </w:rPr>
        <w:t>ls</w:t>
      </w:r>
      <w:r w:rsidRPr="00592E9D">
        <w:rPr>
          <w:rFonts w:ascii="Palatino Linotype" w:hAnsi="Palatino Linotype"/>
          <w:sz w:val="20"/>
          <w:szCs w:val="20"/>
        </w:rPr>
        <w:t xml:space="preserve">o Christian deportees, at the front of whom he would enter Jerusalem barefoot, bearing the cross on his shoulders like a new Christ. According to tradition, he penetrated the walls from the central door of the east side, the </w:t>
      </w:r>
      <w:r w:rsidRPr="00592E9D">
        <w:rPr>
          <w:rFonts w:ascii="Palatino Linotype" w:hAnsi="Palatino Linotype"/>
          <w:i/>
          <w:sz w:val="20"/>
          <w:szCs w:val="20"/>
        </w:rPr>
        <w:t>Golden Gate</w:t>
      </w:r>
      <w:r w:rsidRPr="00592E9D">
        <w:rPr>
          <w:rFonts w:ascii="Palatino Linotype" w:hAnsi="Palatino Linotype"/>
          <w:sz w:val="20"/>
          <w:szCs w:val="20"/>
        </w:rPr>
        <w:t xml:space="preserve">, which in the second Temple was called </w:t>
      </w:r>
      <w:r w:rsidRPr="00592E9D">
        <w:rPr>
          <w:rFonts w:ascii="Palatino Linotype" w:hAnsi="Palatino Linotype"/>
          <w:i/>
          <w:sz w:val="20"/>
          <w:szCs w:val="20"/>
        </w:rPr>
        <w:t>Shushan</w:t>
      </w:r>
      <w:r w:rsidRPr="00592E9D">
        <w:rPr>
          <w:rFonts w:ascii="Palatino Linotype" w:hAnsi="Palatino Linotype"/>
          <w:sz w:val="20"/>
          <w:szCs w:val="20"/>
        </w:rPr>
        <w:t xml:space="preserve"> Gate and was identified with the </w:t>
      </w:r>
      <w:r w:rsidRPr="00592E9D">
        <w:rPr>
          <w:rFonts w:ascii="Palatino Linotype" w:hAnsi="Palatino Linotype"/>
          <w:i/>
          <w:sz w:val="20"/>
          <w:szCs w:val="20"/>
        </w:rPr>
        <w:t xml:space="preserve">Porta </w:t>
      </w:r>
      <w:proofErr w:type="spellStart"/>
      <w:r w:rsidRPr="00592E9D">
        <w:rPr>
          <w:rFonts w:ascii="Palatino Linotype" w:hAnsi="Palatino Linotype"/>
          <w:i/>
          <w:sz w:val="20"/>
          <w:szCs w:val="20"/>
        </w:rPr>
        <w:t>Speciosa</w:t>
      </w:r>
      <w:proofErr w:type="spellEnd"/>
      <w:r w:rsidRPr="00592E9D">
        <w:rPr>
          <w:rFonts w:ascii="Palatino Linotype" w:hAnsi="Palatino Linotype"/>
          <w:sz w:val="20"/>
          <w:szCs w:val="20"/>
        </w:rPr>
        <w:t xml:space="preserve"> from which Jesus would have passed entering Jerusalem on Palm Sunday.</w:t>
      </w:r>
      <w:r w:rsidR="00823E23">
        <w:rPr>
          <w:rStyle w:val="Rimandonotaapidipagina"/>
          <w:rFonts w:ascii="Palatino Linotype" w:hAnsi="Palatino Linotype"/>
          <w:sz w:val="20"/>
          <w:szCs w:val="20"/>
        </w:rPr>
        <w:footnoteReference w:id="11"/>
      </w:r>
      <w:r w:rsidRPr="00592E9D">
        <w:rPr>
          <w:rFonts w:ascii="Palatino Linotype" w:hAnsi="Palatino Linotype"/>
          <w:sz w:val="20"/>
          <w:szCs w:val="20"/>
        </w:rPr>
        <w:t xml:space="preserve"> </w:t>
      </w:r>
    </w:p>
    <w:p w:rsidR="00D873AD" w:rsidRPr="00592E9D" w:rsidRDefault="00D873AD" w:rsidP="00592E9D">
      <w:pPr>
        <w:pStyle w:val="Nessunaspaziatura"/>
        <w:jc w:val="both"/>
        <w:rPr>
          <w:rFonts w:ascii="Palatino Linotype" w:hAnsi="Palatino Linotype"/>
          <w:sz w:val="20"/>
          <w:szCs w:val="20"/>
        </w:rPr>
      </w:pPr>
    </w:p>
    <w:p w:rsidR="00D873AD" w:rsidRPr="00D873AD" w:rsidRDefault="00D873AD" w:rsidP="00D873AD">
      <w:pPr>
        <w:pStyle w:val="Nessunaspaziatura"/>
        <w:jc w:val="both"/>
        <w:rPr>
          <w:rFonts w:ascii="Palatino Linotype" w:hAnsi="Palatino Linotype"/>
          <w:b/>
          <w:bCs/>
          <w:sz w:val="20"/>
          <w:szCs w:val="20"/>
        </w:rPr>
      </w:pPr>
      <w:r>
        <w:rPr>
          <w:rFonts w:ascii="Palatino Linotype" w:hAnsi="Palatino Linotype"/>
          <w:b/>
          <w:bCs/>
          <w:sz w:val="20"/>
          <w:szCs w:val="20"/>
        </w:rPr>
        <w:t xml:space="preserve">3. The </w:t>
      </w:r>
      <w:proofErr w:type="spellStart"/>
      <w:r w:rsidRPr="00592E9D">
        <w:rPr>
          <w:rFonts w:ascii="Palatino Linotype" w:hAnsi="Palatino Linotype"/>
          <w:b/>
          <w:bCs/>
          <w:sz w:val="20"/>
          <w:szCs w:val="20"/>
          <w:lang w:val="el-GR"/>
        </w:rPr>
        <w:t>θε</w:t>
      </w:r>
      <w:r w:rsidR="00941EEA">
        <w:rPr>
          <w:rFonts w:ascii="Palatino Linotype" w:hAnsi="Palatino Linotype"/>
          <w:b/>
          <w:bCs/>
          <w:sz w:val="20"/>
          <w:szCs w:val="20"/>
          <w:lang w:val="el-GR"/>
        </w:rPr>
        <w:t>η</w:t>
      </w:r>
      <w:r w:rsidRPr="00592E9D">
        <w:rPr>
          <w:rFonts w:ascii="Palatino Linotype" w:hAnsi="Palatino Linotype"/>
          <w:b/>
          <w:bCs/>
          <w:sz w:val="20"/>
          <w:szCs w:val="20"/>
          <w:lang w:val="el-GR"/>
        </w:rPr>
        <w:t>δόχος</w:t>
      </w:r>
      <w:proofErr w:type="spellEnd"/>
      <w:r w:rsidRPr="00D873AD">
        <w:rPr>
          <w:rFonts w:ascii="Palatino Linotype" w:hAnsi="Palatino Linotype"/>
          <w:b/>
          <w:bCs/>
          <w:sz w:val="20"/>
          <w:szCs w:val="20"/>
        </w:rPr>
        <w:t xml:space="preserve"> Golgotha</w:t>
      </w:r>
    </w:p>
    <w:p w:rsidR="00D873AD" w:rsidRDefault="00D873AD" w:rsidP="00592E9D">
      <w:pPr>
        <w:pStyle w:val="Nessunaspaziatura"/>
        <w:jc w:val="both"/>
        <w:rPr>
          <w:rFonts w:ascii="Palatino Linotype" w:hAnsi="Palatino Linotype"/>
          <w:sz w:val="20"/>
          <w:szCs w:val="20"/>
        </w:rPr>
      </w:pPr>
    </w:p>
    <w:p w:rsidR="00D558AC" w:rsidRDefault="00473600" w:rsidP="00592E9D">
      <w:pPr>
        <w:pStyle w:val="Nessunaspaziatura"/>
        <w:jc w:val="both"/>
        <w:rPr>
          <w:rFonts w:ascii="Palatino Linotype" w:hAnsi="Palatino Linotype"/>
          <w:sz w:val="20"/>
          <w:szCs w:val="20"/>
        </w:rPr>
      </w:pPr>
      <w:r w:rsidRPr="00592E9D">
        <w:rPr>
          <w:rFonts w:ascii="Palatino Linotype" w:hAnsi="Palatino Linotype"/>
          <w:sz w:val="20"/>
          <w:szCs w:val="20"/>
        </w:rPr>
        <w:t xml:space="preserve">The </w:t>
      </w:r>
      <w:proofErr w:type="spellStart"/>
      <w:r w:rsidRPr="00592E9D">
        <w:rPr>
          <w:rFonts w:ascii="Palatino Linotype" w:hAnsi="Palatino Linotype"/>
          <w:sz w:val="20"/>
          <w:szCs w:val="20"/>
        </w:rPr>
        <w:t>triumphalistic</w:t>
      </w:r>
      <w:proofErr w:type="spellEnd"/>
      <w:r w:rsidRPr="00592E9D">
        <w:rPr>
          <w:rFonts w:ascii="Palatino Linotype" w:hAnsi="Palatino Linotype"/>
          <w:sz w:val="20"/>
          <w:szCs w:val="20"/>
        </w:rPr>
        <w:t xml:space="preserve"> tone </w:t>
      </w:r>
      <w:r w:rsidR="00D873AD">
        <w:rPr>
          <w:rFonts w:ascii="Palatino Linotype" w:hAnsi="Palatino Linotype"/>
          <w:sz w:val="20"/>
          <w:szCs w:val="20"/>
        </w:rPr>
        <w:t xml:space="preserve">that characterized </w:t>
      </w:r>
      <w:proofErr w:type="spellStart"/>
      <w:r w:rsidR="00D873AD">
        <w:rPr>
          <w:rFonts w:ascii="Palatino Linotype" w:hAnsi="Palatino Linotype"/>
          <w:sz w:val="20"/>
          <w:szCs w:val="20"/>
        </w:rPr>
        <w:t>Eraclius</w:t>
      </w:r>
      <w:proofErr w:type="spellEnd"/>
      <w:r w:rsidR="00D873AD">
        <w:rPr>
          <w:rFonts w:ascii="Palatino Linotype" w:hAnsi="Palatino Linotype"/>
          <w:sz w:val="20"/>
          <w:szCs w:val="20"/>
        </w:rPr>
        <w:t xml:space="preserve">’ return </w:t>
      </w:r>
      <w:r w:rsidRPr="00592E9D">
        <w:rPr>
          <w:rFonts w:ascii="Palatino Linotype" w:hAnsi="Palatino Linotype"/>
          <w:sz w:val="20"/>
          <w:szCs w:val="20"/>
        </w:rPr>
        <w:t>was clearly</w:t>
      </w:r>
      <w:r w:rsidR="00D873AD">
        <w:rPr>
          <w:rFonts w:ascii="Palatino Linotype" w:hAnsi="Palatino Linotype"/>
          <w:sz w:val="20"/>
          <w:szCs w:val="20"/>
        </w:rPr>
        <w:t xml:space="preserve"> </w:t>
      </w:r>
      <w:r w:rsidRPr="00592E9D">
        <w:rPr>
          <w:rFonts w:ascii="Palatino Linotype" w:hAnsi="Palatino Linotype"/>
          <w:sz w:val="20"/>
          <w:szCs w:val="20"/>
        </w:rPr>
        <w:t>evident from the opening words</w:t>
      </w:r>
      <w:r w:rsidR="00D873AD">
        <w:rPr>
          <w:rFonts w:ascii="Palatino Linotype" w:hAnsi="Palatino Linotype"/>
          <w:sz w:val="20"/>
          <w:szCs w:val="20"/>
        </w:rPr>
        <w:t xml:space="preserve"> of George of Pisidia’s poem</w:t>
      </w:r>
      <w:r w:rsidR="00367BC7">
        <w:rPr>
          <w:rFonts w:ascii="Palatino Linotype" w:hAnsi="Palatino Linotype"/>
          <w:sz w:val="20"/>
          <w:szCs w:val="20"/>
        </w:rPr>
        <w:t>:</w:t>
      </w:r>
    </w:p>
    <w:p w:rsidR="00A970E2" w:rsidRDefault="00A970E2" w:rsidP="00592E9D">
      <w:pPr>
        <w:pStyle w:val="Nessunaspaziatura"/>
        <w:jc w:val="both"/>
        <w:rPr>
          <w:rFonts w:ascii="Palatino Linotype" w:hAnsi="Palatino Linotype"/>
          <w:sz w:val="20"/>
          <w:szCs w:val="20"/>
        </w:rPr>
      </w:pPr>
    </w:p>
    <w:p w:rsidR="00A970E2" w:rsidRPr="00A970E2" w:rsidRDefault="00A970E2" w:rsidP="00A970E2">
      <w:pPr>
        <w:pStyle w:val="Nessunaspaziatura"/>
        <w:jc w:val="both"/>
        <w:rPr>
          <w:rFonts w:ascii="Palatino Linotype" w:hAnsi="Palatino Linotype"/>
          <w:sz w:val="18"/>
          <w:szCs w:val="18"/>
        </w:rPr>
      </w:pPr>
      <w:r w:rsidRPr="00A970E2">
        <w:rPr>
          <w:rFonts w:ascii="Palatino Linotype" w:hAnsi="Palatino Linotype"/>
          <w:sz w:val="18"/>
          <w:szCs w:val="18"/>
        </w:rPr>
        <w:t xml:space="preserve">Ὦ </w:t>
      </w:r>
      <w:proofErr w:type="spellStart"/>
      <w:r w:rsidRPr="00A970E2">
        <w:rPr>
          <w:rFonts w:ascii="Palatino Linotype" w:hAnsi="Palatino Linotype"/>
          <w:sz w:val="18"/>
          <w:szCs w:val="18"/>
        </w:rPr>
        <w:t>Γολγοθὰ</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σκίρτησον</w:t>
      </w:r>
      <w:proofErr w:type="spellEnd"/>
      <w:r w:rsidRPr="00A970E2">
        <w:rPr>
          <w:rFonts w:ascii="Palatino Linotype" w:hAnsi="Palatino Linotype"/>
          <w:sz w:val="18"/>
          <w:szCs w:val="18"/>
        </w:rPr>
        <w:t xml:space="preserve">· ἡ </w:t>
      </w:r>
      <w:proofErr w:type="spellStart"/>
      <w:r w:rsidRPr="00A970E2">
        <w:rPr>
          <w:rFonts w:ascii="Palatino Linotype" w:hAnsi="Palatino Linotype"/>
          <w:sz w:val="18"/>
          <w:szCs w:val="18"/>
        </w:rPr>
        <w:t>κτίσις</w:t>
      </w:r>
      <w:proofErr w:type="spellEnd"/>
      <w:r w:rsidRPr="00A970E2">
        <w:rPr>
          <w:rFonts w:ascii="Palatino Linotype" w:hAnsi="Palatino Linotype"/>
          <w:sz w:val="18"/>
          <w:szCs w:val="18"/>
        </w:rPr>
        <w:t xml:space="preserve"> π</w:t>
      </w:r>
      <w:proofErr w:type="spellStart"/>
      <w:r w:rsidRPr="00A970E2">
        <w:rPr>
          <w:rFonts w:ascii="Palatino Linotype" w:hAnsi="Palatino Linotype"/>
          <w:sz w:val="18"/>
          <w:szCs w:val="18"/>
        </w:rPr>
        <w:t>άλιν</w:t>
      </w:r>
      <w:proofErr w:type="spellEnd"/>
      <w:r w:rsidRPr="00A970E2">
        <w:rPr>
          <w:rFonts w:ascii="Palatino Linotype" w:hAnsi="Palatino Linotype"/>
          <w:sz w:val="18"/>
          <w:szCs w:val="18"/>
        </w:rPr>
        <w:t xml:space="preserve">    </w:t>
      </w:r>
    </w:p>
    <w:p w:rsidR="00A970E2" w:rsidRPr="00A970E2" w:rsidRDefault="00A970E2" w:rsidP="00A970E2">
      <w:pPr>
        <w:pStyle w:val="Nessunaspaziatura"/>
        <w:jc w:val="both"/>
        <w:rPr>
          <w:rFonts w:ascii="Palatino Linotype" w:hAnsi="Palatino Linotype"/>
          <w:sz w:val="18"/>
          <w:szCs w:val="18"/>
        </w:rPr>
      </w:pPr>
      <w:proofErr w:type="spellStart"/>
      <w:r w:rsidRPr="00A970E2">
        <w:rPr>
          <w:rFonts w:ascii="Palatino Linotype" w:hAnsi="Palatino Linotype"/>
          <w:sz w:val="18"/>
          <w:szCs w:val="18"/>
        </w:rPr>
        <w:t>ὅλη</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σε</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τιμᾷ</w:t>
      </w:r>
      <w:proofErr w:type="spellEnd"/>
      <w:r w:rsidRPr="00A970E2">
        <w:rPr>
          <w:rFonts w:ascii="Palatino Linotype" w:hAnsi="Palatino Linotype"/>
          <w:sz w:val="18"/>
          <w:szCs w:val="18"/>
        </w:rPr>
        <w:t xml:space="preserve"> καὶ κα</w:t>
      </w:r>
      <w:proofErr w:type="spellStart"/>
      <w:r w:rsidRPr="00A970E2">
        <w:rPr>
          <w:rFonts w:ascii="Palatino Linotype" w:hAnsi="Palatino Linotype"/>
          <w:sz w:val="18"/>
          <w:szCs w:val="18"/>
        </w:rPr>
        <w:t>λεῖ</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θεηδόχον</w:t>
      </w:r>
      <w:proofErr w:type="spellEnd"/>
      <w:r w:rsidRPr="00A970E2">
        <w:rPr>
          <w:rFonts w:ascii="Palatino Linotype" w:hAnsi="Palatino Linotype"/>
          <w:sz w:val="18"/>
          <w:szCs w:val="18"/>
        </w:rPr>
        <w:t>·</w:t>
      </w:r>
    </w:p>
    <w:p w:rsidR="00A970E2" w:rsidRPr="00A970E2" w:rsidRDefault="00A970E2" w:rsidP="00A970E2">
      <w:pPr>
        <w:pStyle w:val="Nessunaspaziatura"/>
        <w:jc w:val="both"/>
        <w:rPr>
          <w:rFonts w:ascii="Palatino Linotype" w:hAnsi="Palatino Linotype"/>
          <w:sz w:val="18"/>
          <w:szCs w:val="18"/>
        </w:rPr>
      </w:pPr>
      <w:proofErr w:type="spellStart"/>
      <w:r w:rsidRPr="00A970E2">
        <w:rPr>
          <w:rFonts w:ascii="Palatino Linotype" w:hAnsi="Palatino Linotype"/>
          <w:sz w:val="18"/>
          <w:szCs w:val="18"/>
        </w:rPr>
        <w:t>ἐκ</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Περσίδος</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γὰρ</w:t>
      </w:r>
      <w:proofErr w:type="spellEnd"/>
      <w:r w:rsidRPr="00A970E2">
        <w:rPr>
          <w:rFonts w:ascii="Palatino Linotype" w:hAnsi="Palatino Linotype"/>
          <w:sz w:val="18"/>
          <w:szCs w:val="18"/>
        </w:rPr>
        <w:t xml:space="preserve"> ὁ βα</w:t>
      </w:r>
      <w:proofErr w:type="spellStart"/>
      <w:r w:rsidRPr="00A970E2">
        <w:rPr>
          <w:rFonts w:ascii="Palatino Linotype" w:hAnsi="Palatino Linotype"/>
          <w:sz w:val="18"/>
          <w:szCs w:val="18"/>
        </w:rPr>
        <w:t>σιλεὺς</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ἀφιγμένος</w:t>
      </w:r>
      <w:proofErr w:type="spellEnd"/>
    </w:p>
    <w:p w:rsidR="00A970E2" w:rsidRPr="00A970E2" w:rsidRDefault="00A970E2" w:rsidP="00A970E2">
      <w:pPr>
        <w:pStyle w:val="Nessunaspaziatura"/>
        <w:jc w:val="both"/>
        <w:rPr>
          <w:rFonts w:ascii="Palatino Linotype" w:hAnsi="Palatino Linotype"/>
          <w:sz w:val="18"/>
          <w:szCs w:val="18"/>
        </w:rPr>
      </w:pPr>
      <w:proofErr w:type="spellStart"/>
      <w:r w:rsidRPr="00A970E2">
        <w:rPr>
          <w:rFonts w:ascii="Palatino Linotype" w:hAnsi="Palatino Linotype"/>
          <w:sz w:val="18"/>
          <w:szCs w:val="18"/>
        </w:rPr>
        <w:t>τὸν</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στ</w:t>
      </w:r>
      <w:proofErr w:type="spellEnd"/>
      <w:r w:rsidRPr="00A970E2">
        <w:rPr>
          <w:rFonts w:ascii="Palatino Linotype" w:hAnsi="Palatino Linotype"/>
          <w:sz w:val="18"/>
          <w:szCs w:val="18"/>
        </w:rPr>
        <w:t>α</w:t>
      </w:r>
      <w:proofErr w:type="spellStart"/>
      <w:r w:rsidRPr="00A970E2">
        <w:rPr>
          <w:rFonts w:ascii="Palatino Linotype" w:hAnsi="Palatino Linotype"/>
          <w:sz w:val="18"/>
          <w:szCs w:val="18"/>
        </w:rPr>
        <w:t>υρὸν</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ἐν</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σοὶ</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δεικνύει</w:t>
      </w:r>
      <w:proofErr w:type="spellEnd"/>
      <w:r w:rsidRPr="00A970E2">
        <w:rPr>
          <w:rFonts w:ascii="Palatino Linotype" w:hAnsi="Palatino Linotype"/>
          <w:sz w:val="18"/>
          <w:szCs w:val="18"/>
        </w:rPr>
        <w:t xml:space="preserve"> πεπ</w:t>
      </w:r>
      <w:proofErr w:type="spellStart"/>
      <w:r w:rsidRPr="00A970E2">
        <w:rPr>
          <w:rFonts w:ascii="Palatino Linotype" w:hAnsi="Palatino Linotype"/>
          <w:sz w:val="18"/>
          <w:szCs w:val="18"/>
        </w:rPr>
        <w:t>ηγμένον</w:t>
      </w:r>
      <w:proofErr w:type="spellEnd"/>
      <w:r w:rsidRPr="00A970E2">
        <w:rPr>
          <w:rFonts w:ascii="Palatino Linotype" w:hAnsi="Palatino Linotype"/>
          <w:sz w:val="18"/>
          <w:szCs w:val="18"/>
        </w:rPr>
        <w:t xml:space="preserve">· </w:t>
      </w:r>
    </w:p>
    <w:p w:rsidR="00A970E2" w:rsidRPr="00A970E2" w:rsidRDefault="00A970E2" w:rsidP="00A970E2">
      <w:pPr>
        <w:pStyle w:val="Nessunaspaziatura"/>
        <w:jc w:val="both"/>
        <w:rPr>
          <w:rFonts w:ascii="Palatino Linotype" w:hAnsi="Palatino Linotype"/>
          <w:sz w:val="18"/>
          <w:szCs w:val="18"/>
        </w:rPr>
      </w:pPr>
      <w:proofErr w:type="spellStart"/>
      <w:r w:rsidRPr="00A970E2">
        <w:rPr>
          <w:rFonts w:ascii="Palatino Linotype" w:hAnsi="Palatino Linotype"/>
          <w:sz w:val="18"/>
          <w:szCs w:val="18"/>
        </w:rPr>
        <w:t>κρότησον</w:t>
      </w:r>
      <w:proofErr w:type="spellEnd"/>
      <w:r w:rsidRPr="00A970E2">
        <w:rPr>
          <w:rFonts w:ascii="Palatino Linotype" w:hAnsi="Palatino Linotype"/>
          <w:sz w:val="18"/>
          <w:szCs w:val="18"/>
        </w:rPr>
        <w:t xml:space="preserve"> α</w:t>
      </w:r>
      <w:proofErr w:type="spellStart"/>
      <w:r w:rsidRPr="00A970E2">
        <w:rPr>
          <w:rFonts w:ascii="Palatino Linotype" w:hAnsi="Palatino Linotype"/>
          <w:sz w:val="18"/>
          <w:szCs w:val="18"/>
        </w:rPr>
        <w:t>ὐτὸν</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τοῖς</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ἀοιδίμοις</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λόγοις</w:t>
      </w:r>
      <w:proofErr w:type="spellEnd"/>
    </w:p>
    <w:p w:rsidR="00592E9D" w:rsidRPr="00592E9D" w:rsidRDefault="00592E9D" w:rsidP="00592E9D">
      <w:pPr>
        <w:pStyle w:val="Nessunaspaziatura"/>
        <w:jc w:val="both"/>
        <w:rPr>
          <w:rFonts w:ascii="Palatino Linotype" w:hAnsi="Palatino Linotype"/>
          <w:sz w:val="18"/>
          <w:szCs w:val="18"/>
        </w:rPr>
      </w:pPr>
    </w:p>
    <w:p w:rsidR="0007452E" w:rsidRDefault="007163A7" w:rsidP="00592E9D">
      <w:pPr>
        <w:pStyle w:val="Nessunaspaziatura"/>
        <w:jc w:val="both"/>
        <w:rPr>
          <w:rFonts w:ascii="Palatino Linotype" w:hAnsi="Palatino Linotype"/>
          <w:sz w:val="20"/>
          <w:szCs w:val="20"/>
          <w:lang w:val="it-IT"/>
        </w:rPr>
      </w:pPr>
      <w:r w:rsidRPr="00592E9D">
        <w:rPr>
          <w:rFonts w:ascii="Palatino Linotype" w:hAnsi="Palatino Linotype"/>
          <w:sz w:val="20"/>
          <w:szCs w:val="20"/>
        </w:rPr>
        <w:t>F</w:t>
      </w:r>
      <w:r w:rsidR="00473600" w:rsidRPr="00592E9D">
        <w:rPr>
          <w:rFonts w:ascii="Palatino Linotype" w:hAnsi="Palatino Linotype"/>
          <w:sz w:val="20"/>
          <w:szCs w:val="20"/>
        </w:rPr>
        <w:t>rom this p</w:t>
      </w:r>
      <w:r w:rsidR="00985A47">
        <w:rPr>
          <w:rFonts w:ascii="Palatino Linotype" w:hAnsi="Palatino Linotype"/>
          <w:sz w:val="20"/>
          <w:szCs w:val="20"/>
        </w:rPr>
        <w:t>oem</w:t>
      </w:r>
      <w:r w:rsidR="00D873AD">
        <w:rPr>
          <w:rFonts w:ascii="Palatino Linotype" w:hAnsi="Palatino Linotype"/>
          <w:sz w:val="20"/>
          <w:szCs w:val="20"/>
        </w:rPr>
        <w:t>,</w:t>
      </w:r>
      <w:r w:rsidR="00473600" w:rsidRPr="00592E9D">
        <w:rPr>
          <w:rFonts w:ascii="Palatino Linotype" w:hAnsi="Palatino Linotype"/>
          <w:sz w:val="20"/>
          <w:szCs w:val="20"/>
        </w:rPr>
        <w:t xml:space="preserve"> brilliantly studied by Agostino </w:t>
      </w:r>
      <w:proofErr w:type="spellStart"/>
      <w:r w:rsidR="00473600" w:rsidRPr="00592E9D">
        <w:rPr>
          <w:rFonts w:ascii="Palatino Linotype" w:hAnsi="Palatino Linotype"/>
          <w:sz w:val="20"/>
          <w:szCs w:val="20"/>
        </w:rPr>
        <w:t>Pertusi</w:t>
      </w:r>
      <w:proofErr w:type="spellEnd"/>
      <w:r w:rsidR="00473600" w:rsidRPr="00592E9D">
        <w:rPr>
          <w:rFonts w:ascii="Palatino Linotype" w:hAnsi="Palatino Linotype"/>
          <w:sz w:val="20"/>
          <w:szCs w:val="20"/>
        </w:rPr>
        <w:t xml:space="preserve"> in his edition of </w:t>
      </w:r>
      <w:proofErr w:type="spellStart"/>
      <w:r w:rsidR="000F6DDD">
        <w:rPr>
          <w:rFonts w:ascii="Palatino Linotype" w:hAnsi="Palatino Linotype"/>
          <w:i/>
          <w:sz w:val="20"/>
          <w:szCs w:val="20"/>
        </w:rPr>
        <w:t>Panegirici</w:t>
      </w:r>
      <w:proofErr w:type="spellEnd"/>
      <w:r w:rsidR="000F6DDD">
        <w:rPr>
          <w:rFonts w:ascii="Palatino Linotype" w:hAnsi="Palatino Linotype"/>
          <w:i/>
          <w:sz w:val="20"/>
          <w:szCs w:val="20"/>
        </w:rPr>
        <w:t xml:space="preserve"> </w:t>
      </w:r>
      <w:proofErr w:type="spellStart"/>
      <w:r w:rsidR="000F6DDD">
        <w:rPr>
          <w:rFonts w:ascii="Palatino Linotype" w:hAnsi="Palatino Linotype"/>
          <w:i/>
          <w:sz w:val="20"/>
          <w:szCs w:val="20"/>
        </w:rPr>
        <w:t>epici</w:t>
      </w:r>
      <w:proofErr w:type="spellEnd"/>
      <w:r w:rsidR="00473600" w:rsidRPr="00592E9D">
        <w:rPr>
          <w:rFonts w:ascii="Palatino Linotype" w:hAnsi="Palatino Linotype"/>
          <w:sz w:val="20"/>
          <w:szCs w:val="20"/>
        </w:rPr>
        <w:t xml:space="preserve"> by George of Pisidia, I would like to highlight a small issue of style, which to me does not seem irrelevant in the definition of the geography of the holy places in Jerusalem</w:t>
      </w:r>
      <w:r w:rsidR="00985A47">
        <w:rPr>
          <w:rFonts w:ascii="Palatino Linotype" w:hAnsi="Palatino Linotype"/>
          <w:sz w:val="20"/>
          <w:szCs w:val="20"/>
        </w:rPr>
        <w:t xml:space="preserve"> in the VII century CE.</w:t>
      </w:r>
      <w:r w:rsidR="00473600" w:rsidRPr="00592E9D">
        <w:rPr>
          <w:rFonts w:ascii="Palatino Linotype" w:hAnsi="Palatino Linotype"/>
          <w:sz w:val="20"/>
          <w:szCs w:val="20"/>
        </w:rPr>
        <w:t xml:space="preserve"> The learned Byzantine poet, in fact, calls Golgotha </w:t>
      </w:r>
      <w:proofErr w:type="spellStart"/>
      <w:r w:rsidR="00473600" w:rsidRPr="00592E9D">
        <w:rPr>
          <w:rFonts w:ascii="Palatino Linotype" w:hAnsi="Palatino Linotype"/>
          <w:sz w:val="20"/>
          <w:szCs w:val="20"/>
        </w:rPr>
        <w:t>θεηδόχον</w:t>
      </w:r>
      <w:proofErr w:type="spellEnd"/>
      <w:r w:rsidR="00473600" w:rsidRPr="00592E9D">
        <w:rPr>
          <w:rFonts w:ascii="Palatino Linotype" w:hAnsi="Palatino Linotype"/>
          <w:sz w:val="20"/>
          <w:szCs w:val="20"/>
        </w:rPr>
        <w:t xml:space="preserve">, 'receiver of divinity', with the use of an adjective that </w:t>
      </w:r>
      <w:r w:rsidR="00D873AD">
        <w:rPr>
          <w:rFonts w:ascii="Palatino Linotype" w:hAnsi="Palatino Linotype"/>
          <w:sz w:val="20"/>
          <w:szCs w:val="20"/>
        </w:rPr>
        <w:t>i</w:t>
      </w:r>
      <w:r w:rsidR="00D873AD" w:rsidRPr="00D873AD">
        <w:rPr>
          <w:rFonts w:ascii="Palatino Linotype" w:hAnsi="Palatino Linotype"/>
          <w:sz w:val="20"/>
          <w:szCs w:val="20"/>
        </w:rPr>
        <w:t xml:space="preserve">n this </w:t>
      </w:r>
      <w:r w:rsidR="000A0C9B">
        <w:rPr>
          <w:rFonts w:ascii="Palatino Linotype" w:hAnsi="Palatino Linotype"/>
          <w:sz w:val="20"/>
          <w:szCs w:val="20"/>
        </w:rPr>
        <w:t>form</w:t>
      </w:r>
      <w:r w:rsidR="00D873AD">
        <w:rPr>
          <w:rFonts w:ascii="Palatino Linotype" w:hAnsi="Palatino Linotype"/>
          <w:sz w:val="20"/>
          <w:szCs w:val="20"/>
        </w:rPr>
        <w:t xml:space="preserve"> </w:t>
      </w:r>
      <w:r w:rsidR="009B767C">
        <w:rPr>
          <w:rFonts w:ascii="Palatino Linotype" w:hAnsi="Palatino Linotype"/>
          <w:sz w:val="20"/>
          <w:szCs w:val="20"/>
        </w:rPr>
        <w:t xml:space="preserve">probably </w:t>
      </w:r>
      <w:r w:rsidR="00473600" w:rsidRPr="00592E9D">
        <w:rPr>
          <w:rFonts w:ascii="Palatino Linotype" w:hAnsi="Palatino Linotype"/>
          <w:sz w:val="20"/>
          <w:szCs w:val="20"/>
        </w:rPr>
        <w:t xml:space="preserve">constitutes a </w:t>
      </w:r>
      <w:r w:rsidR="00983F5E">
        <w:rPr>
          <w:rFonts w:ascii="Palatino Linotype" w:hAnsi="Palatino Linotype"/>
          <w:i/>
          <w:sz w:val="20"/>
          <w:szCs w:val="20"/>
        </w:rPr>
        <w:t>dis legomenon</w:t>
      </w:r>
      <w:r w:rsidR="00473600" w:rsidRPr="00592E9D">
        <w:rPr>
          <w:rFonts w:ascii="Palatino Linotype" w:hAnsi="Palatino Linotype"/>
          <w:sz w:val="20"/>
          <w:szCs w:val="20"/>
        </w:rPr>
        <w:t xml:space="preserve"> in the author's production, but also a rarity in all of Greek and Byzantine literature (13x)</w:t>
      </w:r>
      <w:r w:rsidR="00592E9D">
        <w:rPr>
          <w:rFonts w:ascii="Palatino Linotype" w:hAnsi="Palatino Linotype"/>
          <w:sz w:val="20"/>
          <w:szCs w:val="20"/>
        </w:rPr>
        <w:t xml:space="preserve">, as an </w:t>
      </w:r>
      <w:r w:rsidR="00592E9D">
        <w:rPr>
          <w:rFonts w:ascii="Palatino Linotype" w:hAnsi="Palatino Linotype"/>
          <w:sz w:val="20"/>
          <w:szCs w:val="20"/>
        </w:rPr>
        <w:lastRenderedPageBreak/>
        <w:t xml:space="preserve">alternative to the more common </w:t>
      </w:r>
      <w:proofErr w:type="spellStart"/>
      <w:r w:rsidR="00592E9D">
        <w:rPr>
          <w:rFonts w:ascii="Palatino Linotype" w:hAnsi="Palatino Linotype"/>
          <w:sz w:val="20"/>
          <w:szCs w:val="20"/>
          <w:lang w:val="el-GR"/>
        </w:rPr>
        <w:t>θεοδόχος</w:t>
      </w:r>
      <w:proofErr w:type="spellEnd"/>
      <w:r w:rsidR="00592E9D">
        <w:rPr>
          <w:rFonts w:ascii="Palatino Linotype" w:hAnsi="Palatino Linotype"/>
          <w:sz w:val="20"/>
          <w:szCs w:val="20"/>
        </w:rPr>
        <w:t xml:space="preserve"> (17</w:t>
      </w:r>
      <w:r w:rsidR="00E47113" w:rsidRPr="00E47113">
        <w:rPr>
          <w:rFonts w:ascii="Palatino Linotype" w:hAnsi="Palatino Linotype"/>
          <w:sz w:val="20"/>
          <w:szCs w:val="20"/>
        </w:rPr>
        <w:t>0</w:t>
      </w:r>
      <w:r w:rsidR="00BE6A71">
        <w:rPr>
          <w:rFonts w:ascii="Palatino Linotype" w:hAnsi="Palatino Linotype"/>
          <w:sz w:val="20"/>
          <w:szCs w:val="20"/>
        </w:rPr>
        <w:t>x</w:t>
      </w:r>
      <w:r w:rsidR="00E47113" w:rsidRPr="00E47113">
        <w:rPr>
          <w:rFonts w:ascii="Palatino Linotype" w:hAnsi="Palatino Linotype"/>
          <w:sz w:val="20"/>
          <w:szCs w:val="20"/>
        </w:rPr>
        <w:t xml:space="preserve"> </w:t>
      </w:r>
      <w:r w:rsidR="00E47113">
        <w:rPr>
          <w:rFonts w:ascii="Palatino Linotype" w:hAnsi="Palatino Linotype"/>
          <w:sz w:val="20"/>
          <w:szCs w:val="20"/>
        </w:rPr>
        <w:t>approximately</w:t>
      </w:r>
      <w:r w:rsidR="00592E9D">
        <w:rPr>
          <w:rFonts w:ascii="Palatino Linotype" w:hAnsi="Palatino Linotype"/>
          <w:sz w:val="20"/>
          <w:szCs w:val="20"/>
        </w:rPr>
        <w:t>).</w:t>
      </w:r>
      <w:r w:rsidR="00BE6A71">
        <w:rPr>
          <w:rStyle w:val="Rimandonotaapidipagina"/>
          <w:rFonts w:ascii="Palatino Linotype" w:hAnsi="Palatino Linotype"/>
          <w:sz w:val="20"/>
          <w:szCs w:val="20"/>
        </w:rPr>
        <w:footnoteReference w:id="12"/>
      </w:r>
      <w:r w:rsidR="00D873AD">
        <w:rPr>
          <w:rFonts w:ascii="Palatino Linotype" w:hAnsi="Palatino Linotype"/>
          <w:sz w:val="20"/>
          <w:szCs w:val="20"/>
        </w:rPr>
        <w:t xml:space="preserve"> </w:t>
      </w:r>
      <w:r w:rsidR="00983F5E">
        <w:rPr>
          <w:rFonts w:ascii="Palatino Linotype" w:hAnsi="Palatino Linotype"/>
          <w:sz w:val="20"/>
          <w:szCs w:val="20"/>
        </w:rPr>
        <w:t xml:space="preserve">In fact, </w:t>
      </w:r>
      <w:r w:rsidR="00D873AD">
        <w:rPr>
          <w:rFonts w:ascii="Palatino Linotype" w:hAnsi="Palatino Linotype"/>
          <w:sz w:val="20"/>
          <w:szCs w:val="20"/>
        </w:rPr>
        <w:t xml:space="preserve">George of Pisidia uses </w:t>
      </w:r>
      <w:r w:rsidR="00983F5E">
        <w:rPr>
          <w:rFonts w:ascii="Palatino Linotype" w:hAnsi="Palatino Linotype"/>
          <w:sz w:val="20"/>
          <w:szCs w:val="20"/>
        </w:rPr>
        <w:t>it</w:t>
      </w:r>
      <w:r w:rsidR="00D873AD" w:rsidRPr="00EE021B">
        <w:rPr>
          <w:rFonts w:ascii="Palatino Linotype" w:hAnsi="Palatino Linotype"/>
          <w:sz w:val="20"/>
          <w:szCs w:val="20"/>
        </w:rPr>
        <w:t xml:space="preserve"> </w:t>
      </w:r>
      <w:r w:rsidR="00983F5E">
        <w:rPr>
          <w:rFonts w:ascii="Palatino Linotype" w:hAnsi="Palatino Linotype"/>
          <w:sz w:val="20"/>
          <w:szCs w:val="20"/>
        </w:rPr>
        <w:t>also</w:t>
      </w:r>
      <w:r w:rsidR="00EE021B" w:rsidRPr="00EE021B">
        <w:rPr>
          <w:rFonts w:ascii="Palatino Linotype" w:hAnsi="Palatino Linotype"/>
          <w:sz w:val="20"/>
          <w:szCs w:val="20"/>
        </w:rPr>
        <w:t xml:space="preserve"> </w:t>
      </w:r>
      <w:r w:rsidR="009B767C">
        <w:rPr>
          <w:rFonts w:ascii="Palatino Linotype" w:hAnsi="Palatino Linotype"/>
          <w:sz w:val="20"/>
          <w:szCs w:val="20"/>
        </w:rPr>
        <w:t>i</w:t>
      </w:r>
      <w:r w:rsidR="00EE021B" w:rsidRPr="00EE021B">
        <w:rPr>
          <w:rFonts w:ascii="Palatino Linotype" w:hAnsi="Palatino Linotype"/>
          <w:sz w:val="20"/>
          <w:szCs w:val="20"/>
        </w:rPr>
        <w:t xml:space="preserve">n </w:t>
      </w:r>
      <w:proofErr w:type="spellStart"/>
      <w:r w:rsidR="00EE021B" w:rsidRPr="00EE021B">
        <w:rPr>
          <w:rFonts w:ascii="Palatino Linotype" w:hAnsi="Palatino Linotype"/>
          <w:i/>
          <w:iCs/>
          <w:sz w:val="20"/>
          <w:szCs w:val="20"/>
        </w:rPr>
        <w:t>Hexaemeron</w:t>
      </w:r>
      <w:proofErr w:type="spellEnd"/>
      <w:r w:rsidR="00EE021B">
        <w:rPr>
          <w:rFonts w:ascii="Palatino Linotype" w:hAnsi="Palatino Linotype"/>
          <w:sz w:val="20"/>
          <w:szCs w:val="20"/>
        </w:rPr>
        <w:t xml:space="preserve"> </w:t>
      </w:r>
      <w:r w:rsidR="00727AFB">
        <w:rPr>
          <w:rFonts w:ascii="Palatino Linotype" w:hAnsi="Palatino Linotype"/>
          <w:sz w:val="20"/>
          <w:szCs w:val="20"/>
        </w:rPr>
        <w:t xml:space="preserve">(l. </w:t>
      </w:r>
      <w:r w:rsidR="00EE021B">
        <w:rPr>
          <w:rFonts w:ascii="Palatino Linotype" w:hAnsi="Palatino Linotype"/>
          <w:sz w:val="20"/>
          <w:szCs w:val="20"/>
        </w:rPr>
        <w:t>1755</w:t>
      </w:r>
      <w:r w:rsidR="00727AFB">
        <w:rPr>
          <w:rFonts w:ascii="Palatino Linotype" w:hAnsi="Palatino Linotype"/>
          <w:sz w:val="20"/>
          <w:szCs w:val="20"/>
        </w:rPr>
        <w:t>)</w:t>
      </w:r>
      <w:r w:rsidR="00AC63A0">
        <w:rPr>
          <w:rFonts w:ascii="Palatino Linotype" w:hAnsi="Palatino Linotype"/>
          <w:sz w:val="20"/>
          <w:szCs w:val="20"/>
        </w:rPr>
        <w:t>.</w:t>
      </w:r>
      <w:r w:rsidR="00985A47">
        <w:rPr>
          <w:rStyle w:val="Rimandonotaapidipagina"/>
          <w:rFonts w:ascii="Palatino Linotype" w:hAnsi="Palatino Linotype"/>
          <w:sz w:val="20"/>
          <w:szCs w:val="20"/>
        </w:rPr>
        <w:footnoteReference w:id="13"/>
      </w:r>
    </w:p>
    <w:p w:rsidR="0040696C" w:rsidRDefault="0007452E" w:rsidP="00592E9D">
      <w:pPr>
        <w:pStyle w:val="Nessunaspaziatura"/>
        <w:jc w:val="both"/>
        <w:rPr>
          <w:rFonts w:ascii="Palatino Linotype" w:hAnsi="Palatino Linotype"/>
          <w:color w:val="0070C0"/>
          <w:sz w:val="20"/>
          <w:szCs w:val="20"/>
          <w:lang w:val="it-IT"/>
        </w:rPr>
      </w:pPr>
      <w:r w:rsidRPr="00246605">
        <w:rPr>
          <w:rFonts w:ascii="Palatino Linotype" w:hAnsi="Palatino Linotype"/>
          <w:color w:val="0070C0"/>
          <w:sz w:val="20"/>
          <w:szCs w:val="20"/>
          <w:lang w:val="it-IT"/>
        </w:rPr>
        <w:t xml:space="preserve">Il conio dell’aggettivo, evidentemente ispirato al più antico </w:t>
      </w:r>
      <w:proofErr w:type="spellStart"/>
      <w:r w:rsidRPr="00246605">
        <w:rPr>
          <w:rFonts w:ascii="Palatino Linotype" w:hAnsi="Palatino Linotype"/>
          <w:color w:val="0070C0"/>
          <w:sz w:val="20"/>
          <w:szCs w:val="20"/>
          <w:lang w:val="el-GR"/>
        </w:rPr>
        <w:t>θεοτόκος</w:t>
      </w:r>
      <w:proofErr w:type="spellEnd"/>
      <w:r w:rsidRPr="00246605">
        <w:rPr>
          <w:rFonts w:ascii="Palatino Linotype" w:hAnsi="Palatino Linotype"/>
          <w:color w:val="0070C0"/>
          <w:sz w:val="20"/>
          <w:szCs w:val="20"/>
          <w:lang w:val="it-IT"/>
        </w:rPr>
        <w:t xml:space="preserve">, qualifica attribuita alla Vergine Maria dal </w:t>
      </w:r>
      <w:r w:rsidRPr="00684C17">
        <w:rPr>
          <w:rFonts w:ascii="Palatino Linotype" w:hAnsi="Palatino Linotype"/>
          <w:color w:val="0070C0"/>
          <w:sz w:val="20"/>
          <w:szCs w:val="20"/>
          <w:lang w:val="it-IT"/>
        </w:rPr>
        <w:t>Concilio di Efeso del 431, sembra risalire ai padri del IV sec.:</w:t>
      </w:r>
      <w:r w:rsidR="006E615A" w:rsidRPr="00684C17">
        <w:rPr>
          <w:rFonts w:ascii="Palatino Linotype" w:hAnsi="Palatino Linotype"/>
          <w:color w:val="0070C0"/>
          <w:sz w:val="20"/>
          <w:szCs w:val="20"/>
          <w:lang w:val="it-IT"/>
        </w:rPr>
        <w:t xml:space="preserve"> in particolare a </w:t>
      </w:r>
      <w:r w:rsidRPr="00684C17">
        <w:rPr>
          <w:rFonts w:ascii="Palatino Linotype" w:hAnsi="Palatino Linotype"/>
          <w:color w:val="0070C0"/>
          <w:sz w:val="20"/>
          <w:szCs w:val="20"/>
          <w:lang w:val="it-IT"/>
        </w:rPr>
        <w:t xml:space="preserve">Gregorio di </w:t>
      </w:r>
      <w:proofErr w:type="spellStart"/>
      <w:r w:rsidRPr="00684C17">
        <w:rPr>
          <w:rFonts w:ascii="Palatino Linotype" w:hAnsi="Palatino Linotype"/>
          <w:color w:val="0070C0"/>
          <w:sz w:val="20"/>
          <w:szCs w:val="20"/>
          <w:lang w:val="it-IT"/>
        </w:rPr>
        <w:t>Nissa</w:t>
      </w:r>
      <w:proofErr w:type="spellEnd"/>
      <w:r w:rsidRPr="00684C17">
        <w:rPr>
          <w:rFonts w:ascii="Palatino Linotype" w:hAnsi="Palatino Linotype"/>
          <w:color w:val="0070C0"/>
          <w:sz w:val="20"/>
          <w:szCs w:val="20"/>
          <w:lang w:val="it-IT"/>
        </w:rPr>
        <w:t xml:space="preserve"> (7x)</w:t>
      </w:r>
      <w:r w:rsidR="00556BBC" w:rsidRPr="00684C17">
        <w:rPr>
          <w:rFonts w:ascii="Palatino Linotype" w:hAnsi="Palatino Linotype"/>
          <w:color w:val="0070C0"/>
          <w:sz w:val="20"/>
          <w:szCs w:val="20"/>
          <w:lang w:val="it-IT"/>
        </w:rPr>
        <w:t>.</w:t>
      </w:r>
      <w:r w:rsidR="00727AFB" w:rsidRPr="00684C17">
        <w:rPr>
          <w:rStyle w:val="Rimandonotaapidipagina"/>
          <w:rFonts w:ascii="Palatino Linotype" w:hAnsi="Palatino Linotype"/>
          <w:color w:val="0070C0"/>
          <w:sz w:val="20"/>
          <w:szCs w:val="20"/>
          <w:lang w:val="it-IT"/>
        </w:rPr>
        <w:footnoteReference w:id="14"/>
      </w:r>
      <w:r w:rsidR="00727AFB" w:rsidRPr="00684C17">
        <w:rPr>
          <w:rFonts w:ascii="Palatino Linotype" w:hAnsi="Palatino Linotype"/>
          <w:color w:val="0070C0"/>
          <w:sz w:val="20"/>
          <w:szCs w:val="20"/>
          <w:lang w:val="it-IT"/>
        </w:rPr>
        <w:t xml:space="preserve"> </w:t>
      </w:r>
      <w:r w:rsidR="00263B1A" w:rsidRPr="00684C17">
        <w:rPr>
          <w:rFonts w:ascii="Palatino Linotype" w:hAnsi="Palatino Linotype"/>
          <w:color w:val="0070C0"/>
          <w:sz w:val="20"/>
          <w:szCs w:val="20"/>
          <w:lang w:val="it-IT"/>
        </w:rPr>
        <w:t>La letteratura religiosa di IV e V sec. ne avrebbe perpetuato l’uso, soprattutto in riferimento alla Vergine Maria</w:t>
      </w:r>
      <w:r w:rsidR="006E615A" w:rsidRPr="00684C17">
        <w:rPr>
          <w:rFonts w:ascii="Palatino Linotype" w:hAnsi="Palatino Linotype"/>
          <w:color w:val="0070C0"/>
          <w:sz w:val="20"/>
          <w:szCs w:val="20"/>
          <w:lang w:val="it-IT"/>
        </w:rPr>
        <w:t>,</w:t>
      </w:r>
      <w:r w:rsidR="00263B1A" w:rsidRPr="00684C17">
        <w:rPr>
          <w:rFonts w:ascii="Palatino Linotype" w:hAnsi="Palatino Linotype"/>
          <w:color w:val="0070C0"/>
          <w:sz w:val="20"/>
          <w:szCs w:val="20"/>
          <w:lang w:val="it-IT"/>
        </w:rPr>
        <w:t xml:space="preserve"> ricettrice di Dio, come </w:t>
      </w:r>
      <w:r w:rsidR="00665647" w:rsidRPr="00684C17">
        <w:rPr>
          <w:rFonts w:ascii="Palatino Linotype" w:hAnsi="Palatino Linotype"/>
          <w:color w:val="0070C0"/>
          <w:sz w:val="20"/>
          <w:szCs w:val="20"/>
          <w:lang w:val="it-IT"/>
        </w:rPr>
        <w:t xml:space="preserve">dibattuta </w:t>
      </w:r>
      <w:r w:rsidR="00263B1A" w:rsidRPr="00684C17">
        <w:rPr>
          <w:rFonts w:ascii="Palatino Linotype" w:hAnsi="Palatino Linotype"/>
          <w:color w:val="0070C0"/>
          <w:sz w:val="20"/>
          <w:szCs w:val="20"/>
          <w:lang w:val="it-IT"/>
        </w:rPr>
        <w:t xml:space="preserve">alternativa al </w:t>
      </w:r>
      <w:proofErr w:type="spellStart"/>
      <w:r w:rsidR="00263B1A" w:rsidRPr="00684C17">
        <w:rPr>
          <w:rFonts w:ascii="Palatino Linotype" w:hAnsi="Palatino Linotype"/>
          <w:color w:val="0070C0"/>
          <w:sz w:val="20"/>
          <w:szCs w:val="20"/>
          <w:lang w:val="el-GR"/>
        </w:rPr>
        <w:t>θεοτόκος</w:t>
      </w:r>
      <w:proofErr w:type="spellEnd"/>
      <w:r w:rsidR="00451DCD" w:rsidRPr="00684C17">
        <w:rPr>
          <w:rFonts w:ascii="Palatino Linotype" w:hAnsi="Palatino Linotype"/>
          <w:color w:val="0070C0"/>
          <w:sz w:val="20"/>
          <w:szCs w:val="20"/>
          <w:lang w:val="it-IT"/>
        </w:rPr>
        <w:t>, genitrice di Dio,</w:t>
      </w:r>
      <w:r w:rsidR="00263B1A" w:rsidRPr="00684C17">
        <w:rPr>
          <w:rFonts w:ascii="Palatino Linotype" w:hAnsi="Palatino Linotype"/>
          <w:color w:val="0070C0"/>
          <w:sz w:val="20"/>
          <w:szCs w:val="20"/>
          <w:lang w:val="it-IT"/>
        </w:rPr>
        <w:t xml:space="preserve"> </w:t>
      </w:r>
      <w:r w:rsidR="00C03C4E">
        <w:rPr>
          <w:rFonts w:ascii="Palatino Linotype" w:hAnsi="Palatino Linotype"/>
          <w:color w:val="0070C0"/>
          <w:sz w:val="20"/>
          <w:szCs w:val="20"/>
          <w:lang w:val="it-IT"/>
        </w:rPr>
        <w:t xml:space="preserve">la formula </w:t>
      </w:r>
      <w:proofErr w:type="spellStart"/>
      <w:r w:rsidR="00C03C4E">
        <w:rPr>
          <w:rFonts w:ascii="Palatino Linotype" w:hAnsi="Palatino Linotype"/>
          <w:color w:val="0070C0"/>
          <w:sz w:val="20"/>
          <w:szCs w:val="20"/>
          <w:lang w:val="it-IT"/>
        </w:rPr>
        <w:t>cirilliana</w:t>
      </w:r>
      <w:proofErr w:type="spellEnd"/>
      <w:r w:rsidR="00C03C4E">
        <w:rPr>
          <w:rFonts w:ascii="Palatino Linotype" w:hAnsi="Palatino Linotype"/>
          <w:color w:val="0070C0"/>
          <w:sz w:val="20"/>
          <w:szCs w:val="20"/>
          <w:lang w:val="it-IT"/>
        </w:rPr>
        <w:t xml:space="preserve"> </w:t>
      </w:r>
      <w:r w:rsidR="00263B1A" w:rsidRPr="00684C17">
        <w:rPr>
          <w:rFonts w:ascii="Palatino Linotype" w:hAnsi="Palatino Linotype"/>
          <w:color w:val="0070C0"/>
          <w:sz w:val="20"/>
          <w:szCs w:val="20"/>
          <w:lang w:val="it-IT"/>
        </w:rPr>
        <w:t>c</w:t>
      </w:r>
      <w:r w:rsidR="00263B1A" w:rsidRPr="00684C17">
        <w:rPr>
          <w:rFonts w:ascii="Palatino Linotype" w:hAnsi="Palatino Linotype"/>
          <w:color w:val="0070C0"/>
          <w:sz w:val="20"/>
          <w:szCs w:val="20"/>
          <w:lang w:val="el-GR"/>
        </w:rPr>
        <w:t>ο</w:t>
      </w:r>
      <w:proofErr w:type="spellStart"/>
      <w:r w:rsidR="00263B1A" w:rsidRPr="00684C17">
        <w:rPr>
          <w:rFonts w:ascii="Palatino Linotype" w:hAnsi="Palatino Linotype"/>
          <w:color w:val="0070C0"/>
          <w:sz w:val="20"/>
          <w:szCs w:val="20"/>
          <w:lang w:val="it-IT"/>
        </w:rPr>
        <w:t>nsacrat</w:t>
      </w:r>
      <w:r w:rsidR="00C03C4E">
        <w:rPr>
          <w:rFonts w:ascii="Palatino Linotype" w:hAnsi="Palatino Linotype"/>
          <w:color w:val="0070C0"/>
          <w:sz w:val="20"/>
          <w:szCs w:val="20"/>
          <w:lang w:val="it-IT"/>
        </w:rPr>
        <w:t>a</w:t>
      </w:r>
      <w:proofErr w:type="spellEnd"/>
      <w:r w:rsidR="00263B1A" w:rsidRPr="00684C17">
        <w:rPr>
          <w:rFonts w:ascii="Palatino Linotype" w:hAnsi="Palatino Linotype"/>
          <w:color w:val="0070C0"/>
          <w:sz w:val="20"/>
          <w:szCs w:val="20"/>
          <w:lang w:val="it-IT"/>
        </w:rPr>
        <w:t xml:space="preserve"> dal Concilio</w:t>
      </w:r>
      <w:r w:rsidR="006E615A" w:rsidRPr="00684C17">
        <w:rPr>
          <w:rFonts w:ascii="Palatino Linotype" w:hAnsi="Palatino Linotype"/>
          <w:color w:val="0070C0"/>
          <w:sz w:val="20"/>
          <w:szCs w:val="20"/>
          <w:lang w:val="it-IT"/>
        </w:rPr>
        <w:t xml:space="preserve"> efesino.</w:t>
      </w:r>
      <w:r w:rsidR="00213B3C">
        <w:rPr>
          <w:rStyle w:val="Rimandonotaapidipagina"/>
          <w:rFonts w:ascii="Palatino Linotype" w:hAnsi="Palatino Linotype"/>
          <w:color w:val="0070C0"/>
          <w:sz w:val="20"/>
          <w:szCs w:val="20"/>
          <w:lang w:val="it-IT"/>
        </w:rPr>
        <w:footnoteReference w:id="15"/>
      </w:r>
      <w:r w:rsidR="00152C54" w:rsidRPr="00684C17">
        <w:rPr>
          <w:rFonts w:ascii="Palatino Linotype" w:hAnsi="Palatino Linotype"/>
          <w:color w:val="0070C0"/>
          <w:sz w:val="20"/>
          <w:szCs w:val="20"/>
          <w:lang w:val="it-IT"/>
        </w:rPr>
        <w:t xml:space="preserve"> </w:t>
      </w:r>
      <w:r w:rsidR="00B02BDE" w:rsidRPr="00684C17">
        <w:rPr>
          <w:rFonts w:ascii="Palatino Linotype" w:hAnsi="Palatino Linotype"/>
          <w:color w:val="0070C0"/>
          <w:sz w:val="20"/>
          <w:szCs w:val="20"/>
          <w:lang w:val="it-IT"/>
        </w:rPr>
        <w:t xml:space="preserve">Il sermone </w:t>
      </w:r>
      <w:r w:rsidR="00B02BDE" w:rsidRPr="00684C17">
        <w:rPr>
          <w:rFonts w:ascii="Palatino Linotype" w:hAnsi="Palatino Linotype"/>
          <w:i/>
          <w:iCs/>
          <w:color w:val="0070C0"/>
          <w:sz w:val="20"/>
          <w:szCs w:val="20"/>
          <w:lang w:val="it-IT"/>
        </w:rPr>
        <w:t xml:space="preserve">In </w:t>
      </w:r>
      <w:proofErr w:type="spellStart"/>
      <w:r w:rsidR="00B02BDE" w:rsidRPr="00684C17">
        <w:rPr>
          <w:rFonts w:ascii="Palatino Linotype" w:hAnsi="Palatino Linotype"/>
          <w:i/>
          <w:iCs/>
          <w:color w:val="0070C0"/>
          <w:sz w:val="20"/>
          <w:szCs w:val="20"/>
          <w:lang w:val="it-IT"/>
        </w:rPr>
        <w:t>nativitatem</w:t>
      </w:r>
      <w:proofErr w:type="spellEnd"/>
      <w:r w:rsidR="00B02BDE" w:rsidRPr="00684C17">
        <w:rPr>
          <w:rFonts w:ascii="Palatino Linotype" w:hAnsi="Palatino Linotype"/>
          <w:i/>
          <w:iCs/>
          <w:color w:val="0070C0"/>
          <w:sz w:val="20"/>
          <w:szCs w:val="20"/>
          <w:lang w:val="it-IT"/>
        </w:rPr>
        <w:t xml:space="preserve"> </w:t>
      </w:r>
      <w:proofErr w:type="spellStart"/>
      <w:r w:rsidR="00B02BDE" w:rsidRPr="00684C17">
        <w:rPr>
          <w:rFonts w:ascii="Palatino Linotype" w:hAnsi="Palatino Linotype"/>
          <w:i/>
          <w:iCs/>
          <w:color w:val="0070C0"/>
          <w:sz w:val="20"/>
          <w:szCs w:val="20"/>
          <w:lang w:val="it-IT"/>
        </w:rPr>
        <w:t>Christi</w:t>
      </w:r>
      <w:proofErr w:type="spellEnd"/>
      <w:r w:rsidR="00B02BDE" w:rsidRPr="00684C17">
        <w:rPr>
          <w:rFonts w:ascii="Palatino Linotype" w:hAnsi="Palatino Linotype"/>
          <w:color w:val="0070C0"/>
          <w:sz w:val="20"/>
          <w:szCs w:val="20"/>
          <w:lang w:val="it-IT"/>
        </w:rPr>
        <w:t xml:space="preserve"> dello pseudo-Atanasio (</w:t>
      </w:r>
      <w:r w:rsidR="00B02BDE" w:rsidRPr="00684C17">
        <w:rPr>
          <w:rFonts w:ascii="Palatino Linotype" w:hAnsi="Palatino Linotype"/>
          <w:i/>
          <w:iCs/>
          <w:color w:val="0070C0"/>
          <w:sz w:val="20"/>
          <w:szCs w:val="20"/>
          <w:lang w:val="it-IT"/>
        </w:rPr>
        <w:t>PG</w:t>
      </w:r>
      <w:r w:rsidR="00B02BDE" w:rsidRPr="00684C17">
        <w:rPr>
          <w:rFonts w:ascii="Palatino Linotype" w:hAnsi="Palatino Linotype"/>
          <w:color w:val="0070C0"/>
          <w:sz w:val="20"/>
          <w:szCs w:val="20"/>
          <w:lang w:val="it-IT"/>
        </w:rPr>
        <w:t xml:space="preserve"> 28.960-972)</w:t>
      </w:r>
      <w:r w:rsidR="00B02BDE" w:rsidRPr="00684C17">
        <w:rPr>
          <w:rStyle w:val="Rimandonotaapidipagina"/>
          <w:rFonts w:ascii="Palatino Linotype" w:hAnsi="Palatino Linotype"/>
          <w:color w:val="0070C0"/>
          <w:sz w:val="20"/>
          <w:szCs w:val="20"/>
          <w:lang w:val="it-IT"/>
        </w:rPr>
        <w:footnoteReference w:id="16"/>
      </w:r>
      <w:r w:rsidR="00B02BDE" w:rsidRPr="00684C17">
        <w:rPr>
          <w:rFonts w:ascii="Palatino Linotype" w:hAnsi="Palatino Linotype"/>
          <w:color w:val="0070C0"/>
          <w:sz w:val="20"/>
          <w:szCs w:val="20"/>
          <w:lang w:val="it-IT"/>
        </w:rPr>
        <w:t xml:space="preserve"> è particolarmente chiaro nella delimitazione semantica dei due concetti</w:t>
      </w:r>
      <w:r w:rsidR="00665647" w:rsidRPr="00684C17">
        <w:rPr>
          <w:rFonts w:ascii="Palatino Linotype" w:hAnsi="Palatino Linotype"/>
          <w:color w:val="0070C0"/>
          <w:sz w:val="20"/>
          <w:szCs w:val="20"/>
          <w:lang w:val="it-IT"/>
        </w:rPr>
        <w:t>.</w:t>
      </w:r>
      <w:r w:rsidR="00665647" w:rsidRPr="00684C17">
        <w:rPr>
          <w:rStyle w:val="Rimandonotaapidipagina"/>
          <w:rFonts w:ascii="Palatino Linotype" w:hAnsi="Palatino Linotype"/>
          <w:color w:val="0070C0"/>
          <w:sz w:val="20"/>
          <w:szCs w:val="20"/>
          <w:lang w:val="it-IT"/>
        </w:rPr>
        <w:footnoteReference w:id="17"/>
      </w:r>
      <w:r w:rsidR="000962B7" w:rsidRPr="00684C17">
        <w:rPr>
          <w:rFonts w:ascii="Palatino Linotype" w:hAnsi="Palatino Linotype"/>
          <w:color w:val="0070C0"/>
          <w:sz w:val="20"/>
          <w:szCs w:val="20"/>
          <w:lang w:val="it-IT"/>
        </w:rPr>
        <w:t xml:space="preserve"> </w:t>
      </w:r>
    </w:p>
    <w:p w:rsidR="00DE0173" w:rsidRPr="00684C17" w:rsidRDefault="00451DCD" w:rsidP="00592E9D">
      <w:pPr>
        <w:pStyle w:val="Nessunaspaziatura"/>
        <w:jc w:val="both"/>
        <w:rPr>
          <w:rFonts w:ascii="Palatino Linotype" w:hAnsi="Palatino Linotype"/>
          <w:color w:val="0070C0"/>
          <w:sz w:val="20"/>
          <w:szCs w:val="20"/>
          <w:lang w:val="it-IT"/>
        </w:rPr>
      </w:pPr>
      <w:r w:rsidRPr="00684C17">
        <w:rPr>
          <w:rFonts w:ascii="Palatino Linotype" w:hAnsi="Palatino Linotype"/>
          <w:color w:val="0070C0"/>
          <w:sz w:val="20"/>
          <w:szCs w:val="20"/>
          <w:lang w:val="it-IT"/>
        </w:rPr>
        <w:t xml:space="preserve">Com’è noto, la definizione del ruolo della Vergine infervorò molto la letteratura cristiana di V sec., prima e dopo il Concilio efesino. </w:t>
      </w:r>
      <w:r w:rsidR="00413D26" w:rsidRPr="00684C17">
        <w:rPr>
          <w:rFonts w:ascii="Palatino Linotype" w:hAnsi="Palatino Linotype"/>
          <w:color w:val="0070C0"/>
          <w:sz w:val="20"/>
          <w:szCs w:val="20"/>
          <w:lang w:val="it-IT"/>
        </w:rPr>
        <w:t>Una soluzione linguistica originale e compromissoria è quella dell’</w:t>
      </w:r>
      <w:proofErr w:type="spellStart"/>
      <w:r w:rsidR="00413D26" w:rsidRPr="00684C17">
        <w:rPr>
          <w:rFonts w:ascii="Palatino Linotype" w:hAnsi="Palatino Linotype"/>
          <w:i/>
          <w:iCs/>
          <w:color w:val="0070C0"/>
          <w:sz w:val="20"/>
          <w:szCs w:val="20"/>
          <w:lang w:val="it-IT"/>
        </w:rPr>
        <w:t>Homilia</w:t>
      </w:r>
      <w:proofErr w:type="spellEnd"/>
      <w:r w:rsidR="00413D26" w:rsidRPr="00684C17">
        <w:rPr>
          <w:rFonts w:ascii="Palatino Linotype" w:hAnsi="Palatino Linotype"/>
          <w:i/>
          <w:iCs/>
          <w:color w:val="0070C0"/>
          <w:sz w:val="20"/>
          <w:szCs w:val="20"/>
          <w:lang w:val="it-IT"/>
        </w:rPr>
        <w:t xml:space="preserve"> in </w:t>
      </w:r>
      <w:proofErr w:type="spellStart"/>
      <w:r w:rsidR="00413D26" w:rsidRPr="00684C17">
        <w:rPr>
          <w:rFonts w:ascii="Palatino Linotype" w:hAnsi="Palatino Linotype"/>
          <w:i/>
          <w:iCs/>
          <w:color w:val="0070C0"/>
          <w:sz w:val="20"/>
          <w:szCs w:val="20"/>
          <w:lang w:val="it-IT"/>
        </w:rPr>
        <w:t>sanctam</w:t>
      </w:r>
      <w:proofErr w:type="spellEnd"/>
      <w:r w:rsidR="00413D26" w:rsidRPr="00684C17">
        <w:rPr>
          <w:rFonts w:ascii="Palatino Linotype" w:hAnsi="Palatino Linotype"/>
          <w:i/>
          <w:iCs/>
          <w:color w:val="0070C0"/>
          <w:sz w:val="20"/>
          <w:szCs w:val="20"/>
          <w:lang w:val="it-IT"/>
        </w:rPr>
        <w:t xml:space="preserve"> </w:t>
      </w:r>
      <w:proofErr w:type="spellStart"/>
      <w:r w:rsidR="00413D26" w:rsidRPr="00684C17">
        <w:rPr>
          <w:rFonts w:ascii="Palatino Linotype" w:hAnsi="Palatino Linotype"/>
          <w:i/>
          <w:iCs/>
          <w:color w:val="0070C0"/>
          <w:sz w:val="20"/>
          <w:szCs w:val="20"/>
          <w:lang w:val="it-IT"/>
        </w:rPr>
        <w:t>Deiparam</w:t>
      </w:r>
      <w:proofErr w:type="spellEnd"/>
      <w:r w:rsidR="00413D26" w:rsidRPr="00684C17">
        <w:rPr>
          <w:rFonts w:ascii="Palatino Linotype" w:hAnsi="Palatino Linotype"/>
          <w:i/>
          <w:iCs/>
          <w:color w:val="0070C0"/>
          <w:sz w:val="20"/>
          <w:szCs w:val="20"/>
          <w:lang w:val="it-IT"/>
        </w:rPr>
        <w:t xml:space="preserve"> et in </w:t>
      </w:r>
      <w:proofErr w:type="spellStart"/>
      <w:r w:rsidR="00413D26" w:rsidRPr="00684C17">
        <w:rPr>
          <w:rFonts w:ascii="Palatino Linotype" w:hAnsi="Palatino Linotype"/>
          <w:i/>
          <w:iCs/>
          <w:color w:val="0070C0"/>
          <w:sz w:val="20"/>
          <w:szCs w:val="20"/>
          <w:lang w:val="it-IT"/>
        </w:rPr>
        <w:t>nativitatem</w:t>
      </w:r>
      <w:proofErr w:type="spellEnd"/>
      <w:r w:rsidR="00413D26" w:rsidRPr="00684C17">
        <w:rPr>
          <w:rFonts w:ascii="Palatino Linotype" w:hAnsi="Palatino Linotype"/>
          <w:i/>
          <w:iCs/>
          <w:color w:val="0070C0"/>
          <w:sz w:val="20"/>
          <w:szCs w:val="20"/>
          <w:lang w:val="it-IT"/>
        </w:rPr>
        <w:t xml:space="preserve"> Domini </w:t>
      </w:r>
      <w:r w:rsidR="00413D26" w:rsidRPr="00684C17">
        <w:rPr>
          <w:rFonts w:ascii="Palatino Linotype" w:hAnsi="Palatino Linotype"/>
          <w:color w:val="0070C0"/>
          <w:sz w:val="20"/>
          <w:szCs w:val="20"/>
          <w:lang w:val="it-IT"/>
        </w:rPr>
        <w:t xml:space="preserve">attribuita a </w:t>
      </w:r>
      <w:proofErr w:type="spellStart"/>
      <w:r w:rsidR="00413D26" w:rsidRPr="00684C17">
        <w:rPr>
          <w:rFonts w:ascii="Palatino Linotype" w:hAnsi="Palatino Linotype"/>
          <w:color w:val="0070C0"/>
          <w:sz w:val="20"/>
          <w:szCs w:val="20"/>
          <w:lang w:val="it-IT"/>
        </w:rPr>
        <w:t>Teodoto</w:t>
      </w:r>
      <w:proofErr w:type="spellEnd"/>
      <w:r w:rsidR="006320D4" w:rsidRPr="00684C17">
        <w:rPr>
          <w:rFonts w:ascii="Palatino Linotype" w:hAnsi="Palatino Linotype"/>
          <w:color w:val="0070C0"/>
          <w:sz w:val="20"/>
          <w:szCs w:val="20"/>
          <w:lang w:val="it-IT"/>
        </w:rPr>
        <w:t xml:space="preserve"> di </w:t>
      </w:r>
      <w:proofErr w:type="spellStart"/>
      <w:r w:rsidR="006320D4" w:rsidRPr="00684C17">
        <w:rPr>
          <w:rFonts w:ascii="Palatino Linotype" w:hAnsi="Palatino Linotype"/>
          <w:color w:val="0070C0"/>
          <w:sz w:val="20"/>
          <w:szCs w:val="20"/>
          <w:lang w:val="it-IT"/>
        </w:rPr>
        <w:t>Ancira</w:t>
      </w:r>
      <w:proofErr w:type="spellEnd"/>
      <w:r w:rsidR="00413D26" w:rsidRPr="00684C17">
        <w:rPr>
          <w:rFonts w:ascii="Palatino Linotype" w:hAnsi="Palatino Linotype"/>
          <w:color w:val="0070C0"/>
          <w:sz w:val="20"/>
          <w:szCs w:val="20"/>
          <w:lang w:val="it-IT"/>
        </w:rPr>
        <w:t xml:space="preserve">, in cui la Vergine è definita </w:t>
      </w:r>
      <w:proofErr w:type="spellStart"/>
      <w:r w:rsidR="00413D26" w:rsidRPr="00684C17">
        <w:rPr>
          <w:rFonts w:ascii="Palatino Linotype" w:hAnsi="Palatino Linotype"/>
          <w:color w:val="0070C0"/>
          <w:sz w:val="20"/>
          <w:szCs w:val="20"/>
          <w:lang w:val="it-IT"/>
        </w:rPr>
        <w:t>τῇ</w:t>
      </w:r>
      <w:proofErr w:type="spellEnd"/>
      <w:r w:rsidR="00413D26" w:rsidRPr="00684C17">
        <w:rPr>
          <w:rFonts w:ascii="Palatino Linotype" w:hAnsi="Palatino Linotype"/>
          <w:color w:val="0070C0"/>
          <w:sz w:val="20"/>
          <w:szCs w:val="20"/>
          <w:lang w:val="it-IT"/>
        </w:rPr>
        <w:t xml:space="preserve"> γα</w:t>
      </w:r>
      <w:proofErr w:type="spellStart"/>
      <w:r w:rsidR="00413D26" w:rsidRPr="00684C17">
        <w:rPr>
          <w:rFonts w:ascii="Palatino Linotype" w:hAnsi="Palatino Linotype"/>
          <w:color w:val="0070C0"/>
          <w:sz w:val="20"/>
          <w:szCs w:val="20"/>
          <w:lang w:val="it-IT"/>
        </w:rPr>
        <w:t>στρὶ</w:t>
      </w:r>
      <w:proofErr w:type="spellEnd"/>
      <w:r w:rsidR="00413D26" w:rsidRPr="00684C17">
        <w:rPr>
          <w:rFonts w:ascii="Palatino Linotype" w:hAnsi="Palatino Linotype"/>
          <w:color w:val="0070C0"/>
          <w:sz w:val="20"/>
          <w:szCs w:val="20"/>
          <w:lang w:val="it-IT"/>
        </w:rPr>
        <w:t xml:space="preserve"> </w:t>
      </w:r>
      <w:proofErr w:type="spellStart"/>
      <w:r w:rsidR="00413D26" w:rsidRPr="00684C17">
        <w:rPr>
          <w:rFonts w:ascii="Palatino Linotype" w:hAnsi="Palatino Linotype"/>
          <w:color w:val="0070C0"/>
          <w:sz w:val="20"/>
          <w:szCs w:val="20"/>
          <w:lang w:val="it-IT"/>
        </w:rPr>
        <w:t>θεοδόχος</w:t>
      </w:r>
      <w:proofErr w:type="spellEnd"/>
      <w:r w:rsidR="00413D26" w:rsidRPr="00684C17">
        <w:rPr>
          <w:rFonts w:ascii="Palatino Linotype" w:hAnsi="Palatino Linotype"/>
          <w:color w:val="0070C0"/>
          <w:sz w:val="20"/>
          <w:szCs w:val="20"/>
          <w:lang w:val="it-IT"/>
        </w:rPr>
        <w:t xml:space="preserve">, </w:t>
      </w:r>
      <w:proofErr w:type="spellStart"/>
      <w:r w:rsidR="00413D26" w:rsidRPr="00684C17">
        <w:rPr>
          <w:rFonts w:ascii="Palatino Linotype" w:hAnsi="Palatino Linotype"/>
          <w:color w:val="0070C0"/>
          <w:sz w:val="20"/>
          <w:szCs w:val="20"/>
          <w:lang w:val="it-IT"/>
        </w:rPr>
        <w:t>τῷ</w:t>
      </w:r>
      <w:proofErr w:type="spellEnd"/>
      <w:r w:rsidR="00413D26" w:rsidRPr="00684C17">
        <w:rPr>
          <w:rFonts w:ascii="Palatino Linotype" w:hAnsi="Palatino Linotype"/>
          <w:color w:val="0070C0"/>
          <w:sz w:val="20"/>
          <w:szCs w:val="20"/>
          <w:lang w:val="it-IT"/>
        </w:rPr>
        <w:t xml:space="preserve"> </w:t>
      </w:r>
      <w:proofErr w:type="spellStart"/>
      <w:r w:rsidR="00413D26" w:rsidRPr="00684C17">
        <w:rPr>
          <w:rFonts w:ascii="Palatino Linotype" w:hAnsi="Palatino Linotype"/>
          <w:color w:val="0070C0"/>
          <w:sz w:val="20"/>
          <w:szCs w:val="20"/>
          <w:lang w:val="it-IT"/>
        </w:rPr>
        <w:t>ἔργῳ</w:t>
      </w:r>
      <w:proofErr w:type="spellEnd"/>
      <w:r w:rsidR="00413D26" w:rsidRPr="00684C17">
        <w:rPr>
          <w:rFonts w:ascii="Palatino Linotype" w:hAnsi="Palatino Linotype"/>
          <w:color w:val="0070C0"/>
          <w:sz w:val="20"/>
          <w:szCs w:val="20"/>
          <w:lang w:val="it-IT"/>
        </w:rPr>
        <w:t xml:space="preserve"> </w:t>
      </w:r>
      <w:proofErr w:type="spellStart"/>
      <w:r w:rsidR="00413D26" w:rsidRPr="00684C17">
        <w:rPr>
          <w:rFonts w:ascii="Palatino Linotype" w:hAnsi="Palatino Linotype"/>
          <w:color w:val="0070C0"/>
          <w:sz w:val="20"/>
          <w:szCs w:val="20"/>
          <w:lang w:val="it-IT"/>
        </w:rPr>
        <w:t>θεοτόκος</w:t>
      </w:r>
      <w:proofErr w:type="spellEnd"/>
      <w:r w:rsidR="00413D26" w:rsidRPr="00684C17">
        <w:rPr>
          <w:rFonts w:ascii="Palatino Linotype" w:hAnsi="Palatino Linotype"/>
          <w:color w:val="0070C0"/>
          <w:sz w:val="20"/>
          <w:szCs w:val="20"/>
          <w:lang w:val="it-IT"/>
        </w:rPr>
        <w:t>.</w:t>
      </w:r>
      <w:r w:rsidR="00413D26" w:rsidRPr="00684C17">
        <w:rPr>
          <w:rStyle w:val="Rimandonotaapidipagina"/>
          <w:rFonts w:ascii="Palatino Linotype" w:hAnsi="Palatino Linotype"/>
          <w:color w:val="0070C0"/>
          <w:sz w:val="20"/>
          <w:szCs w:val="20"/>
          <w:lang w:val="it-IT"/>
        </w:rPr>
        <w:footnoteReference w:id="18"/>
      </w:r>
      <w:r w:rsidR="00413D26" w:rsidRPr="00684C17">
        <w:rPr>
          <w:rFonts w:ascii="Palatino Linotype" w:hAnsi="Palatino Linotype"/>
          <w:color w:val="0070C0"/>
          <w:sz w:val="20"/>
          <w:szCs w:val="20"/>
          <w:lang w:val="it-IT"/>
        </w:rPr>
        <w:t xml:space="preserve"> </w:t>
      </w:r>
      <w:r w:rsidRPr="00684C17">
        <w:rPr>
          <w:rFonts w:ascii="Palatino Linotype" w:hAnsi="Palatino Linotype"/>
          <w:color w:val="0070C0"/>
          <w:sz w:val="20"/>
          <w:szCs w:val="20"/>
          <w:lang w:val="it-IT"/>
        </w:rPr>
        <w:t xml:space="preserve">In quel torno di tempo, </w:t>
      </w:r>
      <w:proofErr w:type="spellStart"/>
      <w:r w:rsidR="000962B7" w:rsidRPr="00684C17">
        <w:rPr>
          <w:rFonts w:ascii="Palatino Linotype" w:hAnsi="Palatino Linotype"/>
          <w:color w:val="0070C0"/>
          <w:sz w:val="20"/>
          <w:szCs w:val="20"/>
          <w:lang w:val="it-IT"/>
        </w:rPr>
        <w:t>Teodoreto</w:t>
      </w:r>
      <w:proofErr w:type="spellEnd"/>
      <w:r w:rsidR="000962B7" w:rsidRPr="00684C17">
        <w:rPr>
          <w:rFonts w:ascii="Palatino Linotype" w:hAnsi="Palatino Linotype"/>
          <w:color w:val="0070C0"/>
          <w:sz w:val="20"/>
          <w:szCs w:val="20"/>
          <w:lang w:val="it-IT"/>
        </w:rPr>
        <w:t xml:space="preserve"> di Cir</w:t>
      </w:r>
      <w:r w:rsidRPr="00684C17">
        <w:rPr>
          <w:rFonts w:ascii="Palatino Linotype" w:hAnsi="Palatino Linotype"/>
          <w:color w:val="0070C0"/>
          <w:sz w:val="20"/>
          <w:szCs w:val="20"/>
          <w:lang w:val="it-IT"/>
        </w:rPr>
        <w:t>r</w:t>
      </w:r>
      <w:r w:rsidR="000962B7" w:rsidRPr="00684C17">
        <w:rPr>
          <w:rFonts w:ascii="Palatino Linotype" w:hAnsi="Palatino Linotype"/>
          <w:color w:val="0070C0"/>
          <w:sz w:val="20"/>
          <w:szCs w:val="20"/>
          <w:lang w:val="it-IT"/>
        </w:rPr>
        <w:t xml:space="preserve">o </w:t>
      </w:r>
      <w:r w:rsidR="000E3849" w:rsidRPr="00684C17">
        <w:rPr>
          <w:rFonts w:ascii="Palatino Linotype" w:hAnsi="Palatino Linotype"/>
          <w:color w:val="0070C0"/>
          <w:sz w:val="20"/>
          <w:szCs w:val="20"/>
          <w:lang w:val="it-IT"/>
        </w:rPr>
        <w:t>nell’</w:t>
      </w:r>
      <w:proofErr w:type="spellStart"/>
      <w:r w:rsidR="000E3849" w:rsidRPr="00684C17">
        <w:rPr>
          <w:rFonts w:ascii="Palatino Linotype" w:hAnsi="Palatino Linotype"/>
          <w:i/>
          <w:iCs/>
          <w:color w:val="0070C0"/>
          <w:sz w:val="20"/>
          <w:szCs w:val="20"/>
          <w:lang w:val="it-IT"/>
        </w:rPr>
        <w:t>Eranistes</w:t>
      </w:r>
      <w:proofErr w:type="spellEnd"/>
      <w:r w:rsidRPr="00684C17">
        <w:rPr>
          <w:rFonts w:ascii="Palatino Linotype" w:hAnsi="Palatino Linotype"/>
          <w:i/>
          <w:iCs/>
          <w:color w:val="0070C0"/>
          <w:sz w:val="20"/>
          <w:szCs w:val="20"/>
          <w:lang w:val="it-IT"/>
        </w:rPr>
        <w:t xml:space="preserve"> </w:t>
      </w:r>
      <w:r w:rsidRPr="00684C17">
        <w:rPr>
          <w:rFonts w:ascii="Palatino Linotype" w:hAnsi="Palatino Linotype"/>
          <w:color w:val="0070C0"/>
          <w:sz w:val="20"/>
          <w:szCs w:val="20"/>
          <w:lang w:val="it-IT"/>
        </w:rPr>
        <w:t xml:space="preserve">ricorre a </w:t>
      </w:r>
      <w:proofErr w:type="spellStart"/>
      <w:r w:rsidRPr="00684C17">
        <w:rPr>
          <w:rFonts w:ascii="Palatino Linotype" w:hAnsi="Palatino Linotype"/>
          <w:color w:val="0070C0"/>
          <w:sz w:val="20"/>
          <w:szCs w:val="20"/>
          <w:lang w:val="el-GR"/>
        </w:rPr>
        <w:t>θεοδόχος</w:t>
      </w:r>
      <w:proofErr w:type="spellEnd"/>
      <w:r w:rsidRPr="00684C17">
        <w:rPr>
          <w:rFonts w:ascii="Palatino Linotype" w:hAnsi="Palatino Linotype"/>
          <w:color w:val="0070C0"/>
          <w:sz w:val="20"/>
          <w:szCs w:val="20"/>
          <w:lang w:val="it-IT"/>
        </w:rPr>
        <w:t xml:space="preserve"> due volte a proposito della controversia cristologica.</w:t>
      </w:r>
      <w:r w:rsidR="00F4239E" w:rsidRPr="00684C17">
        <w:rPr>
          <w:rStyle w:val="Rimandonotaapidipagina"/>
          <w:rFonts w:ascii="Palatino Linotype" w:hAnsi="Palatino Linotype"/>
          <w:color w:val="0070C0"/>
          <w:sz w:val="20"/>
          <w:szCs w:val="20"/>
          <w:lang w:val="it-IT"/>
        </w:rPr>
        <w:footnoteReference w:id="19"/>
      </w:r>
      <w:r w:rsidR="00F70FA0" w:rsidRPr="00684C17">
        <w:rPr>
          <w:rFonts w:ascii="Palatino Linotype" w:hAnsi="Palatino Linotype"/>
          <w:color w:val="0070C0"/>
          <w:sz w:val="20"/>
          <w:szCs w:val="20"/>
          <w:lang w:val="it-IT"/>
        </w:rPr>
        <w:t xml:space="preserve"> </w:t>
      </w:r>
      <w:r w:rsidR="00DF0A03" w:rsidRPr="00684C17">
        <w:rPr>
          <w:rFonts w:ascii="Palatino Linotype" w:hAnsi="Palatino Linotype"/>
          <w:color w:val="0070C0"/>
          <w:sz w:val="20"/>
          <w:szCs w:val="20"/>
          <w:lang w:val="it-IT"/>
        </w:rPr>
        <w:t xml:space="preserve">Il fatto che </w:t>
      </w:r>
      <w:r w:rsidR="00DE0173" w:rsidRPr="00684C17">
        <w:rPr>
          <w:rFonts w:ascii="Palatino Linotype" w:hAnsi="Palatino Linotype"/>
          <w:color w:val="0070C0"/>
          <w:sz w:val="20"/>
          <w:szCs w:val="20"/>
          <w:lang w:val="it-IT"/>
        </w:rPr>
        <w:t>il controverso aggettivo</w:t>
      </w:r>
      <w:r w:rsidR="00BF65C6" w:rsidRPr="00684C17">
        <w:rPr>
          <w:rFonts w:ascii="Palatino Linotype" w:hAnsi="Palatino Linotype"/>
          <w:color w:val="0070C0"/>
          <w:sz w:val="20"/>
          <w:szCs w:val="20"/>
          <w:lang w:val="it-IT"/>
        </w:rPr>
        <w:t>, riferito alla Vergine Maria,</w:t>
      </w:r>
      <w:r w:rsidR="00DE0173" w:rsidRPr="00684C17">
        <w:rPr>
          <w:rFonts w:ascii="Palatino Linotype" w:hAnsi="Palatino Linotype"/>
          <w:color w:val="0070C0"/>
          <w:sz w:val="20"/>
          <w:szCs w:val="20"/>
          <w:lang w:val="it-IT"/>
        </w:rPr>
        <w:t xml:space="preserve"> arrivi</w:t>
      </w:r>
      <w:r w:rsidR="00DF0A03" w:rsidRPr="00684C17">
        <w:rPr>
          <w:rFonts w:ascii="Palatino Linotype" w:hAnsi="Palatino Linotype"/>
          <w:color w:val="0070C0"/>
          <w:sz w:val="20"/>
          <w:szCs w:val="20"/>
          <w:lang w:val="it-IT"/>
        </w:rPr>
        <w:t xml:space="preserve"> persino </w:t>
      </w:r>
      <w:r w:rsidR="00DE0173" w:rsidRPr="00684C17">
        <w:rPr>
          <w:rFonts w:ascii="Palatino Linotype" w:hAnsi="Palatino Linotype"/>
          <w:color w:val="0070C0"/>
          <w:sz w:val="20"/>
          <w:szCs w:val="20"/>
          <w:lang w:val="it-IT"/>
        </w:rPr>
        <w:t>a</w:t>
      </w:r>
      <w:r w:rsidR="00DF0A03" w:rsidRPr="00684C17">
        <w:rPr>
          <w:rFonts w:ascii="Palatino Linotype" w:hAnsi="Palatino Linotype"/>
          <w:color w:val="0070C0"/>
          <w:sz w:val="20"/>
          <w:szCs w:val="20"/>
          <w:lang w:val="it-IT"/>
        </w:rPr>
        <w:t>ll’inno</w:t>
      </w:r>
      <w:r w:rsidR="00DF0A03" w:rsidRPr="00684C17">
        <w:rPr>
          <w:rFonts w:ascii="Palatino Linotype" w:hAnsi="Palatino Linotype"/>
          <w:i/>
          <w:iCs/>
          <w:color w:val="0070C0"/>
          <w:sz w:val="20"/>
          <w:szCs w:val="20"/>
          <w:lang w:val="it-IT"/>
        </w:rPr>
        <w:t xml:space="preserve"> </w:t>
      </w:r>
      <w:proofErr w:type="spellStart"/>
      <w:r w:rsidR="00FA478C" w:rsidRPr="00684C17">
        <w:rPr>
          <w:rFonts w:ascii="Palatino Linotype" w:hAnsi="Palatino Linotype"/>
          <w:i/>
          <w:iCs/>
          <w:color w:val="0070C0"/>
          <w:sz w:val="20"/>
          <w:szCs w:val="20"/>
          <w:lang w:val="it-IT"/>
        </w:rPr>
        <w:t>Ἀκάθιστος</w:t>
      </w:r>
      <w:proofErr w:type="spellEnd"/>
      <w:r w:rsidR="00FA478C" w:rsidRPr="00684C17">
        <w:rPr>
          <w:rFonts w:ascii="Palatino Linotype" w:hAnsi="Palatino Linotype"/>
          <w:color w:val="0070C0"/>
          <w:sz w:val="20"/>
          <w:szCs w:val="20"/>
          <w:lang w:val="it-IT"/>
        </w:rPr>
        <w:t xml:space="preserve"> </w:t>
      </w:r>
      <w:r w:rsidR="00DF0A03" w:rsidRPr="00684C17">
        <w:rPr>
          <w:rFonts w:ascii="Palatino Linotype" w:hAnsi="Palatino Linotype"/>
          <w:color w:val="0070C0"/>
          <w:sz w:val="20"/>
          <w:szCs w:val="20"/>
          <w:lang w:val="it-IT"/>
        </w:rPr>
        <w:t>ne dimostra la riconosciuta caratura teologica e poetica.</w:t>
      </w:r>
      <w:r w:rsidR="00DF0A03" w:rsidRPr="00684C17">
        <w:rPr>
          <w:rStyle w:val="Rimandonotaapidipagina"/>
          <w:rFonts w:ascii="Palatino Linotype" w:hAnsi="Palatino Linotype"/>
          <w:color w:val="0070C0"/>
          <w:sz w:val="20"/>
          <w:szCs w:val="20"/>
          <w:lang w:val="it-IT"/>
        </w:rPr>
        <w:footnoteReference w:id="20"/>
      </w:r>
      <w:r w:rsidR="00FA478C" w:rsidRPr="00684C17">
        <w:rPr>
          <w:rFonts w:ascii="Palatino Linotype" w:hAnsi="Palatino Linotype"/>
          <w:color w:val="0070C0"/>
          <w:sz w:val="20"/>
          <w:szCs w:val="20"/>
          <w:lang w:val="it-IT"/>
        </w:rPr>
        <w:t xml:space="preserve"> </w:t>
      </w:r>
    </w:p>
    <w:p w:rsidR="009A3807" w:rsidRPr="00684C17" w:rsidRDefault="006E615A" w:rsidP="00592E9D">
      <w:pPr>
        <w:pStyle w:val="Nessunaspaziatura"/>
        <w:jc w:val="both"/>
        <w:rPr>
          <w:rFonts w:ascii="Palatino Linotype" w:hAnsi="Palatino Linotype"/>
          <w:color w:val="0070C0"/>
          <w:sz w:val="20"/>
          <w:szCs w:val="20"/>
          <w:lang w:val="it-IT"/>
        </w:rPr>
      </w:pPr>
      <w:r w:rsidRPr="00684C17">
        <w:rPr>
          <w:rFonts w:ascii="Palatino Linotype" w:hAnsi="Palatino Linotype"/>
          <w:color w:val="0070C0"/>
          <w:sz w:val="20"/>
          <w:szCs w:val="20"/>
          <w:lang w:val="it-IT"/>
        </w:rPr>
        <w:t xml:space="preserve">A Gregorio di </w:t>
      </w:r>
      <w:proofErr w:type="spellStart"/>
      <w:r w:rsidRPr="00684C17">
        <w:rPr>
          <w:rFonts w:ascii="Palatino Linotype" w:hAnsi="Palatino Linotype"/>
          <w:color w:val="0070C0"/>
          <w:sz w:val="20"/>
          <w:szCs w:val="20"/>
          <w:lang w:val="it-IT"/>
        </w:rPr>
        <w:t>Nazianzo</w:t>
      </w:r>
      <w:proofErr w:type="spellEnd"/>
      <w:r w:rsidRPr="00684C17">
        <w:rPr>
          <w:rFonts w:ascii="Palatino Linotype" w:hAnsi="Palatino Linotype"/>
          <w:color w:val="0070C0"/>
          <w:sz w:val="20"/>
          <w:szCs w:val="20"/>
          <w:lang w:val="it-IT"/>
        </w:rPr>
        <w:t xml:space="preserve">, </w:t>
      </w:r>
      <w:r w:rsidRPr="00684C17">
        <w:rPr>
          <w:rFonts w:ascii="Palatino Linotype" w:hAnsi="Palatino Linotype"/>
          <w:color w:val="0070C0"/>
          <w:sz w:val="20"/>
          <w:szCs w:val="20"/>
        </w:rPr>
        <w:t>known for his stylistic originality,</w:t>
      </w:r>
      <w:r w:rsidRPr="00684C17">
        <w:rPr>
          <w:rFonts w:ascii="Palatino Linotype" w:hAnsi="Palatino Linotype"/>
          <w:color w:val="0070C0"/>
          <w:sz w:val="20"/>
          <w:szCs w:val="20"/>
          <w:lang w:val="it-IT"/>
        </w:rPr>
        <w:t xml:space="preserve"> </w:t>
      </w:r>
      <w:r w:rsidR="000409F6">
        <w:rPr>
          <w:rFonts w:ascii="Palatino Linotype" w:hAnsi="Palatino Linotype"/>
          <w:color w:val="0070C0"/>
          <w:sz w:val="20"/>
          <w:szCs w:val="20"/>
          <w:lang w:val="it-IT"/>
        </w:rPr>
        <w:t xml:space="preserve">invece, </w:t>
      </w:r>
      <w:r w:rsidRPr="00684C17">
        <w:rPr>
          <w:rFonts w:ascii="Palatino Linotype" w:hAnsi="Palatino Linotype"/>
          <w:color w:val="0070C0"/>
          <w:sz w:val="20"/>
          <w:szCs w:val="20"/>
          <w:lang w:val="it-IT"/>
        </w:rPr>
        <w:t xml:space="preserve">si deve probabilmente la forma con vocalismo /e/ </w:t>
      </w:r>
      <w:proofErr w:type="spellStart"/>
      <w:r w:rsidRPr="00684C17">
        <w:rPr>
          <w:rFonts w:ascii="Palatino Linotype" w:hAnsi="Palatino Linotype"/>
          <w:color w:val="0070C0"/>
          <w:sz w:val="20"/>
          <w:szCs w:val="20"/>
          <w:lang w:val="el-GR"/>
        </w:rPr>
        <w:t>θεηδόχος</w:t>
      </w:r>
      <w:proofErr w:type="spellEnd"/>
      <w:r w:rsidR="003E1169" w:rsidRPr="003E1169">
        <w:rPr>
          <w:rFonts w:ascii="Palatino Linotype" w:hAnsi="Palatino Linotype"/>
          <w:color w:val="0070C0"/>
          <w:sz w:val="20"/>
          <w:szCs w:val="20"/>
          <w:lang w:val="it-IT"/>
        </w:rPr>
        <w:t xml:space="preserve">, </w:t>
      </w:r>
      <w:r w:rsidR="003E1169">
        <w:rPr>
          <w:rFonts w:ascii="Palatino Linotype" w:hAnsi="Palatino Linotype"/>
          <w:color w:val="0070C0"/>
          <w:sz w:val="20"/>
          <w:szCs w:val="20"/>
          <w:lang w:val="it-IT"/>
        </w:rPr>
        <w:t>metricamente più facilmente spendibile.</w:t>
      </w:r>
      <w:r w:rsidRPr="00684C17">
        <w:rPr>
          <w:rFonts w:ascii="Palatino Linotype" w:hAnsi="Palatino Linotype"/>
          <w:sz w:val="20"/>
          <w:szCs w:val="20"/>
        </w:rPr>
        <w:t xml:space="preserve"> </w:t>
      </w:r>
      <w:r w:rsidR="00556BBC" w:rsidRPr="00684C17">
        <w:rPr>
          <w:rFonts w:ascii="Palatino Linotype" w:hAnsi="Palatino Linotype"/>
          <w:sz w:val="20"/>
          <w:szCs w:val="20"/>
        </w:rPr>
        <w:t>I</w:t>
      </w:r>
      <w:r w:rsidR="00473600" w:rsidRPr="00684C17">
        <w:rPr>
          <w:rFonts w:ascii="Palatino Linotype" w:hAnsi="Palatino Linotype"/>
          <w:sz w:val="20"/>
          <w:szCs w:val="20"/>
        </w:rPr>
        <w:t xml:space="preserve">n the </w:t>
      </w:r>
      <w:r w:rsidR="00473600" w:rsidRPr="00684C17">
        <w:rPr>
          <w:rFonts w:ascii="Palatino Linotype" w:hAnsi="Palatino Linotype"/>
          <w:i/>
          <w:sz w:val="20"/>
          <w:szCs w:val="20"/>
        </w:rPr>
        <w:t xml:space="preserve">Carmina </w:t>
      </w:r>
      <w:proofErr w:type="spellStart"/>
      <w:r w:rsidR="00473600" w:rsidRPr="00684C17">
        <w:rPr>
          <w:rFonts w:ascii="Palatino Linotype" w:hAnsi="Palatino Linotype"/>
          <w:i/>
          <w:sz w:val="20"/>
          <w:szCs w:val="20"/>
        </w:rPr>
        <w:t>moralia</w:t>
      </w:r>
      <w:proofErr w:type="spellEnd"/>
      <w:r w:rsidR="00473600" w:rsidRPr="00684C17">
        <w:rPr>
          <w:rFonts w:ascii="Palatino Linotype" w:hAnsi="Palatino Linotype"/>
          <w:sz w:val="20"/>
          <w:szCs w:val="20"/>
        </w:rPr>
        <w:t xml:space="preserve">, </w:t>
      </w:r>
      <w:r w:rsidR="00556BBC" w:rsidRPr="00684C17">
        <w:rPr>
          <w:rFonts w:ascii="Palatino Linotype" w:hAnsi="Palatino Linotype"/>
          <w:sz w:val="20"/>
          <w:szCs w:val="20"/>
        </w:rPr>
        <w:t xml:space="preserve">he introduces the </w:t>
      </w:r>
      <w:proofErr w:type="spellStart"/>
      <w:r w:rsidR="00556BBC" w:rsidRPr="00684C17">
        <w:rPr>
          <w:rFonts w:ascii="Palatino Linotype" w:hAnsi="Palatino Linotype"/>
          <w:i/>
          <w:iCs/>
          <w:sz w:val="20"/>
          <w:szCs w:val="20"/>
        </w:rPr>
        <w:t>iunctura</w:t>
      </w:r>
      <w:proofErr w:type="spellEnd"/>
      <w:r w:rsidR="00473600" w:rsidRPr="00684C17">
        <w:rPr>
          <w:rFonts w:ascii="Palatino Linotype" w:hAnsi="Palatino Linotype"/>
          <w:sz w:val="20"/>
          <w:szCs w:val="20"/>
        </w:rPr>
        <w:t xml:space="preserve"> </w:t>
      </w:r>
      <w:proofErr w:type="spellStart"/>
      <w:r w:rsidR="00473600" w:rsidRPr="00684C17">
        <w:rPr>
          <w:rFonts w:ascii="Palatino Linotype" w:hAnsi="Palatino Linotype"/>
          <w:sz w:val="20"/>
          <w:szCs w:val="20"/>
        </w:rPr>
        <w:t>θεηδόχος</w:t>
      </w:r>
      <w:proofErr w:type="spellEnd"/>
      <w:r w:rsidR="00473600" w:rsidRPr="00684C17">
        <w:rPr>
          <w:rFonts w:ascii="Palatino Linotype" w:hAnsi="Palatino Linotype"/>
          <w:sz w:val="20"/>
          <w:szCs w:val="20"/>
        </w:rPr>
        <w:t xml:space="preserve"> </w:t>
      </w:r>
      <w:proofErr w:type="spellStart"/>
      <w:r w:rsidR="00473600" w:rsidRPr="00684C17">
        <w:rPr>
          <w:rFonts w:ascii="Palatino Linotype" w:hAnsi="Palatino Linotype"/>
          <w:sz w:val="20"/>
          <w:szCs w:val="20"/>
        </w:rPr>
        <w:t>Τρά</w:t>
      </w:r>
      <w:proofErr w:type="spellEnd"/>
      <w:r w:rsidR="00473600" w:rsidRPr="00684C17">
        <w:rPr>
          <w:rFonts w:ascii="Palatino Linotype" w:hAnsi="Palatino Linotype"/>
          <w:sz w:val="20"/>
          <w:szCs w:val="20"/>
        </w:rPr>
        <w:t>π</w:t>
      </w:r>
      <w:proofErr w:type="spellStart"/>
      <w:r w:rsidR="00473600" w:rsidRPr="00684C17">
        <w:rPr>
          <w:rFonts w:ascii="Palatino Linotype" w:hAnsi="Palatino Linotype"/>
          <w:sz w:val="20"/>
          <w:szCs w:val="20"/>
        </w:rPr>
        <w:t>εζ</w:t>
      </w:r>
      <w:proofErr w:type="spellEnd"/>
      <w:r w:rsidR="00473600" w:rsidRPr="00684C17">
        <w:rPr>
          <w:rFonts w:ascii="Palatino Linotype" w:hAnsi="Palatino Linotype"/>
          <w:sz w:val="20"/>
          <w:szCs w:val="20"/>
        </w:rPr>
        <w:t>α, the table of the Last Supper (</w:t>
      </w:r>
      <w:r w:rsidR="00473600" w:rsidRPr="00684C17">
        <w:rPr>
          <w:rFonts w:ascii="Palatino Linotype" w:hAnsi="Palatino Linotype"/>
          <w:i/>
          <w:sz w:val="20"/>
          <w:szCs w:val="20"/>
        </w:rPr>
        <w:t>PG</w:t>
      </w:r>
      <w:r w:rsidR="00473600" w:rsidRPr="00684C17">
        <w:rPr>
          <w:rFonts w:ascii="Palatino Linotype" w:hAnsi="Palatino Linotype"/>
          <w:sz w:val="20"/>
          <w:szCs w:val="20"/>
        </w:rPr>
        <w:t xml:space="preserve"> 37, 962). A</w:t>
      </w:r>
      <w:r w:rsidR="00556BBC" w:rsidRPr="00684C17">
        <w:rPr>
          <w:rFonts w:ascii="Palatino Linotype" w:hAnsi="Palatino Linotype"/>
          <w:sz w:val="20"/>
          <w:szCs w:val="20"/>
        </w:rPr>
        <w:t xml:space="preserve">s regards </w:t>
      </w:r>
      <w:proofErr w:type="spellStart"/>
      <w:r w:rsidR="00556BBC" w:rsidRPr="00684C17">
        <w:rPr>
          <w:rFonts w:ascii="Palatino Linotype" w:hAnsi="Palatino Linotype"/>
          <w:sz w:val="20"/>
          <w:szCs w:val="20"/>
          <w:lang w:val="el-GR"/>
        </w:rPr>
        <w:t>θεηδόχος</w:t>
      </w:r>
      <w:proofErr w:type="spellEnd"/>
      <w:r w:rsidR="00556BBC" w:rsidRPr="00684C17">
        <w:rPr>
          <w:rFonts w:ascii="Palatino Linotype" w:hAnsi="Palatino Linotype"/>
          <w:sz w:val="20"/>
          <w:szCs w:val="20"/>
        </w:rPr>
        <w:t>,</w:t>
      </w:r>
      <w:r w:rsidR="00473600" w:rsidRPr="00684C17">
        <w:rPr>
          <w:rFonts w:ascii="Palatino Linotype" w:hAnsi="Palatino Linotype"/>
          <w:sz w:val="20"/>
          <w:szCs w:val="20"/>
        </w:rPr>
        <w:t xml:space="preserve"> there are very few other attestations, in </w:t>
      </w:r>
      <w:proofErr w:type="spellStart"/>
      <w:r w:rsidR="00473600" w:rsidRPr="00684C17">
        <w:rPr>
          <w:rFonts w:ascii="Palatino Linotype" w:hAnsi="Palatino Linotype"/>
          <w:sz w:val="20"/>
          <w:szCs w:val="20"/>
        </w:rPr>
        <w:t>Nonnus</w:t>
      </w:r>
      <w:proofErr w:type="spellEnd"/>
      <w:r w:rsidR="00473600" w:rsidRPr="00684C17">
        <w:rPr>
          <w:rFonts w:ascii="Palatino Linotype" w:hAnsi="Palatino Linotype"/>
          <w:sz w:val="20"/>
          <w:szCs w:val="20"/>
        </w:rPr>
        <w:t xml:space="preserve"> of </w:t>
      </w:r>
      <w:proofErr w:type="spellStart"/>
      <w:r w:rsidR="00473600" w:rsidRPr="00684C17">
        <w:rPr>
          <w:rFonts w:ascii="Palatino Linotype" w:hAnsi="Palatino Linotype"/>
          <w:sz w:val="20"/>
          <w:szCs w:val="20"/>
        </w:rPr>
        <w:t>Panopolis</w:t>
      </w:r>
      <w:proofErr w:type="spellEnd"/>
      <w:r w:rsidR="00473600" w:rsidRPr="00684C17">
        <w:rPr>
          <w:rFonts w:ascii="Palatino Linotype" w:hAnsi="Palatino Linotype"/>
          <w:sz w:val="20"/>
          <w:szCs w:val="20"/>
        </w:rPr>
        <w:t xml:space="preserve"> (</w:t>
      </w:r>
      <w:r w:rsidR="00C35980" w:rsidRPr="00684C17">
        <w:rPr>
          <w:rFonts w:ascii="Palatino Linotype" w:hAnsi="Palatino Linotype"/>
          <w:sz w:val="20"/>
          <w:szCs w:val="20"/>
        </w:rPr>
        <w:t>4</w:t>
      </w:r>
      <w:r w:rsidR="00473600" w:rsidRPr="00684C17">
        <w:rPr>
          <w:rFonts w:ascii="Palatino Linotype" w:hAnsi="Palatino Linotype"/>
          <w:sz w:val="20"/>
          <w:szCs w:val="20"/>
        </w:rPr>
        <w:t xml:space="preserve">x, </w:t>
      </w:r>
      <w:r w:rsidR="00C35980" w:rsidRPr="00684C17">
        <w:rPr>
          <w:rFonts w:ascii="Palatino Linotype" w:hAnsi="Palatino Linotype"/>
          <w:sz w:val="20"/>
          <w:szCs w:val="20"/>
        </w:rPr>
        <w:t>three</w:t>
      </w:r>
      <w:r w:rsidR="00473600" w:rsidRPr="00684C17">
        <w:rPr>
          <w:rFonts w:ascii="Palatino Linotype" w:hAnsi="Palatino Linotype"/>
          <w:sz w:val="20"/>
          <w:szCs w:val="20"/>
        </w:rPr>
        <w:t xml:space="preserve"> of which in the </w:t>
      </w:r>
      <w:r w:rsidR="00473600" w:rsidRPr="00684C17">
        <w:rPr>
          <w:rFonts w:ascii="Palatino Linotype" w:hAnsi="Palatino Linotype"/>
          <w:i/>
          <w:sz w:val="20"/>
          <w:szCs w:val="20"/>
        </w:rPr>
        <w:t>Paraphrase of the Gospel of John</w:t>
      </w:r>
      <w:r w:rsidR="00473600" w:rsidRPr="00684C17">
        <w:rPr>
          <w:rFonts w:ascii="Palatino Linotype" w:hAnsi="Palatino Linotype"/>
          <w:sz w:val="20"/>
          <w:szCs w:val="20"/>
        </w:rPr>
        <w:t>),</w:t>
      </w:r>
      <w:r w:rsidR="00D72A45" w:rsidRPr="00684C17">
        <w:rPr>
          <w:rStyle w:val="Rimandonotaapidipagina"/>
          <w:rFonts w:ascii="Palatino Linotype" w:hAnsi="Palatino Linotype"/>
          <w:sz w:val="20"/>
          <w:szCs w:val="20"/>
        </w:rPr>
        <w:footnoteReference w:id="21"/>
      </w:r>
      <w:r w:rsidR="00473600" w:rsidRPr="00684C17">
        <w:rPr>
          <w:rFonts w:ascii="Palatino Linotype" w:hAnsi="Palatino Linotype"/>
          <w:sz w:val="20"/>
          <w:szCs w:val="20"/>
        </w:rPr>
        <w:t xml:space="preserve"> in John of Gaza</w:t>
      </w:r>
      <w:r w:rsidR="00152C54" w:rsidRPr="00684C17">
        <w:rPr>
          <w:rStyle w:val="Rimandonotaapidipagina"/>
          <w:rFonts w:ascii="Palatino Linotype" w:hAnsi="Palatino Linotype"/>
          <w:sz w:val="20"/>
          <w:szCs w:val="20"/>
        </w:rPr>
        <w:footnoteReference w:id="22"/>
      </w:r>
      <w:r w:rsidR="00473600" w:rsidRPr="00684C17">
        <w:rPr>
          <w:rFonts w:ascii="Palatino Linotype" w:hAnsi="Palatino Linotype"/>
          <w:sz w:val="20"/>
          <w:szCs w:val="20"/>
        </w:rPr>
        <w:t xml:space="preserve"> and in the</w:t>
      </w:r>
      <w:r w:rsidR="00384CA6" w:rsidRPr="00684C17">
        <w:rPr>
          <w:rFonts w:ascii="Palatino Linotype" w:hAnsi="Palatino Linotype"/>
          <w:sz w:val="20"/>
          <w:szCs w:val="20"/>
        </w:rPr>
        <w:t xml:space="preserve"> </w:t>
      </w:r>
      <w:proofErr w:type="spellStart"/>
      <w:r w:rsidR="00473600" w:rsidRPr="00684C17">
        <w:rPr>
          <w:rFonts w:ascii="Palatino Linotype" w:hAnsi="Palatino Linotype"/>
          <w:i/>
          <w:sz w:val="20"/>
          <w:szCs w:val="20"/>
        </w:rPr>
        <w:t>Homilia</w:t>
      </w:r>
      <w:proofErr w:type="spellEnd"/>
      <w:r w:rsidR="00473600" w:rsidRPr="00684C17">
        <w:rPr>
          <w:rFonts w:ascii="Palatino Linotype" w:hAnsi="Palatino Linotype"/>
          <w:i/>
          <w:sz w:val="20"/>
          <w:szCs w:val="20"/>
        </w:rPr>
        <w:t xml:space="preserve"> in </w:t>
      </w:r>
      <w:proofErr w:type="spellStart"/>
      <w:r w:rsidR="00473600" w:rsidRPr="00684C17">
        <w:rPr>
          <w:rFonts w:ascii="Palatino Linotype" w:hAnsi="Palatino Linotype"/>
          <w:i/>
          <w:sz w:val="20"/>
          <w:szCs w:val="20"/>
        </w:rPr>
        <w:t>Nativitatem</w:t>
      </w:r>
      <w:proofErr w:type="spellEnd"/>
      <w:r w:rsidR="00473600" w:rsidRPr="00684C17">
        <w:rPr>
          <w:rFonts w:ascii="Palatino Linotype" w:hAnsi="Palatino Linotype"/>
          <w:i/>
          <w:sz w:val="20"/>
          <w:szCs w:val="20"/>
        </w:rPr>
        <w:t xml:space="preserve"> Christi </w:t>
      </w:r>
      <w:r w:rsidR="00473600" w:rsidRPr="00684C17">
        <w:rPr>
          <w:rFonts w:ascii="Palatino Linotype" w:hAnsi="Palatino Linotype"/>
          <w:sz w:val="20"/>
          <w:szCs w:val="20"/>
        </w:rPr>
        <w:t xml:space="preserve">of Patriarch </w:t>
      </w:r>
      <w:proofErr w:type="spellStart"/>
      <w:r w:rsidR="00473600" w:rsidRPr="00684C17">
        <w:rPr>
          <w:rFonts w:ascii="Palatino Linotype" w:hAnsi="Palatino Linotype"/>
          <w:sz w:val="20"/>
          <w:szCs w:val="20"/>
        </w:rPr>
        <w:t>Sophronius</w:t>
      </w:r>
      <w:proofErr w:type="spellEnd"/>
      <w:r w:rsidR="009A3807" w:rsidRPr="00684C17">
        <w:rPr>
          <w:rFonts w:ascii="Palatino Linotype" w:hAnsi="Palatino Linotype"/>
          <w:sz w:val="20"/>
          <w:szCs w:val="20"/>
        </w:rPr>
        <w:t xml:space="preserve">, </w:t>
      </w:r>
      <w:r w:rsidR="00473600" w:rsidRPr="00684C17">
        <w:rPr>
          <w:rFonts w:ascii="Palatino Linotype" w:hAnsi="Palatino Linotype"/>
          <w:sz w:val="20"/>
          <w:szCs w:val="20"/>
        </w:rPr>
        <w:t xml:space="preserve">twice in reference to Bethlehem and one to the </w:t>
      </w:r>
      <w:proofErr w:type="spellStart"/>
      <w:r w:rsidR="00473600" w:rsidRPr="00684C17">
        <w:rPr>
          <w:rFonts w:ascii="Palatino Linotype" w:hAnsi="Palatino Linotype"/>
          <w:sz w:val="20"/>
          <w:szCs w:val="20"/>
        </w:rPr>
        <w:t>manger</w:t>
      </w:r>
      <w:proofErr w:type="spellEnd"/>
      <w:r w:rsidR="00473600" w:rsidRPr="00684C17">
        <w:rPr>
          <w:rFonts w:ascii="Palatino Linotype" w:hAnsi="Palatino Linotype"/>
          <w:sz w:val="20"/>
          <w:szCs w:val="20"/>
        </w:rPr>
        <w:t xml:space="preserve"> of Nativity (</w:t>
      </w:r>
      <w:proofErr w:type="spellStart"/>
      <w:r w:rsidR="00473600" w:rsidRPr="00684C17">
        <w:rPr>
          <w:rFonts w:ascii="Palatino Linotype" w:hAnsi="Palatino Linotype"/>
          <w:sz w:val="20"/>
          <w:szCs w:val="20"/>
        </w:rPr>
        <w:t>φάτνη</w:t>
      </w:r>
      <w:proofErr w:type="spellEnd"/>
      <w:r w:rsidR="00473600" w:rsidRPr="00684C17">
        <w:rPr>
          <w:rFonts w:ascii="Palatino Linotype" w:hAnsi="Palatino Linotype"/>
          <w:sz w:val="20"/>
          <w:szCs w:val="20"/>
        </w:rPr>
        <w:t>).</w:t>
      </w:r>
      <w:r w:rsidR="00246605" w:rsidRPr="00684C17">
        <w:rPr>
          <w:rStyle w:val="Rimandonotaapidipagina"/>
          <w:rFonts w:ascii="Palatino Linotype" w:hAnsi="Palatino Linotype"/>
          <w:sz w:val="20"/>
          <w:szCs w:val="20"/>
        </w:rPr>
        <w:footnoteReference w:id="23"/>
      </w:r>
      <w:r w:rsidRPr="00684C17">
        <w:rPr>
          <w:rFonts w:ascii="Palatino Linotype" w:hAnsi="Palatino Linotype"/>
          <w:sz w:val="20"/>
          <w:szCs w:val="20"/>
        </w:rPr>
        <w:t xml:space="preserve"> </w:t>
      </w:r>
      <w:r w:rsidRPr="00684C17">
        <w:rPr>
          <w:rFonts w:ascii="Palatino Linotype" w:hAnsi="Palatino Linotype"/>
          <w:color w:val="0070C0"/>
          <w:sz w:val="20"/>
          <w:szCs w:val="20"/>
        </w:rPr>
        <w:t xml:space="preserve">Nella </w:t>
      </w:r>
      <w:proofErr w:type="spellStart"/>
      <w:r w:rsidRPr="00684C17">
        <w:rPr>
          <w:rFonts w:ascii="Palatino Linotype" w:hAnsi="Palatino Linotype"/>
          <w:color w:val="0070C0"/>
          <w:sz w:val="20"/>
          <w:szCs w:val="20"/>
        </w:rPr>
        <w:t>stessa</w:t>
      </w:r>
      <w:proofErr w:type="spellEnd"/>
      <w:r w:rsidRPr="00684C17">
        <w:rPr>
          <w:rFonts w:ascii="Palatino Linotype" w:hAnsi="Palatino Linotype"/>
          <w:color w:val="0070C0"/>
          <w:sz w:val="20"/>
          <w:szCs w:val="20"/>
        </w:rPr>
        <w:t xml:space="preserve"> </w:t>
      </w:r>
      <w:proofErr w:type="spellStart"/>
      <w:r w:rsidRPr="00684C17">
        <w:rPr>
          <w:rFonts w:ascii="Palatino Linotype" w:hAnsi="Palatino Linotype"/>
          <w:color w:val="0070C0"/>
          <w:sz w:val="20"/>
          <w:szCs w:val="20"/>
        </w:rPr>
        <w:t>omelia</w:t>
      </w:r>
      <w:proofErr w:type="spellEnd"/>
      <w:r w:rsidRPr="00684C17">
        <w:rPr>
          <w:rFonts w:ascii="Palatino Linotype" w:hAnsi="Palatino Linotype"/>
          <w:color w:val="0070C0"/>
          <w:sz w:val="20"/>
          <w:szCs w:val="20"/>
        </w:rPr>
        <w:t xml:space="preserve">, </w:t>
      </w:r>
      <w:proofErr w:type="spellStart"/>
      <w:r w:rsidRPr="00684C17">
        <w:rPr>
          <w:rFonts w:ascii="Palatino Linotype" w:hAnsi="Palatino Linotype"/>
          <w:color w:val="0070C0"/>
          <w:sz w:val="20"/>
          <w:szCs w:val="20"/>
        </w:rPr>
        <w:t>Sofronio</w:t>
      </w:r>
      <w:proofErr w:type="spellEnd"/>
      <w:r w:rsidRPr="00684C17">
        <w:rPr>
          <w:rFonts w:ascii="Palatino Linotype" w:hAnsi="Palatino Linotype"/>
          <w:color w:val="0070C0"/>
          <w:sz w:val="20"/>
          <w:szCs w:val="20"/>
        </w:rPr>
        <w:t xml:space="preserve"> </w:t>
      </w:r>
      <w:proofErr w:type="spellStart"/>
      <w:r w:rsidRPr="00684C17">
        <w:rPr>
          <w:rFonts w:ascii="Palatino Linotype" w:hAnsi="Palatino Linotype"/>
          <w:color w:val="0070C0"/>
          <w:sz w:val="20"/>
          <w:szCs w:val="20"/>
        </w:rPr>
        <w:t>impiega</w:t>
      </w:r>
      <w:proofErr w:type="spellEnd"/>
      <w:r w:rsidRPr="00684C17">
        <w:rPr>
          <w:rFonts w:ascii="Palatino Linotype" w:hAnsi="Palatino Linotype"/>
          <w:color w:val="0070C0"/>
          <w:sz w:val="20"/>
          <w:szCs w:val="20"/>
        </w:rPr>
        <w:t xml:space="preserve"> </w:t>
      </w:r>
      <w:proofErr w:type="spellStart"/>
      <w:r w:rsidRPr="00684C17">
        <w:rPr>
          <w:rFonts w:ascii="Palatino Linotype" w:hAnsi="Palatino Linotype"/>
          <w:color w:val="0070C0"/>
          <w:sz w:val="20"/>
          <w:szCs w:val="20"/>
        </w:rPr>
        <w:t>altrimenti</w:t>
      </w:r>
      <w:proofErr w:type="spellEnd"/>
      <w:r w:rsidRPr="00684C17">
        <w:rPr>
          <w:rFonts w:ascii="Palatino Linotype" w:hAnsi="Palatino Linotype"/>
          <w:color w:val="0070C0"/>
          <w:sz w:val="20"/>
          <w:szCs w:val="20"/>
        </w:rPr>
        <w:t xml:space="preserve"> </w:t>
      </w:r>
      <w:r w:rsidR="009A3807" w:rsidRPr="00684C17">
        <w:rPr>
          <w:rFonts w:ascii="Palatino Linotype" w:hAnsi="Palatino Linotype"/>
          <w:color w:val="0070C0"/>
          <w:sz w:val="20"/>
          <w:szCs w:val="20"/>
        </w:rPr>
        <w:t xml:space="preserve">in due </w:t>
      </w:r>
      <w:proofErr w:type="spellStart"/>
      <w:r w:rsidR="009A3807" w:rsidRPr="00684C17">
        <w:rPr>
          <w:rFonts w:ascii="Palatino Linotype" w:hAnsi="Palatino Linotype"/>
          <w:color w:val="0070C0"/>
          <w:sz w:val="20"/>
          <w:szCs w:val="20"/>
        </w:rPr>
        <w:t>casi</w:t>
      </w:r>
      <w:proofErr w:type="spellEnd"/>
      <w:r w:rsidR="009A3807" w:rsidRPr="00684C17">
        <w:rPr>
          <w:rFonts w:ascii="Palatino Linotype" w:hAnsi="Palatino Linotype"/>
          <w:color w:val="0070C0"/>
          <w:sz w:val="20"/>
          <w:szCs w:val="20"/>
        </w:rPr>
        <w:t xml:space="preserve"> </w:t>
      </w:r>
      <w:proofErr w:type="spellStart"/>
      <w:r w:rsidRPr="00684C17">
        <w:rPr>
          <w:rFonts w:ascii="Palatino Linotype" w:hAnsi="Palatino Linotype"/>
          <w:color w:val="0070C0"/>
          <w:sz w:val="20"/>
          <w:szCs w:val="20"/>
          <w:lang w:val="el-GR"/>
        </w:rPr>
        <w:t>θεοδόχος</w:t>
      </w:r>
      <w:proofErr w:type="spellEnd"/>
      <w:r w:rsidR="009A3807" w:rsidRPr="00684C17">
        <w:rPr>
          <w:rFonts w:ascii="Palatino Linotype" w:hAnsi="Palatino Linotype"/>
          <w:color w:val="0070C0"/>
          <w:sz w:val="20"/>
          <w:szCs w:val="20"/>
        </w:rPr>
        <w:t>.</w:t>
      </w:r>
      <w:r w:rsidR="009A3807" w:rsidRPr="00684C17">
        <w:rPr>
          <w:rStyle w:val="Rimandonotaapidipagina"/>
          <w:rFonts w:ascii="Palatino Linotype" w:hAnsi="Palatino Linotype"/>
          <w:color w:val="0070C0"/>
          <w:sz w:val="20"/>
          <w:szCs w:val="20"/>
        </w:rPr>
        <w:footnoteReference w:id="24"/>
      </w:r>
    </w:p>
    <w:p w:rsidR="00592E9D" w:rsidRPr="00684C17" w:rsidRDefault="00246605" w:rsidP="00592E9D">
      <w:pPr>
        <w:pStyle w:val="Nessunaspaziatura"/>
        <w:jc w:val="both"/>
        <w:rPr>
          <w:rFonts w:ascii="Palatino Linotype" w:hAnsi="Palatino Linotype"/>
          <w:color w:val="0070C0"/>
          <w:sz w:val="20"/>
          <w:szCs w:val="20"/>
          <w:lang w:val="it-IT"/>
        </w:rPr>
      </w:pPr>
      <w:r w:rsidRPr="00684C17">
        <w:rPr>
          <w:rFonts w:ascii="Palatino Linotype" w:hAnsi="Palatino Linotype"/>
          <w:sz w:val="20"/>
          <w:szCs w:val="20"/>
        </w:rPr>
        <w:lastRenderedPageBreak/>
        <w:t>What I find</w:t>
      </w:r>
      <w:r w:rsidR="008E7763" w:rsidRPr="00684C17">
        <w:rPr>
          <w:rFonts w:ascii="Palatino Linotype" w:hAnsi="Palatino Linotype"/>
          <w:sz w:val="20"/>
          <w:szCs w:val="20"/>
        </w:rPr>
        <w:t xml:space="preserve"> noteworthy,</w:t>
      </w:r>
      <w:r w:rsidR="00095272" w:rsidRPr="00684C17">
        <w:rPr>
          <w:rFonts w:ascii="Palatino Linotype" w:hAnsi="Palatino Linotype"/>
          <w:sz w:val="20"/>
          <w:szCs w:val="20"/>
        </w:rPr>
        <w:t xml:space="preserve"> </w:t>
      </w:r>
      <w:r w:rsidRPr="00684C17">
        <w:rPr>
          <w:rFonts w:ascii="Palatino Linotype" w:hAnsi="Palatino Linotype"/>
          <w:sz w:val="20"/>
          <w:szCs w:val="20"/>
        </w:rPr>
        <w:t xml:space="preserve">is that George and </w:t>
      </w:r>
      <w:proofErr w:type="spellStart"/>
      <w:r w:rsidRPr="00684C17">
        <w:rPr>
          <w:rFonts w:ascii="Palatino Linotype" w:hAnsi="Palatino Linotype"/>
          <w:sz w:val="20"/>
          <w:szCs w:val="20"/>
        </w:rPr>
        <w:t>Sophronius</w:t>
      </w:r>
      <w:proofErr w:type="spellEnd"/>
      <w:r w:rsidRPr="00684C17">
        <w:rPr>
          <w:rFonts w:ascii="Palatino Linotype" w:hAnsi="Palatino Linotype"/>
          <w:sz w:val="20"/>
          <w:szCs w:val="20"/>
        </w:rPr>
        <w:t xml:space="preserve"> </w:t>
      </w:r>
      <w:r w:rsidR="004D12C0" w:rsidRPr="00684C17">
        <w:rPr>
          <w:rFonts w:ascii="Palatino Linotype" w:hAnsi="Palatino Linotype"/>
          <w:sz w:val="20"/>
          <w:szCs w:val="20"/>
        </w:rPr>
        <w:t xml:space="preserve">probably </w:t>
      </w:r>
      <w:r w:rsidRPr="00684C17">
        <w:rPr>
          <w:rFonts w:ascii="Palatino Linotype" w:hAnsi="Palatino Linotype"/>
          <w:sz w:val="20"/>
          <w:szCs w:val="20"/>
        </w:rPr>
        <w:t>for the first time refer θ</w:t>
      </w:r>
      <w:proofErr w:type="spellStart"/>
      <w:r w:rsidRPr="00684C17">
        <w:rPr>
          <w:rFonts w:ascii="Palatino Linotype" w:hAnsi="Palatino Linotype"/>
          <w:sz w:val="20"/>
          <w:szCs w:val="20"/>
          <w:lang w:val="el-GR"/>
        </w:rPr>
        <w:t>εοδόχος</w:t>
      </w:r>
      <w:proofErr w:type="spellEnd"/>
      <w:r w:rsidRPr="00684C17">
        <w:rPr>
          <w:rFonts w:ascii="Palatino Linotype" w:hAnsi="Palatino Linotype"/>
          <w:sz w:val="20"/>
          <w:szCs w:val="20"/>
          <w:lang w:val="it-IT"/>
        </w:rPr>
        <w:t xml:space="preserve"> </w:t>
      </w:r>
      <w:r w:rsidR="00D85695" w:rsidRPr="00684C17">
        <w:rPr>
          <w:rFonts w:ascii="Palatino Linotype" w:hAnsi="Palatino Linotype"/>
          <w:sz w:val="20"/>
          <w:szCs w:val="20"/>
          <w:lang w:val="it-IT"/>
        </w:rPr>
        <w:t xml:space="preserve">so </w:t>
      </w:r>
      <w:proofErr w:type="spellStart"/>
      <w:r w:rsidR="00D85695" w:rsidRPr="00684C17">
        <w:rPr>
          <w:rFonts w:ascii="Palatino Linotype" w:hAnsi="Palatino Linotype"/>
          <w:sz w:val="20"/>
          <w:szCs w:val="20"/>
          <w:lang w:val="it-IT"/>
        </w:rPr>
        <w:t>precisely</w:t>
      </w:r>
      <w:proofErr w:type="spellEnd"/>
      <w:r w:rsidR="00D85695" w:rsidRPr="00684C17">
        <w:rPr>
          <w:rFonts w:ascii="Palatino Linotype" w:hAnsi="Palatino Linotype"/>
          <w:sz w:val="20"/>
          <w:szCs w:val="20"/>
          <w:lang w:val="it-IT"/>
        </w:rPr>
        <w:t xml:space="preserve"> </w:t>
      </w:r>
      <w:r w:rsidRPr="00684C17">
        <w:rPr>
          <w:rFonts w:ascii="Palatino Linotype" w:hAnsi="Palatino Linotype"/>
          <w:sz w:val="20"/>
          <w:szCs w:val="20"/>
          <w:lang w:val="it-IT"/>
        </w:rPr>
        <w:t xml:space="preserve">to the </w:t>
      </w:r>
      <w:proofErr w:type="spellStart"/>
      <w:r w:rsidRPr="00684C17">
        <w:rPr>
          <w:rFonts w:ascii="Palatino Linotype" w:hAnsi="Palatino Linotype"/>
          <w:sz w:val="20"/>
          <w:szCs w:val="20"/>
          <w:lang w:val="it-IT"/>
        </w:rPr>
        <w:t>Holy</w:t>
      </w:r>
      <w:proofErr w:type="spellEnd"/>
      <w:r w:rsidRPr="00684C17">
        <w:rPr>
          <w:rFonts w:ascii="Palatino Linotype" w:hAnsi="Palatino Linotype"/>
          <w:sz w:val="20"/>
          <w:szCs w:val="20"/>
          <w:lang w:val="it-IT"/>
        </w:rPr>
        <w:t xml:space="preserve"> </w:t>
      </w:r>
      <w:proofErr w:type="spellStart"/>
      <w:r w:rsidRPr="00684C17">
        <w:rPr>
          <w:rFonts w:ascii="Palatino Linotype" w:hAnsi="Palatino Linotype"/>
          <w:sz w:val="20"/>
          <w:szCs w:val="20"/>
          <w:lang w:val="it-IT"/>
        </w:rPr>
        <w:t>places</w:t>
      </w:r>
      <w:proofErr w:type="spellEnd"/>
      <w:r w:rsidRPr="00684C17">
        <w:rPr>
          <w:rFonts w:ascii="Palatino Linotype" w:hAnsi="Palatino Linotype"/>
          <w:sz w:val="20"/>
          <w:szCs w:val="20"/>
          <w:lang w:val="it-IT"/>
        </w:rPr>
        <w:t xml:space="preserve">: </w:t>
      </w:r>
      <w:r w:rsidRPr="00684C17">
        <w:rPr>
          <w:rFonts w:ascii="Palatino Linotype" w:hAnsi="Palatino Linotype"/>
          <w:color w:val="0070C0"/>
          <w:sz w:val="20"/>
          <w:szCs w:val="20"/>
          <w:lang w:val="it-IT"/>
        </w:rPr>
        <w:t xml:space="preserve">Giorgio lo fa in rapporto al </w:t>
      </w:r>
      <w:proofErr w:type="spellStart"/>
      <w:r w:rsidRPr="00684C17">
        <w:rPr>
          <w:rFonts w:ascii="Palatino Linotype" w:hAnsi="Palatino Linotype"/>
          <w:color w:val="0070C0"/>
          <w:sz w:val="20"/>
          <w:szCs w:val="20"/>
          <w:lang w:val="it-IT"/>
        </w:rPr>
        <w:t>Golgota</w:t>
      </w:r>
      <w:proofErr w:type="spellEnd"/>
      <w:r w:rsidRPr="00684C17">
        <w:rPr>
          <w:rFonts w:ascii="Palatino Linotype" w:hAnsi="Palatino Linotype"/>
          <w:color w:val="0070C0"/>
          <w:sz w:val="20"/>
          <w:szCs w:val="20"/>
          <w:lang w:val="it-IT"/>
        </w:rPr>
        <w:t xml:space="preserve">, che l’intera creazione chiama </w:t>
      </w:r>
      <w:proofErr w:type="spellStart"/>
      <w:r w:rsidRPr="00684C17">
        <w:rPr>
          <w:rFonts w:ascii="Palatino Linotype" w:hAnsi="Palatino Linotype"/>
          <w:color w:val="0070C0"/>
          <w:sz w:val="20"/>
          <w:szCs w:val="20"/>
          <w:lang w:val="el-GR"/>
        </w:rPr>
        <w:t>θεηδόχος</w:t>
      </w:r>
      <w:proofErr w:type="spellEnd"/>
      <w:r w:rsidRPr="00684C17">
        <w:rPr>
          <w:rFonts w:ascii="Palatino Linotype" w:hAnsi="Palatino Linotype"/>
          <w:color w:val="0070C0"/>
          <w:sz w:val="20"/>
          <w:szCs w:val="20"/>
          <w:lang w:val="it-IT"/>
        </w:rPr>
        <w:t>, Sofronio invece si rivolge ai luoghi della Natività di Betlemme.</w:t>
      </w:r>
      <w:r w:rsidR="000B24DD" w:rsidRPr="00684C17">
        <w:rPr>
          <w:rFonts w:ascii="Palatino Linotype" w:hAnsi="Palatino Linotype"/>
          <w:color w:val="0070C0"/>
          <w:sz w:val="20"/>
          <w:szCs w:val="20"/>
          <w:lang w:val="it-IT"/>
        </w:rPr>
        <w:t xml:space="preserve"> </w:t>
      </w:r>
    </w:p>
    <w:p w:rsidR="004D12C0" w:rsidRPr="001D3A32" w:rsidRDefault="00095272" w:rsidP="004D12C0">
      <w:pPr>
        <w:pStyle w:val="Nessunaspaziatura"/>
        <w:jc w:val="both"/>
        <w:rPr>
          <w:rFonts w:ascii="Palatino Linotype" w:hAnsi="Palatino Linotype"/>
          <w:color w:val="0070C0"/>
          <w:sz w:val="20"/>
          <w:szCs w:val="20"/>
          <w:lang w:val="it-IT"/>
        </w:rPr>
      </w:pPr>
      <w:r>
        <w:rPr>
          <w:rFonts w:ascii="Palatino Linotype" w:hAnsi="Palatino Linotype"/>
          <w:color w:val="0070C0"/>
          <w:sz w:val="20"/>
          <w:szCs w:val="20"/>
          <w:lang w:val="it-IT"/>
        </w:rPr>
        <w:t xml:space="preserve">Se l’uso in rapporto a luoghi visitati da </w:t>
      </w:r>
      <w:proofErr w:type="spellStart"/>
      <w:r>
        <w:rPr>
          <w:rFonts w:ascii="Palatino Linotype" w:hAnsi="Palatino Linotype"/>
          <w:color w:val="0070C0"/>
          <w:sz w:val="20"/>
          <w:szCs w:val="20"/>
          <w:lang w:val="it-IT"/>
        </w:rPr>
        <w:t>dèi</w:t>
      </w:r>
      <w:proofErr w:type="spellEnd"/>
      <w:r>
        <w:rPr>
          <w:rFonts w:ascii="Palatino Linotype" w:hAnsi="Palatino Linotype"/>
          <w:color w:val="0070C0"/>
          <w:sz w:val="20"/>
          <w:szCs w:val="20"/>
          <w:lang w:val="it-IT"/>
        </w:rPr>
        <w:t xml:space="preserve"> pagani è riconducibile a un solo passo delle </w:t>
      </w:r>
      <w:r w:rsidRPr="00095272">
        <w:rPr>
          <w:rFonts w:ascii="Palatino Linotype" w:hAnsi="Palatino Linotype"/>
          <w:i/>
          <w:iCs/>
          <w:color w:val="0070C0"/>
          <w:sz w:val="20"/>
          <w:szCs w:val="20"/>
          <w:lang w:val="it-IT"/>
        </w:rPr>
        <w:t xml:space="preserve">Dionisiache </w:t>
      </w:r>
      <w:r>
        <w:rPr>
          <w:rFonts w:ascii="Palatino Linotype" w:hAnsi="Palatino Linotype"/>
          <w:color w:val="0070C0"/>
          <w:sz w:val="20"/>
          <w:szCs w:val="20"/>
          <w:lang w:val="it-IT"/>
        </w:rPr>
        <w:t xml:space="preserve">di Nonno, tuttavia, anche in ambito </w:t>
      </w:r>
      <w:r w:rsidRPr="0065257D">
        <w:rPr>
          <w:rFonts w:ascii="Palatino Linotype" w:hAnsi="Palatino Linotype"/>
          <w:color w:val="0070C0"/>
          <w:sz w:val="20"/>
          <w:szCs w:val="20"/>
          <w:lang w:val="it-IT"/>
        </w:rPr>
        <w:t xml:space="preserve">cristiano si </w:t>
      </w:r>
      <w:r w:rsidRPr="001D3A32">
        <w:rPr>
          <w:rFonts w:ascii="Palatino Linotype" w:hAnsi="Palatino Linotype"/>
          <w:color w:val="0070C0"/>
          <w:sz w:val="20"/>
          <w:szCs w:val="20"/>
          <w:lang w:val="it-IT"/>
        </w:rPr>
        <w:t>potrebbe</w:t>
      </w:r>
      <w:r w:rsidR="00D85695" w:rsidRPr="001D3A32">
        <w:rPr>
          <w:rFonts w:ascii="Palatino Linotype" w:hAnsi="Palatino Linotype"/>
          <w:color w:val="0070C0"/>
          <w:sz w:val="20"/>
          <w:szCs w:val="20"/>
          <w:lang w:val="it-IT"/>
        </w:rPr>
        <w:t>ro</w:t>
      </w:r>
      <w:r w:rsidRPr="001D3A32">
        <w:rPr>
          <w:rFonts w:ascii="Palatino Linotype" w:hAnsi="Palatino Linotype"/>
          <w:color w:val="0070C0"/>
          <w:sz w:val="20"/>
          <w:szCs w:val="20"/>
          <w:lang w:val="it-IT"/>
        </w:rPr>
        <w:t xml:space="preserve"> ravvisare </w:t>
      </w:r>
      <w:r w:rsidR="00D85695" w:rsidRPr="001D3A32">
        <w:rPr>
          <w:rFonts w:ascii="Palatino Linotype" w:hAnsi="Palatino Linotype"/>
          <w:color w:val="0070C0"/>
          <w:sz w:val="20"/>
          <w:szCs w:val="20"/>
          <w:lang w:val="it-IT"/>
        </w:rPr>
        <w:t>due</w:t>
      </w:r>
      <w:r w:rsidRPr="001D3A32">
        <w:rPr>
          <w:rFonts w:ascii="Palatino Linotype" w:hAnsi="Palatino Linotype"/>
          <w:color w:val="0070C0"/>
          <w:sz w:val="20"/>
          <w:szCs w:val="20"/>
          <w:lang w:val="it-IT"/>
        </w:rPr>
        <w:t xml:space="preserve"> precedent</w:t>
      </w:r>
      <w:r w:rsidR="00D85695" w:rsidRPr="001D3A32">
        <w:rPr>
          <w:rFonts w:ascii="Palatino Linotype" w:hAnsi="Palatino Linotype"/>
          <w:color w:val="0070C0"/>
          <w:sz w:val="20"/>
          <w:szCs w:val="20"/>
          <w:lang w:val="it-IT"/>
        </w:rPr>
        <w:t>i, il primo</w:t>
      </w:r>
      <w:r w:rsidRPr="001D3A32">
        <w:rPr>
          <w:rFonts w:ascii="Palatino Linotype" w:hAnsi="Palatino Linotype"/>
          <w:color w:val="0070C0"/>
          <w:sz w:val="20"/>
          <w:szCs w:val="20"/>
          <w:lang w:val="it-IT"/>
        </w:rPr>
        <w:t xml:space="preserve"> nell’</w:t>
      </w:r>
      <w:r w:rsidRPr="001D3A32">
        <w:rPr>
          <w:rFonts w:ascii="Palatino Linotype" w:hAnsi="Palatino Linotype"/>
          <w:i/>
          <w:iCs/>
          <w:color w:val="0070C0"/>
          <w:sz w:val="20"/>
          <w:szCs w:val="20"/>
          <w:lang w:val="it-IT"/>
        </w:rPr>
        <w:t xml:space="preserve">Inventio crucis </w:t>
      </w:r>
      <w:r w:rsidRPr="001D3A32">
        <w:rPr>
          <w:rFonts w:ascii="Palatino Linotype" w:hAnsi="Palatino Linotype"/>
          <w:color w:val="0070C0"/>
          <w:sz w:val="20"/>
          <w:szCs w:val="20"/>
          <w:lang w:val="it-IT"/>
        </w:rPr>
        <w:t>d</w:t>
      </w:r>
      <w:r w:rsidR="00A37433" w:rsidRPr="001D3A32">
        <w:rPr>
          <w:rFonts w:ascii="Palatino Linotype" w:hAnsi="Palatino Linotype"/>
          <w:color w:val="0070C0"/>
          <w:sz w:val="20"/>
          <w:szCs w:val="20"/>
          <w:lang w:val="it-IT"/>
        </w:rPr>
        <w:t>el monaco</w:t>
      </w:r>
      <w:r w:rsidRPr="001D3A32">
        <w:rPr>
          <w:rFonts w:ascii="Palatino Linotype" w:hAnsi="Palatino Linotype"/>
          <w:color w:val="0070C0"/>
          <w:sz w:val="20"/>
          <w:szCs w:val="20"/>
          <w:lang w:val="it-IT"/>
        </w:rPr>
        <w:t xml:space="preserve"> </w:t>
      </w:r>
      <w:r w:rsidR="00DA4BF9" w:rsidRPr="001D3A32">
        <w:rPr>
          <w:rFonts w:ascii="Palatino Linotype" w:hAnsi="Palatino Linotype"/>
          <w:color w:val="0070C0"/>
          <w:sz w:val="20"/>
          <w:szCs w:val="20"/>
          <w:lang w:val="it-IT"/>
        </w:rPr>
        <w:t xml:space="preserve">cipriota </w:t>
      </w:r>
      <w:r w:rsidRPr="001D3A32">
        <w:rPr>
          <w:rFonts w:ascii="Palatino Linotype" w:hAnsi="Palatino Linotype"/>
          <w:color w:val="0070C0"/>
          <w:sz w:val="20"/>
          <w:szCs w:val="20"/>
          <w:lang w:val="it-IT"/>
        </w:rPr>
        <w:t>Alessandro, datata probabilmente al VI sec.</w:t>
      </w:r>
      <w:r w:rsidR="00D85695" w:rsidRPr="001D3A32">
        <w:rPr>
          <w:rFonts w:ascii="Palatino Linotype" w:hAnsi="Palatino Linotype"/>
          <w:color w:val="0070C0"/>
          <w:sz w:val="20"/>
          <w:szCs w:val="20"/>
          <w:lang w:val="it-IT"/>
        </w:rPr>
        <w:t>,</w:t>
      </w:r>
      <w:r w:rsidR="00D85695" w:rsidRPr="001D3A32">
        <w:rPr>
          <w:rStyle w:val="Rimandonotaapidipagina"/>
          <w:rFonts w:ascii="Palatino Linotype" w:hAnsi="Palatino Linotype"/>
          <w:color w:val="0070C0"/>
          <w:sz w:val="20"/>
          <w:szCs w:val="20"/>
          <w:lang w:val="it-IT"/>
        </w:rPr>
        <w:footnoteReference w:id="25"/>
      </w:r>
      <w:r w:rsidR="00D85695" w:rsidRPr="001D3A32">
        <w:rPr>
          <w:rFonts w:ascii="Palatino Linotype" w:hAnsi="Palatino Linotype"/>
          <w:color w:val="0070C0"/>
          <w:sz w:val="20"/>
          <w:szCs w:val="20"/>
          <w:lang w:val="it-IT"/>
        </w:rPr>
        <w:t xml:space="preserve"> il secondo nella </w:t>
      </w:r>
      <w:r w:rsidR="00D85695" w:rsidRPr="001D3A32">
        <w:rPr>
          <w:rFonts w:ascii="Palatino Linotype" w:hAnsi="Palatino Linotype"/>
          <w:i/>
          <w:iCs/>
          <w:color w:val="0070C0"/>
          <w:sz w:val="20"/>
          <w:szCs w:val="20"/>
          <w:lang w:val="it-IT"/>
        </w:rPr>
        <w:t xml:space="preserve">Vita </w:t>
      </w:r>
      <w:proofErr w:type="spellStart"/>
      <w:r w:rsidR="00D85695" w:rsidRPr="001D3A32">
        <w:rPr>
          <w:rFonts w:ascii="Palatino Linotype" w:hAnsi="Palatino Linotype"/>
          <w:i/>
          <w:iCs/>
          <w:color w:val="0070C0"/>
          <w:sz w:val="20"/>
          <w:szCs w:val="20"/>
          <w:lang w:val="it-IT"/>
        </w:rPr>
        <w:t>Sabae</w:t>
      </w:r>
      <w:proofErr w:type="spellEnd"/>
      <w:r w:rsidR="00D85695" w:rsidRPr="001D3A32">
        <w:rPr>
          <w:rFonts w:ascii="Palatino Linotype" w:hAnsi="Palatino Linotype"/>
          <w:color w:val="0070C0"/>
          <w:sz w:val="20"/>
          <w:szCs w:val="20"/>
          <w:lang w:val="it-IT"/>
        </w:rPr>
        <w:t xml:space="preserve"> di Cirillo di </w:t>
      </w:r>
      <w:proofErr w:type="spellStart"/>
      <w:r w:rsidR="00D85695" w:rsidRPr="001D3A32">
        <w:rPr>
          <w:rFonts w:ascii="Palatino Linotype" w:hAnsi="Palatino Linotype"/>
          <w:color w:val="0070C0"/>
          <w:sz w:val="20"/>
          <w:szCs w:val="20"/>
          <w:lang w:val="it-IT"/>
        </w:rPr>
        <w:t>Scitopoli</w:t>
      </w:r>
      <w:proofErr w:type="spellEnd"/>
      <w:r w:rsidR="003B4C9C">
        <w:rPr>
          <w:rFonts w:ascii="Palatino Linotype" w:hAnsi="Palatino Linotype"/>
          <w:color w:val="0070C0"/>
          <w:sz w:val="20"/>
          <w:szCs w:val="20"/>
          <w:lang w:val="it-IT"/>
        </w:rPr>
        <w:t>, anch’essa di VI sec.</w:t>
      </w:r>
      <w:r w:rsidR="001D3A32">
        <w:rPr>
          <w:rStyle w:val="Rimandonotaapidipagina"/>
          <w:rFonts w:ascii="Palatino Linotype" w:hAnsi="Palatino Linotype"/>
          <w:color w:val="0070C0"/>
          <w:sz w:val="20"/>
          <w:szCs w:val="20"/>
          <w:lang w:val="it-IT"/>
        </w:rPr>
        <w:footnoteReference w:id="26"/>
      </w:r>
    </w:p>
    <w:p w:rsidR="005F2AC6" w:rsidRDefault="005F2AC6" w:rsidP="00592E9D">
      <w:pPr>
        <w:pStyle w:val="Nessunaspaziatura"/>
        <w:jc w:val="both"/>
        <w:rPr>
          <w:rFonts w:ascii="Palatino Linotype" w:hAnsi="Palatino Linotype"/>
          <w:color w:val="0070C0"/>
          <w:sz w:val="20"/>
          <w:szCs w:val="20"/>
          <w:lang w:val="it-IT"/>
        </w:rPr>
      </w:pPr>
    </w:p>
    <w:p w:rsidR="005F2AC6" w:rsidRPr="005F2AC6" w:rsidRDefault="005F2AC6" w:rsidP="00592E9D">
      <w:pPr>
        <w:pStyle w:val="Nessunaspaziatura"/>
        <w:jc w:val="both"/>
        <w:rPr>
          <w:rFonts w:ascii="Palatino Linotype" w:hAnsi="Palatino Linotype"/>
          <w:b/>
          <w:bCs/>
          <w:color w:val="000000" w:themeColor="text1"/>
          <w:sz w:val="20"/>
          <w:szCs w:val="20"/>
          <w:lang w:val="it-IT"/>
        </w:rPr>
      </w:pPr>
      <w:r w:rsidRPr="005F2AC6">
        <w:rPr>
          <w:rFonts w:ascii="Palatino Linotype" w:hAnsi="Palatino Linotype"/>
          <w:b/>
          <w:bCs/>
          <w:color w:val="000000" w:themeColor="text1"/>
          <w:sz w:val="20"/>
          <w:szCs w:val="20"/>
          <w:lang w:val="it-IT"/>
        </w:rPr>
        <w:t xml:space="preserve">4. </w:t>
      </w:r>
      <w:proofErr w:type="spellStart"/>
      <w:r w:rsidRPr="005F2AC6">
        <w:rPr>
          <w:rFonts w:ascii="Palatino Linotype" w:hAnsi="Palatino Linotype"/>
          <w:b/>
          <w:bCs/>
          <w:color w:val="000000" w:themeColor="text1"/>
          <w:sz w:val="20"/>
          <w:szCs w:val="20"/>
          <w:lang w:val="it-IT"/>
        </w:rPr>
        <w:t>Final</w:t>
      </w:r>
      <w:proofErr w:type="spellEnd"/>
      <w:r w:rsidRPr="005F2AC6">
        <w:rPr>
          <w:rFonts w:ascii="Palatino Linotype" w:hAnsi="Palatino Linotype"/>
          <w:b/>
          <w:bCs/>
          <w:color w:val="000000" w:themeColor="text1"/>
          <w:sz w:val="20"/>
          <w:szCs w:val="20"/>
          <w:lang w:val="it-IT"/>
        </w:rPr>
        <w:t xml:space="preserve"> </w:t>
      </w:r>
      <w:proofErr w:type="spellStart"/>
      <w:r w:rsidRPr="005F2AC6">
        <w:rPr>
          <w:rFonts w:ascii="Palatino Linotype" w:hAnsi="Palatino Linotype"/>
          <w:b/>
          <w:bCs/>
          <w:color w:val="000000" w:themeColor="text1"/>
          <w:sz w:val="20"/>
          <w:szCs w:val="20"/>
          <w:lang w:val="it-IT"/>
        </w:rPr>
        <w:t>remarks</w:t>
      </w:r>
      <w:proofErr w:type="spellEnd"/>
    </w:p>
    <w:p w:rsidR="005F2AC6" w:rsidRDefault="005F2AC6" w:rsidP="00592E9D">
      <w:pPr>
        <w:pStyle w:val="Nessunaspaziatura"/>
        <w:jc w:val="both"/>
        <w:rPr>
          <w:rFonts w:ascii="Palatino Linotype" w:hAnsi="Palatino Linotype"/>
          <w:color w:val="0070C0"/>
          <w:sz w:val="20"/>
          <w:szCs w:val="20"/>
          <w:lang w:val="it-IT"/>
        </w:rPr>
      </w:pPr>
    </w:p>
    <w:p w:rsidR="00D558AC" w:rsidRPr="00823E23" w:rsidRDefault="00D462B6" w:rsidP="00592E9D">
      <w:pPr>
        <w:pStyle w:val="Nessunaspaziatura"/>
        <w:jc w:val="both"/>
        <w:rPr>
          <w:rFonts w:ascii="Palatino Linotype" w:hAnsi="Palatino Linotype"/>
          <w:color w:val="0070C0"/>
          <w:sz w:val="20"/>
          <w:szCs w:val="20"/>
        </w:rPr>
      </w:pPr>
      <w:r>
        <w:rPr>
          <w:rFonts w:ascii="Palatino Linotype" w:hAnsi="Palatino Linotype"/>
          <w:sz w:val="20"/>
          <w:szCs w:val="20"/>
          <w:lang w:val="it-IT"/>
        </w:rPr>
        <w:t>T</w:t>
      </w:r>
      <w:r w:rsidR="00473600" w:rsidRPr="00592E9D">
        <w:rPr>
          <w:rFonts w:ascii="Palatino Linotype" w:hAnsi="Palatino Linotype"/>
          <w:sz w:val="20"/>
          <w:szCs w:val="20"/>
        </w:rPr>
        <w:t>he recurrence of motive of</w:t>
      </w:r>
      <w:r w:rsidR="00095272">
        <w:rPr>
          <w:rFonts w:ascii="Palatino Linotype" w:hAnsi="Palatino Linotype"/>
          <w:sz w:val="20"/>
          <w:szCs w:val="20"/>
        </w:rPr>
        <w:t xml:space="preserve"> the </w:t>
      </w:r>
      <w:proofErr w:type="spellStart"/>
      <w:r w:rsidR="00604B01" w:rsidRPr="00604B01">
        <w:rPr>
          <w:rFonts w:ascii="Palatino Linotype" w:hAnsi="Palatino Linotype"/>
          <w:color w:val="000000" w:themeColor="text1"/>
          <w:sz w:val="20"/>
          <w:szCs w:val="20"/>
          <w:lang w:val="el-GR"/>
        </w:rPr>
        <w:t>θεοδόχος</w:t>
      </w:r>
      <w:proofErr w:type="spellEnd"/>
      <w:r w:rsidR="00604B01" w:rsidRPr="00604B01">
        <w:rPr>
          <w:rFonts w:ascii="Palatino Linotype" w:hAnsi="Palatino Linotype"/>
          <w:color w:val="000000" w:themeColor="text1"/>
          <w:sz w:val="20"/>
          <w:szCs w:val="20"/>
          <w:lang w:val="it-IT"/>
        </w:rPr>
        <w:t xml:space="preserve"> </w:t>
      </w:r>
      <w:r w:rsidR="00095272">
        <w:rPr>
          <w:rFonts w:ascii="Palatino Linotype" w:hAnsi="Palatino Linotype"/>
          <w:sz w:val="20"/>
          <w:szCs w:val="20"/>
        </w:rPr>
        <w:t>Land</w:t>
      </w:r>
      <w:r w:rsidR="00473600" w:rsidRPr="00592E9D">
        <w:rPr>
          <w:rFonts w:ascii="Palatino Linotype" w:hAnsi="Palatino Linotype"/>
          <w:sz w:val="20"/>
          <w:szCs w:val="20"/>
        </w:rPr>
        <w:t xml:space="preserve"> </w:t>
      </w:r>
      <w:r w:rsidR="00654550" w:rsidRPr="00604B01">
        <w:rPr>
          <w:rFonts w:ascii="Palatino Linotype" w:hAnsi="Palatino Linotype"/>
          <w:color w:val="000000" w:themeColor="text1"/>
          <w:sz w:val="20"/>
          <w:szCs w:val="20"/>
        </w:rPr>
        <w:t xml:space="preserve">at </w:t>
      </w:r>
      <w:proofErr w:type="spellStart"/>
      <w:r w:rsidR="00654550">
        <w:rPr>
          <w:rFonts w:ascii="Palatino Linotype" w:hAnsi="Palatino Linotype"/>
          <w:sz w:val="20"/>
          <w:szCs w:val="20"/>
        </w:rPr>
        <w:t>Sophronius</w:t>
      </w:r>
      <w:proofErr w:type="spellEnd"/>
      <w:r w:rsidR="00654550">
        <w:rPr>
          <w:rFonts w:ascii="Palatino Linotype" w:hAnsi="Palatino Linotype"/>
          <w:sz w:val="20"/>
          <w:szCs w:val="20"/>
        </w:rPr>
        <w:t>’ and George’s time</w:t>
      </w:r>
      <w:r w:rsidR="00095272">
        <w:rPr>
          <w:rFonts w:ascii="Palatino Linotype" w:hAnsi="Palatino Linotype"/>
          <w:sz w:val="20"/>
          <w:szCs w:val="20"/>
        </w:rPr>
        <w:t xml:space="preserve"> </w:t>
      </w:r>
      <w:r w:rsidR="00473600" w:rsidRPr="00592E9D">
        <w:rPr>
          <w:rFonts w:ascii="Palatino Linotype" w:hAnsi="Palatino Linotype"/>
          <w:sz w:val="20"/>
          <w:szCs w:val="20"/>
        </w:rPr>
        <w:t xml:space="preserve">in reference to Bethlehem and Golgotha, is </w:t>
      </w:r>
      <w:r w:rsidR="00AC40CF">
        <w:rPr>
          <w:rFonts w:ascii="Palatino Linotype" w:hAnsi="Palatino Linotype"/>
          <w:sz w:val="20"/>
          <w:szCs w:val="20"/>
        </w:rPr>
        <w:t xml:space="preserve">a </w:t>
      </w:r>
      <w:proofErr w:type="spellStart"/>
      <w:r w:rsidR="00AC40CF">
        <w:rPr>
          <w:rFonts w:ascii="Palatino Linotype" w:hAnsi="Palatino Linotype"/>
          <w:sz w:val="20"/>
          <w:szCs w:val="20"/>
        </w:rPr>
        <w:t>microstylistic</w:t>
      </w:r>
      <w:proofErr w:type="spellEnd"/>
      <w:r w:rsidR="00AC40CF">
        <w:rPr>
          <w:rFonts w:ascii="Palatino Linotype" w:hAnsi="Palatino Linotype"/>
          <w:sz w:val="20"/>
          <w:szCs w:val="20"/>
        </w:rPr>
        <w:t xml:space="preserve"> indicator </w:t>
      </w:r>
      <w:r w:rsidR="00473600" w:rsidRPr="00592E9D">
        <w:rPr>
          <w:rFonts w:ascii="Palatino Linotype" w:hAnsi="Palatino Linotype"/>
          <w:sz w:val="20"/>
          <w:szCs w:val="20"/>
        </w:rPr>
        <w:t>of the</w:t>
      </w:r>
      <w:r w:rsidR="00604B01" w:rsidRPr="00604B01">
        <w:rPr>
          <w:rFonts w:ascii="Palatino Linotype" w:hAnsi="Palatino Linotype"/>
          <w:sz w:val="20"/>
          <w:szCs w:val="20"/>
          <w:lang w:val="it-IT"/>
        </w:rPr>
        <w:t xml:space="preserve"> </w:t>
      </w:r>
      <w:r w:rsidR="00473600" w:rsidRPr="00592E9D">
        <w:rPr>
          <w:rFonts w:ascii="Palatino Linotype" w:hAnsi="Palatino Linotype"/>
          <w:sz w:val="20"/>
          <w:szCs w:val="20"/>
        </w:rPr>
        <w:t xml:space="preserve">attention that religious literature </w:t>
      </w:r>
      <w:r w:rsidR="00592E9D">
        <w:rPr>
          <w:rFonts w:ascii="Palatino Linotype" w:hAnsi="Palatino Linotype"/>
          <w:sz w:val="20"/>
          <w:szCs w:val="20"/>
        </w:rPr>
        <w:t>of</w:t>
      </w:r>
      <w:r w:rsidR="00473600" w:rsidRPr="00592E9D">
        <w:rPr>
          <w:rFonts w:ascii="Palatino Linotype" w:hAnsi="Palatino Linotype"/>
          <w:sz w:val="20"/>
          <w:szCs w:val="20"/>
        </w:rPr>
        <w:t xml:space="preserve"> the period</w:t>
      </w:r>
      <w:r w:rsidR="00592E9D">
        <w:rPr>
          <w:rFonts w:ascii="Palatino Linotype" w:hAnsi="Palatino Linotype"/>
          <w:sz w:val="20"/>
          <w:szCs w:val="20"/>
        </w:rPr>
        <w:t xml:space="preserve"> gave to the topic of</w:t>
      </w:r>
      <w:r w:rsidR="00473600" w:rsidRPr="00592E9D">
        <w:rPr>
          <w:rFonts w:ascii="Palatino Linotype" w:hAnsi="Palatino Linotype"/>
          <w:sz w:val="20"/>
          <w:szCs w:val="20"/>
        </w:rPr>
        <w:t xml:space="preserve"> Incarnation and</w:t>
      </w:r>
      <w:r w:rsidR="00592E9D">
        <w:rPr>
          <w:rFonts w:ascii="Palatino Linotype" w:hAnsi="Palatino Linotype"/>
          <w:sz w:val="20"/>
          <w:szCs w:val="20"/>
        </w:rPr>
        <w:t xml:space="preserve"> to</w:t>
      </w:r>
      <w:r w:rsidR="00473600" w:rsidRPr="00592E9D">
        <w:rPr>
          <w:rFonts w:ascii="Palatino Linotype" w:hAnsi="Palatino Linotype"/>
          <w:sz w:val="20"/>
          <w:szCs w:val="20"/>
        </w:rPr>
        <w:t xml:space="preserve"> the holy places of Jerusalem and Bethlehem</w:t>
      </w:r>
      <w:r w:rsidR="00592E9D">
        <w:rPr>
          <w:rFonts w:ascii="Palatino Linotype" w:hAnsi="Palatino Linotype"/>
          <w:sz w:val="20"/>
          <w:szCs w:val="20"/>
        </w:rPr>
        <w:t>,</w:t>
      </w:r>
      <w:r w:rsidR="00473600" w:rsidRPr="00592E9D">
        <w:rPr>
          <w:rFonts w:ascii="Palatino Linotype" w:hAnsi="Palatino Linotype"/>
          <w:sz w:val="20"/>
          <w:szCs w:val="20"/>
        </w:rPr>
        <w:t xml:space="preserve"> just at the moment when they ran the strong risk, which later became a reality, of it passing into the hands of the enemy and under the control of infidels. Mor</w:t>
      </w:r>
      <w:bookmarkStart w:id="0" w:name="_GoBack"/>
      <w:bookmarkEnd w:id="0"/>
      <w:r w:rsidR="00473600" w:rsidRPr="00592E9D">
        <w:rPr>
          <w:rFonts w:ascii="Palatino Linotype" w:hAnsi="Palatino Linotype"/>
          <w:sz w:val="20"/>
          <w:szCs w:val="20"/>
        </w:rPr>
        <w:t xml:space="preserve">eover, with this </w:t>
      </w:r>
      <w:proofErr w:type="spellStart"/>
      <w:r w:rsidR="00473600" w:rsidRPr="00592E9D">
        <w:rPr>
          <w:rFonts w:ascii="Palatino Linotype" w:hAnsi="Palatino Linotype"/>
          <w:sz w:val="20"/>
          <w:szCs w:val="20"/>
        </w:rPr>
        <w:t>adjectivation</w:t>
      </w:r>
      <w:proofErr w:type="spellEnd"/>
      <w:r w:rsidR="00473600" w:rsidRPr="00592E9D">
        <w:rPr>
          <w:rFonts w:ascii="Palatino Linotype" w:hAnsi="Palatino Linotype"/>
          <w:sz w:val="20"/>
          <w:szCs w:val="20"/>
        </w:rPr>
        <w:t xml:space="preserve"> George</w:t>
      </w:r>
      <w:r w:rsidR="00F83FD7" w:rsidRPr="00F83FD7">
        <w:rPr>
          <w:rFonts w:ascii="Palatino Linotype" w:hAnsi="Palatino Linotype"/>
          <w:sz w:val="20"/>
          <w:szCs w:val="20"/>
        </w:rPr>
        <w:t xml:space="preserve"> and </w:t>
      </w:r>
      <w:proofErr w:type="spellStart"/>
      <w:r w:rsidR="00F83FD7">
        <w:rPr>
          <w:rFonts w:ascii="Palatino Linotype" w:hAnsi="Palatino Linotype"/>
          <w:sz w:val="20"/>
          <w:szCs w:val="20"/>
        </w:rPr>
        <w:t>Sophronius</w:t>
      </w:r>
      <w:proofErr w:type="spellEnd"/>
      <w:r w:rsidR="00473600" w:rsidRPr="00592E9D">
        <w:rPr>
          <w:rFonts w:ascii="Palatino Linotype" w:hAnsi="Palatino Linotype"/>
          <w:sz w:val="20"/>
          <w:szCs w:val="20"/>
        </w:rPr>
        <w:t xml:space="preserve"> w</w:t>
      </w:r>
      <w:r w:rsidR="00F83FD7">
        <w:rPr>
          <w:rFonts w:ascii="Palatino Linotype" w:hAnsi="Palatino Linotype"/>
          <w:sz w:val="20"/>
          <w:szCs w:val="20"/>
        </w:rPr>
        <w:t>ere</w:t>
      </w:r>
      <w:r w:rsidR="00473600" w:rsidRPr="00592E9D">
        <w:rPr>
          <w:rFonts w:ascii="Palatino Linotype" w:hAnsi="Palatino Linotype"/>
          <w:sz w:val="20"/>
          <w:szCs w:val="20"/>
        </w:rPr>
        <w:t xml:space="preserve"> insisting on an identity reason of Christianity, during a time in which Jews and Persians of Zoroastrian faith, saw Incarnation and the mixture of human with divine as an abomination. In this context, the undisputed originality of Pisidia was to decline </w:t>
      </w:r>
      <w:proofErr w:type="spellStart"/>
      <w:r w:rsidR="00473600" w:rsidRPr="00592E9D">
        <w:rPr>
          <w:rFonts w:ascii="Palatino Linotype" w:hAnsi="Palatino Linotype"/>
          <w:sz w:val="20"/>
          <w:szCs w:val="20"/>
        </w:rPr>
        <w:t>θεηδόχος</w:t>
      </w:r>
      <w:proofErr w:type="spellEnd"/>
      <w:r w:rsidR="00F83FD7">
        <w:rPr>
          <w:rFonts w:ascii="Palatino Linotype" w:hAnsi="Palatino Linotype"/>
          <w:sz w:val="20"/>
          <w:szCs w:val="20"/>
        </w:rPr>
        <w:t>/</w:t>
      </w:r>
      <w:proofErr w:type="spellStart"/>
      <w:r w:rsidR="00F83FD7">
        <w:rPr>
          <w:rFonts w:ascii="Palatino Linotype" w:hAnsi="Palatino Linotype"/>
          <w:sz w:val="20"/>
          <w:szCs w:val="20"/>
          <w:lang w:val="el-GR"/>
        </w:rPr>
        <w:t>θεοδόχος</w:t>
      </w:r>
      <w:proofErr w:type="spellEnd"/>
      <w:r w:rsidR="00473600" w:rsidRPr="00592E9D">
        <w:rPr>
          <w:rFonts w:ascii="Palatino Linotype" w:hAnsi="Palatino Linotype"/>
          <w:sz w:val="20"/>
          <w:szCs w:val="20"/>
        </w:rPr>
        <w:t xml:space="preserve"> in relation to Golgotha, just as </w:t>
      </w:r>
      <w:proofErr w:type="spellStart"/>
      <w:r w:rsidR="00473600" w:rsidRPr="00592E9D">
        <w:rPr>
          <w:rFonts w:ascii="Palatino Linotype" w:hAnsi="Palatino Linotype"/>
          <w:sz w:val="20"/>
          <w:szCs w:val="20"/>
        </w:rPr>
        <w:t>Sophronius</w:t>
      </w:r>
      <w:proofErr w:type="spellEnd"/>
      <w:r w:rsidR="00473600" w:rsidRPr="00592E9D">
        <w:rPr>
          <w:rFonts w:ascii="Palatino Linotype" w:hAnsi="Palatino Linotype"/>
          <w:sz w:val="20"/>
          <w:szCs w:val="20"/>
        </w:rPr>
        <w:t xml:space="preserve"> would have done for Bethlehem, another central and archetypal place of Incarnation.</w:t>
      </w:r>
    </w:p>
    <w:p w:rsidR="00A970E2" w:rsidRPr="00592E9D" w:rsidRDefault="00473600" w:rsidP="00592E9D">
      <w:pPr>
        <w:pStyle w:val="Nessunaspaziatura"/>
        <w:jc w:val="both"/>
        <w:rPr>
          <w:rFonts w:ascii="Palatino Linotype" w:hAnsi="Palatino Linotype"/>
          <w:sz w:val="20"/>
          <w:szCs w:val="20"/>
        </w:rPr>
      </w:pPr>
      <w:r w:rsidRPr="00592E9D">
        <w:rPr>
          <w:rFonts w:ascii="Palatino Linotype" w:hAnsi="Palatino Linotype"/>
          <w:sz w:val="20"/>
          <w:szCs w:val="20"/>
        </w:rPr>
        <w:t xml:space="preserve">As </w:t>
      </w:r>
      <w:r w:rsidR="000A05EB">
        <w:rPr>
          <w:rFonts w:ascii="Palatino Linotype" w:hAnsi="Palatino Linotype"/>
          <w:sz w:val="20"/>
          <w:szCs w:val="20"/>
        </w:rPr>
        <w:t xml:space="preserve">it is well known, </w:t>
      </w:r>
      <w:r w:rsidRPr="00592E9D">
        <w:rPr>
          <w:rFonts w:ascii="Palatino Linotype" w:hAnsi="Palatino Linotype"/>
          <w:sz w:val="20"/>
          <w:szCs w:val="20"/>
        </w:rPr>
        <w:t xml:space="preserve">the reason for the reconquest of the Holy Land, the one that George and </w:t>
      </w:r>
      <w:proofErr w:type="spellStart"/>
      <w:r w:rsidRPr="00592E9D">
        <w:rPr>
          <w:rFonts w:ascii="Palatino Linotype" w:hAnsi="Palatino Linotype"/>
          <w:sz w:val="20"/>
          <w:szCs w:val="20"/>
        </w:rPr>
        <w:t>Sophronius</w:t>
      </w:r>
      <w:proofErr w:type="spellEnd"/>
      <w:r w:rsidR="00095272">
        <w:rPr>
          <w:rFonts w:ascii="Palatino Linotype" w:hAnsi="Palatino Linotype"/>
          <w:sz w:val="20"/>
          <w:szCs w:val="20"/>
        </w:rPr>
        <w:t>, even with different nuances,</w:t>
      </w:r>
      <w:r w:rsidRPr="00592E9D">
        <w:rPr>
          <w:rFonts w:ascii="Palatino Linotype" w:hAnsi="Palatino Linotype"/>
          <w:sz w:val="20"/>
          <w:szCs w:val="20"/>
        </w:rPr>
        <w:t xml:space="preserve"> had originally called </w:t>
      </w:r>
      <w:proofErr w:type="spellStart"/>
      <w:r w:rsidRPr="00592E9D">
        <w:rPr>
          <w:rFonts w:ascii="Palatino Linotype" w:hAnsi="Palatino Linotype"/>
          <w:sz w:val="20"/>
          <w:szCs w:val="20"/>
        </w:rPr>
        <w:t>θεηδόχος</w:t>
      </w:r>
      <w:proofErr w:type="spellEnd"/>
      <w:r w:rsidRPr="00592E9D">
        <w:rPr>
          <w:rFonts w:ascii="Palatino Linotype" w:hAnsi="Palatino Linotype"/>
          <w:sz w:val="20"/>
          <w:szCs w:val="20"/>
        </w:rPr>
        <w:t xml:space="preserve">, and a modern thinker like Ernest Renan even called "the Fifth Gospel", would have been the basis of Western propaganda for the Crusades, but with the victory of Saladin at Hattin (1187) even the </w:t>
      </w:r>
      <w:proofErr w:type="spellStart"/>
      <w:r w:rsidRPr="00592E9D">
        <w:rPr>
          <w:rFonts w:ascii="Palatino Linotype" w:hAnsi="Palatino Linotype"/>
          <w:sz w:val="20"/>
          <w:szCs w:val="20"/>
        </w:rPr>
        <w:t>hierosolymitan</w:t>
      </w:r>
      <w:proofErr w:type="spellEnd"/>
      <w:r w:rsidRPr="00592E9D">
        <w:rPr>
          <w:rFonts w:ascii="Palatino Linotype" w:hAnsi="Palatino Linotype"/>
          <w:sz w:val="20"/>
          <w:szCs w:val="20"/>
        </w:rPr>
        <w:t xml:space="preserve"> relics of the True Cross would have been lost forever. Not those preserved in Constantinople and scattered in various Catholic and Orthodox places of worship. Christianity, western and eastern, resigned, after the fall of St. John of Acres in 1291, to reality, which saw Jerusalem, the Golgotha and the</w:t>
      </w:r>
      <w:r w:rsidR="00111BBB" w:rsidRPr="00592E9D">
        <w:rPr>
          <w:rFonts w:ascii="Palatino Linotype" w:hAnsi="Palatino Linotype"/>
          <w:sz w:val="20"/>
          <w:szCs w:val="20"/>
        </w:rPr>
        <w:t xml:space="preserve"> </w:t>
      </w:r>
      <w:r w:rsidRPr="00592E9D">
        <w:rPr>
          <w:rFonts w:ascii="Palatino Linotype" w:hAnsi="Palatino Linotype"/>
          <w:i/>
          <w:sz w:val="20"/>
          <w:szCs w:val="20"/>
        </w:rPr>
        <w:t>Anastasi</w:t>
      </w:r>
      <w:r w:rsidRPr="00592E9D">
        <w:rPr>
          <w:rFonts w:ascii="Palatino Linotype" w:hAnsi="Palatino Linotype"/>
          <w:sz w:val="20"/>
          <w:szCs w:val="20"/>
        </w:rPr>
        <w:t xml:space="preserve"> Church, in Muslim hands, but continue to practice the adoration </w:t>
      </w:r>
      <w:r w:rsidR="005F2AC6">
        <w:rPr>
          <w:rFonts w:ascii="Palatino Linotype" w:hAnsi="Palatino Linotype"/>
          <w:sz w:val="20"/>
          <w:szCs w:val="20"/>
        </w:rPr>
        <w:t xml:space="preserve">of </w:t>
      </w:r>
      <w:r w:rsidRPr="00592E9D">
        <w:rPr>
          <w:rFonts w:ascii="Palatino Linotype" w:hAnsi="Palatino Linotype"/>
          <w:sz w:val="20"/>
          <w:szCs w:val="20"/>
        </w:rPr>
        <w:t>the Cross, as evidenced</w:t>
      </w:r>
      <w:r w:rsidR="00111BBB" w:rsidRPr="00592E9D">
        <w:rPr>
          <w:rFonts w:ascii="Palatino Linotype" w:hAnsi="Palatino Linotype"/>
          <w:sz w:val="20"/>
          <w:szCs w:val="20"/>
        </w:rPr>
        <w:t xml:space="preserve"> by the many dedicated churches.</w:t>
      </w:r>
      <w:r w:rsidR="005E3064">
        <w:rPr>
          <w:rFonts w:ascii="Palatino Linotype" w:hAnsi="Palatino Linotype"/>
          <w:sz w:val="20"/>
          <w:szCs w:val="20"/>
        </w:rPr>
        <w:t xml:space="preserve"> </w:t>
      </w:r>
      <w:r w:rsidR="005E3064" w:rsidRPr="005E3064">
        <w:rPr>
          <w:rFonts w:ascii="Palatino Linotype" w:hAnsi="Palatino Linotype"/>
          <w:color w:val="0070C0"/>
          <w:sz w:val="20"/>
          <w:szCs w:val="20"/>
        </w:rPr>
        <w:t xml:space="preserve">A </w:t>
      </w:r>
      <w:proofErr w:type="spellStart"/>
      <w:r w:rsidR="005E3064" w:rsidRPr="005E3064">
        <w:rPr>
          <w:rFonts w:ascii="Palatino Linotype" w:hAnsi="Palatino Linotype"/>
          <w:color w:val="0070C0"/>
          <w:sz w:val="20"/>
          <w:szCs w:val="20"/>
        </w:rPr>
        <w:t>fregiarsi</w:t>
      </w:r>
      <w:proofErr w:type="spellEnd"/>
      <w:r w:rsidR="005E3064" w:rsidRPr="005E3064">
        <w:rPr>
          <w:rFonts w:ascii="Palatino Linotype" w:hAnsi="Palatino Linotype"/>
          <w:color w:val="0070C0"/>
          <w:sz w:val="20"/>
          <w:szCs w:val="20"/>
        </w:rPr>
        <w:t xml:space="preserve"> del </w:t>
      </w:r>
      <w:proofErr w:type="spellStart"/>
      <w:r w:rsidR="005E3064" w:rsidRPr="005E3064">
        <w:rPr>
          <w:rFonts w:ascii="Palatino Linotype" w:hAnsi="Palatino Linotype"/>
          <w:color w:val="0070C0"/>
          <w:sz w:val="20"/>
          <w:szCs w:val="20"/>
        </w:rPr>
        <w:t>titolo</w:t>
      </w:r>
      <w:proofErr w:type="spellEnd"/>
      <w:r w:rsidR="005E3064" w:rsidRPr="005E3064">
        <w:rPr>
          <w:rFonts w:ascii="Palatino Linotype" w:hAnsi="Palatino Linotype"/>
          <w:color w:val="0070C0"/>
          <w:sz w:val="20"/>
          <w:szCs w:val="20"/>
        </w:rPr>
        <w:t xml:space="preserve"> di </w:t>
      </w:r>
      <w:proofErr w:type="spellStart"/>
      <w:r w:rsidR="005E3064" w:rsidRPr="005E3064">
        <w:rPr>
          <w:rFonts w:ascii="Palatino Linotype" w:hAnsi="Palatino Linotype"/>
          <w:color w:val="0070C0"/>
          <w:sz w:val="20"/>
          <w:szCs w:val="20"/>
          <w:lang w:val="el-GR"/>
        </w:rPr>
        <w:t>Θεοδόχος</w:t>
      </w:r>
      <w:proofErr w:type="spellEnd"/>
      <w:r w:rsidR="005E3064" w:rsidRPr="005E3064">
        <w:rPr>
          <w:rFonts w:ascii="Palatino Linotype" w:hAnsi="Palatino Linotype"/>
          <w:color w:val="0070C0"/>
          <w:sz w:val="20"/>
          <w:szCs w:val="20"/>
          <w:lang w:val="it-IT"/>
        </w:rPr>
        <w:t>, invece,</w:t>
      </w:r>
      <w:r w:rsidR="000D5362">
        <w:rPr>
          <w:rFonts w:ascii="Palatino Linotype" w:hAnsi="Palatino Linotype"/>
          <w:color w:val="0070C0"/>
          <w:sz w:val="20"/>
          <w:szCs w:val="20"/>
          <w:lang w:val="it-IT"/>
        </w:rPr>
        <w:t xml:space="preserve"> sin dal Tardo Antico</w:t>
      </w:r>
      <w:r w:rsidR="005E3064" w:rsidRPr="005E3064">
        <w:rPr>
          <w:rFonts w:ascii="Palatino Linotype" w:hAnsi="Palatino Linotype"/>
          <w:color w:val="0070C0"/>
          <w:sz w:val="20"/>
          <w:szCs w:val="20"/>
          <w:lang w:val="it-IT"/>
        </w:rPr>
        <w:t xml:space="preserve"> sarebbe stato </w:t>
      </w:r>
      <w:r w:rsidR="008F2508">
        <w:rPr>
          <w:rFonts w:ascii="Palatino Linotype" w:hAnsi="Palatino Linotype"/>
          <w:color w:val="0070C0"/>
          <w:sz w:val="20"/>
          <w:szCs w:val="20"/>
          <w:lang w:val="it-IT"/>
        </w:rPr>
        <w:t>anche</w:t>
      </w:r>
      <w:r w:rsidR="005E3064" w:rsidRPr="005E3064">
        <w:rPr>
          <w:rFonts w:ascii="Palatino Linotype" w:hAnsi="Palatino Linotype"/>
          <w:color w:val="0070C0"/>
          <w:sz w:val="20"/>
          <w:szCs w:val="20"/>
          <w:lang w:val="it-IT"/>
        </w:rPr>
        <w:t xml:space="preserve"> Simeone</w:t>
      </w:r>
      <w:r w:rsidR="008E7763" w:rsidRPr="008E7763">
        <w:rPr>
          <w:rFonts w:ascii="Palatino Linotype" w:hAnsi="Palatino Linotype"/>
          <w:color w:val="0070C0"/>
          <w:sz w:val="20"/>
          <w:szCs w:val="20"/>
          <w:lang w:val="it-IT"/>
        </w:rPr>
        <w:t xml:space="preserve"> </w:t>
      </w:r>
      <w:r w:rsidR="008E7763">
        <w:rPr>
          <w:rFonts w:ascii="Palatino Linotype" w:hAnsi="Palatino Linotype"/>
          <w:color w:val="0070C0"/>
          <w:sz w:val="20"/>
          <w:szCs w:val="20"/>
          <w:lang w:val="it-IT"/>
        </w:rPr>
        <w:t>il Vecchio, personaggio che funge da cerniera tra Antico e Nuovo Testamento, perché av</w:t>
      </w:r>
      <w:r w:rsidR="004D018E">
        <w:rPr>
          <w:rFonts w:ascii="Palatino Linotype" w:hAnsi="Palatino Linotype"/>
          <w:color w:val="0070C0"/>
          <w:sz w:val="20"/>
          <w:szCs w:val="20"/>
          <w:lang w:val="it-IT"/>
        </w:rPr>
        <w:t>eva</w:t>
      </w:r>
      <w:r w:rsidR="008E7763">
        <w:rPr>
          <w:rFonts w:ascii="Palatino Linotype" w:hAnsi="Palatino Linotype"/>
          <w:color w:val="0070C0"/>
          <w:sz w:val="20"/>
          <w:szCs w:val="20"/>
          <w:lang w:val="it-IT"/>
        </w:rPr>
        <w:t xml:space="preserve"> atteso la presentazione </w:t>
      </w:r>
      <w:r w:rsidR="004D018E">
        <w:rPr>
          <w:rFonts w:ascii="Palatino Linotype" w:hAnsi="Palatino Linotype"/>
          <w:color w:val="0070C0"/>
          <w:sz w:val="20"/>
          <w:szCs w:val="20"/>
          <w:lang w:val="it-IT"/>
        </w:rPr>
        <w:t xml:space="preserve">al Tempio </w:t>
      </w:r>
      <w:r w:rsidR="008E7763">
        <w:rPr>
          <w:rFonts w:ascii="Palatino Linotype" w:hAnsi="Palatino Linotype"/>
          <w:color w:val="0070C0"/>
          <w:sz w:val="20"/>
          <w:szCs w:val="20"/>
          <w:lang w:val="it-IT"/>
        </w:rPr>
        <w:t>di Gesù</w:t>
      </w:r>
      <w:r w:rsidR="004D018E">
        <w:rPr>
          <w:rFonts w:ascii="Palatino Linotype" w:hAnsi="Palatino Linotype"/>
          <w:color w:val="0070C0"/>
          <w:sz w:val="20"/>
          <w:szCs w:val="20"/>
          <w:lang w:val="it-IT"/>
        </w:rPr>
        <w:t xml:space="preserve">, nato da una Vergine, </w:t>
      </w:r>
      <w:r w:rsidR="008E7763">
        <w:rPr>
          <w:rFonts w:ascii="Palatino Linotype" w:hAnsi="Palatino Linotype"/>
          <w:color w:val="0070C0"/>
          <w:sz w:val="20"/>
          <w:szCs w:val="20"/>
          <w:lang w:val="it-IT"/>
        </w:rPr>
        <w:t>per morire.</w:t>
      </w:r>
      <w:r w:rsidR="008E7763">
        <w:rPr>
          <w:rStyle w:val="Rimandonotaapidipagina"/>
          <w:rFonts w:ascii="Palatino Linotype" w:hAnsi="Palatino Linotype"/>
          <w:color w:val="0070C0"/>
          <w:sz w:val="20"/>
          <w:szCs w:val="20"/>
          <w:lang w:val="it-IT"/>
        </w:rPr>
        <w:footnoteReference w:id="27"/>
      </w:r>
    </w:p>
    <w:p w:rsidR="00F25819" w:rsidRDefault="00F25819" w:rsidP="00592E9D">
      <w:pPr>
        <w:pStyle w:val="Nessunaspaziatura"/>
        <w:jc w:val="both"/>
        <w:rPr>
          <w:rFonts w:ascii="Palatino Linotype" w:hAnsi="Palatino Linotype"/>
          <w:b/>
          <w:bCs/>
          <w:sz w:val="20"/>
          <w:szCs w:val="20"/>
        </w:rPr>
      </w:pPr>
    </w:p>
    <w:p w:rsidR="00D55F91" w:rsidRDefault="00D55F91" w:rsidP="00592E9D">
      <w:pPr>
        <w:pStyle w:val="Nessunaspaziatura"/>
        <w:jc w:val="both"/>
        <w:rPr>
          <w:rFonts w:ascii="Palatino Linotype" w:hAnsi="Palatino Linotype"/>
          <w:b/>
          <w:bCs/>
          <w:sz w:val="20"/>
          <w:szCs w:val="20"/>
        </w:rPr>
      </w:pPr>
    </w:p>
    <w:p w:rsidR="00A555D7" w:rsidRPr="00A970E2" w:rsidRDefault="00A555D7" w:rsidP="00592E9D">
      <w:pPr>
        <w:pStyle w:val="Nessunaspaziatura"/>
        <w:jc w:val="both"/>
        <w:rPr>
          <w:rFonts w:ascii="Palatino Linotype" w:hAnsi="Palatino Linotype"/>
          <w:sz w:val="20"/>
          <w:szCs w:val="20"/>
        </w:rPr>
      </w:pPr>
    </w:p>
    <w:sectPr w:rsidR="00A555D7" w:rsidRPr="00A970E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50E" w:rsidRDefault="00A3250E">
      <w:pPr>
        <w:spacing w:after="0" w:line="240" w:lineRule="auto"/>
      </w:pPr>
      <w:r>
        <w:separator/>
      </w:r>
    </w:p>
  </w:endnote>
  <w:endnote w:type="continuationSeparator" w:id="0">
    <w:p w:rsidR="00A3250E" w:rsidRDefault="00A3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50E" w:rsidRDefault="00A3250E">
      <w:pPr>
        <w:spacing w:after="0" w:line="240" w:lineRule="auto"/>
      </w:pPr>
      <w:r>
        <w:separator/>
      </w:r>
    </w:p>
  </w:footnote>
  <w:footnote w:type="continuationSeparator" w:id="0">
    <w:p w:rsidR="00A3250E" w:rsidRDefault="00A3250E">
      <w:pPr>
        <w:spacing w:after="0" w:line="240" w:lineRule="auto"/>
      </w:pPr>
      <w:r>
        <w:continuationSeparator/>
      </w:r>
    </w:p>
  </w:footnote>
  <w:footnote w:id="1">
    <w:p w:rsidR="00592E9D" w:rsidRPr="004B225E" w:rsidRDefault="00592E9D" w:rsidP="00A970E2">
      <w:pPr>
        <w:pStyle w:val="Testonotaapidipagina"/>
        <w:jc w:val="both"/>
        <w:rPr>
          <w:rFonts w:ascii="Palatino Linotype" w:hAnsi="Palatino Linotype"/>
          <w:sz w:val="18"/>
          <w:szCs w:val="18"/>
          <w:lang w:val="it-IT"/>
        </w:rPr>
      </w:pPr>
      <w:r w:rsidRPr="00A970E2">
        <w:rPr>
          <w:rStyle w:val="Rimandonotaapidipagina"/>
          <w:rFonts w:ascii="Palatino Linotype" w:hAnsi="Palatino Linotype"/>
          <w:sz w:val="18"/>
          <w:szCs w:val="18"/>
        </w:rPr>
        <w:footnoteRef/>
      </w:r>
      <w:r w:rsidRPr="00A970E2">
        <w:rPr>
          <w:rFonts w:ascii="Palatino Linotype" w:hAnsi="Palatino Linotype"/>
          <w:sz w:val="18"/>
          <w:szCs w:val="18"/>
        </w:rPr>
        <w:t xml:space="preserve"> Ὁ </w:t>
      </w:r>
      <w:proofErr w:type="spellStart"/>
      <w:r w:rsidRPr="00A970E2">
        <w:rPr>
          <w:rFonts w:ascii="Palatino Linotype" w:hAnsi="Palatino Linotype"/>
          <w:sz w:val="18"/>
          <w:szCs w:val="18"/>
        </w:rPr>
        <w:t>λόγος</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γὰρ</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τοῦ</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στ</w:t>
      </w:r>
      <w:proofErr w:type="spellEnd"/>
      <w:r w:rsidRPr="00A970E2">
        <w:rPr>
          <w:rFonts w:ascii="Palatino Linotype" w:hAnsi="Palatino Linotype"/>
          <w:sz w:val="18"/>
          <w:szCs w:val="18"/>
        </w:rPr>
        <w:t>α</w:t>
      </w:r>
      <w:proofErr w:type="spellStart"/>
      <w:r w:rsidRPr="00A970E2">
        <w:rPr>
          <w:rFonts w:ascii="Palatino Linotype" w:hAnsi="Palatino Linotype"/>
          <w:sz w:val="18"/>
          <w:szCs w:val="18"/>
        </w:rPr>
        <w:t>υροῦ</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τοῖς</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μὲν</w:t>
      </w:r>
      <w:proofErr w:type="spellEnd"/>
      <w:r w:rsidRPr="00A970E2">
        <w:rPr>
          <w:rFonts w:ascii="Palatino Linotype" w:hAnsi="Palatino Linotype"/>
          <w:sz w:val="18"/>
          <w:szCs w:val="18"/>
        </w:rPr>
        <w:t xml:space="preserve"> ἀπ</w:t>
      </w:r>
      <w:proofErr w:type="spellStart"/>
      <w:r w:rsidRPr="00A970E2">
        <w:rPr>
          <w:rFonts w:ascii="Palatino Linotype" w:hAnsi="Palatino Linotype"/>
          <w:sz w:val="18"/>
          <w:szCs w:val="18"/>
        </w:rPr>
        <w:t>ολλυμένοις</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μωρί</w:t>
      </w:r>
      <w:proofErr w:type="spellEnd"/>
      <w:r w:rsidRPr="00A970E2">
        <w:rPr>
          <w:rFonts w:ascii="Palatino Linotype" w:hAnsi="Palatino Linotype"/>
          <w:sz w:val="18"/>
          <w:szCs w:val="18"/>
        </w:rPr>
        <w:t xml:space="preserve">α </w:t>
      </w:r>
      <w:proofErr w:type="spellStart"/>
      <w:r w:rsidRPr="00A970E2">
        <w:rPr>
          <w:rFonts w:ascii="Palatino Linotype" w:hAnsi="Palatino Linotype"/>
          <w:sz w:val="18"/>
          <w:szCs w:val="18"/>
        </w:rPr>
        <w:t>ἐστίν</w:t>
      </w:r>
      <w:proofErr w:type="spellEnd"/>
      <w:r w:rsidRPr="00A970E2">
        <w:rPr>
          <w:rFonts w:ascii="Palatino Linotype" w:hAnsi="Palatino Linotype"/>
          <w:sz w:val="18"/>
          <w:szCs w:val="18"/>
        </w:rPr>
        <w:t xml:space="preserve">, </w:t>
      </w:r>
      <w:proofErr w:type="spellStart"/>
      <w:r w:rsidRPr="00A970E2">
        <w:rPr>
          <w:rFonts w:ascii="Palatino Linotype" w:hAnsi="Palatino Linotype"/>
          <w:sz w:val="18"/>
          <w:szCs w:val="18"/>
        </w:rPr>
        <w:t>τοῖς</w:t>
      </w:r>
      <w:proofErr w:type="spellEnd"/>
      <w:r w:rsidRPr="00A970E2">
        <w:rPr>
          <w:rFonts w:ascii="Palatino Linotype" w:hAnsi="Palatino Linotype"/>
          <w:sz w:val="18"/>
          <w:szCs w:val="18"/>
        </w:rPr>
        <w:t xml:space="preserve"> </w:t>
      </w:r>
      <w:proofErr w:type="spellStart"/>
      <w:r w:rsidRPr="004B225E">
        <w:rPr>
          <w:rFonts w:ascii="Palatino Linotype" w:hAnsi="Palatino Linotype"/>
          <w:sz w:val="18"/>
          <w:szCs w:val="18"/>
        </w:rPr>
        <w:t>δὲ</w:t>
      </w:r>
      <w:proofErr w:type="spellEnd"/>
      <w:r w:rsidRPr="004B225E">
        <w:rPr>
          <w:rFonts w:ascii="Palatino Linotype" w:hAnsi="Palatino Linotype"/>
          <w:sz w:val="18"/>
          <w:szCs w:val="18"/>
        </w:rPr>
        <w:t xml:space="preserve"> </w:t>
      </w:r>
      <w:proofErr w:type="spellStart"/>
      <w:r w:rsidRPr="004B225E">
        <w:rPr>
          <w:rFonts w:ascii="Palatino Linotype" w:hAnsi="Palatino Linotype"/>
          <w:sz w:val="18"/>
          <w:szCs w:val="18"/>
        </w:rPr>
        <w:t>σῳζομένοις</w:t>
      </w:r>
      <w:proofErr w:type="spellEnd"/>
      <w:r w:rsidRPr="004B225E">
        <w:rPr>
          <w:rFonts w:ascii="Palatino Linotype" w:hAnsi="Palatino Linotype"/>
          <w:sz w:val="18"/>
          <w:szCs w:val="18"/>
        </w:rPr>
        <w:t xml:space="preserve"> </w:t>
      </w:r>
      <w:proofErr w:type="spellStart"/>
      <w:r w:rsidRPr="004B225E">
        <w:rPr>
          <w:rFonts w:ascii="Palatino Linotype" w:hAnsi="Palatino Linotype"/>
          <w:sz w:val="18"/>
          <w:szCs w:val="18"/>
        </w:rPr>
        <w:t>ἡμῖν</w:t>
      </w:r>
      <w:proofErr w:type="spellEnd"/>
      <w:r w:rsidRPr="004B225E">
        <w:rPr>
          <w:rFonts w:ascii="Palatino Linotype" w:hAnsi="Palatino Linotype"/>
          <w:sz w:val="18"/>
          <w:szCs w:val="18"/>
        </w:rPr>
        <w:t xml:space="preserve"> </w:t>
      </w:r>
      <w:proofErr w:type="spellStart"/>
      <w:r w:rsidRPr="004B225E">
        <w:rPr>
          <w:rFonts w:ascii="Palatino Linotype" w:hAnsi="Palatino Linotype"/>
          <w:sz w:val="18"/>
          <w:szCs w:val="18"/>
        </w:rPr>
        <w:t>δύν</w:t>
      </w:r>
      <w:proofErr w:type="spellEnd"/>
      <w:r w:rsidRPr="004B225E">
        <w:rPr>
          <w:rFonts w:ascii="Palatino Linotype" w:hAnsi="Palatino Linotype"/>
          <w:sz w:val="18"/>
          <w:szCs w:val="18"/>
        </w:rPr>
        <w:t>α</w:t>
      </w:r>
      <w:proofErr w:type="spellStart"/>
      <w:r w:rsidRPr="004B225E">
        <w:rPr>
          <w:rFonts w:ascii="Palatino Linotype" w:hAnsi="Palatino Linotype"/>
          <w:sz w:val="18"/>
          <w:szCs w:val="18"/>
        </w:rPr>
        <w:t>μις</w:t>
      </w:r>
      <w:proofErr w:type="spellEnd"/>
      <w:r w:rsidRPr="004B225E">
        <w:rPr>
          <w:rFonts w:ascii="Palatino Linotype" w:hAnsi="Palatino Linotype"/>
          <w:sz w:val="18"/>
          <w:szCs w:val="18"/>
        </w:rPr>
        <w:t xml:space="preserve"> </w:t>
      </w:r>
      <w:proofErr w:type="spellStart"/>
      <w:r w:rsidRPr="004B225E">
        <w:rPr>
          <w:rFonts w:ascii="Palatino Linotype" w:hAnsi="Palatino Linotype"/>
          <w:sz w:val="18"/>
          <w:szCs w:val="18"/>
        </w:rPr>
        <w:t>θεοῦ</w:t>
      </w:r>
      <w:proofErr w:type="spellEnd"/>
      <w:r w:rsidRPr="004B225E">
        <w:rPr>
          <w:rFonts w:ascii="Palatino Linotype" w:hAnsi="Palatino Linotype"/>
          <w:sz w:val="18"/>
          <w:szCs w:val="18"/>
        </w:rPr>
        <w:t xml:space="preserve"> </w:t>
      </w:r>
      <w:proofErr w:type="spellStart"/>
      <w:r w:rsidRPr="004B225E">
        <w:rPr>
          <w:rFonts w:ascii="Palatino Linotype" w:hAnsi="Palatino Linotype"/>
          <w:sz w:val="18"/>
          <w:szCs w:val="18"/>
        </w:rPr>
        <w:t>ύστιν</w:t>
      </w:r>
      <w:proofErr w:type="spellEnd"/>
      <w:r w:rsidRPr="004B225E">
        <w:rPr>
          <w:rFonts w:ascii="Palatino Linotype" w:hAnsi="Palatino Linotype"/>
          <w:sz w:val="18"/>
          <w:szCs w:val="18"/>
        </w:rPr>
        <w:t xml:space="preserve"> (</w:t>
      </w:r>
      <w:r w:rsidRPr="003915C5">
        <w:rPr>
          <w:rFonts w:ascii="Palatino Linotype" w:hAnsi="Palatino Linotype"/>
          <w:i/>
          <w:iCs/>
          <w:sz w:val="18"/>
          <w:szCs w:val="18"/>
        </w:rPr>
        <w:t>1</w:t>
      </w:r>
      <w:r w:rsidR="003915C5" w:rsidRPr="003915C5">
        <w:rPr>
          <w:rFonts w:ascii="Palatino Linotype" w:hAnsi="Palatino Linotype"/>
          <w:i/>
          <w:iCs/>
          <w:sz w:val="18"/>
          <w:szCs w:val="18"/>
        </w:rPr>
        <w:t xml:space="preserve"> Cor.</w:t>
      </w:r>
      <w:r w:rsidR="003915C5">
        <w:rPr>
          <w:rFonts w:ascii="Palatino Linotype" w:hAnsi="Palatino Linotype"/>
          <w:sz w:val="18"/>
          <w:szCs w:val="18"/>
        </w:rPr>
        <w:t xml:space="preserve"> 1.</w:t>
      </w:r>
      <w:r w:rsidRPr="004B225E">
        <w:rPr>
          <w:rFonts w:ascii="Palatino Linotype" w:hAnsi="Palatino Linotype"/>
          <w:sz w:val="18"/>
          <w:szCs w:val="18"/>
        </w:rPr>
        <w:t>18).</w:t>
      </w:r>
    </w:p>
  </w:footnote>
  <w:footnote w:id="2">
    <w:p w:rsidR="00137027" w:rsidRPr="004B225E" w:rsidRDefault="00137027" w:rsidP="00A970E2">
      <w:pPr>
        <w:pStyle w:val="Testonotaapidipagina"/>
        <w:jc w:val="both"/>
        <w:rPr>
          <w:rFonts w:ascii="Palatino Linotype" w:hAnsi="Palatino Linotype"/>
          <w:sz w:val="18"/>
          <w:szCs w:val="18"/>
          <w:lang w:val="it-IT"/>
        </w:rPr>
      </w:pPr>
      <w:r w:rsidRPr="004B225E">
        <w:rPr>
          <w:rStyle w:val="Rimandonotaapidipagina"/>
          <w:rFonts w:ascii="Palatino Linotype" w:hAnsi="Palatino Linotype"/>
          <w:sz w:val="18"/>
          <w:szCs w:val="18"/>
        </w:rPr>
        <w:footnoteRef/>
      </w:r>
      <w:r w:rsidRPr="004B225E">
        <w:rPr>
          <w:rFonts w:ascii="Palatino Linotype" w:hAnsi="Palatino Linotype"/>
          <w:sz w:val="18"/>
          <w:szCs w:val="18"/>
        </w:rPr>
        <w:t xml:space="preserve"> </w:t>
      </w:r>
      <w:r w:rsidRPr="004B225E">
        <w:rPr>
          <w:rFonts w:ascii="Palatino Linotype" w:hAnsi="Palatino Linotype"/>
          <w:sz w:val="18"/>
          <w:szCs w:val="18"/>
          <w:lang w:val="it-IT"/>
        </w:rPr>
        <w:t>Cattaneo</w:t>
      </w:r>
      <w:r w:rsidR="00A970E2" w:rsidRPr="004B225E">
        <w:rPr>
          <w:rFonts w:ascii="Palatino Linotype" w:hAnsi="Palatino Linotype"/>
          <w:sz w:val="18"/>
          <w:szCs w:val="18"/>
          <w:lang w:val="it-IT"/>
        </w:rPr>
        <w:t xml:space="preserve"> 2007.</w:t>
      </w:r>
      <w:r w:rsidR="00C32660" w:rsidRPr="00C32660">
        <w:rPr>
          <w:rFonts w:ascii="Palatino Linotype" w:hAnsi="Palatino Linotype"/>
          <w:sz w:val="18"/>
          <w:szCs w:val="18"/>
        </w:rPr>
        <w:t xml:space="preserve"> </w:t>
      </w:r>
      <w:r w:rsidR="00C32660">
        <w:rPr>
          <w:rFonts w:ascii="Palatino Linotype" w:hAnsi="Palatino Linotype"/>
          <w:sz w:val="18"/>
          <w:szCs w:val="18"/>
        </w:rPr>
        <w:t xml:space="preserve">On the legend of Holy Wood, see also </w:t>
      </w:r>
      <w:proofErr w:type="spellStart"/>
      <w:r w:rsidR="00C32660">
        <w:rPr>
          <w:rFonts w:ascii="Palatino Linotype" w:hAnsi="Palatino Linotype"/>
          <w:sz w:val="18"/>
          <w:szCs w:val="18"/>
        </w:rPr>
        <w:t>Baert</w:t>
      </w:r>
      <w:proofErr w:type="spellEnd"/>
      <w:r w:rsidR="00C32660">
        <w:rPr>
          <w:rFonts w:ascii="Palatino Linotype" w:hAnsi="Palatino Linotype"/>
          <w:sz w:val="18"/>
          <w:szCs w:val="18"/>
        </w:rPr>
        <w:t xml:space="preserve"> 2004.</w:t>
      </w:r>
    </w:p>
  </w:footnote>
  <w:footnote w:id="3">
    <w:p w:rsidR="004B225E" w:rsidRPr="004B225E" w:rsidRDefault="004B225E">
      <w:pPr>
        <w:pStyle w:val="Testonotaapidipagina"/>
        <w:rPr>
          <w:rFonts w:ascii="Palatino Linotype" w:hAnsi="Palatino Linotype"/>
          <w:sz w:val="18"/>
          <w:szCs w:val="18"/>
          <w:lang w:val="it-IT"/>
        </w:rPr>
      </w:pPr>
      <w:r w:rsidRPr="004B225E">
        <w:rPr>
          <w:rStyle w:val="Rimandonotaapidipagina"/>
          <w:rFonts w:ascii="Palatino Linotype" w:hAnsi="Palatino Linotype"/>
          <w:sz w:val="18"/>
          <w:szCs w:val="18"/>
        </w:rPr>
        <w:footnoteRef/>
      </w:r>
      <w:r w:rsidRPr="004B225E">
        <w:rPr>
          <w:rFonts w:ascii="Palatino Linotype" w:hAnsi="Palatino Linotype"/>
          <w:sz w:val="18"/>
          <w:szCs w:val="18"/>
        </w:rPr>
        <w:t xml:space="preserve"> </w:t>
      </w:r>
      <w:r w:rsidRPr="004B225E">
        <w:rPr>
          <w:rFonts w:ascii="Palatino Linotype" w:hAnsi="Palatino Linotype"/>
          <w:i/>
          <w:sz w:val="18"/>
          <w:szCs w:val="18"/>
        </w:rPr>
        <w:t>PG</w:t>
      </w:r>
      <w:r w:rsidRPr="004B225E">
        <w:rPr>
          <w:rFonts w:ascii="Palatino Linotype" w:hAnsi="Palatino Linotype"/>
          <w:sz w:val="18"/>
          <w:szCs w:val="18"/>
        </w:rPr>
        <w:t xml:space="preserve"> 87/3, cc. 4015-4088</w:t>
      </w:r>
    </w:p>
  </w:footnote>
  <w:footnote w:id="4">
    <w:p w:rsidR="004B225E" w:rsidRPr="004B225E" w:rsidRDefault="004B225E" w:rsidP="004B225E">
      <w:pPr>
        <w:pStyle w:val="Testonotaapidipagina"/>
        <w:jc w:val="both"/>
        <w:rPr>
          <w:rFonts w:ascii="Palatino Linotype" w:hAnsi="Palatino Linotype"/>
          <w:sz w:val="18"/>
          <w:szCs w:val="18"/>
          <w:lang w:val="it-IT"/>
        </w:rPr>
      </w:pPr>
      <w:r w:rsidRPr="004B225E">
        <w:rPr>
          <w:rStyle w:val="Rimandonotaapidipagina"/>
          <w:rFonts w:ascii="Palatino Linotype" w:hAnsi="Palatino Linotype"/>
          <w:sz w:val="18"/>
          <w:szCs w:val="18"/>
        </w:rPr>
        <w:footnoteRef/>
      </w:r>
      <w:r w:rsidRPr="004B225E">
        <w:rPr>
          <w:rFonts w:ascii="Palatino Linotype" w:hAnsi="Palatino Linotype"/>
          <w:sz w:val="18"/>
          <w:szCs w:val="18"/>
        </w:rPr>
        <w:t xml:space="preserve"> </w:t>
      </w:r>
      <w:r>
        <w:rPr>
          <w:rFonts w:ascii="Palatino Linotype" w:hAnsi="Palatino Linotype"/>
          <w:sz w:val="18"/>
          <w:szCs w:val="18"/>
        </w:rPr>
        <w:t>I</w:t>
      </w:r>
      <w:r w:rsidRPr="004B225E">
        <w:rPr>
          <w:rFonts w:ascii="Palatino Linotype" w:hAnsi="Palatino Linotype"/>
          <w:sz w:val="18"/>
          <w:szCs w:val="18"/>
        </w:rPr>
        <w:t xml:space="preserve">t is in the work of Cyril's nephew Gelasius, bishop of Caesarea (died around 395), that one should find the oldest mention of Elena's finding of the cross, of </w:t>
      </w:r>
      <w:r w:rsidRPr="004B225E">
        <w:rPr>
          <w:rFonts w:ascii="Palatino Linotype" w:hAnsi="Palatino Linotype"/>
          <w:i/>
          <w:sz w:val="18"/>
          <w:szCs w:val="18"/>
        </w:rPr>
        <w:t>titulus</w:t>
      </w:r>
      <w:r w:rsidRPr="004B225E">
        <w:rPr>
          <w:rFonts w:ascii="Palatino Linotype" w:hAnsi="Palatino Linotype"/>
          <w:sz w:val="18"/>
          <w:szCs w:val="18"/>
        </w:rPr>
        <w:t xml:space="preserve"> and of the nails with which the bite and bridles of the emperor's horse are made: one truly should, because the work of this author is now lost, yet can be reconstructed starting from its mention in the </w:t>
      </w:r>
      <w:r w:rsidRPr="004B225E">
        <w:rPr>
          <w:rFonts w:ascii="Palatino Linotype" w:hAnsi="Palatino Linotype"/>
          <w:i/>
          <w:sz w:val="18"/>
          <w:szCs w:val="18"/>
        </w:rPr>
        <w:t>Library</w:t>
      </w:r>
      <w:r w:rsidRPr="004B225E">
        <w:rPr>
          <w:rFonts w:ascii="Palatino Linotype" w:hAnsi="Palatino Linotype"/>
          <w:sz w:val="18"/>
          <w:szCs w:val="18"/>
        </w:rPr>
        <w:t xml:space="preserve"> of </w:t>
      </w:r>
      <w:proofErr w:type="spellStart"/>
      <w:r w:rsidRPr="004B225E">
        <w:rPr>
          <w:rFonts w:ascii="Palatino Linotype" w:hAnsi="Palatino Linotype"/>
          <w:sz w:val="18"/>
          <w:szCs w:val="18"/>
        </w:rPr>
        <w:t>Photios</w:t>
      </w:r>
      <w:proofErr w:type="spellEnd"/>
      <w:r w:rsidRPr="004B225E">
        <w:rPr>
          <w:rFonts w:ascii="Palatino Linotype" w:hAnsi="Palatino Linotype"/>
          <w:sz w:val="18"/>
          <w:szCs w:val="18"/>
        </w:rPr>
        <w:t xml:space="preserve"> and, above all, of the fragments contained in </w:t>
      </w:r>
      <w:r w:rsidRPr="004B225E">
        <w:rPr>
          <w:rFonts w:ascii="Palatino Linotype" w:hAnsi="Palatino Linotype"/>
          <w:i/>
          <w:sz w:val="18"/>
          <w:szCs w:val="18"/>
        </w:rPr>
        <w:t>Ecclesiastical History</w:t>
      </w:r>
      <w:r w:rsidRPr="004B225E">
        <w:rPr>
          <w:rFonts w:ascii="Palatino Linotype" w:hAnsi="Palatino Linotype"/>
          <w:sz w:val="18"/>
          <w:szCs w:val="18"/>
        </w:rPr>
        <w:t xml:space="preserve"> </w:t>
      </w:r>
      <w:r w:rsidR="00C32660">
        <w:rPr>
          <w:rFonts w:ascii="Palatino Linotype" w:hAnsi="Palatino Linotype"/>
          <w:sz w:val="18"/>
          <w:szCs w:val="18"/>
        </w:rPr>
        <w:t>by</w:t>
      </w:r>
      <w:r w:rsidRPr="004B225E">
        <w:rPr>
          <w:rFonts w:ascii="Palatino Linotype" w:hAnsi="Palatino Linotype"/>
          <w:sz w:val="18"/>
          <w:szCs w:val="18"/>
        </w:rPr>
        <w:t xml:space="preserve"> </w:t>
      </w:r>
      <w:proofErr w:type="spellStart"/>
      <w:r w:rsidRPr="004B225E">
        <w:rPr>
          <w:rFonts w:ascii="Palatino Linotype" w:hAnsi="Palatino Linotype"/>
          <w:sz w:val="18"/>
          <w:szCs w:val="18"/>
        </w:rPr>
        <w:t>Rufinus</w:t>
      </w:r>
      <w:proofErr w:type="spellEnd"/>
      <w:r>
        <w:rPr>
          <w:rFonts w:ascii="Palatino Linotype" w:hAnsi="Palatino Linotype"/>
          <w:sz w:val="18"/>
          <w:szCs w:val="18"/>
        </w:rPr>
        <w:t xml:space="preserve"> (</w:t>
      </w:r>
      <w:r w:rsidRPr="004B225E">
        <w:rPr>
          <w:rFonts w:ascii="Palatino Linotype" w:hAnsi="Palatino Linotype"/>
          <w:i/>
          <w:sz w:val="18"/>
          <w:szCs w:val="18"/>
        </w:rPr>
        <w:t>PL</w:t>
      </w:r>
      <w:r w:rsidRPr="004B225E">
        <w:rPr>
          <w:rFonts w:ascii="Palatino Linotype" w:hAnsi="Palatino Linotype"/>
          <w:sz w:val="18"/>
          <w:szCs w:val="18"/>
        </w:rPr>
        <w:t xml:space="preserve"> 21, cc. 475-478</w:t>
      </w:r>
      <w:r>
        <w:rPr>
          <w:rFonts w:ascii="Palatino Linotype" w:hAnsi="Palatino Linotype"/>
          <w:sz w:val="18"/>
          <w:szCs w:val="18"/>
        </w:rPr>
        <w:t xml:space="preserve">, in particular </w:t>
      </w:r>
      <w:r w:rsidRPr="004B225E">
        <w:rPr>
          <w:rFonts w:ascii="Palatino Linotype" w:hAnsi="Palatino Linotype"/>
          <w:sz w:val="18"/>
          <w:szCs w:val="18"/>
        </w:rPr>
        <w:t>fragment 20</w:t>
      </w:r>
      <w:r>
        <w:rPr>
          <w:rFonts w:ascii="Palatino Linotype" w:hAnsi="Palatino Linotype"/>
          <w:sz w:val="18"/>
          <w:szCs w:val="18"/>
        </w:rPr>
        <w:t xml:space="preserve">; </w:t>
      </w:r>
      <w:proofErr w:type="spellStart"/>
      <w:r>
        <w:rPr>
          <w:rFonts w:ascii="Palatino Linotype" w:hAnsi="Palatino Linotype"/>
          <w:sz w:val="18"/>
          <w:szCs w:val="18"/>
        </w:rPr>
        <w:t>cfr</w:t>
      </w:r>
      <w:proofErr w:type="spellEnd"/>
      <w:r>
        <w:rPr>
          <w:rFonts w:ascii="Palatino Linotype" w:hAnsi="Palatino Linotype"/>
          <w:sz w:val="18"/>
          <w:szCs w:val="18"/>
        </w:rPr>
        <w:t xml:space="preserve">. </w:t>
      </w:r>
      <w:r w:rsidRPr="004B225E">
        <w:rPr>
          <w:rFonts w:ascii="Palatino Linotype" w:hAnsi="Palatino Linotype"/>
          <w:sz w:val="18"/>
          <w:szCs w:val="18"/>
        </w:rPr>
        <w:t>Winkelmann 1966</w:t>
      </w:r>
      <w:r>
        <w:rPr>
          <w:rFonts w:ascii="Palatino Linotype" w:hAnsi="Palatino Linotype"/>
          <w:sz w:val="18"/>
          <w:szCs w:val="18"/>
        </w:rPr>
        <w:t xml:space="preserve">). </w:t>
      </w:r>
      <w:r w:rsidR="00C32660">
        <w:rPr>
          <w:rFonts w:ascii="Palatino Linotype" w:hAnsi="Palatino Linotype"/>
          <w:sz w:val="18"/>
          <w:szCs w:val="18"/>
        </w:rPr>
        <w:t xml:space="preserve">On the founding of the Holy Cross, see also </w:t>
      </w:r>
      <w:proofErr w:type="spellStart"/>
      <w:r w:rsidR="00C32660">
        <w:rPr>
          <w:rFonts w:ascii="Palatino Linotype" w:hAnsi="Palatino Linotype"/>
          <w:sz w:val="18"/>
          <w:szCs w:val="18"/>
        </w:rPr>
        <w:t>Borgehammer</w:t>
      </w:r>
      <w:proofErr w:type="spellEnd"/>
      <w:r w:rsidR="00C32660">
        <w:rPr>
          <w:rFonts w:ascii="Palatino Linotype" w:hAnsi="Palatino Linotype"/>
          <w:sz w:val="18"/>
          <w:szCs w:val="18"/>
        </w:rPr>
        <w:t xml:space="preserve"> 1991.</w:t>
      </w:r>
    </w:p>
  </w:footnote>
  <w:footnote w:id="5">
    <w:p w:rsidR="001B5F30" w:rsidRPr="00A25CF6" w:rsidRDefault="001B5F30" w:rsidP="005A6410">
      <w:pPr>
        <w:pStyle w:val="Nessunaspaziatura"/>
        <w:jc w:val="both"/>
        <w:rPr>
          <w:rFonts w:ascii="Palatino Linotype" w:eastAsia="Times New Roman" w:hAnsi="Palatino Linotype" w:cs="Times New Roman"/>
          <w:color w:val="2E0A03"/>
          <w:sz w:val="18"/>
          <w:szCs w:val="18"/>
          <w:shd w:val="clear" w:color="auto" w:fill="F8F9F3"/>
          <w:lang w:eastAsia="it-IT"/>
        </w:rPr>
      </w:pPr>
      <w:r w:rsidRPr="00A25CF6">
        <w:rPr>
          <w:rStyle w:val="Rimandonotaapidipagina"/>
          <w:rFonts w:ascii="Palatino Linotype" w:hAnsi="Palatino Linotype"/>
          <w:sz w:val="18"/>
          <w:szCs w:val="18"/>
        </w:rPr>
        <w:footnoteRef/>
      </w:r>
      <w:r w:rsidRPr="00A25CF6">
        <w:rPr>
          <w:rFonts w:ascii="Palatino Linotype" w:hAnsi="Palatino Linotype"/>
          <w:sz w:val="18"/>
          <w:szCs w:val="18"/>
        </w:rPr>
        <w:t xml:space="preserve"> </w:t>
      </w:r>
      <w:proofErr w:type="spellStart"/>
      <w:r w:rsidRPr="00A25CF6">
        <w:rPr>
          <w:rFonts w:ascii="Palatino Linotype" w:hAnsi="Palatino Linotype"/>
          <w:sz w:val="18"/>
          <w:szCs w:val="18"/>
        </w:rPr>
        <w:t>Sebeos</w:t>
      </w:r>
      <w:proofErr w:type="spellEnd"/>
      <w:r w:rsidRPr="00A25CF6">
        <w:rPr>
          <w:rFonts w:ascii="Palatino Linotype" w:hAnsi="Palatino Linotype"/>
          <w:sz w:val="18"/>
          <w:szCs w:val="18"/>
        </w:rPr>
        <w:t xml:space="preserve"> 24.95. </w:t>
      </w:r>
      <w:r w:rsidR="002F0C73" w:rsidRPr="00A25CF6">
        <w:rPr>
          <w:rFonts w:ascii="Palatino Linotype" w:hAnsi="Palatino Linotype"/>
          <w:sz w:val="18"/>
          <w:szCs w:val="18"/>
        </w:rPr>
        <w:t xml:space="preserve"> </w:t>
      </w:r>
    </w:p>
  </w:footnote>
  <w:footnote w:id="6">
    <w:p w:rsidR="00137027" w:rsidRPr="00A25CF6" w:rsidRDefault="00137027" w:rsidP="005A6410">
      <w:pPr>
        <w:pStyle w:val="Nessunaspaziatura"/>
        <w:jc w:val="both"/>
        <w:rPr>
          <w:rFonts w:ascii="Palatino Linotype" w:hAnsi="Palatino Linotype"/>
          <w:color w:val="0070C0"/>
          <w:sz w:val="18"/>
          <w:szCs w:val="18"/>
          <w:lang w:val="it-IT"/>
        </w:rPr>
      </w:pPr>
      <w:r w:rsidRPr="00A25CF6">
        <w:rPr>
          <w:rStyle w:val="Rimandonotaapidipagina"/>
          <w:rFonts w:ascii="Palatino Linotype" w:hAnsi="Palatino Linotype"/>
          <w:sz w:val="18"/>
          <w:szCs w:val="18"/>
        </w:rPr>
        <w:footnoteRef/>
      </w:r>
      <w:r w:rsidRPr="00A25CF6">
        <w:rPr>
          <w:rFonts w:ascii="Palatino Linotype" w:hAnsi="Palatino Linotype"/>
          <w:sz w:val="18"/>
          <w:szCs w:val="18"/>
        </w:rPr>
        <w:t xml:space="preserve"> </w:t>
      </w:r>
      <w:proofErr w:type="spellStart"/>
      <w:r w:rsidR="002F0C73" w:rsidRPr="00A25CF6">
        <w:rPr>
          <w:rFonts w:ascii="Palatino Linotype" w:hAnsi="Palatino Linotype"/>
          <w:sz w:val="18"/>
          <w:szCs w:val="18"/>
        </w:rPr>
        <w:t>Sebeos</w:t>
      </w:r>
      <w:proofErr w:type="spellEnd"/>
      <w:r w:rsidR="002F0C73" w:rsidRPr="00A25CF6">
        <w:rPr>
          <w:rFonts w:ascii="Palatino Linotype" w:hAnsi="Palatino Linotype"/>
          <w:sz w:val="18"/>
          <w:szCs w:val="18"/>
        </w:rPr>
        <w:t xml:space="preserve"> 24.95-96. </w:t>
      </w:r>
      <w:r w:rsidR="0053481C" w:rsidRPr="00A25CF6">
        <w:rPr>
          <w:rFonts w:ascii="Palatino Linotype" w:hAnsi="Palatino Linotype"/>
          <w:sz w:val="18"/>
          <w:szCs w:val="18"/>
        </w:rPr>
        <w:t xml:space="preserve">A short reconstruction of the events can be read in </w:t>
      </w:r>
      <w:r w:rsidRPr="00A25CF6">
        <w:rPr>
          <w:rFonts w:ascii="Palatino Linotype" w:hAnsi="Palatino Linotype"/>
          <w:sz w:val="18"/>
          <w:szCs w:val="18"/>
          <w:lang w:val="it-IT"/>
        </w:rPr>
        <w:t>Cardini</w:t>
      </w:r>
      <w:r w:rsidR="00823E23" w:rsidRPr="00A25CF6">
        <w:rPr>
          <w:rFonts w:ascii="Palatino Linotype" w:hAnsi="Palatino Linotype"/>
          <w:sz w:val="18"/>
          <w:szCs w:val="18"/>
          <w:lang w:val="it-IT"/>
        </w:rPr>
        <w:t xml:space="preserve"> 201</w:t>
      </w:r>
      <w:r w:rsidR="000A0C9B" w:rsidRPr="00A25CF6">
        <w:rPr>
          <w:rFonts w:ascii="Palatino Linotype" w:hAnsi="Palatino Linotype"/>
          <w:sz w:val="18"/>
          <w:szCs w:val="18"/>
          <w:lang w:val="it-IT"/>
        </w:rPr>
        <w:t>2, 89</w:t>
      </w:r>
      <w:r w:rsidR="002F0C73" w:rsidRPr="00A25CF6">
        <w:rPr>
          <w:rFonts w:ascii="Palatino Linotype" w:hAnsi="Palatino Linotype"/>
          <w:sz w:val="18"/>
          <w:szCs w:val="18"/>
          <w:lang w:val="it-IT"/>
        </w:rPr>
        <w:t>;</w:t>
      </w:r>
      <w:r w:rsidR="001B5F30" w:rsidRPr="00A25CF6">
        <w:rPr>
          <w:rFonts w:ascii="Palatino Linotype" w:hAnsi="Palatino Linotype"/>
          <w:sz w:val="18"/>
          <w:szCs w:val="18"/>
          <w:lang w:val="it-IT"/>
        </w:rPr>
        <w:t xml:space="preserve"> Breccia 2016, </w:t>
      </w:r>
      <w:r w:rsidR="002F0C73" w:rsidRPr="00A25CF6">
        <w:rPr>
          <w:rFonts w:ascii="Palatino Linotype" w:hAnsi="Palatino Linotype"/>
          <w:sz w:val="18"/>
          <w:szCs w:val="18"/>
          <w:lang w:val="it-IT"/>
        </w:rPr>
        <w:t xml:space="preserve">177-178. </w:t>
      </w:r>
      <w:r w:rsidR="002F0C73" w:rsidRPr="00A25CF6">
        <w:rPr>
          <w:rFonts w:ascii="Palatino Linotype" w:hAnsi="Palatino Linotype"/>
          <w:color w:val="0070C0"/>
          <w:sz w:val="18"/>
          <w:szCs w:val="18"/>
          <w:lang w:val="it-IT"/>
        </w:rPr>
        <w:t>Sulla conquista di Gerusalemme e sulle cifre quasi certamente eccessive fornite dalle fonti cristiane, cfr. Avi-</w:t>
      </w:r>
      <w:proofErr w:type="spellStart"/>
      <w:r w:rsidR="002F0C73" w:rsidRPr="00A25CF6">
        <w:rPr>
          <w:rFonts w:ascii="Palatino Linotype" w:hAnsi="Palatino Linotype"/>
          <w:color w:val="0070C0"/>
          <w:sz w:val="18"/>
          <w:szCs w:val="18"/>
          <w:lang w:val="it-IT"/>
        </w:rPr>
        <w:t>Yonah</w:t>
      </w:r>
      <w:proofErr w:type="spellEnd"/>
      <w:r w:rsidR="002F0C73" w:rsidRPr="00A25CF6">
        <w:rPr>
          <w:rFonts w:ascii="Palatino Linotype" w:hAnsi="Palatino Linotype"/>
          <w:color w:val="0070C0"/>
          <w:sz w:val="18"/>
          <w:szCs w:val="18"/>
          <w:lang w:val="it-IT"/>
        </w:rPr>
        <w:t xml:space="preserve"> 1976, 261-265.</w:t>
      </w:r>
    </w:p>
  </w:footnote>
  <w:footnote w:id="7">
    <w:p w:rsidR="00F06355" w:rsidRPr="00A25CF6" w:rsidRDefault="00F06355" w:rsidP="00A25CF6">
      <w:pPr>
        <w:pStyle w:val="Nessunaspaziatura"/>
        <w:rPr>
          <w:rFonts w:ascii="Palatino Linotype" w:hAnsi="Palatino Linotype"/>
          <w:sz w:val="18"/>
          <w:szCs w:val="18"/>
          <w:lang w:val="it-IT" w:eastAsia="it-IT"/>
        </w:rPr>
      </w:pPr>
      <w:r w:rsidRPr="00A25CF6">
        <w:rPr>
          <w:rStyle w:val="Rimandonotaapidipagina"/>
          <w:rFonts w:ascii="Palatino Linotype" w:hAnsi="Palatino Linotype"/>
          <w:sz w:val="18"/>
          <w:szCs w:val="18"/>
        </w:rPr>
        <w:footnoteRef/>
      </w:r>
      <w:r w:rsidRPr="00A25CF6">
        <w:rPr>
          <w:rFonts w:ascii="Palatino Linotype" w:hAnsi="Palatino Linotype"/>
          <w:sz w:val="18"/>
          <w:szCs w:val="18"/>
        </w:rPr>
        <w:t xml:space="preserve"> </w:t>
      </w:r>
      <w:proofErr w:type="spellStart"/>
      <w:r w:rsidRPr="00A25CF6">
        <w:rPr>
          <w:rFonts w:ascii="Palatino Linotype" w:hAnsi="Palatino Linotype"/>
          <w:sz w:val="18"/>
          <w:szCs w:val="18"/>
          <w:lang w:val="it-IT" w:eastAsia="it-IT"/>
        </w:rPr>
        <w:t>τὰ</w:t>
      </w:r>
      <w:proofErr w:type="spellEnd"/>
      <w:r w:rsidRPr="00A25CF6">
        <w:rPr>
          <w:rFonts w:ascii="Palatino Linotype" w:hAnsi="Palatino Linotype"/>
          <w:color w:val="2E0A03"/>
          <w:sz w:val="18"/>
          <w:szCs w:val="18"/>
          <w:shd w:val="clear" w:color="auto" w:fill="F8F9F3"/>
          <w:lang w:val="it-IT" w:eastAsia="it-IT"/>
        </w:rPr>
        <w:t> </w:t>
      </w:r>
      <w:proofErr w:type="spellStart"/>
      <w:r w:rsidRPr="00A25CF6">
        <w:rPr>
          <w:rFonts w:ascii="Palatino Linotype" w:hAnsi="Palatino Linotype"/>
          <w:sz w:val="18"/>
          <w:szCs w:val="18"/>
          <w:lang w:val="it-IT" w:eastAsia="it-IT"/>
        </w:rPr>
        <w:t>τίμι</w:t>
      </w:r>
      <w:proofErr w:type="spellEnd"/>
      <w:r w:rsidRPr="00A25CF6">
        <w:rPr>
          <w:rFonts w:ascii="Palatino Linotype" w:hAnsi="Palatino Linotype"/>
          <w:sz w:val="18"/>
          <w:szCs w:val="18"/>
          <w:lang w:val="it-IT" w:eastAsia="it-IT"/>
        </w:rPr>
        <w:t>α</w:t>
      </w:r>
      <w:r w:rsidRPr="00A25CF6">
        <w:rPr>
          <w:rFonts w:ascii="Palatino Linotype" w:hAnsi="Palatino Linotype"/>
          <w:color w:val="2E0A03"/>
          <w:sz w:val="18"/>
          <w:szCs w:val="18"/>
          <w:lang w:val="it-IT" w:eastAsia="it-IT"/>
        </w:rPr>
        <w:t xml:space="preserve"> </w:t>
      </w:r>
      <w:r w:rsidRPr="00A25CF6">
        <w:rPr>
          <w:rFonts w:ascii="Palatino Linotype" w:hAnsi="Palatino Linotype"/>
          <w:sz w:val="18"/>
          <w:szCs w:val="18"/>
          <w:lang w:val="it-IT" w:eastAsia="it-IT"/>
        </w:rPr>
        <w:t>καὶ</w:t>
      </w:r>
      <w:r w:rsidRPr="00A25CF6">
        <w:rPr>
          <w:rFonts w:ascii="Palatino Linotype" w:hAnsi="Palatino Linotype"/>
          <w:color w:val="2E0A03"/>
          <w:sz w:val="18"/>
          <w:szCs w:val="18"/>
          <w:shd w:val="clear" w:color="auto" w:fill="F8F9F3"/>
          <w:lang w:val="it-IT" w:eastAsia="it-IT"/>
        </w:rPr>
        <w:t> </w:t>
      </w:r>
      <w:proofErr w:type="spellStart"/>
      <w:r w:rsidRPr="00A25CF6">
        <w:rPr>
          <w:rFonts w:ascii="Palatino Linotype" w:hAnsi="Palatino Linotype"/>
          <w:sz w:val="18"/>
          <w:szCs w:val="18"/>
          <w:lang w:val="it-IT" w:eastAsia="it-IT"/>
        </w:rPr>
        <w:t>ζωο</w:t>
      </w:r>
      <w:proofErr w:type="spellEnd"/>
      <w:r w:rsidRPr="00A25CF6">
        <w:rPr>
          <w:rFonts w:ascii="Palatino Linotype" w:hAnsi="Palatino Linotype"/>
          <w:sz w:val="18"/>
          <w:szCs w:val="18"/>
          <w:lang w:val="it-IT" w:eastAsia="it-IT"/>
        </w:rPr>
        <w:t>π</w:t>
      </w:r>
      <w:proofErr w:type="spellStart"/>
      <w:r w:rsidRPr="00A25CF6">
        <w:rPr>
          <w:rFonts w:ascii="Palatino Linotype" w:hAnsi="Palatino Linotype"/>
          <w:sz w:val="18"/>
          <w:szCs w:val="18"/>
          <w:lang w:val="it-IT" w:eastAsia="it-IT"/>
        </w:rPr>
        <w:t>οι</w:t>
      </w:r>
      <w:proofErr w:type="spellEnd"/>
      <w:r w:rsidRPr="00A25CF6">
        <w:rPr>
          <w:rFonts w:ascii="Palatino Linotype" w:hAnsi="Palatino Linotype"/>
          <w:sz w:val="18"/>
          <w:szCs w:val="18"/>
          <w:lang w:val="el-GR" w:eastAsia="it-IT"/>
        </w:rPr>
        <w:t>ὰ</w:t>
      </w:r>
      <w:r w:rsidRPr="00A25CF6">
        <w:rPr>
          <w:rFonts w:ascii="Palatino Linotype" w:hAnsi="Palatino Linotype"/>
          <w:sz w:val="18"/>
          <w:szCs w:val="18"/>
          <w:lang w:val="it-IT" w:eastAsia="it-IT"/>
        </w:rPr>
        <w:t xml:space="preserve"> </w:t>
      </w:r>
      <w:r w:rsidRPr="00A25CF6">
        <w:rPr>
          <w:rFonts w:ascii="Palatino Linotype" w:hAnsi="Palatino Linotype"/>
          <w:sz w:val="18"/>
          <w:szCs w:val="18"/>
          <w:lang w:val="el-GR" w:eastAsia="it-IT"/>
        </w:rPr>
        <w:t>ξύλα</w:t>
      </w:r>
      <w:r w:rsidRPr="00A25CF6">
        <w:rPr>
          <w:rFonts w:ascii="Palatino Linotype" w:hAnsi="Palatino Linotype"/>
          <w:sz w:val="18"/>
          <w:szCs w:val="18"/>
          <w:lang w:val="it-IT" w:eastAsia="it-IT"/>
        </w:rPr>
        <w:t xml:space="preserve"> λαβ</w:t>
      </w:r>
      <w:proofErr w:type="spellStart"/>
      <w:r w:rsidRPr="00A25CF6">
        <w:rPr>
          <w:rFonts w:ascii="Palatino Linotype" w:hAnsi="Palatino Linotype"/>
          <w:sz w:val="18"/>
          <w:szCs w:val="18"/>
          <w:lang w:val="it-IT" w:eastAsia="it-IT"/>
        </w:rPr>
        <w:t>όντες</w:t>
      </w:r>
      <w:proofErr w:type="spellEnd"/>
      <w:r w:rsidRPr="00A25CF6">
        <w:rPr>
          <w:rFonts w:ascii="Palatino Linotype" w:hAnsi="Palatino Linotype"/>
          <w:color w:val="2E0A03"/>
          <w:sz w:val="18"/>
          <w:szCs w:val="18"/>
          <w:shd w:val="clear" w:color="auto" w:fill="F8F9F3"/>
          <w:lang w:val="it-IT" w:eastAsia="it-IT"/>
        </w:rPr>
        <w:t> </w:t>
      </w:r>
      <w:proofErr w:type="spellStart"/>
      <w:r w:rsidRPr="00A25CF6">
        <w:rPr>
          <w:rFonts w:ascii="Palatino Linotype" w:hAnsi="Palatino Linotype"/>
          <w:sz w:val="18"/>
          <w:szCs w:val="18"/>
          <w:lang w:val="it-IT" w:eastAsia="it-IT"/>
        </w:rPr>
        <w:t>σὺν</w:t>
      </w:r>
      <w:proofErr w:type="spellEnd"/>
      <w:r w:rsidRPr="00A25CF6">
        <w:rPr>
          <w:rFonts w:ascii="Palatino Linotype" w:hAnsi="Palatino Linotype"/>
          <w:color w:val="2E0A03"/>
          <w:sz w:val="18"/>
          <w:szCs w:val="18"/>
          <w:shd w:val="clear" w:color="auto" w:fill="F8F9F3"/>
          <w:lang w:val="it-IT" w:eastAsia="it-IT"/>
        </w:rPr>
        <w:t> </w:t>
      </w:r>
      <w:r w:rsidRPr="00A25CF6">
        <w:rPr>
          <w:rFonts w:ascii="Palatino Linotype" w:hAnsi="Palatino Linotype"/>
          <w:sz w:val="18"/>
          <w:szCs w:val="18"/>
          <w:lang w:val="it-IT" w:eastAsia="it-IT"/>
        </w:rPr>
        <w:t>α</w:t>
      </w:r>
      <w:proofErr w:type="spellStart"/>
      <w:r w:rsidRPr="00A25CF6">
        <w:rPr>
          <w:rFonts w:ascii="Palatino Linotype" w:hAnsi="Palatino Linotype"/>
          <w:sz w:val="18"/>
          <w:szCs w:val="18"/>
          <w:lang w:val="it-IT" w:eastAsia="it-IT"/>
        </w:rPr>
        <w:t>ἰχμ</w:t>
      </w:r>
      <w:proofErr w:type="spellEnd"/>
      <w:r w:rsidRPr="00A25CF6">
        <w:rPr>
          <w:rFonts w:ascii="Palatino Linotype" w:hAnsi="Palatino Linotype"/>
          <w:sz w:val="18"/>
          <w:szCs w:val="18"/>
          <w:lang w:val="it-IT" w:eastAsia="it-IT"/>
        </w:rPr>
        <w:t>α</w:t>
      </w:r>
      <w:proofErr w:type="spellStart"/>
      <w:r w:rsidRPr="00A25CF6">
        <w:rPr>
          <w:rFonts w:ascii="Palatino Linotype" w:hAnsi="Palatino Linotype"/>
          <w:sz w:val="18"/>
          <w:szCs w:val="18"/>
          <w:lang w:val="it-IT" w:eastAsia="it-IT"/>
        </w:rPr>
        <w:t>λωσίᾳ</w:t>
      </w:r>
      <w:proofErr w:type="spellEnd"/>
      <w:r w:rsidRPr="00A25CF6">
        <w:rPr>
          <w:rFonts w:ascii="Palatino Linotype" w:hAnsi="Palatino Linotype"/>
          <w:color w:val="2E0A03"/>
          <w:sz w:val="18"/>
          <w:szCs w:val="18"/>
          <w:shd w:val="clear" w:color="auto" w:fill="F8F9F3"/>
          <w:lang w:val="it-IT" w:eastAsia="it-IT"/>
        </w:rPr>
        <w:t> </w:t>
      </w:r>
      <w:r w:rsidRPr="00A25CF6">
        <w:rPr>
          <w:rFonts w:ascii="Palatino Linotype" w:hAnsi="Palatino Linotype"/>
          <w:sz w:val="18"/>
          <w:szCs w:val="18"/>
          <w:lang w:val="it-IT" w:eastAsia="it-IT"/>
        </w:rPr>
        <w:t>π</w:t>
      </w:r>
      <w:proofErr w:type="spellStart"/>
      <w:r w:rsidRPr="00A25CF6">
        <w:rPr>
          <w:rFonts w:ascii="Palatino Linotype" w:hAnsi="Palatino Linotype"/>
          <w:sz w:val="18"/>
          <w:szCs w:val="18"/>
          <w:lang w:val="it-IT" w:eastAsia="it-IT"/>
        </w:rPr>
        <w:t>ολλῇ</w:t>
      </w:r>
      <w:proofErr w:type="spellEnd"/>
      <w:r w:rsidRPr="00A25CF6">
        <w:rPr>
          <w:rFonts w:ascii="Palatino Linotype" w:hAnsi="Palatino Linotype"/>
          <w:color w:val="2E0A03"/>
          <w:sz w:val="18"/>
          <w:szCs w:val="18"/>
          <w:shd w:val="clear" w:color="auto" w:fill="F8F9F3"/>
          <w:lang w:val="it-IT" w:eastAsia="it-IT"/>
        </w:rPr>
        <w:t> </w:t>
      </w:r>
      <w:proofErr w:type="spellStart"/>
      <w:r w:rsidRPr="00A25CF6">
        <w:rPr>
          <w:rFonts w:ascii="Palatino Linotype" w:hAnsi="Palatino Linotype"/>
          <w:sz w:val="18"/>
          <w:szCs w:val="18"/>
          <w:lang w:val="it-IT" w:eastAsia="it-IT"/>
        </w:rPr>
        <w:t>ἐν</w:t>
      </w:r>
      <w:proofErr w:type="spellEnd"/>
      <w:r w:rsidRPr="00A25CF6">
        <w:rPr>
          <w:rFonts w:ascii="Palatino Linotype" w:hAnsi="Palatino Linotype"/>
          <w:color w:val="2E0A03"/>
          <w:sz w:val="18"/>
          <w:szCs w:val="18"/>
          <w:shd w:val="clear" w:color="auto" w:fill="F8F9F3"/>
          <w:lang w:val="it-IT" w:eastAsia="it-IT"/>
        </w:rPr>
        <w:t> </w:t>
      </w:r>
      <w:proofErr w:type="spellStart"/>
      <w:r w:rsidRPr="00A25CF6">
        <w:rPr>
          <w:rFonts w:ascii="Palatino Linotype" w:hAnsi="Palatino Linotype"/>
          <w:sz w:val="18"/>
          <w:szCs w:val="18"/>
          <w:lang w:val="it-IT" w:eastAsia="it-IT"/>
        </w:rPr>
        <w:t>Περσίδι</w:t>
      </w:r>
      <w:proofErr w:type="spellEnd"/>
      <w:r w:rsidRPr="00A25CF6">
        <w:rPr>
          <w:rFonts w:ascii="Palatino Linotype" w:hAnsi="Palatino Linotype"/>
          <w:color w:val="2E0A03"/>
          <w:sz w:val="18"/>
          <w:szCs w:val="18"/>
          <w:lang w:val="it-IT" w:eastAsia="it-IT"/>
        </w:rPr>
        <w:t xml:space="preserve"> </w:t>
      </w:r>
      <w:r w:rsidRPr="00A25CF6">
        <w:rPr>
          <w:rFonts w:ascii="Palatino Linotype" w:hAnsi="Palatino Linotype"/>
          <w:sz w:val="18"/>
          <w:szCs w:val="18"/>
          <w:lang w:val="it-IT" w:eastAsia="it-IT"/>
        </w:rPr>
        <w:t>ἀπ</w:t>
      </w:r>
      <w:proofErr w:type="spellStart"/>
      <w:r w:rsidRPr="00A25CF6">
        <w:rPr>
          <w:rFonts w:ascii="Palatino Linotype" w:hAnsi="Palatino Linotype"/>
          <w:sz w:val="18"/>
          <w:szCs w:val="18"/>
          <w:lang w:val="it-IT" w:eastAsia="it-IT"/>
        </w:rPr>
        <w:t>ήγ</w:t>
      </w:r>
      <w:proofErr w:type="spellEnd"/>
      <w:r w:rsidRPr="00A25CF6">
        <w:rPr>
          <w:rFonts w:ascii="Palatino Linotype" w:hAnsi="Palatino Linotype"/>
          <w:sz w:val="18"/>
          <w:szCs w:val="18"/>
          <w:lang w:val="it-IT" w:eastAsia="it-IT"/>
        </w:rPr>
        <w:t>αγ</w:t>
      </w:r>
      <w:r w:rsidRPr="00A25CF6">
        <w:rPr>
          <w:rFonts w:ascii="Palatino Linotype" w:hAnsi="Palatino Linotype"/>
          <w:sz w:val="18"/>
          <w:szCs w:val="18"/>
          <w:lang w:val="el-GR" w:eastAsia="it-IT"/>
        </w:rPr>
        <w:t>ον</w:t>
      </w:r>
      <w:r w:rsidRPr="00A25CF6">
        <w:rPr>
          <w:rFonts w:ascii="Palatino Linotype" w:hAnsi="Palatino Linotype"/>
          <w:sz w:val="18"/>
          <w:szCs w:val="18"/>
          <w:lang w:val="it-IT" w:eastAsia="it-IT"/>
        </w:rPr>
        <w:t xml:space="preserve"> (</w:t>
      </w:r>
      <w:proofErr w:type="spellStart"/>
      <w:r w:rsidRPr="00A25CF6">
        <w:rPr>
          <w:rFonts w:ascii="Palatino Linotype" w:hAnsi="Palatino Linotype"/>
          <w:sz w:val="18"/>
          <w:szCs w:val="18"/>
          <w:lang w:val="it-IT" w:eastAsia="it-IT"/>
        </w:rPr>
        <w:t>Theoph</w:t>
      </w:r>
      <w:proofErr w:type="spellEnd"/>
      <w:r w:rsidRPr="00A25CF6">
        <w:rPr>
          <w:rFonts w:ascii="Palatino Linotype" w:hAnsi="Palatino Linotype"/>
          <w:sz w:val="18"/>
          <w:szCs w:val="18"/>
          <w:lang w:val="it-IT" w:eastAsia="it-IT"/>
        </w:rPr>
        <w:t>. 301).</w:t>
      </w:r>
    </w:p>
  </w:footnote>
  <w:footnote w:id="8">
    <w:p w:rsidR="00137027" w:rsidRPr="003915C5" w:rsidRDefault="00137027" w:rsidP="003915C5">
      <w:pPr>
        <w:pStyle w:val="Nessunaspaziatura"/>
        <w:jc w:val="both"/>
        <w:rPr>
          <w:rFonts w:ascii="Palatino Linotype" w:hAnsi="Palatino Linotype"/>
          <w:sz w:val="18"/>
          <w:szCs w:val="18"/>
          <w:lang w:eastAsia="it-IT"/>
        </w:rPr>
      </w:pPr>
      <w:r w:rsidRPr="003915C5">
        <w:rPr>
          <w:rStyle w:val="Rimandonotaapidipagina"/>
          <w:rFonts w:ascii="Palatino Linotype" w:hAnsi="Palatino Linotype"/>
          <w:color w:val="000000" w:themeColor="text1"/>
          <w:sz w:val="18"/>
          <w:szCs w:val="18"/>
        </w:rPr>
        <w:footnoteRef/>
      </w:r>
      <w:r w:rsidRPr="003915C5">
        <w:rPr>
          <w:rFonts w:ascii="Palatino Linotype" w:hAnsi="Palatino Linotype"/>
          <w:sz w:val="18"/>
          <w:szCs w:val="18"/>
        </w:rPr>
        <w:t xml:space="preserve"> </w:t>
      </w:r>
      <w:r w:rsidR="00A25CF6" w:rsidRPr="003915C5">
        <w:rPr>
          <w:rFonts w:ascii="Palatino Linotype" w:hAnsi="Palatino Linotype"/>
          <w:sz w:val="18"/>
          <w:szCs w:val="18"/>
        </w:rPr>
        <w:t xml:space="preserve">According to Michael </w:t>
      </w:r>
      <w:proofErr w:type="spellStart"/>
      <w:r w:rsidR="00A25CF6" w:rsidRPr="003915C5">
        <w:rPr>
          <w:rFonts w:ascii="Palatino Linotype" w:hAnsi="Palatino Linotype"/>
          <w:sz w:val="18"/>
          <w:szCs w:val="18"/>
        </w:rPr>
        <w:t>Psellos</w:t>
      </w:r>
      <w:proofErr w:type="spellEnd"/>
      <w:r w:rsidR="00A25CF6" w:rsidRPr="003915C5">
        <w:rPr>
          <w:rFonts w:ascii="Palatino Linotype" w:hAnsi="Palatino Linotype"/>
          <w:sz w:val="18"/>
          <w:szCs w:val="18"/>
        </w:rPr>
        <w:t xml:space="preserve"> (Dick 1985, 48). </w:t>
      </w:r>
      <w:proofErr w:type="spellStart"/>
      <w:r w:rsidR="00A25CF6" w:rsidRPr="003915C5">
        <w:rPr>
          <w:rFonts w:ascii="Palatino Linotype" w:hAnsi="Palatino Linotype"/>
          <w:sz w:val="18"/>
          <w:szCs w:val="18"/>
        </w:rPr>
        <w:t>Psellos</w:t>
      </w:r>
      <w:proofErr w:type="spellEnd"/>
      <w:r w:rsidR="00A25CF6" w:rsidRPr="003915C5">
        <w:rPr>
          <w:rFonts w:ascii="Palatino Linotype" w:hAnsi="Palatino Linotype"/>
          <w:sz w:val="18"/>
          <w:szCs w:val="18"/>
        </w:rPr>
        <w:t xml:space="preserve"> wrote a famous pamphlet </w:t>
      </w:r>
      <w:r w:rsidR="00A25CF6" w:rsidRPr="003915C5">
        <w:rPr>
          <w:rFonts w:ascii="Palatino Linotype" w:hAnsi="Palatino Linotype"/>
          <w:i/>
          <w:iCs/>
          <w:sz w:val="18"/>
          <w:szCs w:val="18"/>
          <w:lang w:val="it-IT" w:eastAsia="it-IT"/>
        </w:rPr>
        <w:t xml:space="preserve">De Euripide et </w:t>
      </w:r>
      <w:proofErr w:type="spellStart"/>
      <w:r w:rsidR="00A25CF6" w:rsidRPr="003915C5">
        <w:rPr>
          <w:rFonts w:ascii="Palatino Linotype" w:hAnsi="Palatino Linotype"/>
          <w:i/>
          <w:iCs/>
          <w:sz w:val="18"/>
          <w:szCs w:val="18"/>
          <w:lang w:val="it-IT" w:eastAsia="it-IT"/>
        </w:rPr>
        <w:t>Georgio</w:t>
      </w:r>
      <w:proofErr w:type="spellEnd"/>
      <w:r w:rsidR="00A25CF6" w:rsidRPr="003915C5">
        <w:rPr>
          <w:rFonts w:ascii="Palatino Linotype" w:hAnsi="Palatino Linotype"/>
          <w:i/>
          <w:iCs/>
          <w:sz w:val="18"/>
          <w:szCs w:val="18"/>
          <w:lang w:val="it-IT" w:eastAsia="it-IT"/>
        </w:rPr>
        <w:t xml:space="preserve"> </w:t>
      </w:r>
      <w:proofErr w:type="spellStart"/>
      <w:r w:rsidR="00A25CF6" w:rsidRPr="003915C5">
        <w:rPr>
          <w:rFonts w:ascii="Palatino Linotype" w:hAnsi="Palatino Linotype"/>
          <w:i/>
          <w:iCs/>
          <w:sz w:val="18"/>
          <w:szCs w:val="18"/>
          <w:lang w:val="it-IT" w:eastAsia="it-IT"/>
        </w:rPr>
        <w:t>Piside</w:t>
      </w:r>
      <w:proofErr w:type="spellEnd"/>
      <w:r w:rsidR="00A25CF6" w:rsidRPr="003915C5">
        <w:rPr>
          <w:rFonts w:ascii="Palatino Linotype" w:hAnsi="Palatino Linotype"/>
          <w:i/>
          <w:iCs/>
          <w:sz w:val="18"/>
          <w:szCs w:val="18"/>
          <w:lang w:val="it-IT" w:eastAsia="it-IT"/>
        </w:rPr>
        <w:t xml:space="preserve"> </w:t>
      </w:r>
      <w:proofErr w:type="spellStart"/>
      <w:r w:rsidR="00A25CF6" w:rsidRPr="003915C5">
        <w:rPr>
          <w:rFonts w:ascii="Palatino Linotype" w:hAnsi="Palatino Linotype"/>
          <w:i/>
          <w:iCs/>
          <w:sz w:val="18"/>
          <w:szCs w:val="18"/>
          <w:lang w:val="it-IT" w:eastAsia="it-IT"/>
        </w:rPr>
        <w:t>iudicium</w:t>
      </w:r>
      <w:proofErr w:type="spellEnd"/>
      <w:r w:rsidR="00A25CF6" w:rsidRPr="003915C5">
        <w:rPr>
          <w:rFonts w:ascii="Palatino Linotype" w:hAnsi="Palatino Linotype"/>
          <w:sz w:val="18"/>
          <w:szCs w:val="18"/>
          <w:lang w:val="it-IT" w:eastAsia="it-IT"/>
        </w:rPr>
        <w:t>.</w:t>
      </w:r>
      <w:r w:rsidR="00A25CF6" w:rsidRPr="003915C5">
        <w:rPr>
          <w:rFonts w:ascii="Palatino Linotype" w:hAnsi="Palatino Linotype"/>
          <w:sz w:val="18"/>
          <w:szCs w:val="18"/>
          <w:lang w:eastAsia="it-IT"/>
        </w:rPr>
        <w:t xml:space="preserve"> </w:t>
      </w:r>
      <w:r w:rsidR="00A54072" w:rsidRPr="003915C5">
        <w:rPr>
          <w:rFonts w:ascii="Palatino Linotype" w:hAnsi="Palatino Linotype"/>
          <w:sz w:val="18"/>
          <w:szCs w:val="18"/>
          <w:lang w:val="it-IT"/>
        </w:rPr>
        <w:t xml:space="preserve">On </w:t>
      </w:r>
      <w:proofErr w:type="spellStart"/>
      <w:r w:rsidR="00A54072" w:rsidRPr="003915C5">
        <w:rPr>
          <w:rFonts w:ascii="Palatino Linotype" w:hAnsi="Palatino Linotype"/>
          <w:sz w:val="18"/>
          <w:szCs w:val="18"/>
          <w:lang w:val="it-IT"/>
        </w:rPr>
        <w:t>Psell</w:t>
      </w:r>
      <w:r w:rsidR="00A25CF6" w:rsidRPr="003915C5">
        <w:rPr>
          <w:rFonts w:ascii="Palatino Linotype" w:hAnsi="Palatino Linotype"/>
          <w:sz w:val="18"/>
          <w:szCs w:val="18"/>
          <w:lang w:val="it-IT"/>
        </w:rPr>
        <w:t>o</w:t>
      </w:r>
      <w:r w:rsidR="00A54072" w:rsidRPr="003915C5">
        <w:rPr>
          <w:rFonts w:ascii="Palatino Linotype" w:hAnsi="Palatino Linotype"/>
          <w:sz w:val="18"/>
          <w:szCs w:val="18"/>
          <w:lang w:val="it-IT"/>
        </w:rPr>
        <w:t>s</w:t>
      </w:r>
      <w:proofErr w:type="spellEnd"/>
      <w:r w:rsidR="00A54072" w:rsidRPr="003915C5">
        <w:rPr>
          <w:rFonts w:ascii="Palatino Linotype" w:hAnsi="Palatino Linotype"/>
          <w:sz w:val="18"/>
          <w:szCs w:val="18"/>
          <w:lang w:val="it-IT"/>
        </w:rPr>
        <w:t xml:space="preserve">’ </w:t>
      </w:r>
      <w:proofErr w:type="spellStart"/>
      <w:r w:rsidR="00A54072" w:rsidRPr="003915C5">
        <w:rPr>
          <w:rFonts w:ascii="Palatino Linotype" w:hAnsi="Palatino Linotype"/>
          <w:sz w:val="18"/>
          <w:szCs w:val="18"/>
          <w:lang w:val="it-IT"/>
        </w:rPr>
        <w:t>final</w:t>
      </w:r>
      <w:proofErr w:type="spellEnd"/>
      <w:r w:rsidR="00A54072" w:rsidRPr="003915C5">
        <w:rPr>
          <w:rFonts w:ascii="Palatino Linotype" w:hAnsi="Palatino Linotype"/>
          <w:sz w:val="18"/>
          <w:szCs w:val="18"/>
          <w:lang w:val="it-IT"/>
        </w:rPr>
        <w:t xml:space="preserve"> </w:t>
      </w:r>
      <w:proofErr w:type="spellStart"/>
      <w:r w:rsidR="00A54072" w:rsidRPr="003915C5">
        <w:rPr>
          <w:rFonts w:ascii="Palatino Linotype" w:hAnsi="Palatino Linotype"/>
          <w:sz w:val="18"/>
          <w:szCs w:val="18"/>
          <w:lang w:val="it-IT"/>
        </w:rPr>
        <w:t>verdict</w:t>
      </w:r>
      <w:proofErr w:type="spellEnd"/>
      <w:r w:rsidR="00A54072" w:rsidRPr="003915C5">
        <w:rPr>
          <w:rFonts w:ascii="Palatino Linotype" w:hAnsi="Palatino Linotype"/>
          <w:sz w:val="18"/>
          <w:szCs w:val="18"/>
          <w:lang w:val="it-IT"/>
        </w:rPr>
        <w:t xml:space="preserve">, </w:t>
      </w:r>
      <w:proofErr w:type="spellStart"/>
      <w:r w:rsidR="00A54072" w:rsidRPr="003915C5">
        <w:rPr>
          <w:rFonts w:ascii="Palatino Linotype" w:hAnsi="Palatino Linotype"/>
          <w:sz w:val="18"/>
          <w:szCs w:val="18"/>
          <w:lang w:val="it-IT"/>
        </w:rPr>
        <w:t>see</w:t>
      </w:r>
      <w:proofErr w:type="spellEnd"/>
      <w:r w:rsidR="00A54072" w:rsidRPr="003915C5">
        <w:rPr>
          <w:rFonts w:ascii="Palatino Linotype" w:hAnsi="Palatino Linotype"/>
          <w:sz w:val="18"/>
          <w:szCs w:val="18"/>
          <w:lang w:val="it-IT"/>
        </w:rPr>
        <w:t xml:space="preserve"> </w:t>
      </w:r>
      <w:proofErr w:type="spellStart"/>
      <w:r w:rsidR="00A54072" w:rsidRPr="003915C5">
        <w:rPr>
          <w:rFonts w:ascii="Palatino Linotype" w:hAnsi="Palatino Linotype"/>
          <w:sz w:val="18"/>
          <w:szCs w:val="18"/>
          <w:lang w:val="it-IT"/>
        </w:rPr>
        <w:t>also</w:t>
      </w:r>
      <w:proofErr w:type="spellEnd"/>
      <w:r w:rsidR="00A54072" w:rsidRPr="003915C5">
        <w:rPr>
          <w:rFonts w:ascii="Palatino Linotype" w:hAnsi="Palatino Linotype"/>
          <w:sz w:val="18"/>
          <w:szCs w:val="18"/>
          <w:lang w:val="it-IT"/>
        </w:rPr>
        <w:t xml:space="preserve"> </w:t>
      </w:r>
      <w:proofErr w:type="spellStart"/>
      <w:r w:rsidR="00A54072" w:rsidRPr="003915C5">
        <w:rPr>
          <w:rFonts w:ascii="Palatino Linotype" w:hAnsi="Palatino Linotype"/>
          <w:sz w:val="18"/>
          <w:szCs w:val="18"/>
          <w:lang w:val="it-IT"/>
        </w:rPr>
        <w:t>Frendo</w:t>
      </w:r>
      <w:proofErr w:type="spellEnd"/>
      <w:r w:rsidR="00A54072" w:rsidRPr="003915C5">
        <w:rPr>
          <w:rFonts w:ascii="Palatino Linotype" w:hAnsi="Palatino Linotype"/>
          <w:sz w:val="18"/>
          <w:szCs w:val="18"/>
          <w:lang w:val="it-IT"/>
        </w:rPr>
        <w:t xml:space="preserve"> </w:t>
      </w:r>
      <w:r w:rsidR="00113193" w:rsidRPr="003915C5">
        <w:rPr>
          <w:rFonts w:ascii="Palatino Linotype" w:hAnsi="Palatino Linotype"/>
          <w:sz w:val="18"/>
          <w:szCs w:val="18"/>
          <w:lang w:val="it-IT"/>
        </w:rPr>
        <w:t>1984</w:t>
      </w:r>
      <w:r w:rsidR="00A54072" w:rsidRPr="003915C5">
        <w:rPr>
          <w:rFonts w:ascii="Palatino Linotype" w:hAnsi="Palatino Linotype"/>
          <w:sz w:val="18"/>
          <w:szCs w:val="18"/>
          <w:lang w:val="it-IT"/>
        </w:rPr>
        <w:t>, 159-160, n. 3.</w:t>
      </w:r>
    </w:p>
  </w:footnote>
  <w:footnote w:id="9">
    <w:p w:rsidR="00137027" w:rsidRPr="003915C5" w:rsidRDefault="00137027" w:rsidP="003915C5">
      <w:pPr>
        <w:pStyle w:val="Nessunaspaziatura"/>
        <w:jc w:val="both"/>
        <w:rPr>
          <w:rFonts w:ascii="Palatino Linotype" w:hAnsi="Palatino Linotype"/>
          <w:sz w:val="18"/>
          <w:szCs w:val="18"/>
        </w:rPr>
      </w:pPr>
      <w:r w:rsidRPr="003915C5">
        <w:rPr>
          <w:rStyle w:val="Rimandonotaapidipagina"/>
          <w:rFonts w:ascii="Palatino Linotype" w:hAnsi="Palatino Linotype"/>
          <w:sz w:val="18"/>
          <w:szCs w:val="18"/>
        </w:rPr>
        <w:footnoteRef/>
      </w:r>
      <w:r w:rsidRPr="003915C5">
        <w:rPr>
          <w:rFonts w:ascii="Palatino Linotype" w:hAnsi="Palatino Linotype"/>
          <w:sz w:val="18"/>
          <w:szCs w:val="18"/>
        </w:rPr>
        <w:t xml:space="preserve"> </w:t>
      </w:r>
      <w:r w:rsidR="00A25CF6" w:rsidRPr="003915C5">
        <w:rPr>
          <w:rFonts w:ascii="Palatino Linotype" w:hAnsi="Palatino Linotype"/>
          <w:sz w:val="18"/>
          <w:szCs w:val="18"/>
        </w:rPr>
        <w:t xml:space="preserve">E.g. in </w:t>
      </w:r>
      <w:r w:rsidRPr="003915C5">
        <w:rPr>
          <w:rFonts w:ascii="Palatino Linotype" w:hAnsi="Palatino Linotype"/>
          <w:i/>
          <w:sz w:val="18"/>
          <w:szCs w:val="18"/>
        </w:rPr>
        <w:t>Exp. Pers</w:t>
      </w:r>
      <w:r w:rsidRPr="003915C5">
        <w:rPr>
          <w:rFonts w:ascii="Palatino Linotype" w:hAnsi="Palatino Linotype"/>
          <w:sz w:val="18"/>
          <w:szCs w:val="18"/>
        </w:rPr>
        <w:t xml:space="preserve">. III 343. </w:t>
      </w:r>
      <w:r w:rsidR="00A25CF6" w:rsidRPr="003915C5">
        <w:rPr>
          <w:rFonts w:ascii="Palatino Linotype" w:hAnsi="Palatino Linotype"/>
          <w:sz w:val="18"/>
          <w:szCs w:val="18"/>
        </w:rPr>
        <w:t>George’</w:t>
      </w:r>
      <w:r w:rsidRPr="003915C5">
        <w:rPr>
          <w:rFonts w:ascii="Palatino Linotype" w:hAnsi="Palatino Linotype"/>
          <w:sz w:val="18"/>
          <w:szCs w:val="18"/>
        </w:rPr>
        <w:t xml:space="preserve"> poetic activity could be distinguished by two periods:</w:t>
      </w:r>
      <w:r w:rsidR="00AC63A0" w:rsidRPr="003915C5">
        <w:rPr>
          <w:rFonts w:ascii="Palatino Linotype" w:hAnsi="Palatino Linotype"/>
          <w:sz w:val="18"/>
          <w:szCs w:val="18"/>
        </w:rPr>
        <w:t xml:space="preserve"> </w:t>
      </w:r>
      <w:r w:rsidRPr="003915C5">
        <w:rPr>
          <w:rFonts w:ascii="Palatino Linotype" w:hAnsi="Palatino Linotype"/>
          <w:sz w:val="18"/>
          <w:szCs w:val="18"/>
        </w:rPr>
        <w:t>a) from 610/611 or 619/620 until approx. 630, during which he dedicated himself to epic-encomiastic poetry;</w:t>
      </w:r>
      <w:r w:rsidR="00AC63A0" w:rsidRPr="003915C5">
        <w:rPr>
          <w:rFonts w:ascii="Palatino Linotype" w:hAnsi="Palatino Linotype"/>
          <w:sz w:val="18"/>
          <w:szCs w:val="18"/>
        </w:rPr>
        <w:t xml:space="preserve"> </w:t>
      </w:r>
      <w:r w:rsidRPr="003915C5">
        <w:rPr>
          <w:rFonts w:ascii="Palatino Linotype" w:hAnsi="Palatino Linotype"/>
          <w:sz w:val="18"/>
          <w:szCs w:val="18"/>
        </w:rPr>
        <w:t xml:space="preserve">b) from 630 until his death, during which he dedicated himself to </w:t>
      </w:r>
      <w:proofErr w:type="spellStart"/>
      <w:r w:rsidRPr="003915C5">
        <w:rPr>
          <w:rFonts w:ascii="Palatino Linotype" w:hAnsi="Palatino Linotype"/>
          <w:sz w:val="18"/>
          <w:szCs w:val="18"/>
        </w:rPr>
        <w:t>teological</w:t>
      </w:r>
      <w:proofErr w:type="spellEnd"/>
      <w:r w:rsidRPr="003915C5">
        <w:rPr>
          <w:rFonts w:ascii="Palatino Linotype" w:hAnsi="Palatino Linotype"/>
          <w:sz w:val="18"/>
          <w:szCs w:val="18"/>
        </w:rPr>
        <w:t xml:space="preserve">-moral poetry. If the entire production of the first period can be read in close relation to political and military happenings from the Kingdom of Heraclius, the handwritten tradition is clearly off-balance in </w:t>
      </w:r>
      <w:proofErr w:type="spellStart"/>
      <w:r w:rsidRPr="003915C5">
        <w:rPr>
          <w:rFonts w:ascii="Palatino Linotype" w:hAnsi="Palatino Linotype"/>
          <w:sz w:val="18"/>
          <w:szCs w:val="18"/>
        </w:rPr>
        <w:t>favor</w:t>
      </w:r>
      <w:proofErr w:type="spellEnd"/>
      <w:r w:rsidRPr="003915C5">
        <w:rPr>
          <w:rFonts w:ascii="Palatino Linotype" w:hAnsi="Palatino Linotype"/>
          <w:sz w:val="18"/>
          <w:szCs w:val="18"/>
        </w:rPr>
        <w:t xml:space="preserve"> of the </w:t>
      </w:r>
      <w:proofErr w:type="spellStart"/>
      <w:r w:rsidRPr="003915C5">
        <w:rPr>
          <w:rFonts w:ascii="Palatino Linotype" w:hAnsi="Palatino Linotype"/>
          <w:sz w:val="18"/>
          <w:szCs w:val="18"/>
        </w:rPr>
        <w:t>teological</w:t>
      </w:r>
      <w:proofErr w:type="spellEnd"/>
      <w:r w:rsidRPr="003915C5">
        <w:rPr>
          <w:rFonts w:ascii="Palatino Linotype" w:hAnsi="Palatino Linotype"/>
          <w:sz w:val="18"/>
          <w:szCs w:val="18"/>
        </w:rPr>
        <w:t xml:space="preserve"> production: one poem such as </w:t>
      </w:r>
      <w:proofErr w:type="spellStart"/>
      <w:r w:rsidRPr="003915C5">
        <w:rPr>
          <w:rFonts w:ascii="Palatino Linotype" w:hAnsi="Palatino Linotype"/>
          <w:i/>
          <w:sz w:val="18"/>
          <w:szCs w:val="18"/>
        </w:rPr>
        <w:t>Hexaemeron</w:t>
      </w:r>
      <w:proofErr w:type="spellEnd"/>
      <w:r w:rsidRPr="003915C5">
        <w:rPr>
          <w:rFonts w:ascii="Palatino Linotype" w:hAnsi="Palatino Linotype"/>
          <w:sz w:val="18"/>
          <w:szCs w:val="18"/>
        </w:rPr>
        <w:t xml:space="preserve"> is written by 44 </w:t>
      </w:r>
      <w:r w:rsidR="001034CF" w:rsidRPr="003915C5">
        <w:rPr>
          <w:rFonts w:ascii="Palatino Linotype" w:hAnsi="Palatino Linotype"/>
          <w:sz w:val="18"/>
          <w:szCs w:val="18"/>
        </w:rPr>
        <w:t>G</w:t>
      </w:r>
      <w:r w:rsidRPr="003915C5">
        <w:rPr>
          <w:rFonts w:ascii="Palatino Linotype" w:hAnsi="Palatino Linotype"/>
          <w:sz w:val="18"/>
          <w:szCs w:val="18"/>
        </w:rPr>
        <w:t xml:space="preserve">reek codes and two translations, one Slavic, and one Armenian. The epic-encomiastic poems, on the other hand, known as </w:t>
      </w:r>
      <w:r w:rsidR="005B59F1" w:rsidRPr="003915C5">
        <w:rPr>
          <w:rFonts w:ascii="Palatino Linotype" w:hAnsi="Palatino Linotype"/>
          <w:sz w:val="18"/>
          <w:szCs w:val="18"/>
        </w:rPr>
        <w:t>“</w:t>
      </w:r>
      <w:proofErr w:type="spellStart"/>
      <w:r w:rsidR="005B59F1" w:rsidRPr="003915C5">
        <w:rPr>
          <w:rFonts w:ascii="Palatino Linotype" w:hAnsi="Palatino Linotype"/>
          <w:sz w:val="18"/>
          <w:szCs w:val="18"/>
        </w:rPr>
        <w:t>panegirici</w:t>
      </w:r>
      <w:proofErr w:type="spellEnd"/>
      <w:r w:rsidR="005B59F1" w:rsidRPr="003915C5">
        <w:rPr>
          <w:rFonts w:ascii="Palatino Linotype" w:hAnsi="Palatino Linotype"/>
          <w:sz w:val="18"/>
          <w:szCs w:val="18"/>
        </w:rPr>
        <w:t xml:space="preserve"> </w:t>
      </w:r>
      <w:proofErr w:type="spellStart"/>
      <w:r w:rsidR="005B59F1" w:rsidRPr="003915C5">
        <w:rPr>
          <w:rFonts w:ascii="Palatino Linotype" w:hAnsi="Palatino Linotype"/>
          <w:sz w:val="18"/>
          <w:szCs w:val="18"/>
        </w:rPr>
        <w:t>epici</w:t>
      </w:r>
      <w:proofErr w:type="spellEnd"/>
      <w:r w:rsidR="005B59F1" w:rsidRPr="003915C5">
        <w:rPr>
          <w:rFonts w:ascii="Palatino Linotype" w:hAnsi="Palatino Linotype"/>
          <w:sz w:val="18"/>
          <w:szCs w:val="18"/>
        </w:rPr>
        <w:t>”</w:t>
      </w:r>
      <w:r w:rsidRPr="003915C5">
        <w:rPr>
          <w:rFonts w:ascii="Palatino Linotype" w:hAnsi="Palatino Linotype"/>
          <w:sz w:val="18"/>
          <w:szCs w:val="18"/>
        </w:rPr>
        <w:t xml:space="preserve"> </w:t>
      </w:r>
      <w:r w:rsidR="00A25CF6" w:rsidRPr="003915C5">
        <w:rPr>
          <w:rFonts w:ascii="Palatino Linotype" w:hAnsi="Palatino Linotype"/>
          <w:sz w:val="18"/>
          <w:szCs w:val="18"/>
        </w:rPr>
        <w:t>(</w:t>
      </w:r>
      <w:proofErr w:type="spellStart"/>
      <w:r w:rsidRPr="003915C5">
        <w:rPr>
          <w:rFonts w:ascii="Palatino Linotype" w:hAnsi="Palatino Linotype"/>
          <w:sz w:val="18"/>
          <w:szCs w:val="18"/>
        </w:rPr>
        <w:t>Pertusi</w:t>
      </w:r>
      <w:proofErr w:type="spellEnd"/>
      <w:r w:rsidR="00A25CF6" w:rsidRPr="003915C5">
        <w:rPr>
          <w:rFonts w:ascii="Palatino Linotype" w:hAnsi="Palatino Linotype"/>
          <w:sz w:val="18"/>
          <w:szCs w:val="18"/>
        </w:rPr>
        <w:t>)</w:t>
      </w:r>
      <w:r w:rsidRPr="003915C5">
        <w:rPr>
          <w:rFonts w:ascii="Palatino Linotype" w:hAnsi="Palatino Linotype"/>
          <w:sz w:val="18"/>
          <w:szCs w:val="18"/>
        </w:rPr>
        <w:t>, are preserved by only 5 manuscripts</w:t>
      </w:r>
      <w:r w:rsidR="00A25CF6" w:rsidRPr="003915C5">
        <w:rPr>
          <w:rFonts w:ascii="Palatino Linotype" w:hAnsi="Palatino Linotype"/>
          <w:sz w:val="18"/>
          <w:szCs w:val="18"/>
        </w:rPr>
        <w:t xml:space="preserve"> (Tartaglia 1998, 55-56). </w:t>
      </w:r>
      <w:r w:rsidRPr="003915C5">
        <w:rPr>
          <w:rFonts w:ascii="Palatino Linotype" w:hAnsi="Palatino Linotype"/>
          <w:sz w:val="18"/>
          <w:szCs w:val="18"/>
        </w:rPr>
        <w:t xml:space="preserve">The reasons for the lack of interest in the encomiastic production can be found in the prevalence of the theological-ascetic dimension in later Byzantine literature, reader of the </w:t>
      </w:r>
      <w:proofErr w:type="spellStart"/>
      <w:r w:rsidRPr="003915C5">
        <w:rPr>
          <w:rFonts w:ascii="Palatino Linotype" w:hAnsi="Palatino Linotype"/>
          <w:i/>
          <w:sz w:val="18"/>
          <w:szCs w:val="18"/>
        </w:rPr>
        <w:t>Hexaemeron</w:t>
      </w:r>
      <w:proofErr w:type="spellEnd"/>
      <w:r w:rsidRPr="003915C5">
        <w:rPr>
          <w:rFonts w:ascii="Palatino Linotype" w:hAnsi="Palatino Linotype"/>
          <w:sz w:val="18"/>
          <w:szCs w:val="18"/>
        </w:rPr>
        <w:t xml:space="preserve">, and in the classical metre of panegyrics (iambic </w:t>
      </w:r>
      <w:proofErr w:type="spellStart"/>
      <w:r w:rsidRPr="003915C5">
        <w:rPr>
          <w:rFonts w:ascii="Palatino Linotype" w:hAnsi="Palatino Linotype"/>
          <w:sz w:val="18"/>
          <w:szCs w:val="18"/>
        </w:rPr>
        <w:t>trimeter</w:t>
      </w:r>
      <w:proofErr w:type="spellEnd"/>
      <w:r w:rsidRPr="003915C5">
        <w:rPr>
          <w:rFonts w:ascii="Palatino Linotype" w:hAnsi="Palatino Linotype"/>
          <w:sz w:val="18"/>
          <w:szCs w:val="18"/>
        </w:rPr>
        <w:t xml:space="preserve">). </w:t>
      </w:r>
    </w:p>
  </w:footnote>
  <w:footnote w:id="10">
    <w:p w:rsidR="00A970E2" w:rsidRPr="003915C5" w:rsidRDefault="00A970E2" w:rsidP="003915C5">
      <w:pPr>
        <w:pStyle w:val="Nessunaspaziatura"/>
        <w:jc w:val="both"/>
        <w:rPr>
          <w:rFonts w:ascii="Palatino Linotype" w:hAnsi="Palatino Linotype"/>
          <w:sz w:val="18"/>
          <w:szCs w:val="18"/>
        </w:rPr>
      </w:pPr>
      <w:r w:rsidRPr="003915C5">
        <w:rPr>
          <w:rStyle w:val="Rimandonotaapidipagina"/>
          <w:rFonts w:ascii="Palatino Linotype" w:hAnsi="Palatino Linotype"/>
          <w:sz w:val="18"/>
          <w:szCs w:val="18"/>
        </w:rPr>
        <w:footnoteRef/>
      </w:r>
      <w:r w:rsidRPr="003915C5">
        <w:rPr>
          <w:rFonts w:ascii="Palatino Linotype" w:hAnsi="Palatino Linotype"/>
          <w:sz w:val="18"/>
          <w:szCs w:val="18"/>
        </w:rPr>
        <w:t xml:space="preserve"> </w:t>
      </w:r>
      <w:r w:rsidR="0049053C" w:rsidRPr="003915C5">
        <w:rPr>
          <w:rFonts w:ascii="Palatino Linotype" w:hAnsi="Palatino Linotype"/>
          <w:sz w:val="18"/>
          <w:szCs w:val="18"/>
        </w:rPr>
        <w:t xml:space="preserve">For an accurate reconstruction of Heraclius’ military campaign, see also </w:t>
      </w:r>
      <w:proofErr w:type="spellStart"/>
      <w:r w:rsidR="0083084E" w:rsidRPr="003915C5">
        <w:rPr>
          <w:rFonts w:ascii="Palatino Linotype" w:hAnsi="Palatino Linotype"/>
          <w:sz w:val="18"/>
          <w:szCs w:val="18"/>
        </w:rPr>
        <w:t>Kaegi</w:t>
      </w:r>
      <w:proofErr w:type="spellEnd"/>
      <w:r w:rsidR="0083084E" w:rsidRPr="003915C5">
        <w:rPr>
          <w:rFonts w:ascii="Palatino Linotype" w:hAnsi="Palatino Linotype"/>
          <w:sz w:val="18"/>
          <w:szCs w:val="18"/>
        </w:rPr>
        <w:t xml:space="preserve"> 2003</w:t>
      </w:r>
      <w:r w:rsidR="0083084E">
        <w:rPr>
          <w:rFonts w:ascii="Palatino Linotype" w:hAnsi="Palatino Linotype"/>
          <w:sz w:val="18"/>
          <w:szCs w:val="18"/>
        </w:rPr>
        <w:t xml:space="preserve">, 156-191 and </w:t>
      </w:r>
      <w:r w:rsidR="0049053C" w:rsidRPr="003915C5">
        <w:rPr>
          <w:rFonts w:ascii="Palatino Linotype" w:hAnsi="Palatino Linotype"/>
          <w:sz w:val="18"/>
          <w:szCs w:val="18"/>
        </w:rPr>
        <w:t>Breccia 2016, 189-221</w:t>
      </w:r>
      <w:r w:rsidR="0083084E">
        <w:rPr>
          <w:rFonts w:ascii="Palatino Linotype" w:hAnsi="Palatino Linotype"/>
          <w:sz w:val="18"/>
          <w:szCs w:val="18"/>
        </w:rPr>
        <w:t>.</w:t>
      </w:r>
    </w:p>
  </w:footnote>
  <w:footnote w:id="11">
    <w:p w:rsidR="00823E23" w:rsidRPr="00823E23" w:rsidRDefault="00823E23" w:rsidP="003915C5">
      <w:pPr>
        <w:pStyle w:val="Nessunaspaziatura"/>
        <w:jc w:val="both"/>
      </w:pPr>
      <w:r w:rsidRPr="003915C5">
        <w:rPr>
          <w:rStyle w:val="Rimandonotaapidipagina"/>
          <w:rFonts w:ascii="Palatino Linotype" w:hAnsi="Palatino Linotype"/>
          <w:sz w:val="18"/>
          <w:szCs w:val="18"/>
        </w:rPr>
        <w:footnoteRef/>
      </w:r>
      <w:r w:rsidRPr="003915C5">
        <w:rPr>
          <w:rFonts w:ascii="Palatino Linotype" w:hAnsi="Palatino Linotype"/>
          <w:sz w:val="18"/>
          <w:szCs w:val="18"/>
        </w:rPr>
        <w:t xml:space="preserve"> More likely, the door, with its famous elegant two-arched profile, was built in </w:t>
      </w:r>
      <w:proofErr w:type="spellStart"/>
      <w:r w:rsidRPr="003915C5">
        <w:rPr>
          <w:rFonts w:ascii="Palatino Linotype" w:hAnsi="Palatino Linotype"/>
          <w:sz w:val="18"/>
          <w:szCs w:val="18"/>
        </w:rPr>
        <w:t>honor</w:t>
      </w:r>
      <w:proofErr w:type="spellEnd"/>
      <w:r w:rsidRPr="003915C5">
        <w:rPr>
          <w:rFonts w:ascii="Palatino Linotype" w:hAnsi="Palatino Linotype"/>
          <w:sz w:val="18"/>
          <w:szCs w:val="18"/>
        </w:rPr>
        <w:t xml:space="preserve"> of Heraclius and his entrance (</w:t>
      </w:r>
      <w:proofErr w:type="spellStart"/>
      <w:r w:rsidRPr="003915C5">
        <w:rPr>
          <w:rFonts w:ascii="Palatino Linotype" w:hAnsi="Palatino Linotype"/>
          <w:sz w:val="18"/>
          <w:szCs w:val="18"/>
        </w:rPr>
        <w:t>Cardini</w:t>
      </w:r>
      <w:proofErr w:type="spellEnd"/>
      <w:r w:rsidRPr="003915C5">
        <w:rPr>
          <w:rFonts w:ascii="Palatino Linotype" w:hAnsi="Palatino Linotype"/>
          <w:sz w:val="18"/>
          <w:szCs w:val="18"/>
        </w:rPr>
        <w:t xml:space="preserve"> 2012, 90).</w:t>
      </w:r>
      <w:r w:rsidRPr="00823E23">
        <w:t xml:space="preserve"> </w:t>
      </w:r>
    </w:p>
  </w:footnote>
  <w:footnote w:id="12">
    <w:p w:rsidR="00BE6A71" w:rsidRPr="00BE6A71" w:rsidRDefault="00BE6A71" w:rsidP="002D2812">
      <w:pPr>
        <w:pStyle w:val="Testonotaapidipagina"/>
        <w:jc w:val="both"/>
        <w:rPr>
          <w:rFonts w:ascii="Palatino Linotype" w:hAnsi="Palatino Linotype"/>
          <w:sz w:val="18"/>
          <w:szCs w:val="18"/>
          <w:lang w:val="it-IT"/>
        </w:rPr>
      </w:pPr>
      <w:r w:rsidRPr="00823E23">
        <w:rPr>
          <w:rStyle w:val="Rimandonotaapidipagina"/>
          <w:rFonts w:ascii="Palatino Linotype" w:hAnsi="Palatino Linotype"/>
          <w:color w:val="0070C0"/>
          <w:sz w:val="18"/>
          <w:szCs w:val="18"/>
        </w:rPr>
        <w:footnoteRef/>
      </w:r>
      <w:r w:rsidRPr="00823E23">
        <w:rPr>
          <w:rFonts w:ascii="Palatino Linotype" w:hAnsi="Palatino Linotype"/>
          <w:color w:val="0070C0"/>
          <w:sz w:val="18"/>
          <w:szCs w:val="18"/>
        </w:rPr>
        <w:t xml:space="preserve"> </w:t>
      </w:r>
      <w:r w:rsidRPr="00823E23">
        <w:rPr>
          <w:rFonts w:ascii="Palatino Linotype" w:hAnsi="Palatino Linotype"/>
          <w:color w:val="0070C0"/>
          <w:sz w:val="18"/>
          <w:szCs w:val="18"/>
          <w:lang w:val="it-IT"/>
        </w:rPr>
        <w:t xml:space="preserve">Sull’alternanza tra le due forme, la formazione di </w:t>
      </w:r>
      <w:proofErr w:type="spellStart"/>
      <w:r w:rsidRPr="00823E23">
        <w:rPr>
          <w:rFonts w:ascii="Palatino Linotype" w:hAnsi="Palatino Linotype"/>
          <w:color w:val="0070C0"/>
          <w:sz w:val="18"/>
          <w:szCs w:val="18"/>
          <w:lang w:val="el-GR"/>
        </w:rPr>
        <w:t>θεηδόχος</w:t>
      </w:r>
      <w:proofErr w:type="spellEnd"/>
      <w:r w:rsidRPr="00823E23">
        <w:rPr>
          <w:rFonts w:ascii="Palatino Linotype" w:hAnsi="Palatino Linotype"/>
          <w:color w:val="0070C0"/>
          <w:sz w:val="18"/>
          <w:szCs w:val="18"/>
          <w:lang w:val="it-IT"/>
        </w:rPr>
        <w:t xml:space="preserve"> può essere stata facilitata</w:t>
      </w:r>
      <w:r w:rsidR="000B7327">
        <w:rPr>
          <w:rFonts w:ascii="Palatino Linotype" w:hAnsi="Palatino Linotype"/>
          <w:color w:val="0070C0"/>
          <w:sz w:val="18"/>
          <w:szCs w:val="18"/>
          <w:lang w:val="it-IT"/>
        </w:rPr>
        <w:t xml:space="preserve"> anche</w:t>
      </w:r>
      <w:r w:rsidRPr="00823E23">
        <w:rPr>
          <w:rFonts w:ascii="Palatino Linotype" w:hAnsi="Palatino Linotype"/>
          <w:color w:val="0070C0"/>
          <w:sz w:val="18"/>
          <w:szCs w:val="18"/>
          <w:lang w:val="it-IT"/>
        </w:rPr>
        <w:t xml:space="preserve"> dall’esistenza di </w:t>
      </w:r>
      <w:proofErr w:type="spellStart"/>
      <w:r w:rsidRPr="00823E23">
        <w:rPr>
          <w:rFonts w:ascii="Palatino Linotype" w:hAnsi="Palatino Linotype"/>
          <w:color w:val="0070C0"/>
          <w:sz w:val="18"/>
          <w:szCs w:val="18"/>
          <w:lang w:val="el-GR"/>
        </w:rPr>
        <w:t>θεηκόλος</w:t>
      </w:r>
      <w:proofErr w:type="spellEnd"/>
      <w:r w:rsidRPr="00823E23">
        <w:rPr>
          <w:rFonts w:ascii="Palatino Linotype" w:hAnsi="Palatino Linotype"/>
          <w:color w:val="0070C0"/>
          <w:sz w:val="18"/>
          <w:szCs w:val="18"/>
          <w:lang w:val="it-IT"/>
        </w:rPr>
        <w:t>, forma dotta per</w:t>
      </w:r>
      <w:r w:rsidRPr="00BE6A71">
        <w:rPr>
          <w:rFonts w:ascii="Palatino Linotype" w:hAnsi="Palatino Linotype"/>
          <w:color w:val="0070C0"/>
          <w:sz w:val="18"/>
          <w:szCs w:val="18"/>
          <w:lang w:val="it-IT"/>
        </w:rPr>
        <w:t xml:space="preserve"> ‘sacerdote’, che ebbe successo nella prosa tarda (</w:t>
      </w:r>
      <w:proofErr w:type="spellStart"/>
      <w:r w:rsidRPr="00BE6A71">
        <w:rPr>
          <w:rFonts w:ascii="Palatino Linotype" w:hAnsi="Palatino Linotype"/>
          <w:color w:val="0070C0"/>
          <w:sz w:val="18"/>
          <w:szCs w:val="18"/>
          <w:lang w:val="it-IT"/>
        </w:rPr>
        <w:t>Solmsen</w:t>
      </w:r>
      <w:proofErr w:type="spellEnd"/>
      <w:r w:rsidRPr="00BE6A71">
        <w:rPr>
          <w:rFonts w:ascii="Palatino Linotype" w:hAnsi="Palatino Linotype"/>
          <w:color w:val="0070C0"/>
          <w:sz w:val="18"/>
          <w:szCs w:val="18"/>
          <w:lang w:val="it-IT"/>
        </w:rPr>
        <w:t xml:space="preserve"> 1901, 24)</w:t>
      </w:r>
      <w:r>
        <w:rPr>
          <w:rFonts w:ascii="Palatino Linotype" w:hAnsi="Palatino Linotype"/>
          <w:color w:val="0070C0"/>
          <w:sz w:val="18"/>
          <w:szCs w:val="18"/>
          <w:lang w:val="it-IT"/>
        </w:rPr>
        <w:t>.</w:t>
      </w:r>
    </w:p>
  </w:footnote>
  <w:footnote w:id="13">
    <w:p w:rsidR="00985A47" w:rsidRPr="00B02BDE" w:rsidRDefault="00985A47" w:rsidP="002D2812">
      <w:pPr>
        <w:pStyle w:val="Nessunaspaziatura"/>
        <w:jc w:val="both"/>
        <w:rPr>
          <w:rFonts w:ascii="Palatino Linotype" w:hAnsi="Palatino Linotype"/>
          <w:sz w:val="18"/>
          <w:szCs w:val="18"/>
        </w:rPr>
      </w:pPr>
      <w:r w:rsidRPr="00BE6A71">
        <w:rPr>
          <w:rStyle w:val="Rimandonotaapidipagina"/>
          <w:rFonts w:ascii="Palatino Linotype" w:hAnsi="Palatino Linotype"/>
          <w:sz w:val="18"/>
          <w:szCs w:val="18"/>
        </w:rPr>
        <w:footnoteRef/>
      </w:r>
      <w:r w:rsidRPr="00BE6A71">
        <w:rPr>
          <w:rFonts w:ascii="Palatino Linotype" w:hAnsi="Palatino Linotype"/>
          <w:sz w:val="18"/>
          <w:szCs w:val="18"/>
        </w:rPr>
        <w:t xml:space="preserve"> ἡ </w:t>
      </w:r>
      <w:proofErr w:type="spellStart"/>
      <w:r w:rsidRPr="00BE6A71">
        <w:rPr>
          <w:rFonts w:ascii="Palatino Linotype" w:hAnsi="Palatino Linotype"/>
          <w:sz w:val="18"/>
          <w:szCs w:val="18"/>
        </w:rPr>
        <w:t>μυστικὴ</w:t>
      </w:r>
      <w:proofErr w:type="spellEnd"/>
      <w:r w:rsidRPr="00BE6A71">
        <w:rPr>
          <w:rFonts w:ascii="Palatino Linotype" w:hAnsi="Palatino Linotype"/>
          <w:sz w:val="18"/>
          <w:szCs w:val="18"/>
        </w:rPr>
        <w:t xml:space="preserve"> </w:t>
      </w:r>
      <w:proofErr w:type="spellStart"/>
      <w:r w:rsidRPr="00BE6A71">
        <w:rPr>
          <w:rFonts w:ascii="Palatino Linotype" w:hAnsi="Palatino Linotype"/>
          <w:sz w:val="18"/>
          <w:szCs w:val="18"/>
        </w:rPr>
        <w:t>κλεὶς</w:t>
      </w:r>
      <w:proofErr w:type="spellEnd"/>
      <w:r w:rsidRPr="00BE6A71">
        <w:rPr>
          <w:rFonts w:ascii="Palatino Linotype" w:hAnsi="Palatino Linotype"/>
          <w:sz w:val="18"/>
          <w:szCs w:val="18"/>
        </w:rPr>
        <w:t xml:space="preserve"> </w:t>
      </w:r>
      <w:proofErr w:type="spellStart"/>
      <w:r w:rsidRPr="00BE6A71">
        <w:rPr>
          <w:rFonts w:ascii="Palatino Linotype" w:hAnsi="Palatino Linotype"/>
          <w:sz w:val="18"/>
          <w:szCs w:val="18"/>
        </w:rPr>
        <w:t>τῆς</w:t>
      </w:r>
      <w:proofErr w:type="spellEnd"/>
      <w:r w:rsidRPr="00BE6A71">
        <w:rPr>
          <w:rFonts w:ascii="Palatino Linotype" w:hAnsi="Palatino Linotype"/>
          <w:sz w:val="18"/>
          <w:szCs w:val="18"/>
        </w:rPr>
        <w:t xml:space="preserve"> </w:t>
      </w:r>
      <w:proofErr w:type="spellStart"/>
      <w:r w:rsidRPr="00BE6A71">
        <w:rPr>
          <w:rFonts w:ascii="Palatino Linotype" w:hAnsi="Palatino Linotype"/>
          <w:sz w:val="18"/>
          <w:szCs w:val="18"/>
        </w:rPr>
        <w:t>θε</w:t>
      </w:r>
      <w:proofErr w:type="spellEnd"/>
      <w:r w:rsidR="00983F5E">
        <w:rPr>
          <w:rFonts w:ascii="Palatino Linotype" w:hAnsi="Palatino Linotype"/>
          <w:sz w:val="18"/>
          <w:szCs w:val="18"/>
          <w:lang w:val="el-GR"/>
        </w:rPr>
        <w:t>η</w:t>
      </w:r>
      <w:proofErr w:type="spellStart"/>
      <w:r w:rsidRPr="00BE6A71">
        <w:rPr>
          <w:rFonts w:ascii="Palatino Linotype" w:hAnsi="Palatino Linotype"/>
          <w:sz w:val="18"/>
          <w:szCs w:val="18"/>
        </w:rPr>
        <w:t>δόχου</w:t>
      </w:r>
      <w:proofErr w:type="spellEnd"/>
      <w:r w:rsidRPr="00BE6A71">
        <w:rPr>
          <w:rFonts w:ascii="Palatino Linotype" w:hAnsi="Palatino Linotype"/>
          <w:sz w:val="18"/>
          <w:szCs w:val="18"/>
        </w:rPr>
        <w:t xml:space="preserve"> π</w:t>
      </w:r>
      <w:proofErr w:type="spellStart"/>
      <w:r w:rsidRPr="00BE6A71">
        <w:rPr>
          <w:rFonts w:ascii="Palatino Linotype" w:hAnsi="Palatino Linotype"/>
          <w:sz w:val="18"/>
          <w:szCs w:val="18"/>
        </w:rPr>
        <w:t>ύλης</w:t>
      </w:r>
      <w:proofErr w:type="spellEnd"/>
      <w:r w:rsidR="00983F5E">
        <w:rPr>
          <w:rFonts w:ascii="Palatino Linotype" w:hAnsi="Palatino Linotype"/>
          <w:sz w:val="18"/>
          <w:szCs w:val="18"/>
        </w:rPr>
        <w:t>,</w:t>
      </w:r>
      <w:r w:rsidR="00AC63A0" w:rsidRPr="00BE6A71">
        <w:rPr>
          <w:rFonts w:ascii="Palatino Linotype" w:hAnsi="Palatino Linotype"/>
          <w:sz w:val="18"/>
          <w:szCs w:val="18"/>
        </w:rPr>
        <w:t xml:space="preserve"> “la </w:t>
      </w:r>
      <w:proofErr w:type="spellStart"/>
      <w:r w:rsidR="00AC63A0" w:rsidRPr="00BE6A71">
        <w:rPr>
          <w:rFonts w:ascii="Palatino Linotype" w:hAnsi="Palatino Linotype"/>
          <w:sz w:val="18"/>
          <w:szCs w:val="18"/>
        </w:rPr>
        <w:t>mistica</w:t>
      </w:r>
      <w:proofErr w:type="spellEnd"/>
      <w:r w:rsidR="00AC63A0" w:rsidRPr="00BE6A71">
        <w:rPr>
          <w:rFonts w:ascii="Palatino Linotype" w:hAnsi="Palatino Linotype"/>
          <w:sz w:val="18"/>
          <w:szCs w:val="18"/>
        </w:rPr>
        <w:t xml:space="preserve"> </w:t>
      </w:r>
      <w:proofErr w:type="spellStart"/>
      <w:r w:rsidR="00AC63A0" w:rsidRPr="00BE6A71">
        <w:rPr>
          <w:rFonts w:ascii="Palatino Linotype" w:hAnsi="Palatino Linotype"/>
          <w:sz w:val="18"/>
          <w:szCs w:val="18"/>
        </w:rPr>
        <w:t>chiave</w:t>
      </w:r>
      <w:proofErr w:type="spellEnd"/>
      <w:r w:rsidR="00AC63A0" w:rsidRPr="00BE6A71">
        <w:rPr>
          <w:rFonts w:ascii="Palatino Linotype" w:hAnsi="Palatino Linotype"/>
          <w:sz w:val="18"/>
          <w:szCs w:val="18"/>
        </w:rPr>
        <w:t xml:space="preserve"> </w:t>
      </w:r>
      <w:proofErr w:type="spellStart"/>
      <w:r w:rsidR="00AC63A0" w:rsidRPr="00BE6A71">
        <w:rPr>
          <w:rFonts w:ascii="Palatino Linotype" w:hAnsi="Palatino Linotype"/>
          <w:sz w:val="18"/>
          <w:szCs w:val="18"/>
        </w:rPr>
        <w:t>della</w:t>
      </w:r>
      <w:proofErr w:type="spellEnd"/>
      <w:r w:rsidR="00AC63A0" w:rsidRPr="00BE6A71">
        <w:rPr>
          <w:rFonts w:ascii="Palatino Linotype" w:hAnsi="Palatino Linotype"/>
          <w:sz w:val="18"/>
          <w:szCs w:val="18"/>
        </w:rPr>
        <w:t xml:space="preserve"> porta </w:t>
      </w:r>
      <w:proofErr w:type="spellStart"/>
      <w:r w:rsidR="00AC63A0" w:rsidRPr="00BE6A71">
        <w:rPr>
          <w:rFonts w:ascii="Palatino Linotype" w:hAnsi="Palatino Linotype"/>
          <w:sz w:val="18"/>
          <w:szCs w:val="18"/>
        </w:rPr>
        <w:t>che</w:t>
      </w:r>
      <w:proofErr w:type="spellEnd"/>
      <w:r w:rsidR="00AC63A0" w:rsidRPr="00BE6A71">
        <w:rPr>
          <w:rFonts w:ascii="Palatino Linotype" w:hAnsi="Palatino Linotype"/>
          <w:sz w:val="18"/>
          <w:szCs w:val="18"/>
        </w:rPr>
        <w:t xml:space="preserve"> ha </w:t>
      </w:r>
      <w:proofErr w:type="spellStart"/>
      <w:r w:rsidR="00AC63A0" w:rsidRPr="00BE6A71">
        <w:rPr>
          <w:rFonts w:ascii="Palatino Linotype" w:hAnsi="Palatino Linotype"/>
          <w:sz w:val="18"/>
          <w:szCs w:val="18"/>
        </w:rPr>
        <w:t>accolto</w:t>
      </w:r>
      <w:proofErr w:type="spellEnd"/>
      <w:r w:rsidR="00AC63A0" w:rsidRPr="00BE6A71">
        <w:rPr>
          <w:rFonts w:ascii="Palatino Linotype" w:hAnsi="Palatino Linotype"/>
          <w:sz w:val="18"/>
          <w:szCs w:val="18"/>
        </w:rPr>
        <w:t xml:space="preserve"> </w:t>
      </w:r>
      <w:proofErr w:type="spellStart"/>
      <w:r w:rsidR="00AC63A0" w:rsidRPr="00BE6A71">
        <w:rPr>
          <w:rFonts w:ascii="Palatino Linotype" w:hAnsi="Palatino Linotype"/>
          <w:sz w:val="18"/>
          <w:szCs w:val="18"/>
        </w:rPr>
        <w:t>Dio</w:t>
      </w:r>
      <w:proofErr w:type="spellEnd"/>
      <w:r w:rsidR="00AC63A0" w:rsidRPr="00BE6A71">
        <w:rPr>
          <w:rFonts w:ascii="Palatino Linotype" w:hAnsi="Palatino Linotype"/>
          <w:sz w:val="18"/>
          <w:szCs w:val="18"/>
        </w:rPr>
        <w:t>”</w:t>
      </w:r>
      <w:r w:rsidR="00983F5E">
        <w:rPr>
          <w:rFonts w:ascii="Palatino Linotype" w:hAnsi="Palatino Linotype"/>
          <w:sz w:val="18"/>
          <w:szCs w:val="18"/>
        </w:rPr>
        <w:t xml:space="preserve"> (transl. Tartaglia)</w:t>
      </w:r>
      <w:r w:rsidR="00AC63A0" w:rsidRPr="00BE6A71">
        <w:rPr>
          <w:rFonts w:ascii="Palatino Linotype" w:hAnsi="Palatino Linotype"/>
          <w:sz w:val="18"/>
          <w:szCs w:val="18"/>
        </w:rPr>
        <w:t xml:space="preserve">, </w:t>
      </w:r>
      <w:proofErr w:type="spellStart"/>
      <w:r w:rsidR="00AC63A0" w:rsidRPr="00BE6A71">
        <w:rPr>
          <w:rFonts w:ascii="Palatino Linotype" w:hAnsi="Palatino Linotype"/>
          <w:sz w:val="18"/>
          <w:szCs w:val="18"/>
        </w:rPr>
        <w:t>cioè</w:t>
      </w:r>
      <w:proofErr w:type="spellEnd"/>
      <w:r w:rsidR="00AC63A0" w:rsidRPr="00BE6A71">
        <w:rPr>
          <w:rFonts w:ascii="Palatino Linotype" w:hAnsi="Palatino Linotype"/>
          <w:sz w:val="18"/>
          <w:szCs w:val="18"/>
        </w:rPr>
        <w:t xml:space="preserve"> la </w:t>
      </w:r>
      <w:proofErr w:type="spellStart"/>
      <w:r w:rsidR="00AC63A0" w:rsidRPr="00BE6A71">
        <w:rPr>
          <w:rFonts w:ascii="Palatino Linotype" w:hAnsi="Palatino Linotype"/>
          <w:sz w:val="18"/>
          <w:szCs w:val="18"/>
        </w:rPr>
        <w:t>Vergine</w:t>
      </w:r>
      <w:proofErr w:type="spellEnd"/>
      <w:r w:rsidR="00AC63A0" w:rsidRPr="00BE6A71">
        <w:rPr>
          <w:rFonts w:ascii="Palatino Linotype" w:hAnsi="Palatino Linotype"/>
          <w:sz w:val="18"/>
          <w:szCs w:val="18"/>
        </w:rPr>
        <w:t xml:space="preserve"> Maria.</w:t>
      </w:r>
    </w:p>
  </w:footnote>
  <w:footnote w:id="14">
    <w:p w:rsidR="00727AFB" w:rsidRPr="00213B3C" w:rsidRDefault="00727AFB" w:rsidP="00213B3C">
      <w:pPr>
        <w:pStyle w:val="Testonotaapidipagina"/>
        <w:jc w:val="both"/>
        <w:rPr>
          <w:rFonts w:ascii="Palatino Linotype" w:hAnsi="Palatino Linotype"/>
          <w:color w:val="0070C0"/>
          <w:sz w:val="18"/>
          <w:szCs w:val="18"/>
          <w:lang w:val="it-IT"/>
        </w:rPr>
      </w:pPr>
      <w:r w:rsidRPr="00B02BDE">
        <w:rPr>
          <w:rStyle w:val="Rimandonotaapidipagina"/>
          <w:rFonts w:ascii="Palatino Linotype" w:hAnsi="Palatino Linotype"/>
          <w:sz w:val="18"/>
          <w:szCs w:val="18"/>
        </w:rPr>
        <w:footnoteRef/>
      </w:r>
      <w:r w:rsidRPr="00B02BDE">
        <w:rPr>
          <w:rFonts w:ascii="Palatino Linotype" w:hAnsi="Palatino Linotype"/>
          <w:sz w:val="18"/>
          <w:szCs w:val="18"/>
        </w:rPr>
        <w:t xml:space="preserve"> </w:t>
      </w:r>
      <w:r w:rsidRPr="00213B3C">
        <w:rPr>
          <w:rFonts w:ascii="Palatino Linotype" w:hAnsi="Palatino Linotype"/>
          <w:color w:val="0070C0"/>
          <w:sz w:val="18"/>
          <w:szCs w:val="18"/>
          <w:lang w:val="it-IT"/>
        </w:rPr>
        <w:t>Nell’omelia 15</w:t>
      </w:r>
      <w:r w:rsidR="00451DCD" w:rsidRPr="00213B3C">
        <w:rPr>
          <w:rFonts w:ascii="Palatino Linotype" w:hAnsi="Palatino Linotype"/>
          <w:color w:val="0070C0"/>
          <w:sz w:val="18"/>
          <w:szCs w:val="18"/>
          <w:lang w:val="it-IT"/>
        </w:rPr>
        <w:t xml:space="preserve"> (</w:t>
      </w:r>
      <w:r w:rsidRPr="00213B3C">
        <w:rPr>
          <w:rFonts w:ascii="Palatino Linotype" w:hAnsi="Palatino Linotype"/>
          <w:i/>
          <w:iCs/>
          <w:color w:val="0070C0"/>
          <w:sz w:val="18"/>
          <w:szCs w:val="18"/>
          <w:lang w:val="it-IT"/>
        </w:rPr>
        <w:t xml:space="preserve">in </w:t>
      </w:r>
      <w:proofErr w:type="spellStart"/>
      <w:r w:rsidRPr="00213B3C">
        <w:rPr>
          <w:rFonts w:ascii="Palatino Linotype" w:hAnsi="Palatino Linotype"/>
          <w:i/>
          <w:iCs/>
          <w:color w:val="0070C0"/>
          <w:sz w:val="18"/>
          <w:szCs w:val="18"/>
          <w:lang w:val="it-IT"/>
        </w:rPr>
        <w:t>canticum</w:t>
      </w:r>
      <w:proofErr w:type="spellEnd"/>
      <w:r w:rsidRPr="00213B3C">
        <w:rPr>
          <w:rFonts w:ascii="Palatino Linotype" w:hAnsi="Palatino Linotype"/>
          <w:i/>
          <w:iCs/>
          <w:color w:val="0070C0"/>
          <w:sz w:val="18"/>
          <w:szCs w:val="18"/>
          <w:lang w:val="it-IT"/>
        </w:rPr>
        <w:t xml:space="preserve"> </w:t>
      </w:r>
      <w:proofErr w:type="spellStart"/>
      <w:r w:rsidRPr="00213B3C">
        <w:rPr>
          <w:rFonts w:ascii="Palatino Linotype" w:hAnsi="Palatino Linotype"/>
          <w:i/>
          <w:iCs/>
          <w:color w:val="0070C0"/>
          <w:sz w:val="18"/>
          <w:szCs w:val="18"/>
          <w:lang w:val="it-IT"/>
        </w:rPr>
        <w:t>canticorum</w:t>
      </w:r>
      <w:proofErr w:type="spellEnd"/>
      <w:r w:rsidR="00451DCD" w:rsidRPr="00213B3C">
        <w:rPr>
          <w:rFonts w:ascii="Palatino Linotype" w:hAnsi="Palatino Linotype"/>
          <w:i/>
          <w:iCs/>
          <w:color w:val="0070C0"/>
          <w:sz w:val="18"/>
          <w:szCs w:val="18"/>
          <w:lang w:val="it-IT"/>
        </w:rPr>
        <w:t>)</w:t>
      </w:r>
      <w:r w:rsidRPr="00213B3C">
        <w:rPr>
          <w:rFonts w:ascii="Palatino Linotype" w:hAnsi="Palatino Linotype"/>
          <w:color w:val="0070C0"/>
          <w:sz w:val="18"/>
          <w:szCs w:val="18"/>
          <w:lang w:val="it-IT"/>
        </w:rPr>
        <w:t>, per esempio, a proposito dell’Incarnazione Gregorio scrive che la Vergine non sapeva ὅπ</w:t>
      </w:r>
      <w:proofErr w:type="spellStart"/>
      <w:r w:rsidRPr="00213B3C">
        <w:rPr>
          <w:rFonts w:ascii="Palatino Linotype" w:hAnsi="Palatino Linotype"/>
          <w:color w:val="0070C0"/>
          <w:sz w:val="18"/>
          <w:szCs w:val="18"/>
          <w:lang w:val="it-IT"/>
        </w:rPr>
        <w:t>ως</w:t>
      </w:r>
      <w:proofErr w:type="spellEnd"/>
      <w:r w:rsidRPr="00213B3C">
        <w:rPr>
          <w:rFonts w:ascii="Palatino Linotype" w:hAnsi="Palatino Linotype"/>
          <w:color w:val="0070C0"/>
          <w:sz w:val="18"/>
          <w:szCs w:val="18"/>
          <w:lang w:val="it-IT"/>
        </w:rPr>
        <w:t xml:space="preserve"> </w:t>
      </w:r>
      <w:proofErr w:type="spellStart"/>
      <w:r w:rsidRPr="00213B3C">
        <w:rPr>
          <w:rFonts w:ascii="Palatino Linotype" w:hAnsi="Palatino Linotype"/>
          <w:color w:val="0070C0"/>
          <w:sz w:val="18"/>
          <w:szCs w:val="18"/>
          <w:lang w:val="it-IT"/>
        </w:rPr>
        <w:t>ἐν</w:t>
      </w:r>
      <w:proofErr w:type="spellEnd"/>
      <w:r w:rsidRPr="00213B3C">
        <w:rPr>
          <w:rFonts w:ascii="Palatino Linotype" w:hAnsi="Palatino Linotype"/>
          <w:color w:val="0070C0"/>
          <w:sz w:val="18"/>
          <w:szCs w:val="18"/>
          <w:lang w:val="it-IT"/>
        </w:rPr>
        <w:t xml:space="preserve"> </w:t>
      </w:r>
      <w:proofErr w:type="spellStart"/>
      <w:r w:rsidRPr="00213B3C">
        <w:rPr>
          <w:rFonts w:ascii="Palatino Linotype" w:hAnsi="Palatino Linotype"/>
          <w:color w:val="0070C0"/>
          <w:sz w:val="18"/>
          <w:szCs w:val="18"/>
          <w:lang w:val="it-IT"/>
        </w:rPr>
        <w:t>τῷ</w:t>
      </w:r>
      <w:proofErr w:type="spellEnd"/>
      <w:r w:rsidRPr="00213B3C">
        <w:rPr>
          <w:rFonts w:ascii="Palatino Linotype" w:hAnsi="Palatino Linotype"/>
          <w:color w:val="0070C0"/>
          <w:sz w:val="18"/>
          <w:szCs w:val="18"/>
          <w:lang w:val="it-IT"/>
        </w:rPr>
        <w:t xml:space="preserve"> </w:t>
      </w:r>
      <w:proofErr w:type="spellStart"/>
      <w:r w:rsidRPr="00213B3C">
        <w:rPr>
          <w:rFonts w:ascii="Palatino Linotype" w:hAnsi="Palatino Linotype"/>
          <w:color w:val="0070C0"/>
          <w:sz w:val="18"/>
          <w:szCs w:val="18"/>
          <w:lang w:val="it-IT"/>
        </w:rPr>
        <w:t>σώμ</w:t>
      </w:r>
      <w:proofErr w:type="spellEnd"/>
      <w:r w:rsidRPr="00213B3C">
        <w:rPr>
          <w:rFonts w:ascii="Palatino Linotype" w:hAnsi="Palatino Linotype"/>
          <w:color w:val="0070C0"/>
          <w:sz w:val="18"/>
          <w:szCs w:val="18"/>
          <w:lang w:val="it-IT"/>
        </w:rPr>
        <w:t>α</w:t>
      </w:r>
      <w:proofErr w:type="spellStart"/>
      <w:r w:rsidRPr="00213B3C">
        <w:rPr>
          <w:rFonts w:ascii="Palatino Linotype" w:hAnsi="Palatino Linotype"/>
          <w:color w:val="0070C0"/>
          <w:sz w:val="18"/>
          <w:szCs w:val="18"/>
          <w:lang w:val="it-IT"/>
        </w:rPr>
        <w:t>τι</w:t>
      </w:r>
      <w:proofErr w:type="spellEnd"/>
      <w:r w:rsidRPr="00213B3C">
        <w:rPr>
          <w:rFonts w:ascii="Palatino Linotype" w:hAnsi="Palatino Linotype"/>
          <w:color w:val="0070C0"/>
          <w:sz w:val="18"/>
          <w:szCs w:val="18"/>
          <w:lang w:val="it-IT"/>
        </w:rPr>
        <w:t xml:space="preserve"> α</w:t>
      </w:r>
      <w:proofErr w:type="spellStart"/>
      <w:r w:rsidRPr="00213B3C">
        <w:rPr>
          <w:rFonts w:ascii="Palatino Linotype" w:hAnsi="Palatino Linotype"/>
          <w:color w:val="0070C0"/>
          <w:sz w:val="18"/>
          <w:szCs w:val="18"/>
          <w:lang w:val="it-IT"/>
        </w:rPr>
        <w:t>ὐτῆς</w:t>
      </w:r>
      <w:proofErr w:type="spellEnd"/>
      <w:r w:rsidRPr="00213B3C">
        <w:rPr>
          <w:rFonts w:ascii="Palatino Linotype" w:hAnsi="Palatino Linotype"/>
          <w:color w:val="0070C0"/>
          <w:sz w:val="18"/>
          <w:szCs w:val="18"/>
          <w:lang w:val="it-IT"/>
        </w:rPr>
        <w:t xml:space="preserve"> </w:t>
      </w:r>
      <w:proofErr w:type="spellStart"/>
      <w:r w:rsidRPr="00213B3C">
        <w:rPr>
          <w:rFonts w:ascii="Palatino Linotype" w:hAnsi="Palatino Linotype"/>
          <w:color w:val="0070C0"/>
          <w:sz w:val="18"/>
          <w:szCs w:val="18"/>
          <w:lang w:val="it-IT"/>
        </w:rPr>
        <w:t>τὸ</w:t>
      </w:r>
      <w:proofErr w:type="spellEnd"/>
      <w:r w:rsidRPr="00213B3C">
        <w:rPr>
          <w:rFonts w:ascii="Palatino Linotype" w:hAnsi="Palatino Linotype"/>
          <w:color w:val="0070C0"/>
          <w:sz w:val="18"/>
          <w:szCs w:val="18"/>
          <w:lang w:val="it-IT"/>
        </w:rPr>
        <w:t xml:space="preserve"> </w:t>
      </w:r>
      <w:proofErr w:type="spellStart"/>
      <w:r w:rsidRPr="00213B3C">
        <w:rPr>
          <w:rFonts w:ascii="Palatino Linotype" w:hAnsi="Palatino Linotype"/>
          <w:color w:val="0070C0"/>
          <w:sz w:val="18"/>
          <w:szCs w:val="18"/>
          <w:lang w:val="it-IT"/>
        </w:rPr>
        <w:t>θεοδόχον</w:t>
      </w:r>
      <w:proofErr w:type="spellEnd"/>
      <w:r w:rsidRPr="00213B3C">
        <w:rPr>
          <w:rFonts w:ascii="Palatino Linotype" w:hAnsi="Palatino Linotype"/>
          <w:color w:val="0070C0"/>
          <w:sz w:val="18"/>
          <w:szCs w:val="18"/>
          <w:lang w:val="it-IT"/>
        </w:rPr>
        <w:t xml:space="preserve"> </w:t>
      </w:r>
      <w:proofErr w:type="spellStart"/>
      <w:r w:rsidRPr="00213B3C">
        <w:rPr>
          <w:rFonts w:ascii="Palatino Linotype" w:hAnsi="Palatino Linotype"/>
          <w:color w:val="0070C0"/>
          <w:sz w:val="18"/>
          <w:szCs w:val="18"/>
          <w:lang w:val="it-IT"/>
        </w:rPr>
        <w:t>συνέστη</w:t>
      </w:r>
      <w:proofErr w:type="spellEnd"/>
      <w:r w:rsidRPr="00213B3C">
        <w:rPr>
          <w:rFonts w:ascii="Palatino Linotype" w:hAnsi="Palatino Linotype"/>
          <w:color w:val="0070C0"/>
          <w:sz w:val="18"/>
          <w:szCs w:val="18"/>
          <w:lang w:val="it-IT"/>
        </w:rPr>
        <w:t xml:space="preserve"> </w:t>
      </w:r>
      <w:proofErr w:type="spellStart"/>
      <w:r w:rsidRPr="00213B3C">
        <w:rPr>
          <w:rFonts w:ascii="Palatino Linotype" w:hAnsi="Palatino Linotype"/>
          <w:color w:val="0070C0"/>
          <w:sz w:val="18"/>
          <w:szCs w:val="18"/>
          <w:lang w:val="it-IT"/>
        </w:rPr>
        <w:t>σῶμ</w:t>
      </w:r>
      <w:proofErr w:type="spellEnd"/>
      <w:r w:rsidRPr="00213B3C">
        <w:rPr>
          <w:rFonts w:ascii="Palatino Linotype" w:hAnsi="Palatino Linotype"/>
          <w:color w:val="0070C0"/>
          <w:sz w:val="18"/>
          <w:szCs w:val="18"/>
          <w:lang w:val="it-IT"/>
        </w:rPr>
        <w:t>α.</w:t>
      </w:r>
    </w:p>
  </w:footnote>
  <w:footnote w:id="15">
    <w:p w:rsidR="00213B3C" w:rsidRPr="00213B3C" w:rsidRDefault="00213B3C" w:rsidP="00213B3C">
      <w:pPr>
        <w:pStyle w:val="Testonotaapidipagina"/>
        <w:jc w:val="both"/>
        <w:rPr>
          <w:rFonts w:ascii="Palatino Linotype" w:hAnsi="Palatino Linotype"/>
          <w:sz w:val="18"/>
          <w:szCs w:val="18"/>
        </w:rPr>
      </w:pPr>
      <w:r w:rsidRPr="00213B3C">
        <w:rPr>
          <w:rStyle w:val="Rimandonotaapidipagina"/>
          <w:rFonts w:ascii="Palatino Linotype" w:hAnsi="Palatino Linotype"/>
          <w:sz w:val="18"/>
          <w:szCs w:val="18"/>
        </w:rPr>
        <w:footnoteRef/>
      </w:r>
      <w:r w:rsidRPr="00213B3C">
        <w:rPr>
          <w:rFonts w:ascii="Palatino Linotype" w:hAnsi="Palatino Linotype"/>
          <w:sz w:val="18"/>
          <w:szCs w:val="18"/>
        </w:rPr>
        <w:t xml:space="preserve"> </w:t>
      </w:r>
      <w:r w:rsidR="00AC241C" w:rsidRPr="00AC241C">
        <w:rPr>
          <w:rFonts w:ascii="Palatino Linotype" w:hAnsi="Palatino Linotype"/>
          <w:i/>
          <w:iCs/>
          <w:sz w:val="18"/>
          <w:szCs w:val="18"/>
        </w:rPr>
        <w:t>A</w:t>
      </w:r>
      <w:r w:rsidR="00AC241C">
        <w:rPr>
          <w:rFonts w:ascii="Palatino Linotype" w:hAnsi="Palatino Linotype"/>
          <w:i/>
          <w:iCs/>
          <w:sz w:val="18"/>
          <w:szCs w:val="18"/>
        </w:rPr>
        <w:t>CO</w:t>
      </w:r>
      <w:r w:rsidRPr="00213B3C">
        <w:rPr>
          <w:rFonts w:ascii="Palatino Linotype" w:hAnsi="Palatino Linotype"/>
          <w:sz w:val="18"/>
          <w:szCs w:val="18"/>
        </w:rPr>
        <w:t xml:space="preserve"> 1.1.1</w:t>
      </w:r>
      <w:r w:rsidR="00847AE0" w:rsidRPr="000D5362">
        <w:rPr>
          <w:rFonts w:ascii="Palatino Linotype" w:hAnsi="Palatino Linotype"/>
          <w:sz w:val="18"/>
          <w:szCs w:val="18"/>
          <w:lang w:val="it-IT"/>
        </w:rPr>
        <w:t>,</w:t>
      </w:r>
      <w:r w:rsidR="00EC33FA" w:rsidRPr="000D5362">
        <w:rPr>
          <w:rFonts w:ascii="Palatino Linotype" w:hAnsi="Palatino Linotype"/>
          <w:sz w:val="18"/>
          <w:szCs w:val="18"/>
          <w:lang w:val="it-IT"/>
        </w:rPr>
        <w:t xml:space="preserve"> </w:t>
      </w:r>
      <w:r w:rsidR="00EC33FA">
        <w:rPr>
          <w:rFonts w:ascii="Palatino Linotype" w:hAnsi="Palatino Linotype"/>
          <w:sz w:val="18"/>
          <w:szCs w:val="18"/>
          <w:lang w:val="it-IT"/>
        </w:rPr>
        <w:t>p.</w:t>
      </w:r>
      <w:r w:rsidRPr="00213B3C">
        <w:rPr>
          <w:rFonts w:ascii="Palatino Linotype" w:hAnsi="Palatino Linotype"/>
          <w:sz w:val="18"/>
          <w:szCs w:val="18"/>
        </w:rPr>
        <w:t xml:space="preserve"> 112</w:t>
      </w:r>
      <w:r>
        <w:rPr>
          <w:rFonts w:ascii="Palatino Linotype" w:hAnsi="Palatino Linotype"/>
          <w:sz w:val="18"/>
          <w:szCs w:val="18"/>
        </w:rPr>
        <w:t>.</w:t>
      </w:r>
    </w:p>
  </w:footnote>
  <w:footnote w:id="16">
    <w:p w:rsidR="00B02BDE" w:rsidRPr="00F4239E" w:rsidRDefault="00B02BDE" w:rsidP="00213B3C">
      <w:pPr>
        <w:pStyle w:val="Testonotaapidipagina"/>
        <w:jc w:val="both"/>
        <w:rPr>
          <w:rFonts w:ascii="Palatino Linotype" w:hAnsi="Palatino Linotype"/>
          <w:sz w:val="18"/>
          <w:szCs w:val="18"/>
          <w:lang w:val="it-IT"/>
        </w:rPr>
      </w:pPr>
      <w:r w:rsidRPr="00213B3C">
        <w:rPr>
          <w:rStyle w:val="Rimandonotaapidipagina"/>
          <w:rFonts w:ascii="Palatino Linotype" w:hAnsi="Palatino Linotype"/>
          <w:color w:val="000000" w:themeColor="text1"/>
          <w:sz w:val="18"/>
          <w:szCs w:val="18"/>
        </w:rPr>
        <w:footnoteRef/>
      </w:r>
      <w:r w:rsidRPr="00213B3C">
        <w:rPr>
          <w:rFonts w:ascii="Palatino Linotype" w:hAnsi="Palatino Linotype"/>
          <w:color w:val="000000" w:themeColor="text1"/>
          <w:sz w:val="18"/>
          <w:szCs w:val="18"/>
        </w:rPr>
        <w:t xml:space="preserve"> </w:t>
      </w:r>
      <w:r w:rsidR="003E09DB" w:rsidRPr="00213B3C">
        <w:rPr>
          <w:rFonts w:ascii="Palatino Linotype" w:hAnsi="Palatino Linotype"/>
          <w:color w:val="000000" w:themeColor="text1"/>
          <w:sz w:val="18"/>
          <w:szCs w:val="18"/>
          <w:lang w:val="it-IT"/>
        </w:rPr>
        <w:t xml:space="preserve">Caro </w:t>
      </w:r>
      <w:r w:rsidR="00143E68" w:rsidRPr="00213B3C">
        <w:rPr>
          <w:rFonts w:ascii="Palatino Linotype" w:hAnsi="Palatino Linotype"/>
          <w:color w:val="000000" w:themeColor="text1"/>
          <w:sz w:val="18"/>
          <w:szCs w:val="18"/>
          <w:lang w:val="it-IT"/>
        </w:rPr>
        <w:t xml:space="preserve">1972, 380-88 </w:t>
      </w:r>
      <w:proofErr w:type="spellStart"/>
      <w:r w:rsidR="003E09DB" w:rsidRPr="00213B3C">
        <w:rPr>
          <w:rFonts w:ascii="Palatino Linotype" w:hAnsi="Palatino Linotype"/>
          <w:color w:val="000000" w:themeColor="text1"/>
          <w:sz w:val="18"/>
          <w:szCs w:val="18"/>
          <w:lang w:val="it-IT"/>
        </w:rPr>
        <w:t>ascribes</w:t>
      </w:r>
      <w:proofErr w:type="spellEnd"/>
      <w:r w:rsidR="003E09DB" w:rsidRPr="00213B3C">
        <w:rPr>
          <w:rFonts w:ascii="Palatino Linotype" w:hAnsi="Palatino Linotype"/>
          <w:color w:val="000000" w:themeColor="text1"/>
          <w:sz w:val="18"/>
          <w:szCs w:val="18"/>
          <w:lang w:val="it-IT"/>
        </w:rPr>
        <w:t xml:space="preserve"> the </w:t>
      </w:r>
      <w:proofErr w:type="spellStart"/>
      <w:r w:rsidR="003E09DB" w:rsidRPr="00213B3C">
        <w:rPr>
          <w:rFonts w:ascii="Palatino Linotype" w:hAnsi="Palatino Linotype"/>
          <w:color w:val="000000" w:themeColor="text1"/>
          <w:sz w:val="18"/>
          <w:szCs w:val="18"/>
          <w:lang w:val="it-IT"/>
        </w:rPr>
        <w:t>sermon</w:t>
      </w:r>
      <w:proofErr w:type="spellEnd"/>
      <w:r w:rsidR="003E09DB" w:rsidRPr="00213B3C">
        <w:rPr>
          <w:rFonts w:ascii="Palatino Linotype" w:hAnsi="Palatino Linotype"/>
          <w:color w:val="000000" w:themeColor="text1"/>
          <w:sz w:val="18"/>
          <w:szCs w:val="18"/>
          <w:lang w:val="it-IT"/>
        </w:rPr>
        <w:t xml:space="preserve">, </w:t>
      </w:r>
      <w:proofErr w:type="spellStart"/>
      <w:r w:rsidR="003E09DB" w:rsidRPr="00213B3C">
        <w:rPr>
          <w:rFonts w:ascii="Palatino Linotype" w:hAnsi="Palatino Linotype"/>
          <w:color w:val="000000" w:themeColor="text1"/>
          <w:sz w:val="18"/>
          <w:szCs w:val="18"/>
          <w:lang w:val="it-IT"/>
        </w:rPr>
        <w:t>which</w:t>
      </w:r>
      <w:proofErr w:type="spellEnd"/>
      <w:r w:rsidR="003E09DB" w:rsidRPr="00213B3C">
        <w:rPr>
          <w:rFonts w:ascii="Palatino Linotype" w:hAnsi="Palatino Linotype"/>
          <w:color w:val="000000" w:themeColor="text1"/>
          <w:sz w:val="18"/>
          <w:szCs w:val="18"/>
          <w:lang w:val="it-IT"/>
        </w:rPr>
        <w:t xml:space="preserve"> </w:t>
      </w:r>
      <w:proofErr w:type="spellStart"/>
      <w:r w:rsidRPr="00213B3C">
        <w:rPr>
          <w:rFonts w:ascii="Palatino Linotype" w:hAnsi="Palatino Linotype"/>
          <w:color w:val="000000" w:themeColor="text1"/>
          <w:sz w:val="18"/>
          <w:szCs w:val="18"/>
          <w:lang w:val="it-IT"/>
        </w:rPr>
        <w:t>Marx</w:t>
      </w:r>
      <w:proofErr w:type="spellEnd"/>
      <w:r w:rsidR="003E09DB" w:rsidRPr="00213B3C">
        <w:rPr>
          <w:rFonts w:ascii="Palatino Linotype" w:hAnsi="Palatino Linotype"/>
          <w:color w:val="000000" w:themeColor="text1"/>
          <w:sz w:val="18"/>
          <w:szCs w:val="18"/>
          <w:lang w:val="it-IT"/>
        </w:rPr>
        <w:t xml:space="preserve"> 1940,</w:t>
      </w:r>
      <w:r w:rsidRPr="00213B3C">
        <w:rPr>
          <w:rFonts w:ascii="Palatino Linotype" w:hAnsi="Palatino Linotype"/>
          <w:color w:val="000000" w:themeColor="text1"/>
          <w:sz w:val="18"/>
          <w:szCs w:val="18"/>
          <w:lang w:val="it-IT"/>
        </w:rPr>
        <w:t xml:space="preserve"> </w:t>
      </w:r>
      <w:r w:rsidR="003E09DB" w:rsidRPr="00213B3C">
        <w:rPr>
          <w:rFonts w:ascii="Palatino Linotype" w:hAnsi="Palatino Linotype"/>
          <w:color w:val="000000" w:themeColor="text1"/>
          <w:sz w:val="18"/>
          <w:szCs w:val="18"/>
          <w:lang w:val="it-IT"/>
        </w:rPr>
        <w:t xml:space="preserve">52-56 </w:t>
      </w:r>
      <w:proofErr w:type="spellStart"/>
      <w:r w:rsidR="003E09DB" w:rsidRPr="00213B3C">
        <w:rPr>
          <w:rFonts w:ascii="Palatino Linotype" w:hAnsi="Palatino Linotype"/>
          <w:color w:val="000000" w:themeColor="text1"/>
          <w:sz w:val="18"/>
          <w:szCs w:val="18"/>
          <w:lang w:val="it-IT"/>
        </w:rPr>
        <w:t>assigne</w:t>
      </w:r>
      <w:r w:rsidR="00D04B96" w:rsidRPr="00213B3C">
        <w:rPr>
          <w:rFonts w:ascii="Palatino Linotype" w:hAnsi="Palatino Linotype"/>
          <w:color w:val="000000" w:themeColor="text1"/>
          <w:sz w:val="18"/>
          <w:szCs w:val="18"/>
          <w:lang w:val="it-IT"/>
        </w:rPr>
        <w:t>d</w:t>
      </w:r>
      <w:proofErr w:type="spellEnd"/>
      <w:r w:rsidR="003E09DB" w:rsidRPr="00213B3C">
        <w:rPr>
          <w:rFonts w:ascii="Palatino Linotype" w:hAnsi="Palatino Linotype"/>
          <w:color w:val="000000" w:themeColor="text1"/>
          <w:sz w:val="18"/>
          <w:szCs w:val="18"/>
          <w:lang w:val="it-IT"/>
        </w:rPr>
        <w:t xml:space="preserve"> to</w:t>
      </w:r>
      <w:r w:rsidRPr="00213B3C">
        <w:rPr>
          <w:rFonts w:ascii="Palatino Linotype" w:hAnsi="Palatino Linotype"/>
          <w:color w:val="000000" w:themeColor="text1"/>
          <w:sz w:val="18"/>
          <w:szCs w:val="18"/>
          <w:lang w:val="it-IT"/>
        </w:rPr>
        <w:t xml:space="preserve"> </w:t>
      </w:r>
      <w:proofErr w:type="spellStart"/>
      <w:r w:rsidRPr="00213B3C">
        <w:rPr>
          <w:rFonts w:ascii="Palatino Linotype" w:hAnsi="Palatino Linotype"/>
          <w:color w:val="000000" w:themeColor="text1"/>
          <w:sz w:val="18"/>
          <w:szCs w:val="18"/>
          <w:lang w:val="it-IT"/>
        </w:rPr>
        <w:t>Proclo</w:t>
      </w:r>
      <w:r w:rsidR="003E09DB" w:rsidRPr="00213B3C">
        <w:rPr>
          <w:rFonts w:ascii="Palatino Linotype" w:hAnsi="Palatino Linotype"/>
          <w:color w:val="000000" w:themeColor="text1"/>
          <w:sz w:val="18"/>
          <w:szCs w:val="18"/>
          <w:lang w:val="it-IT"/>
        </w:rPr>
        <w:t>s</w:t>
      </w:r>
      <w:proofErr w:type="spellEnd"/>
      <w:r w:rsidR="003E09DB" w:rsidRPr="00213B3C">
        <w:rPr>
          <w:rFonts w:ascii="Palatino Linotype" w:hAnsi="Palatino Linotype"/>
          <w:color w:val="000000" w:themeColor="text1"/>
          <w:sz w:val="18"/>
          <w:szCs w:val="18"/>
          <w:lang w:val="it-IT"/>
        </w:rPr>
        <w:t xml:space="preserve">, to a </w:t>
      </w:r>
      <w:proofErr w:type="spellStart"/>
      <w:r w:rsidR="003E09DB" w:rsidRPr="00213B3C">
        <w:rPr>
          <w:rFonts w:ascii="Palatino Linotype" w:hAnsi="Palatino Linotype"/>
          <w:color w:val="000000" w:themeColor="text1"/>
          <w:sz w:val="18"/>
          <w:szCs w:val="18"/>
          <w:lang w:val="it-IT"/>
        </w:rPr>
        <w:t>later</w:t>
      </w:r>
      <w:proofErr w:type="spellEnd"/>
      <w:r w:rsidR="003E09DB" w:rsidRPr="00213B3C">
        <w:rPr>
          <w:rFonts w:ascii="Palatino Linotype" w:hAnsi="Palatino Linotype"/>
          <w:color w:val="000000" w:themeColor="text1"/>
          <w:sz w:val="18"/>
          <w:szCs w:val="18"/>
          <w:lang w:val="it-IT"/>
        </w:rPr>
        <w:t xml:space="preserve"> </w:t>
      </w:r>
      <w:proofErr w:type="spellStart"/>
      <w:r w:rsidR="003E09DB" w:rsidRPr="00213B3C">
        <w:rPr>
          <w:rFonts w:ascii="Palatino Linotype" w:hAnsi="Palatino Linotype"/>
          <w:color w:val="000000" w:themeColor="text1"/>
          <w:sz w:val="18"/>
          <w:szCs w:val="18"/>
          <w:lang w:val="it-IT"/>
        </w:rPr>
        <w:t>Cappadocian</w:t>
      </w:r>
      <w:proofErr w:type="spellEnd"/>
      <w:r w:rsidR="003E09DB" w:rsidRPr="00213B3C">
        <w:rPr>
          <w:rFonts w:ascii="Palatino Linotype" w:hAnsi="Palatino Linotype"/>
          <w:color w:val="000000" w:themeColor="text1"/>
          <w:sz w:val="18"/>
          <w:szCs w:val="18"/>
          <w:lang w:val="it-IT"/>
        </w:rPr>
        <w:t xml:space="preserve"> or Antiochene </w:t>
      </w:r>
      <w:proofErr w:type="spellStart"/>
      <w:r w:rsidR="003E09DB" w:rsidRPr="00213B3C">
        <w:rPr>
          <w:rFonts w:ascii="Palatino Linotype" w:hAnsi="Palatino Linotype"/>
          <w:color w:val="000000" w:themeColor="text1"/>
          <w:sz w:val="18"/>
          <w:szCs w:val="18"/>
          <w:lang w:val="it-IT"/>
        </w:rPr>
        <w:t>writer</w:t>
      </w:r>
      <w:proofErr w:type="spellEnd"/>
      <w:r w:rsidR="003E09DB" w:rsidRPr="00213B3C">
        <w:rPr>
          <w:rFonts w:ascii="Palatino Linotype" w:hAnsi="Palatino Linotype"/>
          <w:color w:val="000000" w:themeColor="text1"/>
          <w:sz w:val="18"/>
          <w:szCs w:val="18"/>
          <w:lang w:val="it-IT"/>
        </w:rPr>
        <w:t>,</w:t>
      </w:r>
      <w:r w:rsidR="003E09DB" w:rsidRPr="00F4239E">
        <w:rPr>
          <w:rFonts w:ascii="Palatino Linotype" w:hAnsi="Palatino Linotype"/>
          <w:color w:val="000000" w:themeColor="text1"/>
          <w:sz w:val="18"/>
          <w:szCs w:val="18"/>
          <w:lang w:val="it-IT"/>
        </w:rPr>
        <w:t xml:space="preserve"> </w:t>
      </w:r>
      <w:proofErr w:type="spellStart"/>
      <w:r w:rsidR="003E09DB" w:rsidRPr="00F4239E">
        <w:rPr>
          <w:rFonts w:ascii="Palatino Linotype" w:hAnsi="Palatino Linotype"/>
          <w:color w:val="000000" w:themeColor="text1"/>
          <w:sz w:val="18"/>
          <w:szCs w:val="18"/>
          <w:lang w:val="it-IT"/>
        </w:rPr>
        <w:t>possib</w:t>
      </w:r>
      <w:r w:rsidR="00AB0BB4">
        <w:rPr>
          <w:rFonts w:ascii="Palatino Linotype" w:hAnsi="Palatino Linotype"/>
          <w:color w:val="000000" w:themeColor="text1"/>
          <w:sz w:val="18"/>
          <w:szCs w:val="18"/>
          <w:lang w:val="it-IT"/>
        </w:rPr>
        <w:t>l</w:t>
      </w:r>
      <w:r w:rsidR="003E09DB" w:rsidRPr="00F4239E">
        <w:rPr>
          <w:rFonts w:ascii="Palatino Linotype" w:hAnsi="Palatino Linotype"/>
          <w:color w:val="000000" w:themeColor="text1"/>
          <w:sz w:val="18"/>
          <w:szCs w:val="18"/>
          <w:lang w:val="it-IT"/>
        </w:rPr>
        <w:t>y</w:t>
      </w:r>
      <w:proofErr w:type="spellEnd"/>
      <w:r w:rsidR="003E09DB" w:rsidRPr="00F4239E">
        <w:rPr>
          <w:rFonts w:ascii="Palatino Linotype" w:hAnsi="Palatino Linotype"/>
          <w:color w:val="000000" w:themeColor="text1"/>
          <w:sz w:val="18"/>
          <w:szCs w:val="18"/>
          <w:lang w:val="it-IT"/>
        </w:rPr>
        <w:t xml:space="preserve"> </w:t>
      </w:r>
      <w:proofErr w:type="spellStart"/>
      <w:r w:rsidR="003E09DB" w:rsidRPr="00F4239E">
        <w:rPr>
          <w:rFonts w:ascii="Palatino Linotype" w:hAnsi="Palatino Linotype"/>
          <w:color w:val="000000" w:themeColor="text1"/>
          <w:sz w:val="18"/>
          <w:szCs w:val="18"/>
          <w:lang w:val="it-IT"/>
        </w:rPr>
        <w:t>Theodoret</w:t>
      </w:r>
      <w:proofErr w:type="spellEnd"/>
      <w:r w:rsidR="003E09DB" w:rsidRPr="00F4239E">
        <w:rPr>
          <w:rFonts w:ascii="Palatino Linotype" w:hAnsi="Palatino Linotype"/>
          <w:color w:val="000000" w:themeColor="text1"/>
          <w:sz w:val="18"/>
          <w:szCs w:val="18"/>
          <w:lang w:val="it-IT"/>
        </w:rPr>
        <w:t xml:space="preserve"> of </w:t>
      </w:r>
      <w:proofErr w:type="spellStart"/>
      <w:r w:rsidR="003E09DB" w:rsidRPr="00F4239E">
        <w:rPr>
          <w:rFonts w:ascii="Palatino Linotype" w:hAnsi="Palatino Linotype"/>
          <w:color w:val="000000" w:themeColor="text1"/>
          <w:sz w:val="18"/>
          <w:szCs w:val="18"/>
          <w:lang w:val="it-IT"/>
        </w:rPr>
        <w:t>Cyrrhus</w:t>
      </w:r>
      <w:proofErr w:type="spellEnd"/>
      <w:r w:rsidR="003E09DB" w:rsidRPr="00F4239E">
        <w:rPr>
          <w:rFonts w:ascii="Palatino Linotype" w:hAnsi="Palatino Linotype"/>
          <w:color w:val="000000" w:themeColor="text1"/>
          <w:sz w:val="18"/>
          <w:szCs w:val="18"/>
          <w:lang w:val="it-IT"/>
        </w:rPr>
        <w:t>.</w:t>
      </w:r>
    </w:p>
  </w:footnote>
  <w:footnote w:id="17">
    <w:p w:rsidR="00665647" w:rsidRPr="00F4239E" w:rsidRDefault="00665647" w:rsidP="002D2812">
      <w:pPr>
        <w:pStyle w:val="Nessunaspaziatura"/>
        <w:jc w:val="both"/>
        <w:rPr>
          <w:rFonts w:ascii="Palatino Linotype" w:hAnsi="Palatino Linotype"/>
          <w:color w:val="000000" w:themeColor="text1"/>
          <w:sz w:val="18"/>
          <w:szCs w:val="18"/>
          <w:lang w:val="it-IT"/>
        </w:rPr>
      </w:pPr>
      <w:r w:rsidRPr="00F4239E">
        <w:rPr>
          <w:rStyle w:val="Rimandonotaapidipagina"/>
          <w:rFonts w:ascii="Palatino Linotype" w:hAnsi="Palatino Linotype"/>
          <w:sz w:val="18"/>
          <w:szCs w:val="18"/>
        </w:rPr>
        <w:footnoteRef/>
      </w:r>
      <w:r w:rsidRPr="00F4239E">
        <w:rPr>
          <w:rFonts w:ascii="Palatino Linotype" w:hAnsi="Palatino Linotype"/>
          <w:sz w:val="18"/>
          <w:szCs w:val="18"/>
        </w:rPr>
        <w:t xml:space="preserve"> </w:t>
      </w:r>
      <w:proofErr w:type="spellStart"/>
      <w:r w:rsidRPr="00F4239E">
        <w:rPr>
          <w:rFonts w:ascii="Palatino Linotype" w:hAnsi="Palatino Linotype"/>
          <w:sz w:val="18"/>
          <w:szCs w:val="18"/>
          <w:lang w:val="it-IT"/>
        </w:rPr>
        <w:t>Εἰ</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δὲ</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Θεὸς</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ἰσχυρὸς</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ἐξουσι</w:t>
      </w:r>
      <w:proofErr w:type="spellEnd"/>
      <w:r w:rsidRPr="00F4239E">
        <w:rPr>
          <w:rFonts w:ascii="Palatino Linotype" w:hAnsi="Palatino Linotype"/>
          <w:sz w:val="18"/>
          <w:szCs w:val="18"/>
          <w:lang w:val="it-IT"/>
        </w:rPr>
        <w:t>α</w:t>
      </w:r>
      <w:proofErr w:type="spellStart"/>
      <w:r w:rsidRPr="00F4239E">
        <w:rPr>
          <w:rFonts w:ascii="Palatino Linotype" w:hAnsi="Palatino Linotype"/>
          <w:sz w:val="18"/>
          <w:szCs w:val="18"/>
          <w:lang w:val="it-IT"/>
        </w:rPr>
        <w:t>στὴς</w:t>
      </w:r>
      <w:proofErr w:type="spellEnd"/>
      <w:r w:rsidRPr="00F4239E">
        <w:rPr>
          <w:rFonts w:ascii="Palatino Linotype" w:hAnsi="Palatino Linotype"/>
          <w:sz w:val="18"/>
          <w:szCs w:val="18"/>
          <w:lang w:val="it-IT"/>
        </w:rPr>
        <w:t xml:space="preserve">, καὶ </w:t>
      </w:r>
      <w:proofErr w:type="spellStart"/>
      <w:r w:rsidRPr="00F4239E">
        <w:rPr>
          <w:rFonts w:ascii="Palatino Linotype" w:hAnsi="Palatino Linotype"/>
          <w:sz w:val="18"/>
          <w:szCs w:val="18"/>
          <w:lang w:val="it-IT"/>
        </w:rPr>
        <w:t>ἄρχων</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εἰρή</w:t>
      </w:r>
      <w:r w:rsidRPr="00F4239E">
        <w:rPr>
          <w:rFonts w:ascii="Palatino Linotype" w:hAnsi="Palatino Linotype"/>
          <w:sz w:val="18"/>
          <w:szCs w:val="18"/>
          <w:lang w:val="el-GR"/>
        </w:rPr>
        <w:t>νης</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καὶ</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πατὴρ</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τοῦ</w:t>
      </w:r>
      <w:proofErr w:type="spellEnd"/>
      <w:r w:rsidRPr="00F4239E">
        <w:rPr>
          <w:rFonts w:ascii="Palatino Linotype" w:hAnsi="Palatino Linotype"/>
          <w:sz w:val="18"/>
          <w:szCs w:val="18"/>
          <w:lang w:val="it-IT"/>
        </w:rPr>
        <w:t xml:space="preserve"> </w:t>
      </w:r>
      <w:r w:rsidRPr="00F4239E">
        <w:rPr>
          <w:rFonts w:ascii="Palatino Linotype" w:hAnsi="Palatino Linotype"/>
          <w:sz w:val="18"/>
          <w:szCs w:val="18"/>
          <w:lang w:val="el-GR"/>
        </w:rPr>
        <w:t>μέλλοντος</w:t>
      </w:r>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αἰῶνος</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τὸ</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παιδίον</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τὸ</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ἐκ</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τῆς</w:t>
      </w:r>
      <w:proofErr w:type="spellEnd"/>
      <w:r w:rsidRPr="00F4239E">
        <w:rPr>
          <w:rFonts w:ascii="Palatino Linotype" w:hAnsi="Palatino Linotype"/>
          <w:sz w:val="18"/>
          <w:szCs w:val="18"/>
          <w:lang w:val="it-IT"/>
        </w:rPr>
        <w:t xml:space="preserve"> Πα</w:t>
      </w:r>
      <w:proofErr w:type="spellStart"/>
      <w:r w:rsidRPr="00F4239E">
        <w:rPr>
          <w:rFonts w:ascii="Palatino Linotype" w:hAnsi="Palatino Linotype"/>
          <w:sz w:val="18"/>
          <w:szCs w:val="18"/>
          <w:lang w:val="it-IT"/>
        </w:rPr>
        <w:t>ρθένου</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τεχθὲν</w:t>
      </w:r>
      <w:proofErr w:type="spellEnd"/>
      <w:r w:rsidRPr="00F4239E">
        <w:rPr>
          <w:rFonts w:ascii="Palatino Linotype" w:hAnsi="Palatino Linotype"/>
          <w:sz w:val="18"/>
          <w:szCs w:val="18"/>
          <w:lang w:val="it-IT"/>
        </w:rPr>
        <w:t>, π</w:t>
      </w:r>
      <w:proofErr w:type="spellStart"/>
      <w:r w:rsidRPr="00F4239E">
        <w:rPr>
          <w:rFonts w:ascii="Palatino Linotype" w:hAnsi="Palatino Linotype"/>
          <w:sz w:val="18"/>
          <w:szCs w:val="18"/>
          <w:lang w:val="it-IT"/>
        </w:rPr>
        <w:t>ῶς</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οὐ</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Θεοτόκος</w:t>
      </w:r>
      <w:proofErr w:type="spellEnd"/>
      <w:r w:rsidRPr="00F4239E">
        <w:rPr>
          <w:rFonts w:ascii="Palatino Linotype" w:hAnsi="Palatino Linotype"/>
          <w:sz w:val="18"/>
          <w:szCs w:val="18"/>
          <w:lang w:val="it-IT"/>
        </w:rPr>
        <w:t xml:space="preserve"> ἡ Πα</w:t>
      </w:r>
      <w:proofErr w:type="spellStart"/>
      <w:r w:rsidRPr="00F4239E">
        <w:rPr>
          <w:rFonts w:ascii="Palatino Linotype" w:hAnsi="Palatino Linotype"/>
          <w:sz w:val="18"/>
          <w:szCs w:val="18"/>
          <w:lang w:val="it-IT"/>
        </w:rPr>
        <w:t>ρθένος</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color w:val="000000" w:themeColor="text1"/>
          <w:sz w:val="18"/>
          <w:szCs w:val="18"/>
          <w:lang w:val="it-IT"/>
        </w:rPr>
        <w:t>ἀλλὰ</w:t>
      </w:r>
      <w:proofErr w:type="spellEnd"/>
      <w:r w:rsidRPr="00F4239E">
        <w:rPr>
          <w:rFonts w:ascii="Palatino Linotype" w:hAnsi="Palatino Linotype"/>
          <w:color w:val="000000" w:themeColor="text1"/>
          <w:sz w:val="18"/>
          <w:szCs w:val="18"/>
          <w:lang w:val="it-IT"/>
        </w:rPr>
        <w:t xml:space="preserve"> </w:t>
      </w:r>
      <w:proofErr w:type="spellStart"/>
      <w:r w:rsidRPr="00F4239E">
        <w:rPr>
          <w:rFonts w:ascii="Palatino Linotype" w:hAnsi="Palatino Linotype"/>
          <w:color w:val="000000" w:themeColor="text1"/>
          <w:sz w:val="18"/>
          <w:szCs w:val="18"/>
          <w:lang w:val="it-IT"/>
        </w:rPr>
        <w:t>Θεοδόχος</w:t>
      </w:r>
      <w:proofErr w:type="spellEnd"/>
      <w:r w:rsidRPr="00F4239E">
        <w:rPr>
          <w:rFonts w:ascii="Palatino Linotype" w:hAnsi="Palatino Linotype"/>
          <w:color w:val="000000" w:themeColor="text1"/>
          <w:sz w:val="18"/>
          <w:szCs w:val="18"/>
          <w:lang w:val="it-IT"/>
        </w:rPr>
        <w:t xml:space="preserve">, </w:t>
      </w:r>
      <w:proofErr w:type="spellStart"/>
      <w:r w:rsidRPr="00F4239E">
        <w:rPr>
          <w:rFonts w:ascii="Palatino Linotype" w:hAnsi="Palatino Linotype"/>
          <w:color w:val="000000" w:themeColor="text1"/>
          <w:sz w:val="18"/>
          <w:szCs w:val="18"/>
          <w:lang w:val="it-IT"/>
        </w:rPr>
        <w:t>εἰ</w:t>
      </w:r>
      <w:proofErr w:type="spellEnd"/>
      <w:r w:rsidRPr="00F4239E">
        <w:rPr>
          <w:rFonts w:ascii="Palatino Linotype" w:hAnsi="Palatino Linotype"/>
          <w:color w:val="000000" w:themeColor="text1"/>
          <w:sz w:val="18"/>
          <w:szCs w:val="18"/>
          <w:lang w:val="it-IT"/>
        </w:rPr>
        <w:t xml:space="preserve"> καὶ </w:t>
      </w:r>
      <w:proofErr w:type="spellStart"/>
      <w:r w:rsidRPr="00F4239E">
        <w:rPr>
          <w:rFonts w:ascii="Palatino Linotype" w:hAnsi="Palatino Linotype"/>
          <w:color w:val="000000" w:themeColor="text1"/>
          <w:sz w:val="18"/>
          <w:szCs w:val="18"/>
          <w:lang w:val="it-IT"/>
        </w:rPr>
        <w:t>συνέλ</w:t>
      </w:r>
      <w:proofErr w:type="spellEnd"/>
      <w:r w:rsidRPr="00F4239E">
        <w:rPr>
          <w:rFonts w:ascii="Palatino Linotype" w:hAnsi="Palatino Linotype"/>
          <w:color w:val="000000" w:themeColor="text1"/>
          <w:sz w:val="18"/>
          <w:szCs w:val="18"/>
          <w:lang w:val="it-IT"/>
        </w:rPr>
        <w:t xml:space="preserve">αβε, καὶ </w:t>
      </w:r>
      <w:proofErr w:type="spellStart"/>
      <w:r w:rsidRPr="00F4239E">
        <w:rPr>
          <w:rFonts w:ascii="Palatino Linotype" w:hAnsi="Palatino Linotype"/>
          <w:color w:val="000000" w:themeColor="text1"/>
          <w:sz w:val="18"/>
          <w:szCs w:val="18"/>
          <w:lang w:val="it-IT"/>
        </w:rPr>
        <w:t>ἔτεκε</w:t>
      </w:r>
      <w:proofErr w:type="spellEnd"/>
      <w:r w:rsidRPr="00F4239E">
        <w:rPr>
          <w:rFonts w:ascii="Palatino Linotype" w:hAnsi="Palatino Linotype"/>
          <w:color w:val="000000" w:themeColor="text1"/>
          <w:sz w:val="18"/>
          <w:szCs w:val="18"/>
          <w:lang w:val="it-IT"/>
        </w:rPr>
        <w:t xml:space="preserve">, καὶ </w:t>
      </w:r>
      <w:proofErr w:type="spellStart"/>
      <w:r w:rsidRPr="00F4239E">
        <w:rPr>
          <w:rFonts w:ascii="Palatino Linotype" w:hAnsi="Palatino Linotype"/>
          <w:color w:val="000000" w:themeColor="text1"/>
          <w:sz w:val="18"/>
          <w:szCs w:val="18"/>
          <w:lang w:val="it-IT"/>
        </w:rPr>
        <w:t>Θεὸς</w:t>
      </w:r>
      <w:proofErr w:type="spellEnd"/>
      <w:r w:rsidRPr="00F4239E">
        <w:rPr>
          <w:rFonts w:ascii="Palatino Linotype" w:hAnsi="Palatino Linotype"/>
          <w:color w:val="000000" w:themeColor="text1"/>
          <w:sz w:val="18"/>
          <w:szCs w:val="18"/>
          <w:lang w:val="it-IT"/>
        </w:rPr>
        <w:t xml:space="preserve"> </w:t>
      </w:r>
      <w:proofErr w:type="spellStart"/>
      <w:r w:rsidRPr="00F4239E">
        <w:rPr>
          <w:rFonts w:ascii="Palatino Linotype" w:hAnsi="Palatino Linotype"/>
          <w:color w:val="000000" w:themeColor="text1"/>
          <w:sz w:val="18"/>
          <w:szCs w:val="18"/>
          <w:lang w:val="it-IT"/>
        </w:rPr>
        <w:t>τὸ</w:t>
      </w:r>
      <w:proofErr w:type="spellEnd"/>
      <w:r w:rsidRPr="00F4239E">
        <w:rPr>
          <w:rFonts w:ascii="Palatino Linotype" w:hAnsi="Palatino Linotype"/>
          <w:color w:val="000000" w:themeColor="text1"/>
          <w:sz w:val="18"/>
          <w:szCs w:val="18"/>
          <w:lang w:val="it-IT"/>
        </w:rPr>
        <w:t xml:space="preserve"> </w:t>
      </w:r>
      <w:proofErr w:type="spellStart"/>
      <w:r w:rsidRPr="00F4239E">
        <w:rPr>
          <w:rFonts w:ascii="Palatino Linotype" w:hAnsi="Palatino Linotype"/>
          <w:color w:val="000000" w:themeColor="text1"/>
          <w:sz w:val="18"/>
          <w:szCs w:val="18"/>
          <w:lang w:val="it-IT"/>
        </w:rPr>
        <w:t>τεχθέν</w:t>
      </w:r>
      <w:proofErr w:type="spellEnd"/>
      <w:r w:rsidRPr="00F4239E">
        <w:rPr>
          <w:rFonts w:ascii="Palatino Linotype" w:hAnsi="Palatino Linotype"/>
          <w:color w:val="000000" w:themeColor="text1"/>
          <w:sz w:val="18"/>
          <w:szCs w:val="18"/>
          <w:lang w:val="it-IT"/>
        </w:rPr>
        <w:t>; (</w:t>
      </w:r>
      <w:r w:rsidRPr="00F4239E">
        <w:rPr>
          <w:rFonts w:ascii="Palatino Linotype" w:hAnsi="Palatino Linotype"/>
          <w:i/>
          <w:iCs/>
          <w:color w:val="000000" w:themeColor="text1"/>
          <w:sz w:val="18"/>
          <w:szCs w:val="18"/>
          <w:lang w:val="it-IT"/>
        </w:rPr>
        <w:t>PG</w:t>
      </w:r>
      <w:r w:rsidRPr="00F4239E">
        <w:rPr>
          <w:rFonts w:ascii="Palatino Linotype" w:hAnsi="Palatino Linotype"/>
          <w:color w:val="000000" w:themeColor="text1"/>
          <w:sz w:val="18"/>
          <w:szCs w:val="18"/>
          <w:lang w:val="it-IT"/>
        </w:rPr>
        <w:t xml:space="preserve"> 28. 965). </w:t>
      </w:r>
      <w:r w:rsidRPr="00FE1DFA">
        <w:rPr>
          <w:rFonts w:ascii="Palatino Linotype" w:hAnsi="Palatino Linotype"/>
          <w:color w:val="0070C0"/>
          <w:sz w:val="18"/>
          <w:szCs w:val="18"/>
          <w:lang w:val="it-IT"/>
        </w:rPr>
        <w:t xml:space="preserve">La Vergine non è semplicemente </w:t>
      </w:r>
      <w:proofErr w:type="spellStart"/>
      <w:r w:rsidRPr="00FE1DFA">
        <w:rPr>
          <w:rFonts w:ascii="Palatino Linotype" w:hAnsi="Palatino Linotype"/>
          <w:color w:val="0070C0"/>
          <w:sz w:val="18"/>
          <w:szCs w:val="18"/>
          <w:lang w:val="el-GR"/>
        </w:rPr>
        <w:t>θεοδόχος</w:t>
      </w:r>
      <w:proofErr w:type="spellEnd"/>
      <w:r w:rsidRPr="00FE1DFA">
        <w:rPr>
          <w:rFonts w:ascii="Palatino Linotype" w:hAnsi="Palatino Linotype"/>
          <w:color w:val="0070C0"/>
          <w:sz w:val="18"/>
          <w:szCs w:val="18"/>
          <w:lang w:val="it-IT"/>
        </w:rPr>
        <w:t xml:space="preserve">, bensì </w:t>
      </w:r>
      <w:proofErr w:type="spellStart"/>
      <w:r w:rsidRPr="00FE1DFA">
        <w:rPr>
          <w:rFonts w:ascii="Palatino Linotype" w:hAnsi="Palatino Linotype"/>
          <w:color w:val="0070C0"/>
          <w:sz w:val="18"/>
          <w:szCs w:val="18"/>
          <w:lang w:val="el-GR"/>
        </w:rPr>
        <w:t>θεοτόκος</w:t>
      </w:r>
      <w:proofErr w:type="spellEnd"/>
      <w:r w:rsidRPr="00FE1DFA">
        <w:rPr>
          <w:rFonts w:ascii="Palatino Linotype" w:hAnsi="Palatino Linotype"/>
          <w:color w:val="0070C0"/>
          <w:sz w:val="18"/>
          <w:szCs w:val="18"/>
          <w:lang w:val="it-IT"/>
        </w:rPr>
        <w:t xml:space="preserve"> in quanto ebbe un ruolo attivo nella </w:t>
      </w:r>
      <w:r w:rsidR="00C03C4E" w:rsidRPr="00FE1DFA">
        <w:rPr>
          <w:rFonts w:ascii="Palatino Linotype" w:hAnsi="Palatino Linotype"/>
          <w:color w:val="0070C0"/>
          <w:sz w:val="18"/>
          <w:szCs w:val="18"/>
          <w:lang w:val="it-IT"/>
        </w:rPr>
        <w:t>nascita</w:t>
      </w:r>
      <w:r w:rsidRPr="00FE1DFA">
        <w:rPr>
          <w:rFonts w:ascii="Palatino Linotype" w:hAnsi="Palatino Linotype"/>
          <w:color w:val="0070C0"/>
          <w:sz w:val="18"/>
          <w:szCs w:val="18"/>
          <w:lang w:val="it-IT"/>
        </w:rPr>
        <w:t xml:space="preserve"> del Figlio di Dio (</w:t>
      </w:r>
      <w:r w:rsidRPr="00FE1DFA">
        <w:rPr>
          <w:rFonts w:ascii="Palatino Linotype" w:hAnsi="Palatino Linotype"/>
          <w:i/>
          <w:iCs/>
          <w:color w:val="0070C0"/>
          <w:sz w:val="18"/>
          <w:szCs w:val="18"/>
          <w:lang w:val="it-IT"/>
        </w:rPr>
        <w:t xml:space="preserve">PG </w:t>
      </w:r>
      <w:r w:rsidRPr="00FE1DFA">
        <w:rPr>
          <w:rFonts w:ascii="Palatino Linotype" w:hAnsi="Palatino Linotype"/>
          <w:color w:val="0070C0"/>
          <w:sz w:val="18"/>
          <w:szCs w:val="18"/>
          <w:lang w:val="it-IT"/>
        </w:rPr>
        <w:t>28. 968).</w:t>
      </w:r>
      <w:r w:rsidR="00FE1DFA" w:rsidRPr="00FE1DFA">
        <w:rPr>
          <w:rFonts w:ascii="Palatino Linotype" w:hAnsi="Palatino Linotype"/>
          <w:color w:val="0070C0"/>
          <w:sz w:val="18"/>
          <w:szCs w:val="18"/>
          <w:lang w:val="it-IT"/>
        </w:rPr>
        <w:t xml:space="preserve"> </w:t>
      </w:r>
      <w:r w:rsidR="00FE1DFA">
        <w:rPr>
          <w:rFonts w:ascii="Palatino Linotype" w:hAnsi="Palatino Linotype"/>
          <w:color w:val="0070C0"/>
          <w:sz w:val="18"/>
          <w:szCs w:val="18"/>
          <w:lang w:val="it-IT"/>
        </w:rPr>
        <w:t xml:space="preserve">On </w:t>
      </w:r>
      <w:proofErr w:type="spellStart"/>
      <w:r w:rsidR="00FE1DFA">
        <w:rPr>
          <w:rFonts w:ascii="Palatino Linotype" w:hAnsi="Palatino Linotype"/>
          <w:color w:val="0070C0"/>
          <w:sz w:val="18"/>
          <w:szCs w:val="18"/>
          <w:lang w:val="it-IT"/>
        </w:rPr>
        <w:t>this</w:t>
      </w:r>
      <w:proofErr w:type="spellEnd"/>
      <w:r w:rsidR="00FE1DFA">
        <w:rPr>
          <w:rFonts w:ascii="Palatino Linotype" w:hAnsi="Palatino Linotype"/>
          <w:color w:val="0070C0"/>
          <w:sz w:val="18"/>
          <w:szCs w:val="18"/>
          <w:lang w:val="it-IT"/>
        </w:rPr>
        <w:t xml:space="preserve"> </w:t>
      </w:r>
      <w:proofErr w:type="spellStart"/>
      <w:r w:rsidR="00FE1DFA">
        <w:rPr>
          <w:rFonts w:ascii="Palatino Linotype" w:hAnsi="Palatino Linotype"/>
          <w:color w:val="0070C0"/>
          <w:sz w:val="18"/>
          <w:szCs w:val="18"/>
          <w:lang w:val="it-IT"/>
        </w:rPr>
        <w:t>aspect</w:t>
      </w:r>
      <w:proofErr w:type="spellEnd"/>
      <w:r w:rsidR="00FE1DFA">
        <w:rPr>
          <w:rFonts w:ascii="Palatino Linotype" w:hAnsi="Palatino Linotype"/>
          <w:color w:val="0070C0"/>
          <w:sz w:val="18"/>
          <w:szCs w:val="18"/>
          <w:lang w:val="it-IT"/>
        </w:rPr>
        <w:t xml:space="preserve"> of the cult of the Virgin in Late </w:t>
      </w:r>
      <w:proofErr w:type="spellStart"/>
      <w:r w:rsidR="00FE1DFA">
        <w:rPr>
          <w:rFonts w:ascii="Palatino Linotype" w:hAnsi="Palatino Linotype"/>
          <w:color w:val="0070C0"/>
          <w:sz w:val="18"/>
          <w:szCs w:val="18"/>
          <w:lang w:val="it-IT"/>
        </w:rPr>
        <w:t>Antiquity</w:t>
      </w:r>
      <w:proofErr w:type="spellEnd"/>
      <w:r w:rsidR="00FE1DFA">
        <w:rPr>
          <w:rFonts w:ascii="Palatino Linotype" w:hAnsi="Palatino Linotype"/>
          <w:color w:val="0070C0"/>
          <w:sz w:val="18"/>
          <w:szCs w:val="18"/>
          <w:lang w:val="it-IT"/>
        </w:rPr>
        <w:t xml:space="preserve">, </w:t>
      </w:r>
      <w:proofErr w:type="spellStart"/>
      <w:r w:rsidR="00FE1DFA">
        <w:rPr>
          <w:rFonts w:ascii="Palatino Linotype" w:hAnsi="Palatino Linotype"/>
          <w:color w:val="0070C0"/>
          <w:sz w:val="18"/>
          <w:szCs w:val="18"/>
          <w:lang w:val="it-IT"/>
        </w:rPr>
        <w:t>see</w:t>
      </w:r>
      <w:proofErr w:type="spellEnd"/>
      <w:r w:rsidR="00FE1DFA">
        <w:rPr>
          <w:rFonts w:ascii="Palatino Linotype" w:hAnsi="Palatino Linotype"/>
          <w:color w:val="0070C0"/>
          <w:sz w:val="18"/>
          <w:szCs w:val="18"/>
          <w:lang w:val="it-IT"/>
        </w:rPr>
        <w:t xml:space="preserve"> </w:t>
      </w:r>
      <w:proofErr w:type="spellStart"/>
      <w:r w:rsidR="00FE1DFA">
        <w:rPr>
          <w:rFonts w:ascii="Palatino Linotype" w:hAnsi="Palatino Linotype"/>
          <w:color w:val="0070C0"/>
          <w:sz w:val="18"/>
          <w:szCs w:val="18"/>
          <w:lang w:val="it-IT"/>
        </w:rPr>
        <w:t>also</w:t>
      </w:r>
      <w:proofErr w:type="spellEnd"/>
      <w:r w:rsidR="00FE1DFA">
        <w:rPr>
          <w:rFonts w:ascii="Palatino Linotype" w:hAnsi="Palatino Linotype"/>
          <w:color w:val="0070C0"/>
          <w:sz w:val="18"/>
          <w:szCs w:val="18"/>
          <w:lang w:val="it-IT"/>
        </w:rPr>
        <w:t xml:space="preserve"> </w:t>
      </w:r>
      <w:proofErr w:type="spellStart"/>
      <w:r w:rsidR="00FE1DFA" w:rsidRPr="00FE1DFA">
        <w:rPr>
          <w:rFonts w:ascii="Palatino Linotype" w:hAnsi="Palatino Linotype"/>
          <w:color w:val="0070C0"/>
          <w:sz w:val="18"/>
          <w:szCs w:val="18"/>
          <w:lang w:val="it-IT"/>
        </w:rPr>
        <w:t>Constas</w:t>
      </w:r>
      <w:proofErr w:type="spellEnd"/>
      <w:r w:rsidR="00FE1DFA" w:rsidRPr="00FE1DFA">
        <w:rPr>
          <w:rFonts w:ascii="Palatino Linotype" w:hAnsi="Palatino Linotype"/>
          <w:color w:val="0070C0"/>
          <w:sz w:val="18"/>
          <w:szCs w:val="18"/>
          <w:lang w:val="it-IT"/>
        </w:rPr>
        <w:t xml:space="preserve"> 2003, 276 n. 7.</w:t>
      </w:r>
      <w:r w:rsidR="00F269F2" w:rsidRPr="00FE1DFA">
        <w:rPr>
          <w:rFonts w:ascii="Palatino Linotype" w:hAnsi="Palatino Linotype"/>
          <w:color w:val="0070C0"/>
          <w:sz w:val="18"/>
          <w:szCs w:val="18"/>
          <w:lang w:val="it-IT"/>
        </w:rPr>
        <w:t xml:space="preserve"> </w:t>
      </w:r>
    </w:p>
  </w:footnote>
  <w:footnote w:id="18">
    <w:p w:rsidR="00413D26" w:rsidRPr="00413D26" w:rsidRDefault="00413D26" w:rsidP="00413D26">
      <w:pPr>
        <w:pStyle w:val="Testonotaapidipagina"/>
        <w:jc w:val="both"/>
        <w:rPr>
          <w:rFonts w:ascii="Palatino Linotype" w:hAnsi="Palatino Linotype"/>
          <w:sz w:val="18"/>
          <w:szCs w:val="18"/>
          <w:lang w:val="it-IT"/>
        </w:rPr>
      </w:pPr>
      <w:r w:rsidRPr="00413D26">
        <w:rPr>
          <w:rStyle w:val="Rimandonotaapidipagina"/>
          <w:rFonts w:ascii="Palatino Linotype" w:hAnsi="Palatino Linotype"/>
          <w:color w:val="000000" w:themeColor="text1"/>
          <w:sz w:val="18"/>
          <w:szCs w:val="18"/>
        </w:rPr>
        <w:footnoteRef/>
      </w:r>
      <w:r w:rsidRPr="00413D26">
        <w:rPr>
          <w:rFonts w:ascii="Palatino Linotype" w:hAnsi="Palatino Linotype"/>
          <w:color w:val="000000" w:themeColor="text1"/>
          <w:sz w:val="18"/>
          <w:szCs w:val="18"/>
        </w:rPr>
        <w:t xml:space="preserve"> </w:t>
      </w:r>
      <w:proofErr w:type="spellStart"/>
      <w:r w:rsidRPr="00413D26">
        <w:rPr>
          <w:rFonts w:ascii="Palatino Linotype" w:hAnsi="Palatino Linotype"/>
          <w:color w:val="000000" w:themeColor="text1"/>
          <w:sz w:val="18"/>
          <w:szCs w:val="18"/>
          <w:lang w:val="it-IT"/>
        </w:rPr>
        <w:t>Jugie</w:t>
      </w:r>
      <w:proofErr w:type="spellEnd"/>
      <w:r w:rsidRPr="00413D26">
        <w:rPr>
          <w:rFonts w:ascii="Palatino Linotype" w:hAnsi="Palatino Linotype"/>
          <w:color w:val="000000" w:themeColor="text1"/>
          <w:sz w:val="18"/>
          <w:szCs w:val="18"/>
          <w:lang w:val="it-IT"/>
        </w:rPr>
        <w:t xml:space="preserve"> 1926, 330, l. 9. </w:t>
      </w:r>
    </w:p>
  </w:footnote>
  <w:footnote w:id="19">
    <w:p w:rsidR="00F4239E" w:rsidRPr="0040696C" w:rsidRDefault="00F4239E" w:rsidP="002D2812">
      <w:pPr>
        <w:pStyle w:val="Nessunaspaziatura"/>
        <w:jc w:val="both"/>
        <w:rPr>
          <w:rFonts w:ascii="Palatino Linotype" w:eastAsia="Times New Roman" w:hAnsi="Palatino Linotype" w:cs="Times New Roman"/>
          <w:color w:val="0070C0"/>
          <w:sz w:val="18"/>
          <w:szCs w:val="18"/>
          <w:lang w:val="it-IT" w:eastAsia="it-IT"/>
        </w:rPr>
      </w:pPr>
      <w:r w:rsidRPr="00F4239E">
        <w:rPr>
          <w:rStyle w:val="Rimandonotaapidipagina"/>
          <w:rFonts w:ascii="Palatino Linotype" w:hAnsi="Palatino Linotype"/>
          <w:color w:val="000000" w:themeColor="text1"/>
          <w:sz w:val="18"/>
          <w:szCs w:val="18"/>
        </w:rPr>
        <w:footnoteRef/>
      </w:r>
      <w:r>
        <w:rPr>
          <w:rFonts w:ascii="Palatino Linotype" w:hAnsi="Palatino Linotype"/>
          <w:color w:val="000000" w:themeColor="text1"/>
          <w:sz w:val="18"/>
          <w:szCs w:val="18"/>
        </w:rPr>
        <w:t xml:space="preserve"> </w:t>
      </w:r>
      <w:r w:rsidR="00451DCD" w:rsidRPr="00413D26">
        <w:rPr>
          <w:rFonts w:ascii="Palatino Linotype" w:hAnsi="Palatino Linotype"/>
          <w:color w:val="0070C0"/>
          <w:sz w:val="18"/>
          <w:szCs w:val="18"/>
        </w:rPr>
        <w:t xml:space="preserve">Il primo </w:t>
      </w:r>
      <w:proofErr w:type="spellStart"/>
      <w:r w:rsidR="00451DCD" w:rsidRPr="00413D26">
        <w:rPr>
          <w:rFonts w:ascii="Palatino Linotype" w:hAnsi="Palatino Linotype"/>
          <w:color w:val="0070C0"/>
          <w:sz w:val="18"/>
          <w:szCs w:val="18"/>
        </w:rPr>
        <w:t>passo</w:t>
      </w:r>
      <w:proofErr w:type="spellEnd"/>
      <w:r w:rsidR="00451DCD" w:rsidRPr="00413D26">
        <w:rPr>
          <w:rFonts w:ascii="Palatino Linotype" w:hAnsi="Palatino Linotype"/>
          <w:color w:val="0070C0"/>
          <w:sz w:val="18"/>
          <w:szCs w:val="18"/>
        </w:rPr>
        <w:t xml:space="preserve"> è </w:t>
      </w:r>
      <w:proofErr w:type="spellStart"/>
      <w:r w:rsidR="00451DCD" w:rsidRPr="00413D26">
        <w:rPr>
          <w:rFonts w:ascii="Palatino Linotype" w:hAnsi="Palatino Linotype"/>
          <w:color w:val="0070C0"/>
          <w:sz w:val="18"/>
          <w:szCs w:val="18"/>
        </w:rPr>
        <w:t>relativo</w:t>
      </w:r>
      <w:proofErr w:type="spellEnd"/>
      <w:r w:rsidR="00451DCD" w:rsidRPr="00413D26">
        <w:rPr>
          <w:rFonts w:ascii="Palatino Linotype" w:hAnsi="Palatino Linotype"/>
          <w:color w:val="0070C0"/>
          <w:sz w:val="18"/>
          <w:szCs w:val="18"/>
        </w:rPr>
        <w:t xml:space="preserve"> </w:t>
      </w:r>
      <w:proofErr w:type="spellStart"/>
      <w:r w:rsidR="00451DCD" w:rsidRPr="00413D26">
        <w:rPr>
          <w:rFonts w:ascii="Palatino Linotype" w:hAnsi="Palatino Linotype"/>
          <w:color w:val="0070C0"/>
          <w:sz w:val="18"/>
          <w:szCs w:val="18"/>
        </w:rPr>
        <w:t>alla</w:t>
      </w:r>
      <w:proofErr w:type="spellEnd"/>
      <w:r w:rsidR="00451DCD" w:rsidRPr="00413D26">
        <w:rPr>
          <w:rFonts w:ascii="Palatino Linotype" w:hAnsi="Palatino Linotype"/>
          <w:color w:val="0070C0"/>
          <w:sz w:val="18"/>
          <w:szCs w:val="18"/>
        </w:rPr>
        <w:t xml:space="preserve"> </w:t>
      </w:r>
      <w:proofErr w:type="spellStart"/>
      <w:r w:rsidR="00451DCD" w:rsidRPr="00413D26">
        <w:rPr>
          <w:rFonts w:ascii="Palatino Linotype" w:hAnsi="Palatino Linotype"/>
          <w:color w:val="0070C0"/>
          <w:sz w:val="18"/>
          <w:szCs w:val="18"/>
        </w:rPr>
        <w:t>concezione</w:t>
      </w:r>
      <w:proofErr w:type="spellEnd"/>
      <w:r w:rsidR="00451DCD" w:rsidRPr="00413D26">
        <w:rPr>
          <w:rFonts w:ascii="Palatino Linotype" w:hAnsi="Palatino Linotype"/>
          <w:color w:val="0070C0"/>
          <w:sz w:val="18"/>
          <w:szCs w:val="18"/>
        </w:rPr>
        <w:t xml:space="preserve"> di </w:t>
      </w:r>
      <w:proofErr w:type="spellStart"/>
      <w:r w:rsidR="00451DCD" w:rsidRPr="00413D26">
        <w:rPr>
          <w:rFonts w:ascii="Palatino Linotype" w:hAnsi="Palatino Linotype"/>
          <w:color w:val="0070C0"/>
          <w:sz w:val="18"/>
          <w:szCs w:val="18"/>
        </w:rPr>
        <w:t>Gesù</w:t>
      </w:r>
      <w:proofErr w:type="spellEnd"/>
      <w:r w:rsidR="00451DCD" w:rsidRPr="00413D26">
        <w:rPr>
          <w:rFonts w:ascii="Palatino Linotype" w:hAnsi="Palatino Linotype"/>
          <w:color w:val="0070C0"/>
          <w:sz w:val="18"/>
          <w:szCs w:val="18"/>
        </w:rPr>
        <w:t xml:space="preserve"> (</w:t>
      </w:r>
      <w:proofErr w:type="spellStart"/>
      <w:r w:rsidR="00451DCD" w:rsidRPr="00413D26">
        <w:rPr>
          <w:rFonts w:ascii="Palatino Linotype" w:hAnsi="Palatino Linotype"/>
          <w:color w:val="0070C0"/>
          <w:sz w:val="18"/>
          <w:szCs w:val="18"/>
          <w:lang w:val="it-IT"/>
        </w:rPr>
        <w:t>Ettlinger</w:t>
      </w:r>
      <w:proofErr w:type="spellEnd"/>
      <w:r w:rsidR="00451DCD" w:rsidRPr="00413D26">
        <w:rPr>
          <w:rFonts w:ascii="Palatino Linotype" w:hAnsi="Palatino Linotype"/>
          <w:color w:val="0070C0"/>
          <w:sz w:val="18"/>
          <w:szCs w:val="18"/>
          <w:lang w:val="it-IT"/>
        </w:rPr>
        <w:t xml:space="preserve"> 1975, 105, l. 29), il secondo alla natura di Gesù, uomo </w:t>
      </w:r>
      <w:proofErr w:type="spellStart"/>
      <w:r w:rsidR="00451DCD">
        <w:rPr>
          <w:rFonts w:ascii="Palatino Linotype" w:hAnsi="Palatino Linotype"/>
          <w:color w:val="000000" w:themeColor="text1"/>
          <w:sz w:val="18"/>
          <w:szCs w:val="18"/>
          <w:lang w:val="el-GR"/>
        </w:rPr>
        <w:t>θεοδόχος</w:t>
      </w:r>
      <w:proofErr w:type="spellEnd"/>
      <w:r w:rsidR="00451DCD">
        <w:rPr>
          <w:rFonts w:ascii="Palatino Linotype" w:hAnsi="Palatino Linotype"/>
          <w:color w:val="000000" w:themeColor="text1"/>
          <w:sz w:val="18"/>
          <w:szCs w:val="18"/>
          <w:lang w:val="it-IT"/>
        </w:rPr>
        <w:t xml:space="preserve">: </w:t>
      </w:r>
      <w:r w:rsidR="00451DCD">
        <w:rPr>
          <w:rFonts w:ascii="Palatino Linotype" w:eastAsia="Times New Roman" w:hAnsi="Palatino Linotype" w:cs="Times New Roman"/>
          <w:color w:val="000000" w:themeColor="text1"/>
          <w:sz w:val="18"/>
          <w:szCs w:val="18"/>
          <w:lang w:val="el-GR" w:eastAsia="it-IT"/>
        </w:rPr>
        <w:t>ἐ</w:t>
      </w:r>
      <w:r w:rsidRPr="00F4239E">
        <w:rPr>
          <w:rFonts w:ascii="Palatino Linotype" w:eastAsia="Times New Roman" w:hAnsi="Palatino Linotype" w:cs="Times New Roman"/>
          <w:color w:val="000000" w:themeColor="text1"/>
          <w:sz w:val="18"/>
          <w:szCs w:val="18"/>
          <w:lang w:val="it-IT" w:eastAsia="it-IT"/>
        </w:rPr>
        <w:t>π</w:t>
      </w:r>
      <w:proofErr w:type="spellStart"/>
      <w:r w:rsidRPr="00F4239E">
        <w:rPr>
          <w:rFonts w:ascii="Palatino Linotype" w:eastAsia="Times New Roman" w:hAnsi="Palatino Linotype" w:cs="Times New Roman"/>
          <w:color w:val="000000" w:themeColor="text1"/>
          <w:sz w:val="18"/>
          <w:szCs w:val="18"/>
          <w:lang w:val="it-IT" w:eastAsia="it-IT"/>
        </w:rPr>
        <w:t>ειδὴ</w:t>
      </w:r>
      <w:proofErr w:type="spellEnd"/>
      <w:r w:rsidRPr="00F4239E">
        <w:rPr>
          <w:rFonts w:ascii="Palatino Linotype" w:eastAsia="Times New Roman" w:hAnsi="Palatino Linotype" w:cs="Times New Roman"/>
          <w:color w:val="000000" w:themeColor="text1"/>
          <w:sz w:val="18"/>
          <w:szCs w:val="18"/>
          <w:shd w:val="clear" w:color="auto" w:fill="F8F9F3"/>
          <w:lang w:val="it-IT" w:eastAsia="it-IT"/>
        </w:rPr>
        <w:t> </w:t>
      </w:r>
      <w:proofErr w:type="spellStart"/>
      <w:r w:rsidRPr="00F4239E">
        <w:rPr>
          <w:rFonts w:ascii="Palatino Linotype" w:eastAsia="Times New Roman" w:hAnsi="Palatino Linotype" w:cs="Times New Roman"/>
          <w:color w:val="000000" w:themeColor="text1"/>
          <w:sz w:val="18"/>
          <w:szCs w:val="18"/>
          <w:lang w:val="it-IT" w:eastAsia="it-IT"/>
        </w:rPr>
        <w:t>γὰρ</w:t>
      </w:r>
      <w:proofErr w:type="spellEnd"/>
      <w:r w:rsidRPr="00F4239E">
        <w:rPr>
          <w:rFonts w:ascii="Palatino Linotype" w:eastAsia="Times New Roman" w:hAnsi="Palatino Linotype" w:cs="Times New Roman"/>
          <w:color w:val="000000" w:themeColor="text1"/>
          <w:sz w:val="18"/>
          <w:szCs w:val="18"/>
          <w:shd w:val="clear" w:color="auto" w:fill="F8F9F3"/>
          <w:lang w:val="it-IT" w:eastAsia="it-IT"/>
        </w:rPr>
        <w:t> </w:t>
      </w:r>
      <w:proofErr w:type="spellStart"/>
      <w:r w:rsidRPr="00F4239E">
        <w:rPr>
          <w:rFonts w:ascii="Palatino Linotype" w:eastAsia="Times New Roman" w:hAnsi="Palatino Linotype" w:cs="Times New Roman"/>
          <w:color w:val="000000" w:themeColor="text1"/>
          <w:sz w:val="18"/>
          <w:szCs w:val="18"/>
          <w:lang w:val="it-IT" w:eastAsia="it-IT"/>
        </w:rPr>
        <w:t>οὐκ</w:t>
      </w:r>
      <w:proofErr w:type="spellEnd"/>
      <w:r w:rsidRPr="00F4239E">
        <w:rPr>
          <w:rFonts w:ascii="Palatino Linotype" w:eastAsia="Times New Roman" w:hAnsi="Palatino Linotype" w:cs="Times New Roman"/>
          <w:color w:val="000000" w:themeColor="text1"/>
          <w:sz w:val="18"/>
          <w:szCs w:val="18"/>
          <w:shd w:val="clear" w:color="auto" w:fill="F8F9F3"/>
          <w:lang w:val="it-IT" w:eastAsia="it-IT"/>
        </w:rPr>
        <w:t> </w:t>
      </w:r>
      <w:proofErr w:type="spellStart"/>
      <w:r w:rsidRPr="00F4239E">
        <w:rPr>
          <w:rFonts w:ascii="Palatino Linotype" w:eastAsia="Times New Roman" w:hAnsi="Palatino Linotype" w:cs="Times New Roman"/>
          <w:color w:val="000000" w:themeColor="text1"/>
          <w:sz w:val="18"/>
          <w:szCs w:val="18"/>
          <w:lang w:val="it-IT" w:eastAsia="it-IT"/>
        </w:rPr>
        <w:t>ἄλλοθε</w:t>
      </w:r>
      <w:proofErr w:type="spellEnd"/>
      <w:r>
        <w:rPr>
          <w:rFonts w:ascii="Palatino Linotype" w:eastAsia="Times New Roman" w:hAnsi="Palatino Linotype" w:cs="Times New Roman"/>
          <w:color w:val="000000" w:themeColor="text1"/>
          <w:sz w:val="18"/>
          <w:szCs w:val="18"/>
          <w:lang w:val="el-GR" w:eastAsia="it-IT"/>
        </w:rPr>
        <w:t>ν</w:t>
      </w:r>
      <w:r w:rsidRPr="00F4239E">
        <w:rPr>
          <w:rFonts w:ascii="Palatino Linotype" w:eastAsia="Times New Roman" w:hAnsi="Palatino Linotype" w:cs="Times New Roman"/>
          <w:color w:val="000000" w:themeColor="text1"/>
          <w:sz w:val="18"/>
          <w:szCs w:val="18"/>
          <w:lang w:val="it-IT" w:eastAsia="it-IT"/>
        </w:rPr>
        <w:t xml:space="preserve">, </w:t>
      </w:r>
      <w:proofErr w:type="spellStart"/>
      <w:r w:rsidRPr="00F4239E">
        <w:rPr>
          <w:rFonts w:ascii="Palatino Linotype" w:eastAsia="Times New Roman" w:hAnsi="Palatino Linotype" w:cs="Times New Roman"/>
          <w:color w:val="000000" w:themeColor="text1"/>
          <w:sz w:val="18"/>
          <w:szCs w:val="18"/>
          <w:lang w:val="it-IT" w:eastAsia="it-IT"/>
        </w:rPr>
        <w:t>ἀλλ</w:t>
      </w:r>
      <w:proofErr w:type="spellEnd"/>
      <w:r w:rsidRPr="00F4239E">
        <w:rPr>
          <w:rFonts w:ascii="Palatino Linotype" w:eastAsia="Times New Roman" w:hAnsi="Palatino Linotype" w:cs="Times New Roman"/>
          <w:color w:val="000000" w:themeColor="text1"/>
          <w:sz w:val="18"/>
          <w:szCs w:val="18"/>
          <w:lang w:val="it-IT" w:eastAsia="it-IT"/>
        </w:rPr>
        <w:t>’</w:t>
      </w:r>
      <w:r w:rsidRPr="00F4239E">
        <w:rPr>
          <w:rFonts w:ascii="Palatino Linotype" w:eastAsia="Times New Roman" w:hAnsi="Palatino Linotype" w:cs="Times New Roman"/>
          <w:color w:val="000000" w:themeColor="text1"/>
          <w:sz w:val="18"/>
          <w:szCs w:val="18"/>
          <w:shd w:val="clear" w:color="auto" w:fill="F8F9F3"/>
          <w:lang w:val="it-IT" w:eastAsia="it-IT"/>
        </w:rPr>
        <w:t> </w:t>
      </w:r>
      <w:proofErr w:type="spellStart"/>
      <w:r w:rsidRPr="00F4239E">
        <w:rPr>
          <w:rFonts w:ascii="Palatino Linotype" w:eastAsia="Times New Roman" w:hAnsi="Palatino Linotype" w:cs="Times New Roman"/>
          <w:color w:val="000000" w:themeColor="text1"/>
          <w:sz w:val="18"/>
          <w:szCs w:val="18"/>
          <w:lang w:val="it-IT" w:eastAsia="it-IT"/>
        </w:rPr>
        <w:t>ἐκ</w:t>
      </w:r>
      <w:proofErr w:type="spellEnd"/>
      <w:r w:rsidRPr="00F4239E">
        <w:rPr>
          <w:rFonts w:ascii="Palatino Linotype" w:eastAsia="Times New Roman" w:hAnsi="Palatino Linotype" w:cs="Times New Roman"/>
          <w:color w:val="000000" w:themeColor="text1"/>
          <w:sz w:val="18"/>
          <w:szCs w:val="18"/>
          <w:shd w:val="clear" w:color="auto" w:fill="F8F9F3"/>
          <w:lang w:val="it-IT" w:eastAsia="it-IT"/>
        </w:rPr>
        <w:t> </w:t>
      </w:r>
      <w:proofErr w:type="spellStart"/>
      <w:r w:rsidRPr="00F4239E">
        <w:rPr>
          <w:rFonts w:ascii="Palatino Linotype" w:eastAsia="Times New Roman" w:hAnsi="Palatino Linotype" w:cs="Times New Roman"/>
          <w:color w:val="000000" w:themeColor="text1"/>
          <w:sz w:val="18"/>
          <w:szCs w:val="18"/>
          <w:lang w:val="it-IT" w:eastAsia="it-IT"/>
        </w:rPr>
        <w:t>τοῦ</w:t>
      </w:r>
      <w:proofErr w:type="spellEnd"/>
      <w:r w:rsidRPr="00F4239E">
        <w:rPr>
          <w:rFonts w:ascii="Palatino Linotype" w:eastAsia="Times New Roman" w:hAnsi="Palatino Linotype" w:cs="Times New Roman"/>
          <w:color w:val="000000" w:themeColor="text1"/>
          <w:sz w:val="18"/>
          <w:szCs w:val="18"/>
          <w:shd w:val="clear" w:color="auto" w:fill="F8F9F3"/>
          <w:lang w:val="it-IT" w:eastAsia="it-IT"/>
        </w:rPr>
        <w:t> </w:t>
      </w:r>
      <w:proofErr w:type="spellStart"/>
      <w:r w:rsidRPr="00F4239E">
        <w:rPr>
          <w:rFonts w:ascii="Palatino Linotype" w:eastAsia="Times New Roman" w:hAnsi="Palatino Linotype" w:cs="Times New Roman"/>
          <w:color w:val="000000" w:themeColor="text1"/>
          <w:sz w:val="18"/>
          <w:szCs w:val="18"/>
          <w:lang w:val="it-IT" w:eastAsia="it-IT"/>
        </w:rPr>
        <w:t>ἡμετέρο</w:t>
      </w:r>
      <w:proofErr w:type="spellEnd"/>
      <w:r>
        <w:rPr>
          <w:rFonts w:ascii="Palatino Linotype" w:eastAsia="Times New Roman" w:hAnsi="Palatino Linotype" w:cs="Times New Roman"/>
          <w:color w:val="000000" w:themeColor="text1"/>
          <w:sz w:val="18"/>
          <w:szCs w:val="18"/>
          <w:lang w:val="el-GR" w:eastAsia="it-IT"/>
        </w:rPr>
        <w:t>υ</w:t>
      </w:r>
      <w:r w:rsidR="002D2812">
        <w:rPr>
          <w:rFonts w:ascii="Palatino Linotype" w:eastAsia="Times New Roman" w:hAnsi="Palatino Linotype" w:cs="Times New Roman"/>
          <w:color w:val="000000" w:themeColor="text1"/>
          <w:sz w:val="18"/>
          <w:szCs w:val="18"/>
          <w:lang w:val="it-IT" w:eastAsia="it-IT"/>
        </w:rPr>
        <w:t xml:space="preserve"> </w:t>
      </w:r>
      <w:proofErr w:type="spellStart"/>
      <w:r w:rsidRPr="00F4239E">
        <w:rPr>
          <w:rFonts w:ascii="Palatino Linotype" w:eastAsia="Times New Roman" w:hAnsi="Palatino Linotype" w:cs="Times New Roman"/>
          <w:color w:val="000000" w:themeColor="text1"/>
          <w:sz w:val="18"/>
          <w:szCs w:val="18"/>
          <w:lang w:val="it-IT" w:eastAsia="it-IT"/>
        </w:rPr>
        <w:t>φυράμ</w:t>
      </w:r>
      <w:proofErr w:type="spellEnd"/>
      <w:r w:rsidRPr="00F4239E">
        <w:rPr>
          <w:rFonts w:ascii="Palatino Linotype" w:eastAsia="Times New Roman" w:hAnsi="Palatino Linotype" w:cs="Times New Roman"/>
          <w:color w:val="000000" w:themeColor="text1"/>
          <w:sz w:val="18"/>
          <w:szCs w:val="18"/>
          <w:lang w:val="it-IT" w:eastAsia="it-IT"/>
        </w:rPr>
        <w:t>α</w:t>
      </w:r>
      <w:proofErr w:type="spellStart"/>
      <w:r w:rsidRPr="00F4239E">
        <w:rPr>
          <w:rFonts w:ascii="Palatino Linotype" w:eastAsia="Times New Roman" w:hAnsi="Palatino Linotype" w:cs="Times New Roman"/>
          <w:color w:val="000000" w:themeColor="text1"/>
          <w:sz w:val="18"/>
          <w:szCs w:val="18"/>
          <w:lang w:val="it-IT" w:eastAsia="it-IT"/>
        </w:rPr>
        <w:t>τος</w:t>
      </w:r>
      <w:proofErr w:type="spellEnd"/>
      <w:r w:rsidR="00451DCD" w:rsidRPr="00451DCD">
        <w:rPr>
          <w:rFonts w:ascii="Palatino Linotype" w:eastAsia="Times New Roman" w:hAnsi="Palatino Linotype" w:cs="Times New Roman"/>
          <w:color w:val="000000" w:themeColor="text1"/>
          <w:sz w:val="18"/>
          <w:szCs w:val="18"/>
          <w:lang w:val="it-IT" w:eastAsia="it-IT"/>
        </w:rPr>
        <w:t>,</w:t>
      </w:r>
      <w:r w:rsidR="002D2812" w:rsidRPr="00451DCD">
        <w:rPr>
          <w:rFonts w:ascii="Palatino Linotype" w:eastAsia="Times New Roman" w:hAnsi="Palatino Linotype" w:cs="Times New Roman"/>
          <w:color w:val="000000" w:themeColor="text1"/>
          <w:sz w:val="18"/>
          <w:szCs w:val="18"/>
          <w:lang w:val="it-IT" w:eastAsia="it-IT"/>
        </w:rPr>
        <w:t xml:space="preserve"> </w:t>
      </w:r>
      <w:r w:rsidR="002D2812" w:rsidRPr="00F4239E">
        <w:rPr>
          <w:rFonts w:ascii="Palatino Linotype" w:eastAsia="Times New Roman" w:hAnsi="Palatino Linotype" w:cs="Times New Roman"/>
          <w:color w:val="000000" w:themeColor="text1"/>
          <w:sz w:val="18"/>
          <w:szCs w:val="18"/>
          <w:lang w:val="it-IT" w:eastAsia="it-IT"/>
        </w:rPr>
        <w:t>ὁ</w:t>
      </w:r>
      <w:r w:rsidR="002D2812" w:rsidRPr="00451DCD">
        <w:rPr>
          <w:rFonts w:ascii="Palatino Linotype" w:eastAsia="Times New Roman" w:hAnsi="Palatino Linotype" w:cs="Times New Roman"/>
          <w:color w:val="000000" w:themeColor="text1"/>
          <w:sz w:val="18"/>
          <w:szCs w:val="18"/>
          <w:lang w:val="it-IT" w:eastAsia="it-IT"/>
        </w:rPr>
        <w:t xml:space="preserve"> </w:t>
      </w:r>
      <w:proofErr w:type="spellStart"/>
      <w:r w:rsidR="002D2812">
        <w:rPr>
          <w:rFonts w:ascii="Palatino Linotype" w:eastAsia="Times New Roman" w:hAnsi="Palatino Linotype" w:cs="Times New Roman"/>
          <w:color w:val="000000" w:themeColor="text1"/>
          <w:sz w:val="18"/>
          <w:szCs w:val="18"/>
          <w:lang w:val="el-GR" w:eastAsia="it-IT"/>
        </w:rPr>
        <w:t>θεοδόχος</w:t>
      </w:r>
      <w:proofErr w:type="spellEnd"/>
      <w:r w:rsidR="002D2812" w:rsidRPr="002D2812">
        <w:rPr>
          <w:rFonts w:ascii="Palatino Linotype" w:eastAsia="Times New Roman" w:hAnsi="Palatino Linotype" w:cs="Times New Roman"/>
          <w:color w:val="000000" w:themeColor="text1"/>
          <w:sz w:val="18"/>
          <w:szCs w:val="18"/>
          <w:lang w:val="it-IT" w:eastAsia="it-IT"/>
        </w:rPr>
        <w:t xml:space="preserve"> </w:t>
      </w:r>
      <w:proofErr w:type="spellStart"/>
      <w:r w:rsidRPr="00F4239E">
        <w:rPr>
          <w:rFonts w:ascii="Palatino Linotype" w:eastAsia="Times New Roman" w:hAnsi="Palatino Linotype" w:cs="Times New Roman"/>
          <w:color w:val="000000" w:themeColor="text1"/>
          <w:sz w:val="18"/>
          <w:szCs w:val="18"/>
          <w:lang w:val="it-IT" w:eastAsia="it-IT"/>
        </w:rPr>
        <w:t>ἄνθρω</w:t>
      </w:r>
      <w:proofErr w:type="spellEnd"/>
      <w:r w:rsidRPr="00F4239E">
        <w:rPr>
          <w:rFonts w:ascii="Palatino Linotype" w:eastAsia="Times New Roman" w:hAnsi="Palatino Linotype" w:cs="Times New Roman"/>
          <w:color w:val="000000" w:themeColor="text1"/>
          <w:sz w:val="18"/>
          <w:szCs w:val="18"/>
          <w:lang w:val="it-IT" w:eastAsia="it-IT"/>
        </w:rPr>
        <w:t>πο</w:t>
      </w:r>
      <w:r>
        <w:rPr>
          <w:rFonts w:ascii="Palatino Linotype" w:eastAsia="Times New Roman" w:hAnsi="Palatino Linotype" w:cs="Times New Roman"/>
          <w:color w:val="000000" w:themeColor="text1"/>
          <w:sz w:val="18"/>
          <w:szCs w:val="18"/>
          <w:lang w:val="el-GR" w:eastAsia="it-IT"/>
        </w:rPr>
        <w:t>ς</w:t>
      </w:r>
      <w:r w:rsidRPr="00F4239E">
        <w:rPr>
          <w:rFonts w:ascii="Palatino Linotype" w:eastAsia="Times New Roman" w:hAnsi="Palatino Linotype" w:cs="Times New Roman"/>
          <w:color w:val="000000" w:themeColor="text1"/>
          <w:sz w:val="18"/>
          <w:szCs w:val="18"/>
          <w:lang w:val="it-IT" w:eastAsia="it-IT"/>
        </w:rPr>
        <w:t xml:space="preserve"> ἦ</w:t>
      </w:r>
      <w:r>
        <w:rPr>
          <w:rFonts w:ascii="Palatino Linotype" w:eastAsia="Times New Roman" w:hAnsi="Palatino Linotype" w:cs="Times New Roman"/>
          <w:color w:val="000000" w:themeColor="text1"/>
          <w:sz w:val="18"/>
          <w:szCs w:val="18"/>
          <w:lang w:val="el-GR" w:eastAsia="it-IT"/>
        </w:rPr>
        <w:t>ν</w:t>
      </w:r>
      <w:r w:rsidRPr="00F4239E">
        <w:rPr>
          <w:rFonts w:ascii="Palatino Linotype" w:eastAsia="Times New Roman" w:hAnsi="Palatino Linotype" w:cs="Times New Roman"/>
          <w:color w:val="000000" w:themeColor="text1"/>
          <w:sz w:val="18"/>
          <w:szCs w:val="18"/>
          <w:lang w:val="it-IT" w:eastAsia="it-IT"/>
        </w:rPr>
        <w:t>, ὁ δ</w:t>
      </w:r>
      <w:proofErr w:type="spellStart"/>
      <w:r>
        <w:rPr>
          <w:rFonts w:ascii="Palatino Linotype" w:eastAsia="Times New Roman" w:hAnsi="Palatino Linotype" w:cs="Times New Roman"/>
          <w:color w:val="000000" w:themeColor="text1"/>
          <w:sz w:val="18"/>
          <w:szCs w:val="18"/>
          <w:lang w:val="el-GR" w:eastAsia="it-IT"/>
        </w:rPr>
        <w:t>ιὰ</w:t>
      </w:r>
      <w:proofErr w:type="spellEnd"/>
      <w:r w:rsidRPr="00F4239E">
        <w:rPr>
          <w:rFonts w:ascii="Palatino Linotype" w:eastAsia="Times New Roman" w:hAnsi="Palatino Linotype" w:cs="Times New Roman"/>
          <w:color w:val="000000" w:themeColor="text1"/>
          <w:sz w:val="18"/>
          <w:szCs w:val="18"/>
          <w:lang w:val="it-IT" w:eastAsia="it-IT"/>
        </w:rPr>
        <w:t xml:space="preserve"> </w:t>
      </w:r>
      <w:proofErr w:type="spellStart"/>
      <w:r w:rsidRPr="00F4239E">
        <w:rPr>
          <w:rFonts w:ascii="Palatino Linotype" w:eastAsia="Times New Roman" w:hAnsi="Palatino Linotype" w:cs="Times New Roman"/>
          <w:color w:val="000000" w:themeColor="text1"/>
          <w:sz w:val="18"/>
          <w:szCs w:val="18"/>
          <w:lang w:val="it-IT" w:eastAsia="it-IT"/>
        </w:rPr>
        <w:t>τῆ</w:t>
      </w:r>
      <w:proofErr w:type="spellEnd"/>
      <w:r>
        <w:rPr>
          <w:rFonts w:ascii="Palatino Linotype" w:eastAsia="Times New Roman" w:hAnsi="Palatino Linotype" w:cs="Times New Roman"/>
          <w:color w:val="000000" w:themeColor="text1"/>
          <w:sz w:val="18"/>
          <w:szCs w:val="18"/>
          <w:lang w:val="el-GR" w:eastAsia="it-IT"/>
        </w:rPr>
        <w:t>ς</w:t>
      </w:r>
      <w:r w:rsidRPr="00F4239E">
        <w:rPr>
          <w:rFonts w:ascii="Palatino Linotype" w:eastAsia="Times New Roman" w:hAnsi="Palatino Linotype" w:cs="Times New Roman"/>
          <w:color w:val="000000" w:themeColor="text1"/>
          <w:sz w:val="18"/>
          <w:szCs w:val="18"/>
          <w:lang w:val="it-IT" w:eastAsia="it-IT"/>
        </w:rPr>
        <w:t xml:space="preserve"> </w:t>
      </w:r>
      <w:proofErr w:type="spellStart"/>
      <w:r w:rsidRPr="00F4239E">
        <w:rPr>
          <w:rFonts w:ascii="Palatino Linotype" w:eastAsia="Times New Roman" w:hAnsi="Palatino Linotype" w:cs="Times New Roman"/>
          <w:color w:val="000000" w:themeColor="text1"/>
          <w:sz w:val="18"/>
          <w:szCs w:val="18"/>
          <w:lang w:val="it-IT" w:eastAsia="it-IT"/>
        </w:rPr>
        <w:t>ἀν</w:t>
      </w:r>
      <w:proofErr w:type="spellEnd"/>
      <w:r w:rsidRPr="00F4239E">
        <w:rPr>
          <w:rFonts w:ascii="Palatino Linotype" w:eastAsia="Times New Roman" w:hAnsi="Palatino Linotype" w:cs="Times New Roman"/>
          <w:color w:val="000000" w:themeColor="text1"/>
          <w:sz w:val="18"/>
          <w:szCs w:val="18"/>
          <w:lang w:val="it-IT" w:eastAsia="it-IT"/>
        </w:rPr>
        <w:t>α</w:t>
      </w:r>
      <w:proofErr w:type="spellStart"/>
      <w:r w:rsidRPr="00F4239E">
        <w:rPr>
          <w:rFonts w:ascii="Palatino Linotype" w:eastAsia="Times New Roman" w:hAnsi="Palatino Linotype" w:cs="Times New Roman"/>
          <w:color w:val="000000" w:themeColor="text1"/>
          <w:sz w:val="18"/>
          <w:szCs w:val="18"/>
          <w:lang w:val="it-IT" w:eastAsia="it-IT"/>
        </w:rPr>
        <w:t>στάσεω</w:t>
      </w:r>
      <w:proofErr w:type="spellEnd"/>
      <w:r>
        <w:rPr>
          <w:rFonts w:ascii="Palatino Linotype" w:eastAsia="Times New Roman" w:hAnsi="Palatino Linotype" w:cs="Times New Roman"/>
          <w:color w:val="000000" w:themeColor="text1"/>
          <w:sz w:val="18"/>
          <w:szCs w:val="18"/>
          <w:lang w:val="el-GR" w:eastAsia="it-IT"/>
        </w:rPr>
        <w:t>ς</w:t>
      </w:r>
      <w:r w:rsidRPr="00F4239E">
        <w:rPr>
          <w:rFonts w:ascii="Palatino Linotype" w:eastAsia="Times New Roman" w:hAnsi="Palatino Linotype" w:cs="Times New Roman"/>
          <w:color w:val="000000" w:themeColor="text1"/>
          <w:sz w:val="18"/>
          <w:szCs w:val="18"/>
          <w:lang w:val="it-IT" w:eastAsia="it-IT"/>
        </w:rPr>
        <w:t xml:space="preserve"> </w:t>
      </w:r>
      <w:proofErr w:type="spellStart"/>
      <w:r w:rsidRPr="00F4239E">
        <w:rPr>
          <w:rFonts w:ascii="Palatino Linotype" w:eastAsia="Times New Roman" w:hAnsi="Palatino Linotype" w:cs="Times New Roman"/>
          <w:color w:val="000000" w:themeColor="text1"/>
          <w:sz w:val="18"/>
          <w:szCs w:val="18"/>
          <w:lang w:val="it-IT" w:eastAsia="it-IT"/>
        </w:rPr>
        <w:t>συνε</w:t>
      </w:r>
      <w:proofErr w:type="spellEnd"/>
      <w:r w:rsidRPr="00F4239E">
        <w:rPr>
          <w:rFonts w:ascii="Palatino Linotype" w:eastAsia="Times New Roman" w:hAnsi="Palatino Linotype" w:cs="Times New Roman"/>
          <w:color w:val="000000" w:themeColor="text1"/>
          <w:sz w:val="18"/>
          <w:szCs w:val="18"/>
          <w:lang w:val="it-IT" w:eastAsia="it-IT"/>
        </w:rPr>
        <w:t>πα</w:t>
      </w:r>
      <w:proofErr w:type="spellStart"/>
      <w:r w:rsidRPr="00F4239E">
        <w:rPr>
          <w:rFonts w:ascii="Palatino Linotype" w:eastAsia="Times New Roman" w:hAnsi="Palatino Linotype" w:cs="Times New Roman"/>
          <w:color w:val="000000" w:themeColor="text1"/>
          <w:sz w:val="18"/>
          <w:szCs w:val="18"/>
          <w:lang w:val="it-IT" w:eastAsia="it-IT"/>
        </w:rPr>
        <w:t>ρθεὶ</w:t>
      </w:r>
      <w:proofErr w:type="spellEnd"/>
      <w:r>
        <w:rPr>
          <w:rFonts w:ascii="Palatino Linotype" w:eastAsia="Times New Roman" w:hAnsi="Palatino Linotype" w:cs="Times New Roman"/>
          <w:color w:val="000000" w:themeColor="text1"/>
          <w:sz w:val="18"/>
          <w:szCs w:val="18"/>
          <w:lang w:val="el-GR" w:eastAsia="it-IT"/>
        </w:rPr>
        <w:t>ς</w:t>
      </w:r>
      <w:r w:rsidRPr="00F4239E">
        <w:rPr>
          <w:rFonts w:ascii="Palatino Linotype" w:eastAsia="Times New Roman" w:hAnsi="Palatino Linotype" w:cs="Times New Roman"/>
          <w:color w:val="000000" w:themeColor="text1"/>
          <w:sz w:val="18"/>
          <w:szCs w:val="18"/>
          <w:lang w:val="it-IT" w:eastAsia="it-IT"/>
        </w:rPr>
        <w:t xml:space="preserve"> </w:t>
      </w:r>
      <w:proofErr w:type="spellStart"/>
      <w:r w:rsidRPr="00F4239E">
        <w:rPr>
          <w:rFonts w:ascii="Palatino Linotype" w:eastAsia="Times New Roman" w:hAnsi="Palatino Linotype" w:cs="Times New Roman"/>
          <w:color w:val="000000" w:themeColor="text1"/>
          <w:sz w:val="18"/>
          <w:szCs w:val="18"/>
          <w:lang w:val="it-IT" w:eastAsia="it-IT"/>
        </w:rPr>
        <w:t>τῇ</w:t>
      </w:r>
      <w:proofErr w:type="spellEnd"/>
      <w:r w:rsidRPr="00F4239E">
        <w:rPr>
          <w:rFonts w:ascii="Palatino Linotype" w:eastAsia="Times New Roman" w:hAnsi="Palatino Linotype" w:cs="Times New Roman"/>
          <w:color w:val="000000" w:themeColor="text1"/>
          <w:sz w:val="18"/>
          <w:szCs w:val="18"/>
          <w:shd w:val="clear" w:color="auto" w:fill="F8F9F3"/>
          <w:lang w:val="it-IT" w:eastAsia="it-IT"/>
        </w:rPr>
        <w:t> </w:t>
      </w:r>
      <w:proofErr w:type="spellStart"/>
      <w:r w:rsidRPr="00F4239E">
        <w:rPr>
          <w:rFonts w:ascii="Palatino Linotype" w:eastAsia="Times New Roman" w:hAnsi="Palatino Linotype" w:cs="Times New Roman"/>
          <w:color w:val="000000" w:themeColor="text1"/>
          <w:sz w:val="18"/>
          <w:szCs w:val="18"/>
          <w:lang w:val="it-IT" w:eastAsia="it-IT"/>
        </w:rPr>
        <w:t>θεότητι</w:t>
      </w:r>
      <w:proofErr w:type="spellEnd"/>
      <w:r w:rsidRPr="002D2812">
        <w:rPr>
          <w:rFonts w:ascii="Palatino Linotype" w:eastAsia="Times New Roman" w:hAnsi="Palatino Linotype" w:cs="Times New Roman"/>
          <w:color w:val="000000" w:themeColor="text1"/>
          <w:sz w:val="18"/>
          <w:szCs w:val="18"/>
          <w:lang w:val="it-IT" w:eastAsia="it-IT"/>
        </w:rPr>
        <w:t xml:space="preserve"> </w:t>
      </w:r>
      <w:r w:rsidR="002D2812">
        <w:rPr>
          <w:rFonts w:ascii="Palatino Linotype" w:eastAsia="Times New Roman" w:hAnsi="Palatino Linotype" w:cs="Times New Roman"/>
          <w:color w:val="000000" w:themeColor="text1"/>
          <w:sz w:val="18"/>
          <w:szCs w:val="18"/>
          <w:lang w:val="it-IT" w:eastAsia="it-IT"/>
        </w:rPr>
        <w:t>(</w:t>
      </w:r>
      <w:proofErr w:type="spellStart"/>
      <w:r w:rsidR="002D2812">
        <w:rPr>
          <w:rFonts w:ascii="Palatino Linotype" w:eastAsia="Times New Roman" w:hAnsi="Palatino Linotype" w:cs="Times New Roman"/>
          <w:color w:val="000000" w:themeColor="text1"/>
          <w:sz w:val="18"/>
          <w:szCs w:val="18"/>
          <w:lang w:val="it-IT" w:eastAsia="it-IT"/>
        </w:rPr>
        <w:t>Ettlinger</w:t>
      </w:r>
      <w:proofErr w:type="spellEnd"/>
      <w:r w:rsidR="002D2812">
        <w:rPr>
          <w:rFonts w:ascii="Palatino Linotype" w:eastAsia="Times New Roman" w:hAnsi="Palatino Linotype" w:cs="Times New Roman"/>
          <w:color w:val="000000" w:themeColor="text1"/>
          <w:sz w:val="18"/>
          <w:szCs w:val="18"/>
          <w:lang w:val="it-IT" w:eastAsia="it-IT"/>
        </w:rPr>
        <w:t xml:space="preserve"> 1975, 241</w:t>
      </w:r>
      <w:r w:rsidR="00451DCD">
        <w:rPr>
          <w:rFonts w:ascii="Palatino Linotype" w:eastAsia="Times New Roman" w:hAnsi="Palatino Linotype" w:cs="Times New Roman"/>
          <w:color w:val="000000" w:themeColor="text1"/>
          <w:sz w:val="18"/>
          <w:szCs w:val="18"/>
          <w:lang w:val="it-IT" w:eastAsia="it-IT"/>
        </w:rPr>
        <w:t>, l. 7</w:t>
      </w:r>
      <w:r w:rsidR="002D2812">
        <w:rPr>
          <w:rFonts w:ascii="Palatino Linotype" w:eastAsia="Times New Roman" w:hAnsi="Palatino Linotype" w:cs="Times New Roman"/>
          <w:color w:val="000000" w:themeColor="text1"/>
          <w:sz w:val="18"/>
          <w:szCs w:val="18"/>
          <w:lang w:val="it-IT" w:eastAsia="it-IT"/>
        </w:rPr>
        <w:t>).</w:t>
      </w:r>
      <w:r w:rsidR="0040696C">
        <w:rPr>
          <w:rFonts w:ascii="Palatino Linotype" w:eastAsia="Times New Roman" w:hAnsi="Palatino Linotype" w:cs="Times New Roman"/>
          <w:color w:val="000000" w:themeColor="text1"/>
          <w:sz w:val="18"/>
          <w:szCs w:val="18"/>
          <w:lang w:val="it-IT" w:eastAsia="it-IT"/>
        </w:rPr>
        <w:t xml:space="preserve"> </w:t>
      </w:r>
      <w:r w:rsidR="0040696C" w:rsidRPr="0040696C">
        <w:rPr>
          <w:rFonts w:ascii="Palatino Linotype" w:eastAsia="Times New Roman" w:hAnsi="Palatino Linotype" w:cs="Times New Roman"/>
          <w:color w:val="0070C0"/>
          <w:sz w:val="18"/>
          <w:szCs w:val="18"/>
          <w:lang w:val="it-IT" w:eastAsia="it-IT"/>
        </w:rPr>
        <w:t>L</w:t>
      </w:r>
      <w:r w:rsidR="00CF5F20">
        <w:rPr>
          <w:rFonts w:ascii="Palatino Linotype" w:eastAsia="Times New Roman" w:hAnsi="Palatino Linotype" w:cs="Times New Roman"/>
          <w:color w:val="0070C0"/>
          <w:sz w:val="18"/>
          <w:szCs w:val="18"/>
          <w:lang w:val="it-IT" w:eastAsia="it-IT"/>
        </w:rPr>
        <w:t xml:space="preserve">’aggettivo </w:t>
      </w:r>
      <w:r w:rsidR="0040696C" w:rsidRPr="0040696C">
        <w:rPr>
          <w:rFonts w:ascii="Palatino Linotype" w:eastAsia="Times New Roman" w:hAnsi="Palatino Linotype" w:cs="Times New Roman"/>
          <w:color w:val="0070C0"/>
          <w:sz w:val="18"/>
          <w:szCs w:val="18"/>
          <w:lang w:val="it-IT" w:eastAsia="it-IT"/>
        </w:rPr>
        <w:t>è attestat</w:t>
      </w:r>
      <w:r w:rsidR="00CF5F20">
        <w:rPr>
          <w:rFonts w:ascii="Palatino Linotype" w:eastAsia="Times New Roman" w:hAnsi="Palatino Linotype" w:cs="Times New Roman"/>
          <w:color w:val="0070C0"/>
          <w:sz w:val="18"/>
          <w:szCs w:val="18"/>
          <w:lang w:val="it-IT" w:eastAsia="it-IT"/>
        </w:rPr>
        <w:t>o</w:t>
      </w:r>
      <w:r w:rsidR="0040696C" w:rsidRPr="0040696C">
        <w:rPr>
          <w:rFonts w:ascii="Palatino Linotype" w:eastAsia="Times New Roman" w:hAnsi="Palatino Linotype" w:cs="Times New Roman"/>
          <w:color w:val="0070C0"/>
          <w:sz w:val="18"/>
          <w:szCs w:val="18"/>
          <w:lang w:val="it-IT" w:eastAsia="it-IT"/>
        </w:rPr>
        <w:t xml:space="preserve">, inevitabilmente, anche in </w:t>
      </w:r>
      <w:proofErr w:type="spellStart"/>
      <w:r w:rsidR="0040696C" w:rsidRPr="0040696C">
        <w:rPr>
          <w:rFonts w:ascii="Palatino Linotype" w:eastAsia="Times New Roman" w:hAnsi="Palatino Linotype" w:cs="Times New Roman"/>
          <w:color w:val="0070C0"/>
          <w:sz w:val="18"/>
          <w:szCs w:val="18"/>
          <w:lang w:val="it-IT" w:eastAsia="it-IT"/>
        </w:rPr>
        <w:t>Nestorio</w:t>
      </w:r>
      <w:proofErr w:type="spellEnd"/>
      <w:r w:rsidR="0040696C" w:rsidRPr="0040696C">
        <w:rPr>
          <w:rFonts w:ascii="Palatino Linotype" w:eastAsia="Times New Roman" w:hAnsi="Palatino Linotype" w:cs="Times New Roman"/>
          <w:color w:val="0070C0"/>
          <w:sz w:val="18"/>
          <w:szCs w:val="18"/>
          <w:lang w:val="it-IT" w:eastAsia="it-IT"/>
        </w:rPr>
        <w:t xml:space="preserve">, </w:t>
      </w:r>
      <w:r w:rsidR="000409F6">
        <w:rPr>
          <w:rFonts w:ascii="Palatino Linotype" w:eastAsia="Times New Roman" w:hAnsi="Palatino Linotype" w:cs="Times New Roman"/>
          <w:color w:val="0070C0"/>
          <w:sz w:val="18"/>
          <w:szCs w:val="18"/>
          <w:lang w:val="it-IT" w:eastAsia="it-IT"/>
        </w:rPr>
        <w:t>purtroppo</w:t>
      </w:r>
      <w:r w:rsidR="0040696C" w:rsidRPr="0040696C">
        <w:rPr>
          <w:rFonts w:ascii="Palatino Linotype" w:eastAsia="Times New Roman" w:hAnsi="Palatino Linotype" w:cs="Times New Roman"/>
          <w:color w:val="0070C0"/>
          <w:sz w:val="18"/>
          <w:szCs w:val="18"/>
          <w:lang w:val="it-IT" w:eastAsia="it-IT"/>
        </w:rPr>
        <w:t xml:space="preserve"> solo in un frammento de</w:t>
      </w:r>
      <w:r w:rsidR="0040696C">
        <w:rPr>
          <w:rFonts w:ascii="Palatino Linotype" w:eastAsia="Times New Roman" w:hAnsi="Palatino Linotype" w:cs="Times New Roman"/>
          <w:color w:val="0070C0"/>
          <w:sz w:val="18"/>
          <w:szCs w:val="18"/>
          <w:lang w:val="it-IT" w:eastAsia="it-IT"/>
        </w:rPr>
        <w:t>l</w:t>
      </w:r>
      <w:r w:rsidR="0040696C" w:rsidRPr="0040696C">
        <w:rPr>
          <w:rFonts w:ascii="Palatino Linotype" w:eastAsia="Times New Roman" w:hAnsi="Palatino Linotype" w:cs="Times New Roman"/>
          <w:color w:val="0070C0"/>
          <w:sz w:val="18"/>
          <w:szCs w:val="18"/>
          <w:lang w:val="it-IT" w:eastAsia="it-IT"/>
        </w:rPr>
        <w:t xml:space="preserve"> sermon</w:t>
      </w:r>
      <w:r w:rsidR="0040696C">
        <w:rPr>
          <w:rFonts w:ascii="Palatino Linotype" w:eastAsia="Times New Roman" w:hAnsi="Palatino Linotype" w:cs="Times New Roman"/>
          <w:color w:val="0070C0"/>
          <w:sz w:val="18"/>
          <w:szCs w:val="18"/>
          <w:lang w:val="it-IT" w:eastAsia="it-IT"/>
        </w:rPr>
        <w:t>e 10</w:t>
      </w:r>
      <w:r w:rsidR="0040696C" w:rsidRPr="0040696C">
        <w:rPr>
          <w:rFonts w:ascii="Palatino Linotype" w:eastAsia="Times New Roman" w:hAnsi="Palatino Linotype" w:cs="Times New Roman"/>
          <w:color w:val="0070C0"/>
          <w:sz w:val="18"/>
          <w:szCs w:val="18"/>
          <w:lang w:val="it-IT" w:eastAsia="it-IT"/>
        </w:rPr>
        <w:t xml:space="preserve"> </w:t>
      </w:r>
      <w:r w:rsidR="00CF3770">
        <w:rPr>
          <w:rFonts w:ascii="Palatino Linotype" w:eastAsia="Times New Roman" w:hAnsi="Palatino Linotype" w:cs="Times New Roman"/>
          <w:color w:val="0070C0"/>
          <w:sz w:val="18"/>
          <w:szCs w:val="18"/>
          <w:lang w:val="it-IT" w:eastAsia="it-IT"/>
        </w:rPr>
        <w:t xml:space="preserve">ed. </w:t>
      </w:r>
      <w:proofErr w:type="spellStart"/>
      <w:r w:rsidR="00CF3770">
        <w:rPr>
          <w:rFonts w:ascii="Palatino Linotype" w:eastAsia="Times New Roman" w:hAnsi="Palatino Linotype" w:cs="Times New Roman"/>
          <w:color w:val="0070C0"/>
          <w:sz w:val="18"/>
          <w:szCs w:val="18"/>
          <w:lang w:val="it-IT" w:eastAsia="it-IT"/>
        </w:rPr>
        <w:t>Loofs</w:t>
      </w:r>
      <w:proofErr w:type="spellEnd"/>
      <w:r w:rsidR="00CF3770">
        <w:rPr>
          <w:rFonts w:ascii="Palatino Linotype" w:eastAsia="Times New Roman" w:hAnsi="Palatino Linotype" w:cs="Times New Roman"/>
          <w:color w:val="0070C0"/>
          <w:sz w:val="18"/>
          <w:szCs w:val="18"/>
          <w:lang w:val="it-IT" w:eastAsia="it-IT"/>
        </w:rPr>
        <w:t xml:space="preserve"> </w:t>
      </w:r>
      <w:r w:rsidR="0040696C" w:rsidRPr="0040696C">
        <w:rPr>
          <w:rFonts w:ascii="Palatino Linotype" w:eastAsia="Times New Roman" w:hAnsi="Palatino Linotype" w:cs="Times New Roman"/>
          <w:color w:val="0070C0"/>
          <w:sz w:val="18"/>
          <w:szCs w:val="18"/>
          <w:lang w:val="it-IT" w:eastAsia="it-IT"/>
        </w:rPr>
        <w:t>(</w:t>
      </w:r>
      <w:proofErr w:type="spellStart"/>
      <w:r w:rsidR="0040696C">
        <w:rPr>
          <w:rFonts w:ascii="Palatino Linotype" w:eastAsia="Times New Roman" w:hAnsi="Palatino Linotype" w:cs="Times New Roman"/>
          <w:color w:val="0070C0"/>
          <w:sz w:val="18"/>
          <w:szCs w:val="18"/>
          <w:lang w:val="it-IT" w:eastAsia="it-IT"/>
        </w:rPr>
        <w:t>ll.</w:t>
      </w:r>
      <w:proofErr w:type="spellEnd"/>
      <w:r w:rsidR="0040696C">
        <w:rPr>
          <w:rFonts w:ascii="Palatino Linotype" w:eastAsia="Times New Roman" w:hAnsi="Palatino Linotype" w:cs="Times New Roman"/>
          <w:color w:val="0070C0"/>
          <w:sz w:val="18"/>
          <w:szCs w:val="18"/>
          <w:lang w:val="it-IT" w:eastAsia="it-IT"/>
        </w:rPr>
        <w:t xml:space="preserve"> 114-115-116</w:t>
      </w:r>
      <w:r w:rsidR="0040696C" w:rsidRPr="0040696C">
        <w:rPr>
          <w:rFonts w:ascii="Palatino Linotype" w:eastAsia="Times New Roman" w:hAnsi="Palatino Linotype" w:cs="Times New Roman"/>
          <w:color w:val="0070C0"/>
          <w:sz w:val="18"/>
          <w:szCs w:val="18"/>
          <w:lang w:val="it-IT" w:eastAsia="it-IT"/>
        </w:rPr>
        <w:t>).</w:t>
      </w:r>
    </w:p>
  </w:footnote>
  <w:footnote w:id="20">
    <w:p w:rsidR="00DF0A03" w:rsidRPr="00F4239E" w:rsidRDefault="00DF0A03" w:rsidP="00F4239E">
      <w:pPr>
        <w:pStyle w:val="Nessunaspaziatura"/>
        <w:rPr>
          <w:rFonts w:ascii="Palatino Linotype" w:hAnsi="Palatino Linotype"/>
          <w:sz w:val="18"/>
          <w:szCs w:val="18"/>
          <w:lang w:val="it-IT"/>
        </w:rPr>
      </w:pPr>
      <w:r w:rsidRPr="00F4239E">
        <w:rPr>
          <w:rStyle w:val="Rimandonotaapidipagina"/>
          <w:rFonts w:ascii="Palatino Linotype" w:hAnsi="Palatino Linotype"/>
          <w:sz w:val="18"/>
          <w:szCs w:val="18"/>
        </w:rPr>
        <w:footnoteRef/>
      </w:r>
      <w:r w:rsidRPr="00F4239E">
        <w:rPr>
          <w:rFonts w:ascii="Palatino Linotype" w:hAnsi="Palatino Linotype"/>
          <w:sz w:val="18"/>
          <w:szCs w:val="18"/>
        </w:rPr>
        <w:t xml:space="preserve"> </w:t>
      </w:r>
      <w:proofErr w:type="spellStart"/>
      <w:r w:rsidRPr="00F4239E">
        <w:rPr>
          <w:rFonts w:ascii="Palatino Linotype" w:hAnsi="Palatino Linotype"/>
          <w:sz w:val="18"/>
          <w:szCs w:val="18"/>
          <w:lang w:val="el-GR"/>
        </w:rPr>
        <w:t>Ἔχουσα</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θεοδόχον</w:t>
      </w:r>
      <w:proofErr w:type="spellEnd"/>
      <w:r w:rsidRPr="00F4239E">
        <w:rPr>
          <w:rFonts w:ascii="Palatino Linotype" w:hAnsi="Palatino Linotype"/>
          <w:sz w:val="18"/>
          <w:szCs w:val="18"/>
          <w:lang w:val="it-IT"/>
        </w:rPr>
        <w:t xml:space="preserve"> </w:t>
      </w:r>
      <w:r w:rsidRPr="00F4239E">
        <w:rPr>
          <w:rFonts w:ascii="Palatino Linotype" w:hAnsi="Palatino Linotype"/>
          <w:sz w:val="18"/>
          <w:szCs w:val="18"/>
          <w:lang w:val="el-GR"/>
        </w:rPr>
        <w:t>ἡ</w:t>
      </w:r>
      <w:r w:rsidRPr="00F4239E">
        <w:rPr>
          <w:rFonts w:ascii="Palatino Linotype" w:hAnsi="Palatino Linotype"/>
          <w:sz w:val="18"/>
          <w:szCs w:val="18"/>
          <w:lang w:val="it-IT"/>
        </w:rPr>
        <w:t xml:space="preserve"> </w:t>
      </w:r>
      <w:r w:rsidRPr="00F4239E">
        <w:rPr>
          <w:rFonts w:ascii="Palatino Linotype" w:hAnsi="Palatino Linotype"/>
          <w:sz w:val="18"/>
          <w:szCs w:val="18"/>
          <w:lang w:val="el-GR"/>
        </w:rPr>
        <w:t>παρθένος</w:t>
      </w:r>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τὴν</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el-GR"/>
        </w:rPr>
        <w:t>μήτραν</w:t>
      </w:r>
      <w:proofErr w:type="spellEnd"/>
      <w:r w:rsidRPr="00F4239E">
        <w:rPr>
          <w:rFonts w:ascii="Palatino Linotype" w:hAnsi="Palatino Linotype"/>
          <w:sz w:val="18"/>
          <w:szCs w:val="18"/>
          <w:lang w:val="it-IT"/>
        </w:rPr>
        <w:t xml:space="preserve"> / </w:t>
      </w:r>
      <w:proofErr w:type="spellStart"/>
      <w:r w:rsidRPr="00F4239E">
        <w:rPr>
          <w:rFonts w:ascii="Palatino Linotype" w:hAnsi="Palatino Linotype"/>
          <w:sz w:val="18"/>
          <w:szCs w:val="18"/>
          <w:lang w:val="it-IT"/>
        </w:rPr>
        <w:t>ἀνέδρ</w:t>
      </w:r>
      <w:proofErr w:type="spellEnd"/>
      <w:r w:rsidRPr="00F4239E">
        <w:rPr>
          <w:rFonts w:ascii="Palatino Linotype" w:hAnsi="Palatino Linotype"/>
          <w:sz w:val="18"/>
          <w:szCs w:val="18"/>
          <w:lang w:val="it-IT"/>
        </w:rPr>
        <w:t>α</w:t>
      </w:r>
      <w:proofErr w:type="spellStart"/>
      <w:r w:rsidRPr="00F4239E">
        <w:rPr>
          <w:rFonts w:ascii="Palatino Linotype" w:hAnsi="Palatino Linotype"/>
          <w:sz w:val="18"/>
          <w:szCs w:val="18"/>
          <w:lang w:val="it-IT"/>
        </w:rPr>
        <w:t>με</w:t>
      </w:r>
      <w:proofErr w:type="spellEnd"/>
      <w:r w:rsidRPr="00F4239E">
        <w:rPr>
          <w:rFonts w:ascii="Palatino Linotype" w:hAnsi="Palatino Linotype"/>
          <w:sz w:val="18"/>
          <w:szCs w:val="18"/>
          <w:lang w:val="it-IT"/>
        </w:rPr>
        <w:t xml:space="preserve"> π</w:t>
      </w:r>
      <w:proofErr w:type="spellStart"/>
      <w:r w:rsidRPr="00F4239E">
        <w:rPr>
          <w:rFonts w:ascii="Palatino Linotype" w:hAnsi="Palatino Linotype"/>
          <w:sz w:val="18"/>
          <w:szCs w:val="18"/>
          <w:lang w:val="it-IT"/>
        </w:rPr>
        <w:t>ρὸς</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τὴν</w:t>
      </w:r>
      <w:proofErr w:type="spellEnd"/>
      <w:r w:rsidRPr="00F4239E">
        <w:rPr>
          <w:rFonts w:ascii="Palatino Linotype" w:hAnsi="Palatino Linotype"/>
          <w:sz w:val="18"/>
          <w:szCs w:val="18"/>
          <w:lang w:val="it-IT"/>
        </w:rPr>
        <w:t xml:space="preserve"> </w:t>
      </w:r>
      <w:proofErr w:type="spellStart"/>
      <w:r w:rsidRPr="00F4239E">
        <w:rPr>
          <w:rFonts w:ascii="Palatino Linotype" w:hAnsi="Palatino Linotype"/>
          <w:sz w:val="18"/>
          <w:szCs w:val="18"/>
          <w:lang w:val="it-IT"/>
        </w:rPr>
        <w:t>Ἐλισά</w:t>
      </w:r>
      <w:proofErr w:type="spellEnd"/>
      <w:r w:rsidRPr="00F4239E">
        <w:rPr>
          <w:rFonts w:ascii="Palatino Linotype" w:hAnsi="Palatino Linotype"/>
          <w:sz w:val="18"/>
          <w:szCs w:val="18"/>
          <w:lang w:val="it-IT"/>
        </w:rPr>
        <w:t>β</w:t>
      </w:r>
      <w:proofErr w:type="spellStart"/>
      <w:r w:rsidRPr="00F4239E">
        <w:rPr>
          <w:rFonts w:ascii="Palatino Linotype" w:hAnsi="Palatino Linotype"/>
          <w:sz w:val="18"/>
          <w:szCs w:val="18"/>
          <w:lang w:val="it-IT"/>
        </w:rPr>
        <w:t>ετ</w:t>
      </w:r>
      <w:proofErr w:type="spellEnd"/>
      <w:r w:rsidR="002E1719">
        <w:rPr>
          <w:rFonts w:ascii="Palatino Linotype" w:hAnsi="Palatino Linotype"/>
          <w:sz w:val="18"/>
          <w:szCs w:val="18"/>
          <w:lang w:val="it-IT"/>
        </w:rPr>
        <w:t xml:space="preserve"> (</w:t>
      </w:r>
      <w:proofErr w:type="spellStart"/>
      <w:r w:rsidR="002E1719">
        <w:rPr>
          <w:rFonts w:ascii="Palatino Linotype" w:hAnsi="Palatino Linotype"/>
          <w:sz w:val="18"/>
          <w:szCs w:val="18"/>
          <w:lang w:val="it-IT"/>
        </w:rPr>
        <w:t>section</w:t>
      </w:r>
      <w:proofErr w:type="spellEnd"/>
      <w:r w:rsidR="002E1719">
        <w:rPr>
          <w:rFonts w:ascii="Palatino Linotype" w:hAnsi="Palatino Linotype"/>
          <w:sz w:val="18"/>
          <w:szCs w:val="18"/>
          <w:lang w:val="it-IT"/>
        </w:rPr>
        <w:t xml:space="preserve"> 5, l. 2, ed. </w:t>
      </w:r>
      <w:proofErr w:type="spellStart"/>
      <w:r w:rsidR="002E1719">
        <w:rPr>
          <w:rFonts w:ascii="Palatino Linotype" w:hAnsi="Palatino Linotype"/>
          <w:sz w:val="18"/>
          <w:szCs w:val="18"/>
          <w:lang w:val="it-IT"/>
        </w:rPr>
        <w:t>Trypanis</w:t>
      </w:r>
      <w:proofErr w:type="spellEnd"/>
      <w:r w:rsidR="002E1719">
        <w:rPr>
          <w:rFonts w:ascii="Palatino Linotype" w:hAnsi="Palatino Linotype"/>
          <w:sz w:val="18"/>
          <w:szCs w:val="18"/>
          <w:lang w:val="it-IT"/>
        </w:rPr>
        <w:t>).</w:t>
      </w:r>
    </w:p>
  </w:footnote>
  <w:footnote w:id="21">
    <w:p w:rsidR="00D72A45" w:rsidRPr="00152C54" w:rsidRDefault="00D72A45" w:rsidP="00BC4305">
      <w:pPr>
        <w:pStyle w:val="Nessunaspaziatura"/>
        <w:jc w:val="both"/>
        <w:rPr>
          <w:rFonts w:ascii="Palatino Linotype" w:hAnsi="Palatino Linotype"/>
          <w:color w:val="0070C0"/>
          <w:sz w:val="18"/>
          <w:szCs w:val="18"/>
          <w:lang w:val="it-IT"/>
        </w:rPr>
      </w:pPr>
      <w:r w:rsidRPr="00F4239E">
        <w:rPr>
          <w:rStyle w:val="Rimandonotaapidipagina"/>
          <w:rFonts w:ascii="Palatino Linotype" w:hAnsi="Palatino Linotype"/>
          <w:sz w:val="18"/>
          <w:szCs w:val="18"/>
        </w:rPr>
        <w:footnoteRef/>
      </w:r>
      <w:r w:rsidRPr="00F4239E">
        <w:rPr>
          <w:rFonts w:ascii="Palatino Linotype" w:hAnsi="Palatino Linotype"/>
          <w:sz w:val="18"/>
          <w:szCs w:val="18"/>
        </w:rPr>
        <w:t xml:space="preserve"> </w:t>
      </w:r>
      <w:r w:rsidRPr="00F4239E">
        <w:rPr>
          <w:rFonts w:ascii="Palatino Linotype" w:hAnsi="Palatino Linotype"/>
          <w:color w:val="0070C0"/>
          <w:sz w:val="18"/>
          <w:szCs w:val="18"/>
        </w:rPr>
        <w:t xml:space="preserve">Nelle </w:t>
      </w:r>
      <w:proofErr w:type="spellStart"/>
      <w:r w:rsidRPr="00F4239E">
        <w:rPr>
          <w:rFonts w:ascii="Palatino Linotype" w:hAnsi="Palatino Linotype"/>
          <w:i/>
          <w:iCs/>
          <w:color w:val="0070C0"/>
          <w:sz w:val="18"/>
          <w:szCs w:val="18"/>
        </w:rPr>
        <w:t>Dionisiache</w:t>
      </w:r>
      <w:proofErr w:type="spellEnd"/>
      <w:r w:rsidRPr="00F4239E">
        <w:rPr>
          <w:rFonts w:ascii="Palatino Linotype" w:hAnsi="Palatino Linotype"/>
          <w:i/>
          <w:iCs/>
          <w:color w:val="0070C0"/>
          <w:sz w:val="18"/>
          <w:szCs w:val="18"/>
        </w:rPr>
        <w:t xml:space="preserve"> </w:t>
      </w:r>
      <w:r w:rsidRPr="00F4239E">
        <w:rPr>
          <w:rFonts w:ascii="Palatino Linotype" w:hAnsi="Palatino Linotype"/>
          <w:color w:val="0070C0"/>
          <w:sz w:val="18"/>
          <w:szCs w:val="18"/>
        </w:rPr>
        <w:t xml:space="preserve">(13.96) è </w:t>
      </w:r>
      <w:proofErr w:type="spellStart"/>
      <w:r w:rsidRPr="00F4239E">
        <w:rPr>
          <w:rFonts w:ascii="Palatino Linotype" w:hAnsi="Palatino Linotype"/>
          <w:color w:val="0070C0"/>
          <w:sz w:val="18"/>
          <w:szCs w:val="18"/>
        </w:rPr>
        <w:t>declinato</w:t>
      </w:r>
      <w:proofErr w:type="spellEnd"/>
      <w:r w:rsidRPr="00F4239E">
        <w:rPr>
          <w:rFonts w:ascii="Palatino Linotype" w:hAnsi="Palatino Linotype"/>
          <w:color w:val="0070C0"/>
          <w:sz w:val="18"/>
          <w:szCs w:val="18"/>
        </w:rPr>
        <w:t xml:space="preserve"> in </w:t>
      </w:r>
      <w:proofErr w:type="spellStart"/>
      <w:r w:rsidRPr="00F4239E">
        <w:rPr>
          <w:rFonts w:ascii="Palatino Linotype" w:hAnsi="Palatino Linotype"/>
          <w:color w:val="0070C0"/>
          <w:sz w:val="18"/>
          <w:szCs w:val="18"/>
        </w:rPr>
        <w:t>riferimento</w:t>
      </w:r>
      <w:proofErr w:type="spellEnd"/>
      <w:r w:rsidRPr="00F4239E">
        <w:rPr>
          <w:rFonts w:ascii="Palatino Linotype" w:hAnsi="Palatino Linotype"/>
          <w:color w:val="0070C0"/>
          <w:sz w:val="18"/>
          <w:szCs w:val="18"/>
        </w:rPr>
        <w:t xml:space="preserve"> a </w:t>
      </w:r>
      <w:proofErr w:type="spellStart"/>
      <w:r w:rsidRPr="00F4239E">
        <w:rPr>
          <w:rFonts w:ascii="Palatino Linotype" w:hAnsi="Palatino Linotype"/>
          <w:color w:val="0070C0"/>
          <w:sz w:val="18"/>
          <w:szCs w:val="18"/>
          <w:lang w:val="it-IT" w:eastAsia="it-IT"/>
        </w:rPr>
        <w:t>οὖδ</w:t>
      </w:r>
      <w:proofErr w:type="spellEnd"/>
      <w:r w:rsidRPr="00F4239E">
        <w:rPr>
          <w:rFonts w:ascii="Palatino Linotype" w:hAnsi="Palatino Linotype"/>
          <w:color w:val="0070C0"/>
          <w:sz w:val="18"/>
          <w:szCs w:val="18"/>
          <w:lang w:val="it-IT" w:eastAsia="it-IT"/>
        </w:rPr>
        <w:t>ας (</w:t>
      </w:r>
      <w:proofErr w:type="spellStart"/>
      <w:r w:rsidRPr="00F4239E">
        <w:rPr>
          <w:rFonts w:ascii="Palatino Linotype" w:hAnsi="Palatino Linotype"/>
          <w:color w:val="0070C0"/>
          <w:sz w:val="18"/>
          <w:szCs w:val="18"/>
          <w:lang w:val="it-IT" w:eastAsia="it-IT"/>
        </w:rPr>
        <w:t>οἵ</w:t>
      </w:r>
      <w:proofErr w:type="spellEnd"/>
      <w:r w:rsidRPr="00F4239E">
        <w:rPr>
          <w:rFonts w:ascii="Palatino Linotype" w:hAnsi="Palatino Linotype"/>
          <w:color w:val="0070C0"/>
          <w:sz w:val="18"/>
          <w:szCs w:val="18"/>
          <w:shd w:val="clear" w:color="auto" w:fill="F8F9F3"/>
          <w:lang w:eastAsia="it-IT"/>
        </w:rPr>
        <w:t> </w:t>
      </w:r>
      <w:r w:rsidRPr="00F4239E">
        <w:rPr>
          <w:rFonts w:ascii="Palatino Linotype" w:hAnsi="Palatino Linotype"/>
          <w:color w:val="0070C0"/>
          <w:sz w:val="18"/>
          <w:szCs w:val="18"/>
          <w:lang w:val="it-IT" w:eastAsia="it-IT"/>
        </w:rPr>
        <w:t>θ</w:t>
      </w:r>
      <w:r w:rsidRPr="00F4239E">
        <w:rPr>
          <w:rFonts w:ascii="Palatino Linotype" w:hAnsi="Palatino Linotype"/>
          <w:color w:val="0070C0"/>
          <w:sz w:val="18"/>
          <w:szCs w:val="18"/>
          <w:lang w:eastAsia="it-IT"/>
        </w:rPr>
        <w:t>’</w:t>
      </w:r>
      <w:r w:rsidRPr="00F4239E">
        <w:rPr>
          <w:rFonts w:ascii="Palatino Linotype" w:hAnsi="Palatino Linotype"/>
          <w:color w:val="0070C0"/>
          <w:sz w:val="18"/>
          <w:szCs w:val="18"/>
          <w:shd w:val="clear" w:color="auto" w:fill="F8F9F3"/>
          <w:lang w:eastAsia="it-IT"/>
        </w:rPr>
        <w:t> </w:t>
      </w:r>
      <w:proofErr w:type="spellStart"/>
      <w:r w:rsidRPr="00F4239E">
        <w:rPr>
          <w:rFonts w:ascii="Palatino Linotype" w:hAnsi="Palatino Linotype"/>
          <w:color w:val="0070C0"/>
          <w:sz w:val="18"/>
          <w:szCs w:val="18"/>
          <w:lang w:val="it-IT" w:eastAsia="it-IT"/>
        </w:rPr>
        <w:t>Ὑρίην</w:t>
      </w:r>
      <w:proofErr w:type="spellEnd"/>
      <w:r w:rsidRPr="00F4239E">
        <w:rPr>
          <w:rFonts w:ascii="Palatino Linotype" w:hAnsi="Palatino Linotype"/>
          <w:color w:val="0070C0"/>
          <w:sz w:val="18"/>
          <w:szCs w:val="18"/>
          <w:shd w:val="clear" w:color="auto" w:fill="F8F9F3"/>
          <w:lang w:eastAsia="it-IT"/>
        </w:rPr>
        <w:t> </w:t>
      </w:r>
      <w:proofErr w:type="spellStart"/>
      <w:r w:rsidRPr="00F4239E">
        <w:rPr>
          <w:rFonts w:ascii="Palatino Linotype" w:hAnsi="Palatino Linotype"/>
          <w:color w:val="0070C0"/>
          <w:sz w:val="18"/>
          <w:szCs w:val="18"/>
          <w:lang w:val="it-IT" w:eastAsia="it-IT"/>
        </w:rPr>
        <w:t>ἐνέμοντ</w:t>
      </w:r>
      <w:proofErr w:type="spellEnd"/>
      <w:r w:rsidRPr="00F4239E">
        <w:rPr>
          <w:rFonts w:ascii="Palatino Linotype" w:hAnsi="Palatino Linotype"/>
          <w:color w:val="0070C0"/>
          <w:sz w:val="18"/>
          <w:szCs w:val="18"/>
          <w:lang w:val="el-GR" w:eastAsia="it-IT"/>
        </w:rPr>
        <w:t>ο</w:t>
      </w:r>
      <w:r w:rsidRPr="00F4239E">
        <w:rPr>
          <w:rFonts w:ascii="Palatino Linotype" w:hAnsi="Palatino Linotype"/>
          <w:color w:val="0070C0"/>
          <w:sz w:val="18"/>
          <w:szCs w:val="18"/>
          <w:lang w:eastAsia="it-IT"/>
        </w:rPr>
        <w:t xml:space="preserve">, </w:t>
      </w:r>
      <w:proofErr w:type="spellStart"/>
      <w:r w:rsidRPr="00F4239E">
        <w:rPr>
          <w:rFonts w:ascii="Palatino Linotype" w:hAnsi="Palatino Linotype"/>
          <w:color w:val="0070C0"/>
          <w:sz w:val="18"/>
          <w:szCs w:val="18"/>
          <w:lang w:val="el-GR" w:eastAsia="it-IT"/>
        </w:rPr>
        <w:t>θεηδόχον</w:t>
      </w:r>
      <w:proofErr w:type="spellEnd"/>
      <w:r w:rsidRPr="00F4239E">
        <w:rPr>
          <w:rFonts w:ascii="Palatino Linotype" w:hAnsi="Palatino Linotype"/>
          <w:color w:val="0070C0"/>
          <w:sz w:val="18"/>
          <w:szCs w:val="18"/>
          <w:lang w:eastAsia="it-IT"/>
        </w:rPr>
        <w:t xml:space="preserve"> </w:t>
      </w:r>
      <w:proofErr w:type="spellStart"/>
      <w:r w:rsidRPr="00F4239E">
        <w:rPr>
          <w:rFonts w:ascii="Palatino Linotype" w:hAnsi="Palatino Linotype"/>
          <w:color w:val="0070C0"/>
          <w:sz w:val="18"/>
          <w:szCs w:val="18"/>
          <w:lang w:val="it-IT" w:eastAsia="it-IT"/>
        </w:rPr>
        <w:t>οὖδ</w:t>
      </w:r>
      <w:proofErr w:type="spellEnd"/>
      <w:r w:rsidRPr="00F4239E">
        <w:rPr>
          <w:rFonts w:ascii="Palatino Linotype" w:hAnsi="Palatino Linotype"/>
          <w:color w:val="0070C0"/>
          <w:sz w:val="18"/>
          <w:szCs w:val="18"/>
          <w:lang w:val="it-IT" w:eastAsia="it-IT"/>
        </w:rPr>
        <w:t>ας</w:t>
      </w:r>
      <w:r w:rsidRPr="00F4239E">
        <w:rPr>
          <w:rFonts w:ascii="Palatino Linotype" w:hAnsi="Palatino Linotype"/>
          <w:color w:val="0070C0"/>
          <w:sz w:val="18"/>
          <w:szCs w:val="18"/>
          <w:shd w:val="clear" w:color="auto" w:fill="F8F9F3"/>
          <w:lang w:eastAsia="it-IT"/>
        </w:rPr>
        <w:t> </w:t>
      </w:r>
      <w:proofErr w:type="spellStart"/>
      <w:r w:rsidRPr="00F4239E">
        <w:rPr>
          <w:rFonts w:ascii="Palatino Linotype" w:hAnsi="Palatino Linotype"/>
          <w:color w:val="0070C0"/>
          <w:sz w:val="18"/>
          <w:szCs w:val="18"/>
          <w:lang w:val="it-IT" w:eastAsia="it-IT"/>
        </w:rPr>
        <w:t>ἀρούρη</w:t>
      </w:r>
      <w:proofErr w:type="spellEnd"/>
      <w:r w:rsidRPr="00F4239E">
        <w:rPr>
          <w:rFonts w:ascii="Palatino Linotype" w:hAnsi="Palatino Linotype"/>
          <w:color w:val="0070C0"/>
          <w:sz w:val="18"/>
          <w:szCs w:val="18"/>
          <w:lang w:val="el-GR" w:eastAsia="it-IT"/>
        </w:rPr>
        <w:t>ς</w:t>
      </w:r>
      <w:r w:rsidRPr="00F4239E">
        <w:rPr>
          <w:rFonts w:ascii="Palatino Linotype" w:hAnsi="Palatino Linotype"/>
          <w:color w:val="0070C0"/>
          <w:sz w:val="18"/>
          <w:szCs w:val="18"/>
          <w:lang w:val="it-IT" w:eastAsia="it-IT"/>
        </w:rPr>
        <w:t xml:space="preserve">). </w:t>
      </w:r>
      <w:r w:rsidR="002F3A4B">
        <w:rPr>
          <w:rFonts w:ascii="Palatino Linotype" w:hAnsi="Palatino Linotype"/>
          <w:color w:val="0070C0"/>
          <w:sz w:val="18"/>
          <w:szCs w:val="18"/>
          <w:lang w:val="it-IT" w:eastAsia="it-IT"/>
        </w:rPr>
        <w:t xml:space="preserve">Iria è definita terra </w:t>
      </w:r>
      <w:r w:rsidR="002F3A4B" w:rsidRPr="002F3A4B">
        <w:rPr>
          <w:rFonts w:ascii="Palatino Linotype" w:hAnsi="Palatino Linotype"/>
          <w:i/>
          <w:iCs/>
          <w:color w:val="0070C0"/>
          <w:sz w:val="18"/>
          <w:szCs w:val="18"/>
          <w:lang w:val="it-IT" w:eastAsia="it-IT"/>
        </w:rPr>
        <w:t xml:space="preserve">che accolse gli </w:t>
      </w:r>
      <w:proofErr w:type="spellStart"/>
      <w:r w:rsidR="002F3A4B" w:rsidRPr="002F3A4B">
        <w:rPr>
          <w:rFonts w:ascii="Palatino Linotype" w:hAnsi="Palatino Linotype"/>
          <w:i/>
          <w:iCs/>
          <w:color w:val="0070C0"/>
          <w:sz w:val="18"/>
          <w:szCs w:val="18"/>
          <w:lang w:val="it-IT" w:eastAsia="it-IT"/>
        </w:rPr>
        <w:t>dèi</w:t>
      </w:r>
      <w:proofErr w:type="spellEnd"/>
      <w:r w:rsidR="002F3A4B">
        <w:rPr>
          <w:rFonts w:ascii="Palatino Linotype" w:hAnsi="Palatino Linotype"/>
          <w:color w:val="0070C0"/>
          <w:sz w:val="18"/>
          <w:szCs w:val="18"/>
          <w:lang w:val="it-IT" w:eastAsia="it-IT"/>
        </w:rPr>
        <w:t xml:space="preserve">, e poi assunse il nome dall’ospitale </w:t>
      </w:r>
      <w:proofErr w:type="spellStart"/>
      <w:r w:rsidR="002F3A4B">
        <w:rPr>
          <w:rFonts w:ascii="Palatino Linotype" w:hAnsi="Palatino Linotype"/>
          <w:color w:val="0070C0"/>
          <w:sz w:val="18"/>
          <w:szCs w:val="18"/>
          <w:lang w:val="it-IT" w:eastAsia="it-IT"/>
        </w:rPr>
        <w:t>Irieo</w:t>
      </w:r>
      <w:proofErr w:type="spellEnd"/>
      <w:r w:rsidR="002F3A4B">
        <w:rPr>
          <w:rFonts w:ascii="Palatino Linotype" w:hAnsi="Palatino Linotype"/>
          <w:color w:val="0070C0"/>
          <w:sz w:val="18"/>
          <w:szCs w:val="18"/>
          <w:lang w:val="it-IT" w:eastAsia="it-IT"/>
        </w:rPr>
        <w:t xml:space="preserve">. </w:t>
      </w:r>
      <w:r w:rsidRPr="00F4239E">
        <w:rPr>
          <w:rFonts w:ascii="Palatino Linotype" w:hAnsi="Palatino Linotype"/>
          <w:color w:val="0070C0"/>
          <w:sz w:val="18"/>
          <w:szCs w:val="18"/>
          <w:lang w:val="it-IT" w:eastAsia="it-IT"/>
        </w:rPr>
        <w:t>Sembrerebbe la prima attestazione di un uso</w:t>
      </w:r>
      <w:r w:rsidR="002F3A4B">
        <w:rPr>
          <w:rFonts w:ascii="Palatino Linotype" w:hAnsi="Palatino Linotype"/>
          <w:color w:val="0070C0"/>
          <w:sz w:val="18"/>
          <w:szCs w:val="18"/>
          <w:lang w:val="it-IT" w:eastAsia="it-IT"/>
        </w:rPr>
        <w:t xml:space="preserve"> di</w:t>
      </w:r>
      <w:r w:rsidR="002F3A4B" w:rsidRPr="002F3A4B">
        <w:rPr>
          <w:rFonts w:ascii="Palatino Linotype" w:hAnsi="Palatino Linotype"/>
          <w:color w:val="0070C0"/>
          <w:sz w:val="18"/>
          <w:szCs w:val="18"/>
          <w:lang w:val="it-IT" w:eastAsia="it-IT"/>
        </w:rPr>
        <w:t xml:space="preserve"> </w:t>
      </w:r>
      <w:proofErr w:type="spellStart"/>
      <w:r w:rsidR="002F3A4B">
        <w:rPr>
          <w:rFonts w:ascii="Palatino Linotype" w:hAnsi="Palatino Linotype"/>
          <w:color w:val="0070C0"/>
          <w:sz w:val="18"/>
          <w:szCs w:val="18"/>
          <w:lang w:val="el-GR" w:eastAsia="it-IT"/>
        </w:rPr>
        <w:t>θεοδόχος</w:t>
      </w:r>
      <w:proofErr w:type="spellEnd"/>
      <w:r w:rsidRPr="00F4239E">
        <w:rPr>
          <w:rFonts w:ascii="Palatino Linotype" w:hAnsi="Palatino Linotype"/>
          <w:color w:val="0070C0"/>
          <w:sz w:val="18"/>
          <w:szCs w:val="18"/>
          <w:lang w:val="it-IT" w:eastAsia="it-IT"/>
        </w:rPr>
        <w:t xml:space="preserve"> riferito a uno spazio geografico. Nella </w:t>
      </w:r>
      <w:r w:rsidRPr="00F4239E">
        <w:rPr>
          <w:rFonts w:ascii="Palatino Linotype" w:hAnsi="Palatino Linotype"/>
          <w:i/>
          <w:iCs/>
          <w:color w:val="0070C0"/>
          <w:sz w:val="18"/>
          <w:szCs w:val="18"/>
          <w:lang w:val="it-IT" w:eastAsia="it-IT"/>
        </w:rPr>
        <w:t>Parafrasi del Vangelo</w:t>
      </w:r>
      <w:r w:rsidRPr="00D72A45">
        <w:rPr>
          <w:rFonts w:ascii="Palatino Linotype" w:hAnsi="Palatino Linotype"/>
          <w:i/>
          <w:iCs/>
          <w:color w:val="0070C0"/>
          <w:sz w:val="18"/>
          <w:szCs w:val="18"/>
          <w:lang w:val="it-IT" w:eastAsia="it-IT"/>
        </w:rPr>
        <w:t xml:space="preserve"> di Giovanni</w:t>
      </w:r>
      <w:r w:rsidRPr="00D72A45">
        <w:rPr>
          <w:rFonts w:ascii="Palatino Linotype" w:hAnsi="Palatino Linotype"/>
          <w:color w:val="0070C0"/>
          <w:sz w:val="18"/>
          <w:szCs w:val="18"/>
          <w:lang w:val="it-IT" w:eastAsia="it-IT"/>
        </w:rPr>
        <w:t xml:space="preserve"> (</w:t>
      </w:r>
      <w:r w:rsidRPr="00152C54">
        <w:rPr>
          <w:rFonts w:ascii="Palatino Linotype" w:hAnsi="Palatino Linotype"/>
          <w:color w:val="0070C0"/>
          <w:sz w:val="18"/>
          <w:szCs w:val="18"/>
          <w:lang w:val="it-IT" w:eastAsia="it-IT"/>
        </w:rPr>
        <w:t>11.4, 11.8, 21.47) il motivo si ripete, non senza preziosità letteraria</w:t>
      </w:r>
      <w:r w:rsidR="008D44BB" w:rsidRPr="00152C54">
        <w:rPr>
          <w:rFonts w:ascii="Palatino Linotype" w:hAnsi="Palatino Linotype"/>
          <w:color w:val="0070C0"/>
          <w:sz w:val="18"/>
          <w:szCs w:val="18"/>
          <w:lang w:val="it-IT" w:eastAsia="it-IT"/>
        </w:rPr>
        <w:t xml:space="preserve">: </w:t>
      </w:r>
      <w:proofErr w:type="spellStart"/>
      <w:r w:rsidRPr="00152C54">
        <w:rPr>
          <w:rFonts w:ascii="Palatino Linotype" w:hAnsi="Palatino Linotype"/>
          <w:color w:val="0070C0"/>
          <w:sz w:val="18"/>
          <w:szCs w:val="18"/>
        </w:rPr>
        <w:t>ἀκτῆς</w:t>
      </w:r>
      <w:proofErr w:type="spellEnd"/>
      <w:r w:rsidRPr="00152C54">
        <w:rPr>
          <w:rStyle w:val="apple-converted-space"/>
          <w:rFonts w:ascii="Palatino Linotype" w:hAnsi="Palatino Linotype"/>
          <w:color w:val="0070C0"/>
          <w:sz w:val="18"/>
          <w:szCs w:val="18"/>
          <w:shd w:val="clear" w:color="auto" w:fill="F8F9F3"/>
        </w:rPr>
        <w:t> </w:t>
      </w:r>
      <w:r w:rsidRPr="00152C54">
        <w:rPr>
          <w:rFonts w:ascii="Palatino Linotype" w:hAnsi="Palatino Linotype"/>
          <w:color w:val="0070C0"/>
          <w:sz w:val="18"/>
          <w:szCs w:val="18"/>
        </w:rPr>
        <w:t>δ’</w:t>
      </w:r>
      <w:r w:rsidRPr="00152C54">
        <w:rPr>
          <w:rStyle w:val="apple-converted-space"/>
          <w:rFonts w:ascii="Palatino Linotype" w:hAnsi="Palatino Linotype"/>
          <w:color w:val="0070C0"/>
          <w:sz w:val="18"/>
          <w:szCs w:val="18"/>
          <w:shd w:val="clear" w:color="auto" w:fill="F8F9F3"/>
        </w:rPr>
        <w:t> </w:t>
      </w:r>
      <w:proofErr w:type="spellStart"/>
      <w:r w:rsidRPr="00152C54">
        <w:rPr>
          <w:rFonts w:ascii="Palatino Linotype" w:hAnsi="Palatino Linotype"/>
          <w:color w:val="0070C0"/>
          <w:sz w:val="18"/>
          <w:szCs w:val="18"/>
        </w:rPr>
        <w:t>ἐγγὺς</w:t>
      </w:r>
      <w:proofErr w:type="spellEnd"/>
      <w:r w:rsidRPr="00152C54">
        <w:rPr>
          <w:rStyle w:val="apple-converted-space"/>
          <w:rFonts w:ascii="Palatino Linotype" w:hAnsi="Palatino Linotype"/>
          <w:color w:val="0070C0"/>
          <w:sz w:val="18"/>
          <w:szCs w:val="18"/>
          <w:shd w:val="clear" w:color="auto" w:fill="F8F9F3"/>
        </w:rPr>
        <w:t> </w:t>
      </w:r>
      <w:proofErr w:type="spellStart"/>
      <w:r w:rsidRPr="00152C54">
        <w:rPr>
          <w:rFonts w:ascii="Palatino Linotype" w:hAnsi="Palatino Linotype"/>
          <w:color w:val="0070C0"/>
          <w:sz w:val="18"/>
          <w:szCs w:val="18"/>
        </w:rPr>
        <w:t>ἵκ</w:t>
      </w:r>
      <w:proofErr w:type="spellEnd"/>
      <w:r w:rsidRPr="00152C54">
        <w:rPr>
          <w:rFonts w:ascii="Palatino Linotype" w:hAnsi="Palatino Linotype"/>
          <w:color w:val="0070C0"/>
          <w:sz w:val="18"/>
          <w:szCs w:val="18"/>
        </w:rPr>
        <w:t>αν</w:t>
      </w:r>
      <w:r w:rsidRPr="00152C54">
        <w:rPr>
          <w:rFonts w:ascii="Palatino Linotype" w:hAnsi="Palatino Linotype"/>
          <w:color w:val="0070C0"/>
          <w:sz w:val="18"/>
          <w:szCs w:val="18"/>
          <w:lang w:val="el-GR"/>
        </w:rPr>
        <w:t>ε</w:t>
      </w:r>
      <w:r w:rsidRPr="00152C54">
        <w:rPr>
          <w:rFonts w:ascii="Palatino Linotype" w:hAnsi="Palatino Linotype"/>
          <w:color w:val="0070C0"/>
          <w:sz w:val="18"/>
          <w:szCs w:val="18"/>
          <w:lang w:val="it-IT"/>
        </w:rPr>
        <w:t xml:space="preserve"> </w:t>
      </w:r>
      <w:proofErr w:type="spellStart"/>
      <w:r w:rsidRPr="00152C54">
        <w:rPr>
          <w:rFonts w:ascii="Palatino Linotype" w:hAnsi="Palatino Linotype"/>
          <w:color w:val="0070C0"/>
          <w:sz w:val="18"/>
          <w:szCs w:val="18"/>
          <w:lang w:val="el-GR"/>
        </w:rPr>
        <w:t>θεηδόχον</w:t>
      </w:r>
      <w:proofErr w:type="spellEnd"/>
      <w:r w:rsidRPr="00152C54">
        <w:rPr>
          <w:rStyle w:val="apple-converted-space"/>
          <w:rFonts w:ascii="Palatino Linotype" w:hAnsi="Palatino Linotype"/>
          <w:color w:val="0070C0"/>
          <w:sz w:val="18"/>
          <w:szCs w:val="18"/>
          <w:shd w:val="clear" w:color="auto" w:fill="F8F9F3"/>
        </w:rPr>
        <w:t xml:space="preserve"> </w:t>
      </w:r>
      <w:proofErr w:type="spellStart"/>
      <w:r w:rsidRPr="00152C54">
        <w:rPr>
          <w:rFonts w:ascii="Palatino Linotype" w:hAnsi="Palatino Linotype"/>
          <w:color w:val="0070C0"/>
          <w:sz w:val="18"/>
          <w:szCs w:val="18"/>
        </w:rPr>
        <w:t>ᾐόν</w:t>
      </w:r>
      <w:proofErr w:type="spellEnd"/>
      <w:r w:rsidRPr="00152C54">
        <w:rPr>
          <w:rFonts w:ascii="Palatino Linotype" w:hAnsi="Palatino Linotype"/>
          <w:color w:val="0070C0"/>
          <w:sz w:val="18"/>
          <w:szCs w:val="18"/>
        </w:rPr>
        <w:t>α</w:t>
      </w:r>
      <w:r w:rsidRPr="00152C54">
        <w:rPr>
          <w:rStyle w:val="apple-converted-space"/>
          <w:rFonts w:ascii="Palatino Linotype" w:hAnsi="Palatino Linotype"/>
          <w:color w:val="0070C0"/>
          <w:sz w:val="18"/>
          <w:szCs w:val="18"/>
          <w:shd w:val="clear" w:color="auto" w:fill="F8F9F3"/>
        </w:rPr>
        <w:t> </w:t>
      </w:r>
      <w:r w:rsidRPr="00152C54">
        <w:rPr>
          <w:rFonts w:ascii="Palatino Linotype" w:hAnsi="Palatino Linotype"/>
          <w:color w:val="0070C0"/>
          <w:sz w:val="18"/>
          <w:szCs w:val="18"/>
        </w:rPr>
        <w:t>βα</w:t>
      </w:r>
      <w:proofErr w:type="spellStart"/>
      <w:r w:rsidRPr="00152C54">
        <w:rPr>
          <w:rFonts w:ascii="Palatino Linotype" w:hAnsi="Palatino Linotype"/>
          <w:color w:val="0070C0"/>
          <w:sz w:val="18"/>
          <w:szCs w:val="18"/>
        </w:rPr>
        <w:t>ίνων</w:t>
      </w:r>
      <w:proofErr w:type="spellEnd"/>
      <w:r w:rsidRPr="00152C54">
        <w:rPr>
          <w:rFonts w:ascii="Palatino Linotype" w:hAnsi="Palatino Linotype"/>
          <w:color w:val="0070C0"/>
          <w:sz w:val="18"/>
          <w:szCs w:val="18"/>
          <w:shd w:val="clear" w:color="auto" w:fill="F8F9F3"/>
        </w:rPr>
        <w:t>,</w:t>
      </w:r>
      <w:r w:rsidRPr="00152C54">
        <w:rPr>
          <w:rStyle w:val="apple-converted-space"/>
          <w:rFonts w:ascii="Palatino Linotype" w:hAnsi="Palatino Linotype"/>
          <w:color w:val="0070C0"/>
          <w:sz w:val="18"/>
          <w:szCs w:val="18"/>
          <w:shd w:val="clear" w:color="auto" w:fill="F8F9F3"/>
        </w:rPr>
        <w:t> /</w:t>
      </w:r>
      <w:r w:rsidRPr="00152C54">
        <w:rPr>
          <w:rFonts w:ascii="Palatino Linotype" w:hAnsi="Palatino Linotype"/>
          <w:color w:val="0070C0"/>
          <w:sz w:val="18"/>
          <w:szCs w:val="18"/>
        </w:rPr>
        <w:t xml:space="preserve"> </w:t>
      </w:r>
      <w:proofErr w:type="spellStart"/>
      <w:r w:rsidRPr="00152C54">
        <w:rPr>
          <w:rFonts w:ascii="Palatino Linotype" w:hAnsi="Palatino Linotype"/>
          <w:color w:val="0070C0"/>
          <w:sz w:val="18"/>
          <w:szCs w:val="18"/>
        </w:rPr>
        <w:t>Ἰησοῦς</w:t>
      </w:r>
      <w:proofErr w:type="spellEnd"/>
      <w:r w:rsidRPr="00152C54">
        <w:rPr>
          <w:rStyle w:val="apple-converted-space"/>
          <w:rFonts w:ascii="Palatino Linotype" w:hAnsi="Palatino Linotype"/>
          <w:color w:val="0070C0"/>
          <w:sz w:val="18"/>
          <w:szCs w:val="18"/>
          <w:shd w:val="clear" w:color="auto" w:fill="F8F9F3"/>
        </w:rPr>
        <w:t> </w:t>
      </w:r>
      <w:proofErr w:type="spellStart"/>
      <w:r w:rsidRPr="00152C54">
        <w:rPr>
          <w:rFonts w:ascii="Palatino Linotype" w:hAnsi="Palatino Linotype"/>
          <w:color w:val="0070C0"/>
          <w:sz w:val="18"/>
          <w:szCs w:val="18"/>
        </w:rPr>
        <w:t>ὅθι</w:t>
      </w:r>
      <w:proofErr w:type="spellEnd"/>
      <w:r w:rsidRPr="00152C54">
        <w:rPr>
          <w:rStyle w:val="apple-converted-space"/>
          <w:rFonts w:ascii="Palatino Linotype" w:hAnsi="Palatino Linotype"/>
          <w:color w:val="0070C0"/>
          <w:sz w:val="18"/>
          <w:szCs w:val="18"/>
          <w:shd w:val="clear" w:color="auto" w:fill="F8F9F3"/>
        </w:rPr>
        <w:t> </w:t>
      </w:r>
      <w:proofErr w:type="spellStart"/>
      <w:r w:rsidRPr="00152C54">
        <w:rPr>
          <w:rFonts w:ascii="Palatino Linotype" w:hAnsi="Palatino Linotype"/>
          <w:color w:val="0070C0"/>
          <w:sz w:val="18"/>
          <w:szCs w:val="18"/>
        </w:rPr>
        <w:t>μίμνε</w:t>
      </w:r>
      <w:proofErr w:type="spellEnd"/>
      <w:r w:rsidRPr="00152C54">
        <w:rPr>
          <w:rStyle w:val="apple-converted-space"/>
          <w:rFonts w:ascii="Palatino Linotype" w:hAnsi="Palatino Linotype"/>
          <w:color w:val="0070C0"/>
          <w:sz w:val="18"/>
          <w:szCs w:val="18"/>
          <w:shd w:val="clear" w:color="auto" w:fill="F8F9F3"/>
        </w:rPr>
        <w:t> </w:t>
      </w:r>
      <w:proofErr w:type="spellStart"/>
      <w:r w:rsidRPr="00152C54">
        <w:rPr>
          <w:rFonts w:ascii="Palatino Linotype" w:hAnsi="Palatino Linotype"/>
          <w:color w:val="0070C0"/>
          <w:sz w:val="18"/>
          <w:szCs w:val="18"/>
        </w:rPr>
        <w:t>δεδεγμένο</w:t>
      </w:r>
      <w:proofErr w:type="spellEnd"/>
      <w:r w:rsidRPr="00152C54">
        <w:rPr>
          <w:rFonts w:ascii="Palatino Linotype" w:hAnsi="Palatino Linotype"/>
          <w:color w:val="0070C0"/>
          <w:sz w:val="18"/>
          <w:szCs w:val="18"/>
          <w:lang w:val="el-GR"/>
        </w:rPr>
        <w:t>ς</w:t>
      </w:r>
      <w:r w:rsidRPr="00152C54">
        <w:rPr>
          <w:rFonts w:ascii="Palatino Linotype" w:hAnsi="Palatino Linotype"/>
          <w:color w:val="0070C0"/>
          <w:sz w:val="18"/>
          <w:szCs w:val="18"/>
          <w:lang w:val="it-IT"/>
        </w:rPr>
        <w:t xml:space="preserve"> (21.48).</w:t>
      </w:r>
      <w:r w:rsidR="002B6E08" w:rsidRPr="00152C54">
        <w:rPr>
          <w:rFonts w:ascii="Palatino Linotype" w:hAnsi="Palatino Linotype"/>
          <w:color w:val="0070C0"/>
          <w:sz w:val="18"/>
          <w:szCs w:val="18"/>
          <w:lang w:val="it-IT"/>
        </w:rPr>
        <w:t xml:space="preserve"> </w:t>
      </w:r>
      <w:r w:rsidRPr="00152C54">
        <w:rPr>
          <w:rFonts w:ascii="Palatino Linotype" w:hAnsi="Palatino Linotype"/>
          <w:color w:val="0070C0"/>
          <w:sz w:val="18"/>
          <w:szCs w:val="18"/>
          <w:lang w:val="it-IT" w:eastAsia="it-IT"/>
        </w:rPr>
        <w:t xml:space="preserve">Del resto, l’immagine della terra calpestata da Cristo dovette presto </w:t>
      </w:r>
      <w:r w:rsidR="00D90F24">
        <w:rPr>
          <w:rFonts w:ascii="Palatino Linotype" w:hAnsi="Palatino Linotype"/>
          <w:color w:val="0070C0"/>
          <w:sz w:val="18"/>
          <w:szCs w:val="18"/>
          <w:lang w:val="it-IT" w:eastAsia="it-IT"/>
        </w:rPr>
        <w:t>avere risonanza</w:t>
      </w:r>
      <w:r w:rsidRPr="00152C54">
        <w:rPr>
          <w:rFonts w:ascii="Palatino Linotype" w:hAnsi="Palatino Linotype"/>
          <w:color w:val="0070C0"/>
          <w:sz w:val="18"/>
          <w:szCs w:val="18"/>
          <w:lang w:val="it-IT" w:eastAsia="it-IT"/>
        </w:rPr>
        <w:t xml:space="preserve"> e la tradizione relativa a reliquie come la sua orma lo dimostra.</w:t>
      </w:r>
      <w:r w:rsidR="002B6E08" w:rsidRPr="00152C54">
        <w:rPr>
          <w:rFonts w:ascii="Palatino Linotype" w:hAnsi="Palatino Linotype"/>
          <w:color w:val="0070C0"/>
          <w:sz w:val="18"/>
          <w:szCs w:val="18"/>
          <w:lang w:val="it-IT" w:eastAsia="it-IT"/>
        </w:rPr>
        <w:t xml:space="preserve"> Negli altri tre passaggi della </w:t>
      </w:r>
      <w:r w:rsidR="002B6E08" w:rsidRPr="00152C54">
        <w:rPr>
          <w:rFonts w:ascii="Palatino Linotype" w:hAnsi="Palatino Linotype"/>
          <w:i/>
          <w:iCs/>
          <w:color w:val="0070C0"/>
          <w:sz w:val="18"/>
          <w:szCs w:val="18"/>
          <w:lang w:val="it-IT" w:eastAsia="it-IT"/>
        </w:rPr>
        <w:t>Parafrasi</w:t>
      </w:r>
      <w:r w:rsidR="002B6E08" w:rsidRPr="00152C54">
        <w:rPr>
          <w:rFonts w:ascii="Palatino Linotype" w:hAnsi="Palatino Linotype"/>
          <w:color w:val="0070C0"/>
          <w:sz w:val="18"/>
          <w:szCs w:val="18"/>
          <w:lang w:val="it-IT" w:eastAsia="it-IT"/>
        </w:rPr>
        <w:t xml:space="preserve">, invece, </w:t>
      </w:r>
      <w:r w:rsidR="008D44BB" w:rsidRPr="00152C54">
        <w:rPr>
          <w:rFonts w:ascii="Palatino Linotype" w:hAnsi="Palatino Linotype"/>
          <w:color w:val="0070C0"/>
          <w:sz w:val="18"/>
          <w:szCs w:val="18"/>
          <w:lang w:val="it-IT" w:eastAsia="it-IT"/>
        </w:rPr>
        <w:t xml:space="preserve">come da tradizione tardoantica, </w:t>
      </w:r>
      <w:r w:rsidR="002B6E08" w:rsidRPr="00152C54">
        <w:rPr>
          <w:rFonts w:ascii="Palatino Linotype" w:hAnsi="Palatino Linotype"/>
          <w:color w:val="0070C0"/>
          <w:sz w:val="18"/>
          <w:szCs w:val="18"/>
          <w:lang w:val="it-IT" w:eastAsia="it-IT"/>
        </w:rPr>
        <w:t xml:space="preserve">è la Vergine a essere definita </w:t>
      </w:r>
      <w:proofErr w:type="spellStart"/>
      <w:r w:rsidR="002B6E08" w:rsidRPr="00152C54">
        <w:rPr>
          <w:rFonts w:ascii="Palatino Linotype" w:hAnsi="Palatino Linotype"/>
          <w:color w:val="0070C0"/>
          <w:sz w:val="18"/>
          <w:szCs w:val="18"/>
          <w:lang w:val="el-GR" w:eastAsia="it-IT"/>
        </w:rPr>
        <w:t>καλλιέθειρα</w:t>
      </w:r>
      <w:proofErr w:type="spellEnd"/>
      <w:r w:rsidR="002B6E08" w:rsidRPr="00152C54">
        <w:rPr>
          <w:rFonts w:ascii="Palatino Linotype" w:hAnsi="Palatino Linotype"/>
          <w:color w:val="0070C0"/>
          <w:sz w:val="18"/>
          <w:szCs w:val="18"/>
          <w:lang w:val="it-IT" w:eastAsia="it-IT"/>
        </w:rPr>
        <w:t xml:space="preserve"> </w:t>
      </w:r>
      <w:proofErr w:type="spellStart"/>
      <w:r w:rsidR="002B6E08" w:rsidRPr="00152C54">
        <w:rPr>
          <w:rFonts w:ascii="Palatino Linotype" w:hAnsi="Palatino Linotype"/>
          <w:color w:val="0070C0"/>
          <w:sz w:val="18"/>
          <w:szCs w:val="18"/>
          <w:lang w:val="el-GR" w:eastAsia="it-IT"/>
        </w:rPr>
        <w:t>θεηδόχος</w:t>
      </w:r>
      <w:proofErr w:type="spellEnd"/>
      <w:r w:rsidR="002B6E08" w:rsidRPr="00152C54">
        <w:rPr>
          <w:rFonts w:ascii="Palatino Linotype" w:hAnsi="Palatino Linotype"/>
          <w:color w:val="0070C0"/>
          <w:sz w:val="18"/>
          <w:szCs w:val="18"/>
          <w:lang w:val="it-IT" w:eastAsia="it-IT"/>
        </w:rPr>
        <w:t>.</w:t>
      </w:r>
    </w:p>
  </w:footnote>
  <w:footnote w:id="22">
    <w:p w:rsidR="00152C54" w:rsidRPr="001D3A32" w:rsidRDefault="00152C54" w:rsidP="00BC4305">
      <w:pPr>
        <w:pStyle w:val="Testonotaapidipagina"/>
        <w:jc w:val="both"/>
        <w:rPr>
          <w:rFonts w:ascii="Palatino Linotype" w:hAnsi="Palatino Linotype"/>
          <w:color w:val="0070C0"/>
          <w:sz w:val="18"/>
          <w:szCs w:val="18"/>
        </w:rPr>
      </w:pPr>
      <w:r w:rsidRPr="001D3A32">
        <w:rPr>
          <w:rStyle w:val="Rimandonotaapidipagina"/>
          <w:rFonts w:ascii="Palatino Linotype" w:hAnsi="Palatino Linotype"/>
          <w:color w:val="0070C0"/>
          <w:sz w:val="18"/>
          <w:szCs w:val="18"/>
        </w:rPr>
        <w:footnoteRef/>
      </w:r>
      <w:r w:rsidRPr="001D3A32">
        <w:rPr>
          <w:rFonts w:ascii="Palatino Linotype" w:hAnsi="Palatino Linotype"/>
          <w:color w:val="0070C0"/>
          <w:sz w:val="18"/>
          <w:szCs w:val="18"/>
        </w:rPr>
        <w:t xml:space="preserve"> </w:t>
      </w:r>
      <w:proofErr w:type="spellStart"/>
      <w:r w:rsidRPr="001D3A32">
        <w:rPr>
          <w:rFonts w:ascii="Palatino Linotype" w:hAnsi="Palatino Linotype"/>
          <w:i/>
          <w:color w:val="0070C0"/>
          <w:sz w:val="18"/>
          <w:szCs w:val="18"/>
        </w:rPr>
        <w:t>Ἔκφρ</w:t>
      </w:r>
      <w:proofErr w:type="spellEnd"/>
      <w:r w:rsidRPr="001D3A32">
        <w:rPr>
          <w:rFonts w:ascii="Palatino Linotype" w:hAnsi="Palatino Linotype"/>
          <w:i/>
          <w:color w:val="0070C0"/>
          <w:sz w:val="18"/>
          <w:szCs w:val="18"/>
        </w:rPr>
        <w:t>α</w:t>
      </w:r>
      <w:proofErr w:type="spellStart"/>
      <w:r w:rsidRPr="001D3A32">
        <w:rPr>
          <w:rFonts w:ascii="Palatino Linotype" w:hAnsi="Palatino Linotype"/>
          <w:i/>
          <w:color w:val="0070C0"/>
          <w:sz w:val="18"/>
          <w:szCs w:val="18"/>
        </w:rPr>
        <w:t>σις</w:t>
      </w:r>
      <w:proofErr w:type="spellEnd"/>
      <w:r w:rsidRPr="001D3A32">
        <w:rPr>
          <w:rFonts w:ascii="Palatino Linotype" w:hAnsi="Palatino Linotype"/>
          <w:i/>
          <w:color w:val="0070C0"/>
          <w:sz w:val="18"/>
          <w:szCs w:val="18"/>
        </w:rPr>
        <w:t xml:space="preserve"> </w:t>
      </w:r>
      <w:proofErr w:type="spellStart"/>
      <w:r w:rsidRPr="001D3A32">
        <w:rPr>
          <w:rFonts w:ascii="Palatino Linotype" w:hAnsi="Palatino Linotype"/>
          <w:i/>
          <w:color w:val="0070C0"/>
          <w:sz w:val="18"/>
          <w:szCs w:val="18"/>
        </w:rPr>
        <w:t>τοῦ</w:t>
      </w:r>
      <w:proofErr w:type="spellEnd"/>
      <w:r w:rsidRPr="001D3A32">
        <w:rPr>
          <w:rFonts w:ascii="Palatino Linotype" w:hAnsi="Palatino Linotype"/>
          <w:i/>
          <w:color w:val="0070C0"/>
          <w:sz w:val="18"/>
          <w:szCs w:val="18"/>
        </w:rPr>
        <w:t xml:space="preserve"> </w:t>
      </w:r>
      <w:proofErr w:type="spellStart"/>
      <w:r w:rsidRPr="001D3A32">
        <w:rPr>
          <w:rFonts w:ascii="Palatino Linotype" w:hAnsi="Palatino Linotype"/>
          <w:i/>
          <w:color w:val="0070C0"/>
          <w:sz w:val="18"/>
          <w:szCs w:val="18"/>
        </w:rPr>
        <w:t>κοσμικοῦ</w:t>
      </w:r>
      <w:proofErr w:type="spellEnd"/>
      <w:r w:rsidRPr="001D3A32">
        <w:rPr>
          <w:rFonts w:ascii="Palatino Linotype" w:hAnsi="Palatino Linotype"/>
          <w:i/>
          <w:color w:val="0070C0"/>
          <w:sz w:val="18"/>
          <w:szCs w:val="18"/>
        </w:rPr>
        <w:t xml:space="preserve"> π</w:t>
      </w:r>
      <w:proofErr w:type="spellStart"/>
      <w:r w:rsidRPr="001D3A32">
        <w:rPr>
          <w:rFonts w:ascii="Palatino Linotype" w:hAnsi="Palatino Linotype"/>
          <w:i/>
          <w:color w:val="0070C0"/>
          <w:sz w:val="18"/>
          <w:szCs w:val="18"/>
        </w:rPr>
        <w:t>ίν</w:t>
      </w:r>
      <w:proofErr w:type="spellEnd"/>
      <w:r w:rsidRPr="001D3A32">
        <w:rPr>
          <w:rFonts w:ascii="Palatino Linotype" w:hAnsi="Palatino Linotype"/>
          <w:i/>
          <w:color w:val="0070C0"/>
          <w:sz w:val="18"/>
          <w:szCs w:val="18"/>
        </w:rPr>
        <w:t>α</w:t>
      </w:r>
      <w:proofErr w:type="spellStart"/>
      <w:r w:rsidRPr="001D3A32">
        <w:rPr>
          <w:rFonts w:ascii="Palatino Linotype" w:hAnsi="Palatino Linotype"/>
          <w:i/>
          <w:color w:val="0070C0"/>
          <w:sz w:val="18"/>
          <w:szCs w:val="18"/>
        </w:rPr>
        <w:t>κος</w:t>
      </w:r>
      <w:proofErr w:type="spellEnd"/>
      <w:r w:rsidRPr="001D3A32">
        <w:rPr>
          <w:rFonts w:ascii="Palatino Linotype" w:hAnsi="Palatino Linotype"/>
          <w:color w:val="0070C0"/>
          <w:sz w:val="18"/>
          <w:szCs w:val="18"/>
        </w:rPr>
        <w:t xml:space="preserve"> (1.22</w:t>
      </w:r>
      <w:r w:rsidR="00264D22" w:rsidRPr="00264D22">
        <w:rPr>
          <w:rFonts w:ascii="Palatino Linotype" w:hAnsi="Palatino Linotype"/>
          <w:color w:val="0070C0"/>
          <w:sz w:val="18"/>
          <w:szCs w:val="18"/>
          <w:lang w:val="it-IT"/>
        </w:rPr>
        <w:t xml:space="preserve"> </w:t>
      </w:r>
      <w:r w:rsidR="00264D22">
        <w:rPr>
          <w:rFonts w:ascii="Palatino Linotype" w:hAnsi="Palatino Linotype"/>
          <w:color w:val="0070C0"/>
          <w:sz w:val="18"/>
          <w:szCs w:val="18"/>
          <w:lang w:val="it-IT"/>
        </w:rPr>
        <w:t xml:space="preserve">ed. </w:t>
      </w:r>
      <w:proofErr w:type="spellStart"/>
      <w:r w:rsidR="00264D22">
        <w:rPr>
          <w:rFonts w:ascii="Palatino Linotype" w:hAnsi="Palatino Linotype"/>
          <w:color w:val="0070C0"/>
          <w:sz w:val="18"/>
          <w:szCs w:val="18"/>
          <w:lang w:val="it-IT"/>
        </w:rPr>
        <w:t>Friedländer</w:t>
      </w:r>
      <w:proofErr w:type="spellEnd"/>
      <w:r w:rsidR="00264D22">
        <w:rPr>
          <w:rFonts w:ascii="Palatino Linotype" w:hAnsi="Palatino Linotype"/>
          <w:color w:val="0070C0"/>
          <w:sz w:val="18"/>
          <w:szCs w:val="18"/>
          <w:lang w:val="it-IT"/>
        </w:rPr>
        <w:t>)</w:t>
      </w:r>
      <w:r w:rsidRPr="001D3A32">
        <w:rPr>
          <w:rFonts w:ascii="Palatino Linotype" w:hAnsi="Palatino Linotype"/>
          <w:color w:val="0070C0"/>
          <w:sz w:val="18"/>
          <w:szCs w:val="18"/>
        </w:rPr>
        <w:t>.</w:t>
      </w:r>
    </w:p>
  </w:footnote>
  <w:footnote w:id="23">
    <w:p w:rsidR="00246605" w:rsidRPr="00D55F91" w:rsidRDefault="00246605" w:rsidP="00BC4305">
      <w:pPr>
        <w:pStyle w:val="Nessunaspaziatura"/>
        <w:jc w:val="both"/>
        <w:rPr>
          <w:rFonts w:ascii="Palatino Linotype" w:hAnsi="Palatino Linotype"/>
          <w:color w:val="0070C0"/>
          <w:sz w:val="18"/>
          <w:szCs w:val="18"/>
        </w:rPr>
      </w:pPr>
      <w:r w:rsidRPr="001D3A32">
        <w:rPr>
          <w:rStyle w:val="Rimandonotaapidipagina"/>
          <w:rFonts w:ascii="Palatino Linotype" w:hAnsi="Palatino Linotype"/>
          <w:color w:val="0070C0"/>
          <w:sz w:val="18"/>
          <w:szCs w:val="18"/>
        </w:rPr>
        <w:footnoteRef/>
      </w:r>
      <w:r w:rsidRPr="001D3A32">
        <w:rPr>
          <w:rFonts w:ascii="Palatino Linotype" w:hAnsi="Palatino Linotype"/>
          <w:color w:val="0070C0"/>
          <w:sz w:val="18"/>
          <w:szCs w:val="18"/>
        </w:rPr>
        <w:t xml:space="preserve"> </w:t>
      </w:r>
      <w:proofErr w:type="spellStart"/>
      <w:r w:rsidR="00FE2DF4" w:rsidRPr="001D3A32">
        <w:rPr>
          <w:rFonts w:ascii="Palatino Linotype" w:hAnsi="Palatino Linotype"/>
          <w:color w:val="0070C0"/>
          <w:sz w:val="18"/>
          <w:szCs w:val="18"/>
        </w:rPr>
        <w:t>Usener</w:t>
      </w:r>
      <w:proofErr w:type="spellEnd"/>
      <w:r w:rsidR="00FE2DF4" w:rsidRPr="001D3A32">
        <w:rPr>
          <w:rFonts w:ascii="Palatino Linotype" w:hAnsi="Palatino Linotype"/>
          <w:color w:val="0070C0"/>
          <w:sz w:val="18"/>
          <w:szCs w:val="18"/>
        </w:rPr>
        <w:t xml:space="preserve"> 1886, 505 (l. 21); 506 (l. 14); 507 (l. 21). </w:t>
      </w:r>
      <w:proofErr w:type="spellStart"/>
      <w:r w:rsidRPr="001D3A32">
        <w:rPr>
          <w:rFonts w:ascii="Palatino Linotype" w:hAnsi="Palatino Linotype"/>
          <w:color w:val="0070C0"/>
          <w:sz w:val="18"/>
          <w:szCs w:val="18"/>
        </w:rPr>
        <w:t>Sophronius</w:t>
      </w:r>
      <w:proofErr w:type="spellEnd"/>
      <w:r w:rsidRPr="001D3A32">
        <w:rPr>
          <w:rFonts w:ascii="Palatino Linotype" w:hAnsi="Palatino Linotype"/>
          <w:color w:val="0070C0"/>
          <w:sz w:val="18"/>
          <w:szCs w:val="18"/>
        </w:rPr>
        <w:t xml:space="preserve">, dedicatee of </w:t>
      </w:r>
      <w:r w:rsidRPr="001D3A32">
        <w:rPr>
          <w:rFonts w:ascii="Palatino Linotype" w:hAnsi="Palatino Linotype"/>
          <w:i/>
          <w:color w:val="0070C0"/>
          <w:sz w:val="18"/>
          <w:szCs w:val="18"/>
        </w:rPr>
        <w:t>The Spiritual Meadow</w:t>
      </w:r>
      <w:r w:rsidRPr="001D3A32">
        <w:rPr>
          <w:rFonts w:ascii="Palatino Linotype" w:hAnsi="Palatino Linotype"/>
          <w:color w:val="0070C0"/>
          <w:sz w:val="18"/>
          <w:szCs w:val="18"/>
        </w:rPr>
        <w:t xml:space="preserve"> by </w:t>
      </w:r>
      <w:r w:rsidR="00BC4305">
        <w:rPr>
          <w:rFonts w:ascii="Palatino Linotype" w:hAnsi="Palatino Linotype"/>
          <w:color w:val="0070C0"/>
          <w:sz w:val="18"/>
          <w:szCs w:val="18"/>
        </w:rPr>
        <w:t>John</w:t>
      </w:r>
      <w:r w:rsidRPr="001D3A32">
        <w:rPr>
          <w:rFonts w:ascii="Palatino Linotype" w:hAnsi="Palatino Linotype"/>
          <w:color w:val="0070C0"/>
          <w:sz w:val="18"/>
          <w:szCs w:val="18"/>
        </w:rPr>
        <w:t xml:space="preserve"> Mosc</w:t>
      </w:r>
      <w:r w:rsidR="00BC4305">
        <w:rPr>
          <w:rFonts w:ascii="Palatino Linotype" w:hAnsi="Palatino Linotype"/>
          <w:color w:val="0070C0"/>
          <w:sz w:val="18"/>
          <w:szCs w:val="18"/>
        </w:rPr>
        <w:t>h</w:t>
      </w:r>
      <w:r w:rsidR="004D12C0" w:rsidRPr="001D3A32">
        <w:rPr>
          <w:rFonts w:ascii="Palatino Linotype" w:hAnsi="Palatino Linotype"/>
          <w:color w:val="0070C0"/>
          <w:sz w:val="18"/>
          <w:szCs w:val="18"/>
        </w:rPr>
        <w:t>us</w:t>
      </w:r>
      <w:r w:rsidRPr="001D3A32">
        <w:rPr>
          <w:rFonts w:ascii="Palatino Linotype" w:hAnsi="Palatino Linotype"/>
          <w:color w:val="0070C0"/>
          <w:sz w:val="18"/>
          <w:szCs w:val="18"/>
        </w:rPr>
        <w:t xml:space="preserve">, was </w:t>
      </w:r>
      <w:r w:rsidRPr="00D55F91">
        <w:rPr>
          <w:rFonts w:ascii="Palatino Linotype" w:hAnsi="Palatino Linotype"/>
          <w:color w:val="0070C0"/>
          <w:sz w:val="18"/>
          <w:szCs w:val="18"/>
        </w:rPr>
        <w:t>patriarch of Jerusalem from 634 to 638, probable year of his death and of Khalifa Omar's Arabs' entrance to Jerusalem.</w:t>
      </w:r>
      <w:r w:rsidR="00FE2DF4" w:rsidRPr="00D55F91">
        <w:rPr>
          <w:rFonts w:ascii="Palatino Linotype" w:hAnsi="Palatino Linotype"/>
          <w:color w:val="0070C0"/>
          <w:sz w:val="18"/>
          <w:szCs w:val="18"/>
        </w:rPr>
        <w:t xml:space="preserve"> </w:t>
      </w:r>
      <w:r w:rsidR="00BA002E">
        <w:rPr>
          <w:rFonts w:ascii="Palatino Linotype" w:hAnsi="Palatino Linotype"/>
          <w:color w:val="0070C0"/>
          <w:sz w:val="18"/>
          <w:szCs w:val="18"/>
        </w:rPr>
        <w:t xml:space="preserve">For an overview of </w:t>
      </w:r>
      <w:proofErr w:type="spellStart"/>
      <w:r w:rsidR="00BA002E">
        <w:rPr>
          <w:rFonts w:ascii="Palatino Linotype" w:hAnsi="Palatino Linotype"/>
          <w:color w:val="0070C0"/>
          <w:sz w:val="18"/>
          <w:szCs w:val="18"/>
        </w:rPr>
        <w:t>Sophronius</w:t>
      </w:r>
      <w:proofErr w:type="spellEnd"/>
      <w:r w:rsidR="00BA002E">
        <w:rPr>
          <w:rFonts w:ascii="Palatino Linotype" w:hAnsi="Palatino Linotype"/>
          <w:color w:val="0070C0"/>
          <w:sz w:val="18"/>
          <w:szCs w:val="18"/>
        </w:rPr>
        <w:t>’ life and work,</w:t>
      </w:r>
      <w:r w:rsidR="00B056DC">
        <w:rPr>
          <w:rFonts w:ascii="Palatino Linotype" w:hAnsi="Palatino Linotype"/>
          <w:color w:val="0070C0"/>
          <w:sz w:val="18"/>
          <w:szCs w:val="18"/>
        </w:rPr>
        <w:t xml:space="preserve"> </w:t>
      </w:r>
      <w:r w:rsidR="00BA002E">
        <w:rPr>
          <w:rFonts w:ascii="Palatino Linotype" w:hAnsi="Palatino Linotype"/>
          <w:color w:val="0070C0"/>
          <w:sz w:val="18"/>
          <w:szCs w:val="18"/>
        </w:rPr>
        <w:t xml:space="preserve">see von </w:t>
      </w:r>
      <w:proofErr w:type="spellStart"/>
      <w:r w:rsidR="00B056DC">
        <w:rPr>
          <w:rFonts w:ascii="Palatino Linotype" w:hAnsi="Palatino Linotype"/>
          <w:color w:val="0070C0"/>
          <w:sz w:val="18"/>
          <w:szCs w:val="18"/>
        </w:rPr>
        <w:t>Schönborn</w:t>
      </w:r>
      <w:proofErr w:type="spellEnd"/>
      <w:r w:rsidR="00B056DC">
        <w:rPr>
          <w:rFonts w:ascii="Palatino Linotype" w:hAnsi="Palatino Linotype"/>
          <w:color w:val="0070C0"/>
          <w:sz w:val="18"/>
          <w:szCs w:val="18"/>
        </w:rPr>
        <w:t xml:space="preserve"> 1972.</w:t>
      </w:r>
    </w:p>
  </w:footnote>
  <w:footnote w:id="24">
    <w:p w:rsidR="009A3807" w:rsidRPr="00D55F91" w:rsidRDefault="009A3807" w:rsidP="00BC4305">
      <w:pPr>
        <w:pStyle w:val="Nessunaspaziatura"/>
        <w:jc w:val="both"/>
        <w:rPr>
          <w:rFonts w:ascii="Palatino Linotype" w:hAnsi="Palatino Linotype"/>
          <w:sz w:val="18"/>
          <w:szCs w:val="18"/>
        </w:rPr>
      </w:pPr>
      <w:r w:rsidRPr="00D55F91">
        <w:rPr>
          <w:rStyle w:val="Rimandonotaapidipagina"/>
          <w:rFonts w:ascii="Palatino Linotype" w:hAnsi="Palatino Linotype"/>
          <w:color w:val="0070C0"/>
          <w:sz w:val="18"/>
          <w:szCs w:val="18"/>
        </w:rPr>
        <w:footnoteRef/>
      </w:r>
      <w:r w:rsidRPr="00D55F91">
        <w:rPr>
          <w:rFonts w:ascii="Palatino Linotype" w:hAnsi="Palatino Linotype"/>
          <w:sz w:val="18"/>
          <w:szCs w:val="18"/>
        </w:rPr>
        <w:t xml:space="preserve"> </w:t>
      </w:r>
      <w:proofErr w:type="spellStart"/>
      <w:r w:rsidRPr="00D55F91">
        <w:rPr>
          <w:rFonts w:ascii="Palatino Linotype" w:hAnsi="Palatino Linotype"/>
          <w:sz w:val="18"/>
          <w:szCs w:val="18"/>
          <w:lang w:val="it-IT"/>
        </w:rPr>
        <w:t>εἰς</w:t>
      </w:r>
      <w:proofErr w:type="spellEnd"/>
      <w:r w:rsidRPr="00D55F91">
        <w:rPr>
          <w:rFonts w:ascii="Palatino Linotype" w:hAnsi="Palatino Linotype"/>
          <w:sz w:val="18"/>
          <w:szCs w:val="18"/>
        </w:rPr>
        <w:t xml:space="preserve"> </w:t>
      </w:r>
      <w:proofErr w:type="spellStart"/>
      <w:r w:rsidRPr="00D55F91">
        <w:rPr>
          <w:rFonts w:ascii="Palatino Linotype" w:hAnsi="Palatino Linotype"/>
          <w:sz w:val="18"/>
          <w:szCs w:val="18"/>
          <w:lang w:val="it-IT"/>
        </w:rPr>
        <w:t>τὴν</w:t>
      </w:r>
      <w:proofErr w:type="spellEnd"/>
      <w:r w:rsidRPr="00D55F91">
        <w:rPr>
          <w:rFonts w:ascii="Palatino Linotype" w:hAnsi="Palatino Linotype"/>
          <w:sz w:val="18"/>
          <w:szCs w:val="18"/>
        </w:rPr>
        <w:t xml:space="preserve"> </w:t>
      </w:r>
      <w:proofErr w:type="spellStart"/>
      <w:r w:rsidRPr="00D55F91">
        <w:rPr>
          <w:rFonts w:ascii="Palatino Linotype" w:hAnsi="Palatino Linotype"/>
          <w:sz w:val="18"/>
          <w:szCs w:val="18"/>
          <w:lang w:val="it-IT"/>
        </w:rPr>
        <w:t>θεοδόχον</w:t>
      </w:r>
      <w:proofErr w:type="spellEnd"/>
      <w:r w:rsidR="00D90F24">
        <w:rPr>
          <w:rFonts w:ascii="Palatino Linotype" w:hAnsi="Palatino Linotype"/>
          <w:sz w:val="18"/>
          <w:szCs w:val="18"/>
        </w:rPr>
        <w:t>…</w:t>
      </w:r>
      <w:r w:rsidRPr="00D55F91">
        <w:rPr>
          <w:rFonts w:ascii="Palatino Linotype" w:hAnsi="Palatino Linotype"/>
          <w:sz w:val="18"/>
          <w:szCs w:val="18"/>
        </w:rPr>
        <w:t xml:space="preserve"> </w:t>
      </w:r>
      <w:proofErr w:type="spellStart"/>
      <w:r w:rsidRPr="00D55F91">
        <w:rPr>
          <w:rFonts w:ascii="Palatino Linotype" w:hAnsi="Palatino Linotype"/>
          <w:sz w:val="18"/>
          <w:szCs w:val="18"/>
          <w:lang w:val="it-IT"/>
        </w:rPr>
        <w:t>Βηθλεὲμ</w:t>
      </w:r>
      <w:proofErr w:type="spellEnd"/>
      <w:r w:rsidRPr="00D55F91">
        <w:rPr>
          <w:rFonts w:ascii="Palatino Linotype" w:hAnsi="Palatino Linotype"/>
          <w:sz w:val="18"/>
          <w:szCs w:val="18"/>
        </w:rPr>
        <w:t xml:space="preserve"> </w:t>
      </w:r>
      <w:r w:rsidR="00E443B4" w:rsidRPr="00D55F91">
        <w:rPr>
          <w:rFonts w:ascii="Palatino Linotype" w:hAnsi="Palatino Linotype"/>
          <w:sz w:val="18"/>
          <w:szCs w:val="18"/>
        </w:rPr>
        <w:t>(</w:t>
      </w:r>
      <w:proofErr w:type="spellStart"/>
      <w:r w:rsidR="00E443B4" w:rsidRPr="00D55F91">
        <w:rPr>
          <w:rFonts w:ascii="Palatino Linotype" w:hAnsi="Palatino Linotype"/>
          <w:sz w:val="18"/>
          <w:szCs w:val="18"/>
        </w:rPr>
        <w:t>Usener</w:t>
      </w:r>
      <w:proofErr w:type="spellEnd"/>
      <w:r w:rsidR="00E443B4" w:rsidRPr="00D55F91">
        <w:rPr>
          <w:rFonts w:ascii="Palatino Linotype" w:hAnsi="Palatino Linotype"/>
          <w:sz w:val="18"/>
          <w:szCs w:val="18"/>
        </w:rPr>
        <w:t xml:space="preserve"> 1886, 513</w:t>
      </w:r>
      <w:r w:rsidR="006C1383" w:rsidRPr="00D55F91">
        <w:rPr>
          <w:rFonts w:ascii="Palatino Linotype" w:hAnsi="Palatino Linotype"/>
          <w:sz w:val="18"/>
          <w:szCs w:val="18"/>
        </w:rPr>
        <w:t xml:space="preserve">, </w:t>
      </w:r>
      <w:r w:rsidR="00E443B4" w:rsidRPr="00D55F91">
        <w:rPr>
          <w:rFonts w:ascii="Palatino Linotype" w:hAnsi="Palatino Linotype"/>
          <w:sz w:val="18"/>
          <w:szCs w:val="18"/>
        </w:rPr>
        <w:t>l</w:t>
      </w:r>
      <w:r w:rsidR="00BC4305">
        <w:rPr>
          <w:rFonts w:ascii="Palatino Linotype" w:hAnsi="Palatino Linotype"/>
          <w:sz w:val="18"/>
          <w:szCs w:val="18"/>
        </w:rPr>
        <w:t>.</w:t>
      </w:r>
      <w:r w:rsidR="00E443B4" w:rsidRPr="00D55F91">
        <w:rPr>
          <w:rFonts w:ascii="Palatino Linotype" w:hAnsi="Palatino Linotype"/>
          <w:sz w:val="18"/>
          <w:szCs w:val="18"/>
        </w:rPr>
        <w:t xml:space="preserve"> 6). </w:t>
      </w:r>
      <w:proofErr w:type="spellStart"/>
      <w:r w:rsidR="00BA07B5" w:rsidRPr="00BC4305">
        <w:rPr>
          <w:rFonts w:ascii="Palatino Linotype" w:hAnsi="Palatino Linotype"/>
          <w:color w:val="0070C0"/>
          <w:sz w:val="18"/>
          <w:szCs w:val="18"/>
        </w:rPr>
        <w:t>Poco</w:t>
      </w:r>
      <w:proofErr w:type="spellEnd"/>
      <w:r w:rsidR="00BA07B5" w:rsidRPr="00BC4305">
        <w:rPr>
          <w:rFonts w:ascii="Palatino Linotype" w:hAnsi="Palatino Linotype"/>
          <w:color w:val="0070C0"/>
          <w:sz w:val="18"/>
          <w:szCs w:val="18"/>
        </w:rPr>
        <w:t xml:space="preserve"> </w:t>
      </w:r>
      <w:proofErr w:type="spellStart"/>
      <w:r w:rsidR="00BA07B5" w:rsidRPr="00BC4305">
        <w:rPr>
          <w:rFonts w:ascii="Palatino Linotype" w:hAnsi="Palatino Linotype"/>
          <w:color w:val="0070C0"/>
          <w:sz w:val="18"/>
          <w:szCs w:val="18"/>
        </w:rPr>
        <w:t>oltre</w:t>
      </w:r>
      <w:proofErr w:type="spellEnd"/>
      <w:r w:rsidR="00BA07B5" w:rsidRPr="00BC4305">
        <w:rPr>
          <w:rFonts w:ascii="Palatino Linotype" w:hAnsi="Palatino Linotype"/>
          <w:color w:val="0070C0"/>
          <w:sz w:val="18"/>
          <w:szCs w:val="18"/>
        </w:rPr>
        <w:t xml:space="preserve">, </w:t>
      </w:r>
      <w:proofErr w:type="spellStart"/>
      <w:r w:rsidR="00BA07B5" w:rsidRPr="00BC4305">
        <w:rPr>
          <w:rFonts w:ascii="Palatino Linotype" w:hAnsi="Palatino Linotype"/>
          <w:color w:val="0070C0"/>
          <w:sz w:val="18"/>
          <w:szCs w:val="18"/>
        </w:rPr>
        <w:t>nella</w:t>
      </w:r>
      <w:proofErr w:type="spellEnd"/>
      <w:r w:rsidR="00BA07B5" w:rsidRPr="00BC4305">
        <w:rPr>
          <w:rFonts w:ascii="Palatino Linotype" w:hAnsi="Palatino Linotype"/>
          <w:color w:val="0070C0"/>
          <w:sz w:val="18"/>
          <w:szCs w:val="18"/>
        </w:rPr>
        <w:t xml:space="preserve"> </w:t>
      </w:r>
      <w:proofErr w:type="spellStart"/>
      <w:r w:rsidR="00BA07B5" w:rsidRPr="00BC4305">
        <w:rPr>
          <w:rFonts w:ascii="Palatino Linotype" w:hAnsi="Palatino Linotype"/>
          <w:color w:val="0070C0"/>
          <w:sz w:val="18"/>
          <w:szCs w:val="18"/>
        </w:rPr>
        <w:t>stessa</w:t>
      </w:r>
      <w:proofErr w:type="spellEnd"/>
      <w:r w:rsidR="00BA07B5" w:rsidRPr="00BC4305">
        <w:rPr>
          <w:rFonts w:ascii="Palatino Linotype" w:hAnsi="Palatino Linotype"/>
          <w:color w:val="0070C0"/>
          <w:sz w:val="18"/>
          <w:szCs w:val="18"/>
        </w:rPr>
        <w:t xml:space="preserve"> </w:t>
      </w:r>
      <w:proofErr w:type="spellStart"/>
      <w:r w:rsidR="00BA07B5" w:rsidRPr="00BC4305">
        <w:rPr>
          <w:rFonts w:ascii="Palatino Linotype" w:hAnsi="Palatino Linotype"/>
          <w:color w:val="0070C0"/>
          <w:sz w:val="18"/>
          <w:szCs w:val="18"/>
        </w:rPr>
        <w:t>omelia</w:t>
      </w:r>
      <w:proofErr w:type="spellEnd"/>
      <w:r w:rsidR="00BA07B5" w:rsidRPr="00BC4305">
        <w:rPr>
          <w:rFonts w:ascii="Palatino Linotype" w:hAnsi="Palatino Linotype"/>
          <w:color w:val="0070C0"/>
          <w:sz w:val="18"/>
          <w:szCs w:val="18"/>
        </w:rPr>
        <w:t xml:space="preserve">: </w:t>
      </w:r>
      <w:proofErr w:type="spellStart"/>
      <w:r w:rsidRPr="00D55F91">
        <w:rPr>
          <w:rFonts w:ascii="Palatino Linotype" w:hAnsi="Palatino Linotype"/>
          <w:sz w:val="18"/>
          <w:szCs w:val="18"/>
          <w:lang w:val="el-GR"/>
        </w:rPr>
        <w:t>καὶ</w:t>
      </w:r>
      <w:proofErr w:type="spellEnd"/>
      <w:r w:rsidRPr="00D55F91">
        <w:rPr>
          <w:rFonts w:ascii="Palatino Linotype" w:hAnsi="Palatino Linotype"/>
          <w:sz w:val="18"/>
          <w:szCs w:val="18"/>
        </w:rPr>
        <w:t xml:space="preserve"> </w:t>
      </w:r>
      <w:proofErr w:type="spellStart"/>
      <w:r w:rsidRPr="00D55F91">
        <w:rPr>
          <w:rFonts w:ascii="Palatino Linotype" w:hAnsi="Palatino Linotype"/>
          <w:sz w:val="18"/>
          <w:szCs w:val="18"/>
          <w:lang w:val="el-GR"/>
        </w:rPr>
        <w:t>τὸ</w:t>
      </w:r>
      <w:proofErr w:type="spellEnd"/>
      <w:r w:rsidRPr="00D55F91">
        <w:rPr>
          <w:rFonts w:ascii="Palatino Linotype" w:hAnsi="Palatino Linotype"/>
          <w:sz w:val="18"/>
          <w:szCs w:val="18"/>
        </w:rPr>
        <w:t xml:space="preserve"> </w:t>
      </w:r>
      <w:proofErr w:type="spellStart"/>
      <w:r w:rsidRPr="00D55F91">
        <w:rPr>
          <w:rFonts w:ascii="Palatino Linotype" w:hAnsi="Palatino Linotype"/>
          <w:sz w:val="18"/>
          <w:szCs w:val="18"/>
          <w:lang w:val="el-GR"/>
        </w:rPr>
        <w:t>θεοδόχον</w:t>
      </w:r>
      <w:proofErr w:type="spellEnd"/>
      <w:r w:rsidRPr="00D55F91">
        <w:rPr>
          <w:rFonts w:ascii="Palatino Linotype" w:hAnsi="Palatino Linotype"/>
          <w:sz w:val="18"/>
          <w:szCs w:val="18"/>
        </w:rPr>
        <w:t xml:space="preserve"> </w:t>
      </w:r>
      <w:proofErr w:type="spellStart"/>
      <w:r w:rsidRPr="00D55F91">
        <w:rPr>
          <w:rFonts w:ascii="Palatino Linotype" w:hAnsi="Palatino Linotype"/>
          <w:sz w:val="18"/>
          <w:szCs w:val="18"/>
          <w:lang w:val="el-GR"/>
        </w:rPr>
        <w:t>ἄντρον</w:t>
      </w:r>
      <w:proofErr w:type="spellEnd"/>
      <w:r w:rsidRPr="00D55F91">
        <w:rPr>
          <w:rFonts w:ascii="Palatino Linotype" w:hAnsi="Palatino Linotype"/>
          <w:sz w:val="18"/>
          <w:szCs w:val="18"/>
        </w:rPr>
        <w:t xml:space="preserve"> </w:t>
      </w:r>
      <w:proofErr w:type="spellStart"/>
      <w:r w:rsidRPr="00D55F91">
        <w:rPr>
          <w:rFonts w:ascii="Palatino Linotype" w:hAnsi="Palatino Linotype"/>
          <w:sz w:val="18"/>
          <w:szCs w:val="18"/>
          <w:lang w:val="el-GR"/>
        </w:rPr>
        <w:t>φιλήσομεν</w:t>
      </w:r>
      <w:proofErr w:type="spellEnd"/>
      <w:r w:rsidR="00D90F24">
        <w:rPr>
          <w:rFonts w:ascii="Palatino Linotype" w:hAnsi="Palatino Linotype"/>
          <w:sz w:val="18"/>
          <w:szCs w:val="18"/>
        </w:rPr>
        <w:t xml:space="preserve"> </w:t>
      </w:r>
      <w:r w:rsidR="00BA07B5" w:rsidRPr="00D55F91">
        <w:rPr>
          <w:rFonts w:ascii="Palatino Linotype" w:hAnsi="Palatino Linotype"/>
          <w:sz w:val="18"/>
          <w:szCs w:val="18"/>
        </w:rPr>
        <w:t>(</w:t>
      </w:r>
      <w:proofErr w:type="spellStart"/>
      <w:r w:rsidR="00BA07B5" w:rsidRPr="00D55F91">
        <w:rPr>
          <w:rFonts w:ascii="Palatino Linotype" w:hAnsi="Palatino Linotype"/>
          <w:sz w:val="18"/>
          <w:szCs w:val="18"/>
        </w:rPr>
        <w:t>Usener</w:t>
      </w:r>
      <w:proofErr w:type="spellEnd"/>
      <w:r w:rsidR="00BA07B5" w:rsidRPr="00D55F91">
        <w:rPr>
          <w:rFonts w:ascii="Palatino Linotype" w:hAnsi="Palatino Linotype"/>
          <w:sz w:val="18"/>
          <w:szCs w:val="18"/>
        </w:rPr>
        <w:t xml:space="preserve"> 1886, 515, l</w:t>
      </w:r>
      <w:r w:rsidR="00BC4305">
        <w:rPr>
          <w:rFonts w:ascii="Palatino Linotype" w:hAnsi="Palatino Linotype"/>
          <w:sz w:val="18"/>
          <w:szCs w:val="18"/>
        </w:rPr>
        <w:t>.</w:t>
      </w:r>
      <w:r w:rsidR="00BA07B5" w:rsidRPr="00D55F91">
        <w:rPr>
          <w:rFonts w:ascii="Palatino Linotype" w:hAnsi="Palatino Linotype"/>
          <w:sz w:val="18"/>
          <w:szCs w:val="18"/>
        </w:rPr>
        <w:t xml:space="preserve"> 12).</w:t>
      </w:r>
    </w:p>
  </w:footnote>
  <w:footnote w:id="25">
    <w:p w:rsidR="00D85695" w:rsidRPr="00203059" w:rsidRDefault="00D85695" w:rsidP="00203059">
      <w:pPr>
        <w:pStyle w:val="Nessunaspaziatura"/>
        <w:jc w:val="both"/>
        <w:rPr>
          <w:rFonts w:ascii="Palatino Linotype" w:hAnsi="Palatino Linotype"/>
          <w:sz w:val="18"/>
          <w:szCs w:val="18"/>
        </w:rPr>
      </w:pPr>
      <w:r w:rsidRPr="00203059">
        <w:rPr>
          <w:rStyle w:val="Rimandonotaapidipagina"/>
          <w:rFonts w:ascii="Palatino Linotype" w:hAnsi="Palatino Linotype"/>
          <w:color w:val="0070C0"/>
          <w:sz w:val="18"/>
          <w:szCs w:val="18"/>
        </w:rPr>
        <w:footnoteRef/>
      </w:r>
      <w:r w:rsidRPr="00203059">
        <w:rPr>
          <w:rFonts w:ascii="Palatino Linotype" w:hAnsi="Palatino Linotype"/>
          <w:sz w:val="18"/>
          <w:szCs w:val="18"/>
        </w:rPr>
        <w:t xml:space="preserve"> </w:t>
      </w:r>
      <w:r w:rsidR="000B62E3" w:rsidRPr="00203059">
        <w:rPr>
          <w:rFonts w:ascii="Palatino Linotype" w:hAnsi="Palatino Linotype"/>
          <w:sz w:val="18"/>
          <w:szCs w:val="18"/>
        </w:rPr>
        <w:t>Πα</w:t>
      </w:r>
      <w:proofErr w:type="spellStart"/>
      <w:r w:rsidR="000B62E3" w:rsidRPr="00203059">
        <w:rPr>
          <w:rFonts w:ascii="Palatino Linotype" w:hAnsi="Palatino Linotype"/>
          <w:sz w:val="18"/>
          <w:szCs w:val="18"/>
        </w:rPr>
        <w:t>ρεκελεύσ</w:t>
      </w:r>
      <w:proofErr w:type="spellEnd"/>
      <w:r w:rsidR="000B62E3" w:rsidRPr="00203059">
        <w:rPr>
          <w:rFonts w:ascii="Palatino Linotype" w:hAnsi="Palatino Linotype"/>
          <w:sz w:val="18"/>
          <w:szCs w:val="18"/>
        </w:rPr>
        <w:t>α</w:t>
      </w:r>
      <w:proofErr w:type="spellStart"/>
      <w:r w:rsidR="000B62E3" w:rsidRPr="00203059">
        <w:rPr>
          <w:rFonts w:ascii="Palatino Linotype" w:hAnsi="Palatino Linotype"/>
          <w:sz w:val="18"/>
          <w:szCs w:val="18"/>
        </w:rPr>
        <w:t>το</w:t>
      </w:r>
      <w:proofErr w:type="spellEnd"/>
      <w:r w:rsidR="000B62E3" w:rsidRPr="00203059">
        <w:rPr>
          <w:rFonts w:ascii="Palatino Linotype" w:hAnsi="Palatino Linotype"/>
          <w:sz w:val="18"/>
          <w:szCs w:val="18"/>
        </w:rPr>
        <w:t xml:space="preserve"> </w:t>
      </w:r>
      <w:proofErr w:type="spellStart"/>
      <w:r w:rsidR="000B62E3" w:rsidRPr="00203059">
        <w:rPr>
          <w:rFonts w:ascii="Palatino Linotype" w:hAnsi="Palatino Linotype"/>
          <w:sz w:val="18"/>
          <w:szCs w:val="18"/>
        </w:rPr>
        <w:t>δὲ</w:t>
      </w:r>
      <w:proofErr w:type="spellEnd"/>
      <w:r w:rsidR="000B62E3" w:rsidRPr="00203059">
        <w:rPr>
          <w:rFonts w:ascii="Palatino Linotype" w:hAnsi="Palatino Linotype"/>
          <w:sz w:val="18"/>
          <w:szCs w:val="18"/>
        </w:rPr>
        <w:t xml:space="preserve"> </w:t>
      </w:r>
      <w:proofErr w:type="spellStart"/>
      <w:r w:rsidR="000B62E3" w:rsidRPr="00203059">
        <w:rPr>
          <w:rFonts w:ascii="Palatino Linotype" w:hAnsi="Palatino Linotype"/>
          <w:sz w:val="18"/>
          <w:szCs w:val="18"/>
        </w:rPr>
        <w:t>τῷ</w:t>
      </w:r>
      <w:proofErr w:type="spellEnd"/>
      <w:r w:rsidR="000B62E3" w:rsidRPr="00203059">
        <w:rPr>
          <w:rFonts w:ascii="Palatino Linotype" w:hAnsi="Palatino Linotype"/>
          <w:sz w:val="18"/>
          <w:szCs w:val="18"/>
        </w:rPr>
        <w:t xml:space="preserve"> </w:t>
      </w:r>
      <w:proofErr w:type="spellStart"/>
      <w:r w:rsidR="000B62E3" w:rsidRPr="00203059">
        <w:rPr>
          <w:rFonts w:ascii="Palatino Linotype" w:hAnsi="Palatino Linotype"/>
          <w:sz w:val="18"/>
          <w:szCs w:val="18"/>
        </w:rPr>
        <w:t>τῆς</w:t>
      </w:r>
      <w:proofErr w:type="spellEnd"/>
      <w:r w:rsidR="000B62E3" w:rsidRPr="00203059">
        <w:rPr>
          <w:rFonts w:ascii="Palatino Linotype" w:hAnsi="Palatino Linotype"/>
          <w:sz w:val="18"/>
          <w:szCs w:val="18"/>
        </w:rPr>
        <w:t xml:space="preserve"> </w:t>
      </w:r>
      <w:proofErr w:type="spellStart"/>
      <w:r w:rsidR="000B62E3" w:rsidRPr="00203059">
        <w:rPr>
          <w:rFonts w:ascii="Palatino Linotype" w:hAnsi="Palatino Linotype"/>
          <w:sz w:val="18"/>
          <w:szCs w:val="18"/>
        </w:rPr>
        <w:t>Αἰλί</w:t>
      </w:r>
      <w:proofErr w:type="spellEnd"/>
      <w:r w:rsidR="000B62E3" w:rsidRPr="00203059">
        <w:rPr>
          <w:rFonts w:ascii="Palatino Linotype" w:hAnsi="Palatino Linotype"/>
          <w:sz w:val="18"/>
          <w:szCs w:val="18"/>
        </w:rPr>
        <w:t>ας ἐπ</w:t>
      </w:r>
      <w:proofErr w:type="spellStart"/>
      <w:r w:rsidR="000B62E3" w:rsidRPr="00203059">
        <w:rPr>
          <w:rFonts w:ascii="Palatino Linotype" w:hAnsi="Palatino Linotype"/>
          <w:sz w:val="18"/>
          <w:szCs w:val="18"/>
        </w:rPr>
        <w:t>ισκό</w:t>
      </w:r>
      <w:proofErr w:type="spellEnd"/>
      <w:r w:rsidR="000B62E3" w:rsidRPr="00203059">
        <w:rPr>
          <w:rFonts w:ascii="Palatino Linotype" w:hAnsi="Palatino Linotype"/>
          <w:sz w:val="18"/>
          <w:szCs w:val="18"/>
        </w:rPr>
        <w:t>πῳ Μακα</w:t>
      </w:r>
      <w:proofErr w:type="spellStart"/>
      <w:r w:rsidR="000B62E3" w:rsidRPr="00203059">
        <w:rPr>
          <w:rFonts w:ascii="Palatino Linotype" w:hAnsi="Palatino Linotype"/>
          <w:sz w:val="18"/>
          <w:szCs w:val="18"/>
        </w:rPr>
        <w:t>ρίῳ</w:t>
      </w:r>
      <w:proofErr w:type="spellEnd"/>
      <w:r w:rsidR="000B62E3" w:rsidRPr="00203059">
        <w:rPr>
          <w:rFonts w:ascii="Palatino Linotype" w:hAnsi="Palatino Linotype"/>
          <w:sz w:val="18"/>
          <w:szCs w:val="18"/>
        </w:rPr>
        <w:t xml:space="preserve"> πα</w:t>
      </w:r>
      <w:proofErr w:type="spellStart"/>
      <w:r w:rsidR="000B62E3" w:rsidRPr="00203059">
        <w:rPr>
          <w:rFonts w:ascii="Palatino Linotype" w:hAnsi="Palatino Linotype"/>
          <w:sz w:val="18"/>
          <w:szCs w:val="18"/>
        </w:rPr>
        <w:t>ρόντι</w:t>
      </w:r>
      <w:proofErr w:type="spellEnd"/>
      <w:r w:rsidR="000B62E3" w:rsidRPr="00203059">
        <w:rPr>
          <w:rFonts w:ascii="Palatino Linotype" w:hAnsi="Palatino Linotype"/>
          <w:sz w:val="18"/>
          <w:szCs w:val="18"/>
        </w:rPr>
        <w:t xml:space="preserve"> </w:t>
      </w:r>
      <w:proofErr w:type="spellStart"/>
      <w:r w:rsidR="000B62E3" w:rsidRPr="00203059">
        <w:rPr>
          <w:rFonts w:ascii="Palatino Linotype" w:hAnsi="Palatino Linotype"/>
          <w:sz w:val="18"/>
          <w:szCs w:val="18"/>
        </w:rPr>
        <w:t>ἐν</w:t>
      </w:r>
      <w:proofErr w:type="spellEnd"/>
      <w:r w:rsidR="000B62E3" w:rsidRPr="00203059">
        <w:rPr>
          <w:rFonts w:ascii="Palatino Linotype" w:hAnsi="Palatino Linotype"/>
          <w:sz w:val="18"/>
          <w:szCs w:val="18"/>
        </w:rPr>
        <w:t xml:space="preserve"> </w:t>
      </w:r>
      <w:proofErr w:type="spellStart"/>
      <w:r w:rsidR="000B62E3" w:rsidRPr="00203059">
        <w:rPr>
          <w:rFonts w:ascii="Palatino Linotype" w:hAnsi="Palatino Linotype"/>
          <w:sz w:val="18"/>
          <w:szCs w:val="18"/>
        </w:rPr>
        <w:t>τῇ</w:t>
      </w:r>
      <w:proofErr w:type="spellEnd"/>
      <w:r w:rsidR="000B62E3" w:rsidRPr="00203059">
        <w:rPr>
          <w:rFonts w:ascii="Palatino Linotype" w:hAnsi="Palatino Linotype"/>
          <w:sz w:val="18"/>
          <w:szCs w:val="18"/>
        </w:rPr>
        <w:t xml:space="preserve"> </w:t>
      </w:r>
      <w:proofErr w:type="spellStart"/>
      <w:r w:rsidR="000B62E3" w:rsidRPr="00203059">
        <w:rPr>
          <w:rFonts w:ascii="Palatino Linotype" w:hAnsi="Palatino Linotype"/>
          <w:sz w:val="18"/>
          <w:szCs w:val="18"/>
        </w:rPr>
        <w:t>συνόδῳ</w:t>
      </w:r>
      <w:proofErr w:type="spellEnd"/>
      <w:r w:rsidR="000B62E3" w:rsidRPr="00203059">
        <w:rPr>
          <w:rFonts w:ascii="Palatino Linotype" w:hAnsi="Palatino Linotype"/>
          <w:sz w:val="18"/>
          <w:szCs w:val="18"/>
        </w:rPr>
        <w:t xml:space="preserve">, καὶ </w:t>
      </w:r>
      <w:proofErr w:type="spellStart"/>
      <w:r w:rsidR="000B62E3" w:rsidRPr="00203059">
        <w:rPr>
          <w:rFonts w:ascii="Palatino Linotype" w:hAnsi="Palatino Linotype"/>
          <w:sz w:val="18"/>
          <w:szCs w:val="18"/>
        </w:rPr>
        <w:t>τῶν</w:t>
      </w:r>
      <w:proofErr w:type="spellEnd"/>
      <w:r w:rsidR="000B62E3" w:rsidRPr="00203059">
        <w:rPr>
          <w:rFonts w:ascii="Palatino Linotype" w:hAnsi="Palatino Linotype"/>
          <w:sz w:val="18"/>
          <w:szCs w:val="18"/>
        </w:rPr>
        <w:t xml:space="preserve"> ἀπ</w:t>
      </w:r>
      <w:proofErr w:type="spellStart"/>
      <w:r w:rsidR="000B62E3" w:rsidRPr="00203059">
        <w:rPr>
          <w:rFonts w:ascii="Palatino Linotype" w:hAnsi="Palatino Linotype"/>
          <w:sz w:val="18"/>
          <w:szCs w:val="18"/>
        </w:rPr>
        <w:t>οστολικῶν</w:t>
      </w:r>
      <w:proofErr w:type="spellEnd"/>
      <w:r w:rsidR="000B62E3" w:rsidRPr="00203059">
        <w:rPr>
          <w:rFonts w:ascii="Palatino Linotype" w:hAnsi="Palatino Linotype"/>
          <w:sz w:val="18"/>
          <w:szCs w:val="18"/>
        </w:rPr>
        <w:t xml:space="preserve"> </w:t>
      </w:r>
      <w:proofErr w:type="spellStart"/>
      <w:r w:rsidRPr="00203059">
        <w:rPr>
          <w:rFonts w:ascii="Palatino Linotype" w:hAnsi="Palatino Linotype"/>
          <w:sz w:val="18"/>
          <w:szCs w:val="18"/>
          <w:lang w:val="it-IT"/>
        </w:rPr>
        <w:t>δογμάτων</w:t>
      </w:r>
      <w:proofErr w:type="spellEnd"/>
      <w:r w:rsidRPr="00203059">
        <w:rPr>
          <w:rFonts w:ascii="Palatino Linotype" w:hAnsi="Palatino Linotype"/>
          <w:sz w:val="18"/>
          <w:szCs w:val="18"/>
        </w:rPr>
        <w:t xml:space="preserve"> </w:t>
      </w:r>
      <w:r w:rsidRPr="00203059">
        <w:rPr>
          <w:rFonts w:ascii="Palatino Linotype" w:hAnsi="Palatino Linotype"/>
          <w:sz w:val="18"/>
          <w:szCs w:val="18"/>
          <w:lang w:val="it-IT"/>
        </w:rPr>
        <w:t>ὑπ</w:t>
      </w:r>
      <w:proofErr w:type="spellStart"/>
      <w:r w:rsidRPr="00203059">
        <w:rPr>
          <w:rFonts w:ascii="Palatino Linotype" w:hAnsi="Palatino Linotype"/>
          <w:sz w:val="18"/>
          <w:szCs w:val="18"/>
          <w:lang w:val="it-IT"/>
        </w:rPr>
        <w:t>ερμ</w:t>
      </w:r>
      <w:proofErr w:type="spellEnd"/>
      <w:r w:rsidRPr="00203059">
        <w:rPr>
          <w:rFonts w:ascii="Palatino Linotype" w:hAnsi="Palatino Linotype"/>
          <w:sz w:val="18"/>
          <w:szCs w:val="18"/>
          <w:lang w:val="it-IT"/>
        </w:rPr>
        <w:t>α</w:t>
      </w:r>
      <w:proofErr w:type="spellStart"/>
      <w:r w:rsidRPr="00203059">
        <w:rPr>
          <w:rFonts w:ascii="Palatino Linotype" w:hAnsi="Palatino Linotype"/>
          <w:sz w:val="18"/>
          <w:szCs w:val="18"/>
          <w:lang w:val="it-IT"/>
        </w:rPr>
        <w:t>χοῦντι</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it-IT"/>
        </w:rPr>
        <w:t>ἀν</w:t>
      </w:r>
      <w:proofErr w:type="spellEnd"/>
      <w:r w:rsidRPr="00203059">
        <w:rPr>
          <w:rFonts w:ascii="Palatino Linotype" w:hAnsi="Palatino Linotype"/>
          <w:sz w:val="18"/>
          <w:szCs w:val="18"/>
          <w:lang w:val="it-IT"/>
        </w:rPr>
        <w:t>α</w:t>
      </w:r>
      <w:proofErr w:type="spellStart"/>
      <w:r w:rsidRPr="00203059">
        <w:rPr>
          <w:rFonts w:ascii="Palatino Linotype" w:hAnsi="Palatino Linotype"/>
          <w:sz w:val="18"/>
          <w:szCs w:val="18"/>
          <w:lang w:val="it-IT"/>
        </w:rPr>
        <w:t>ζητῆσ</w:t>
      </w:r>
      <w:proofErr w:type="spellEnd"/>
      <w:r w:rsidRPr="00203059">
        <w:rPr>
          <w:rFonts w:ascii="Palatino Linotype" w:hAnsi="Palatino Linotype"/>
          <w:sz w:val="18"/>
          <w:szCs w:val="18"/>
          <w:lang w:val="it-IT"/>
        </w:rPr>
        <w:t>αι</w:t>
      </w:r>
      <w:r w:rsidRPr="00203059">
        <w:rPr>
          <w:rFonts w:ascii="Palatino Linotype" w:hAnsi="Palatino Linotype"/>
          <w:sz w:val="18"/>
          <w:szCs w:val="18"/>
        </w:rPr>
        <w:t xml:space="preserve"> </w:t>
      </w:r>
      <w:proofErr w:type="spellStart"/>
      <w:r w:rsidRPr="00203059">
        <w:rPr>
          <w:rFonts w:ascii="Palatino Linotype" w:hAnsi="Palatino Linotype"/>
          <w:sz w:val="18"/>
          <w:szCs w:val="18"/>
          <w:lang w:val="it-IT"/>
        </w:rPr>
        <w:t>τὸν</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it-IT"/>
        </w:rPr>
        <w:t>ζωο</w:t>
      </w:r>
      <w:proofErr w:type="spellEnd"/>
      <w:r w:rsidRPr="00203059">
        <w:rPr>
          <w:rFonts w:ascii="Palatino Linotype" w:hAnsi="Palatino Linotype"/>
          <w:sz w:val="18"/>
          <w:szCs w:val="18"/>
          <w:lang w:val="it-IT"/>
        </w:rPr>
        <w:t>π</w:t>
      </w:r>
      <w:proofErr w:type="spellStart"/>
      <w:r w:rsidRPr="00203059">
        <w:rPr>
          <w:rFonts w:ascii="Palatino Linotype" w:hAnsi="Palatino Linotype"/>
          <w:sz w:val="18"/>
          <w:szCs w:val="18"/>
          <w:lang w:val="it-IT"/>
        </w:rPr>
        <w:t>οιὸν</w:t>
      </w:r>
      <w:proofErr w:type="spellEnd"/>
      <w:r w:rsidR="000B62E3" w:rsidRPr="00203059">
        <w:rPr>
          <w:rFonts w:ascii="Palatino Linotype" w:hAnsi="Palatino Linotype"/>
          <w:sz w:val="18"/>
          <w:szCs w:val="18"/>
        </w:rPr>
        <w:t xml:space="preserve"> </w:t>
      </w:r>
      <w:proofErr w:type="spellStart"/>
      <w:r w:rsidRPr="00203059">
        <w:rPr>
          <w:rFonts w:ascii="Palatino Linotype" w:hAnsi="Palatino Linotype"/>
          <w:sz w:val="18"/>
          <w:szCs w:val="18"/>
          <w:lang w:val="it-IT"/>
        </w:rPr>
        <w:t>στ</w:t>
      </w:r>
      <w:proofErr w:type="spellEnd"/>
      <w:r w:rsidRPr="00203059">
        <w:rPr>
          <w:rFonts w:ascii="Palatino Linotype" w:hAnsi="Palatino Linotype"/>
          <w:sz w:val="18"/>
          <w:szCs w:val="18"/>
          <w:lang w:val="it-IT"/>
        </w:rPr>
        <w:t>α</w:t>
      </w:r>
      <w:proofErr w:type="spellStart"/>
      <w:r w:rsidRPr="00203059">
        <w:rPr>
          <w:rFonts w:ascii="Palatino Linotype" w:hAnsi="Palatino Linotype"/>
          <w:sz w:val="18"/>
          <w:szCs w:val="18"/>
          <w:lang w:val="it-IT"/>
        </w:rPr>
        <w:t>υρόν</w:t>
      </w:r>
      <w:proofErr w:type="spellEnd"/>
      <w:r w:rsidRPr="00203059">
        <w:rPr>
          <w:rFonts w:ascii="Palatino Linotype" w:hAnsi="Palatino Linotype"/>
          <w:sz w:val="18"/>
          <w:szCs w:val="18"/>
        </w:rPr>
        <w:t xml:space="preserve">, </w:t>
      </w:r>
      <w:r w:rsidRPr="00203059">
        <w:rPr>
          <w:rFonts w:ascii="Palatino Linotype" w:hAnsi="Palatino Linotype"/>
          <w:sz w:val="18"/>
          <w:szCs w:val="18"/>
          <w:lang w:val="it-IT"/>
        </w:rPr>
        <w:t>καὶ</w:t>
      </w:r>
      <w:r w:rsidRPr="00203059">
        <w:rPr>
          <w:rFonts w:ascii="Palatino Linotype" w:hAnsi="Palatino Linotype"/>
          <w:sz w:val="18"/>
          <w:szCs w:val="18"/>
        </w:rPr>
        <w:t xml:space="preserve"> </w:t>
      </w:r>
      <w:proofErr w:type="spellStart"/>
      <w:r w:rsidRPr="00203059">
        <w:rPr>
          <w:rFonts w:ascii="Palatino Linotype" w:hAnsi="Palatino Linotype"/>
          <w:sz w:val="18"/>
          <w:szCs w:val="18"/>
          <w:lang w:val="it-IT"/>
        </w:rPr>
        <w:t>τὸ</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it-IT"/>
        </w:rPr>
        <w:t>θεοδόχον</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it-IT"/>
        </w:rPr>
        <w:t>μνῆμ</w:t>
      </w:r>
      <w:proofErr w:type="spellEnd"/>
      <w:r w:rsidRPr="00203059">
        <w:rPr>
          <w:rFonts w:ascii="Palatino Linotype" w:hAnsi="Palatino Linotype"/>
          <w:sz w:val="18"/>
          <w:szCs w:val="18"/>
          <w:lang w:val="it-IT"/>
        </w:rPr>
        <w:t>α</w:t>
      </w:r>
      <w:r w:rsidRPr="00203059">
        <w:rPr>
          <w:rFonts w:ascii="Palatino Linotype" w:hAnsi="Palatino Linotype"/>
          <w:sz w:val="18"/>
          <w:szCs w:val="18"/>
        </w:rPr>
        <w:t xml:space="preserve">, </w:t>
      </w:r>
      <w:r w:rsidRPr="00203059">
        <w:rPr>
          <w:rFonts w:ascii="Palatino Linotype" w:hAnsi="Palatino Linotype"/>
          <w:sz w:val="18"/>
          <w:szCs w:val="18"/>
          <w:lang w:val="it-IT"/>
        </w:rPr>
        <w:t>καὶ</w:t>
      </w:r>
      <w:r w:rsidRPr="00203059">
        <w:rPr>
          <w:rFonts w:ascii="Palatino Linotype" w:hAnsi="Palatino Linotype"/>
          <w:sz w:val="18"/>
          <w:szCs w:val="18"/>
        </w:rPr>
        <w:t xml:space="preserve"> </w:t>
      </w:r>
      <w:r w:rsidRPr="00203059">
        <w:rPr>
          <w:rFonts w:ascii="Palatino Linotype" w:hAnsi="Palatino Linotype"/>
          <w:sz w:val="18"/>
          <w:szCs w:val="18"/>
          <w:lang w:val="it-IT"/>
        </w:rPr>
        <w:t>π</w:t>
      </w:r>
      <w:proofErr w:type="spellStart"/>
      <w:r w:rsidRPr="00203059">
        <w:rPr>
          <w:rFonts w:ascii="Palatino Linotype" w:hAnsi="Palatino Linotype"/>
          <w:sz w:val="18"/>
          <w:szCs w:val="18"/>
          <w:lang w:val="it-IT"/>
        </w:rPr>
        <w:t>άντ</w:t>
      </w:r>
      <w:proofErr w:type="spellEnd"/>
      <w:r w:rsidRPr="00203059">
        <w:rPr>
          <w:rFonts w:ascii="Palatino Linotype" w:hAnsi="Palatino Linotype"/>
          <w:sz w:val="18"/>
          <w:szCs w:val="18"/>
          <w:lang w:val="it-IT"/>
        </w:rPr>
        <w:t>ας</w:t>
      </w:r>
      <w:r w:rsidRPr="00203059">
        <w:rPr>
          <w:rFonts w:ascii="Palatino Linotype" w:hAnsi="Palatino Linotype"/>
          <w:sz w:val="18"/>
          <w:szCs w:val="18"/>
        </w:rPr>
        <w:t xml:space="preserve"> </w:t>
      </w:r>
      <w:proofErr w:type="spellStart"/>
      <w:r w:rsidRPr="00203059">
        <w:rPr>
          <w:rFonts w:ascii="Palatino Linotype" w:hAnsi="Palatino Linotype"/>
          <w:sz w:val="18"/>
          <w:szCs w:val="18"/>
          <w:lang w:val="it-IT"/>
        </w:rPr>
        <w:t>τοὺς</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el-GR"/>
        </w:rPr>
        <w:t>ἁγίους</w:t>
      </w:r>
      <w:proofErr w:type="spellEnd"/>
      <w:r w:rsidRPr="00203059">
        <w:rPr>
          <w:rFonts w:ascii="Palatino Linotype" w:hAnsi="Palatino Linotype"/>
          <w:sz w:val="18"/>
          <w:szCs w:val="18"/>
        </w:rPr>
        <w:t xml:space="preserve"> </w:t>
      </w:r>
      <w:r w:rsidRPr="00203059">
        <w:rPr>
          <w:rFonts w:ascii="Palatino Linotype" w:hAnsi="Palatino Linotype"/>
          <w:sz w:val="18"/>
          <w:szCs w:val="18"/>
          <w:lang w:val="el-GR"/>
        </w:rPr>
        <w:t>τόπους</w:t>
      </w:r>
      <w:r w:rsidRPr="00203059">
        <w:rPr>
          <w:rFonts w:ascii="Palatino Linotype" w:hAnsi="Palatino Linotype"/>
          <w:sz w:val="18"/>
          <w:szCs w:val="18"/>
        </w:rPr>
        <w:t xml:space="preserve">, </w:t>
      </w:r>
      <w:proofErr w:type="spellStart"/>
      <w:r w:rsidRPr="00203059">
        <w:rPr>
          <w:rFonts w:ascii="Palatino Linotype" w:hAnsi="Palatino Linotype"/>
          <w:sz w:val="18"/>
          <w:szCs w:val="18"/>
          <w:lang w:val="el-GR"/>
        </w:rPr>
        <w:t>καὶ</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el-GR"/>
        </w:rPr>
        <w:t>τοὺς</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el-GR"/>
        </w:rPr>
        <w:t>ἄλλους</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el-GR"/>
        </w:rPr>
        <w:t>δὲ</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el-GR"/>
        </w:rPr>
        <w:t>ἐπισκόπους</w:t>
      </w:r>
      <w:proofErr w:type="spellEnd"/>
      <w:r w:rsidRPr="00203059">
        <w:rPr>
          <w:rFonts w:ascii="Palatino Linotype" w:hAnsi="Palatino Linotype"/>
          <w:sz w:val="18"/>
          <w:szCs w:val="18"/>
        </w:rPr>
        <w:t xml:space="preserve"> </w:t>
      </w:r>
      <w:proofErr w:type="spellStart"/>
      <w:r w:rsidRPr="00203059">
        <w:rPr>
          <w:rFonts w:ascii="Palatino Linotype" w:hAnsi="Palatino Linotype"/>
          <w:sz w:val="18"/>
          <w:szCs w:val="18"/>
          <w:lang w:val="el-GR"/>
        </w:rPr>
        <w:t>ὁμοίως</w:t>
      </w:r>
      <w:proofErr w:type="spellEnd"/>
      <w:r w:rsidRPr="00203059">
        <w:rPr>
          <w:rFonts w:ascii="Palatino Linotype" w:hAnsi="Palatino Linotype"/>
          <w:sz w:val="18"/>
          <w:szCs w:val="18"/>
        </w:rPr>
        <w:t xml:space="preserve"> </w:t>
      </w:r>
      <w:r w:rsidR="000B62E3" w:rsidRPr="00203059">
        <w:rPr>
          <w:rFonts w:ascii="Palatino Linotype" w:hAnsi="Palatino Linotype"/>
          <w:sz w:val="18"/>
          <w:szCs w:val="18"/>
        </w:rPr>
        <w:t>(</w:t>
      </w:r>
      <w:r w:rsidRPr="00203059">
        <w:rPr>
          <w:rFonts w:ascii="Palatino Linotype" w:hAnsi="Palatino Linotype"/>
          <w:i/>
          <w:iCs/>
          <w:sz w:val="18"/>
          <w:szCs w:val="18"/>
        </w:rPr>
        <w:t xml:space="preserve">PG </w:t>
      </w:r>
      <w:r w:rsidRPr="00203059">
        <w:rPr>
          <w:rFonts w:ascii="Palatino Linotype" w:hAnsi="Palatino Linotype"/>
          <w:sz w:val="18"/>
          <w:szCs w:val="18"/>
        </w:rPr>
        <w:t>87/3.40</w:t>
      </w:r>
      <w:r w:rsidR="000B62E3" w:rsidRPr="00203059">
        <w:rPr>
          <w:rFonts w:ascii="Palatino Linotype" w:hAnsi="Palatino Linotype"/>
          <w:sz w:val="18"/>
          <w:szCs w:val="18"/>
        </w:rPr>
        <w:t>77</w:t>
      </w:r>
      <w:r w:rsidRPr="00203059">
        <w:rPr>
          <w:rFonts w:ascii="Palatino Linotype" w:hAnsi="Palatino Linotype"/>
          <w:sz w:val="18"/>
          <w:szCs w:val="18"/>
        </w:rPr>
        <w:t>).</w:t>
      </w:r>
    </w:p>
  </w:footnote>
  <w:footnote w:id="26">
    <w:p w:rsidR="001D3A32" w:rsidRPr="00203059" w:rsidRDefault="001D3A32" w:rsidP="00203059">
      <w:pPr>
        <w:pStyle w:val="Nessunaspaziatura"/>
        <w:jc w:val="both"/>
        <w:rPr>
          <w:rFonts w:ascii="Palatino Linotype" w:eastAsia="Times New Roman" w:hAnsi="Palatino Linotype" w:cs="Times New Roman"/>
          <w:sz w:val="18"/>
          <w:szCs w:val="18"/>
          <w:lang w:eastAsia="it-IT"/>
        </w:rPr>
      </w:pPr>
      <w:r w:rsidRPr="00203059">
        <w:rPr>
          <w:rStyle w:val="Rimandonotaapidipagina"/>
          <w:rFonts w:ascii="Palatino Linotype" w:hAnsi="Palatino Linotype"/>
          <w:color w:val="0070C0"/>
          <w:sz w:val="18"/>
          <w:szCs w:val="18"/>
        </w:rPr>
        <w:footnoteRef/>
      </w:r>
      <w:r w:rsidRPr="00203059">
        <w:rPr>
          <w:rFonts w:ascii="Palatino Linotype" w:hAnsi="Palatino Linotype"/>
          <w:sz w:val="18"/>
          <w:szCs w:val="18"/>
        </w:rPr>
        <w:t xml:space="preserve"> </w:t>
      </w:r>
      <w:proofErr w:type="spellStart"/>
      <w:r w:rsidRPr="00203059">
        <w:rPr>
          <w:rFonts w:ascii="Palatino Linotype" w:eastAsia="Times New Roman" w:hAnsi="Palatino Linotype" w:cs="Times New Roman"/>
          <w:sz w:val="18"/>
          <w:szCs w:val="18"/>
          <w:lang w:val="el-GR" w:eastAsia="it-IT"/>
        </w:rPr>
        <w:t>ἵνα</w:t>
      </w:r>
      <w:proofErr w:type="spellEnd"/>
      <w:r w:rsidRPr="00203059">
        <w:rPr>
          <w:rFonts w:ascii="Palatino Linotype" w:eastAsia="Times New Roman" w:hAnsi="Palatino Linotype" w:cs="Times New Roman"/>
          <w:sz w:val="18"/>
          <w:szCs w:val="18"/>
          <w:shd w:val="clear" w:color="auto" w:fill="F8F9F3"/>
          <w:lang w:eastAsia="it-IT"/>
        </w:rPr>
        <w:t> </w:t>
      </w:r>
      <w:proofErr w:type="spellStart"/>
      <w:r w:rsidRPr="00203059">
        <w:rPr>
          <w:rFonts w:ascii="Palatino Linotype" w:eastAsia="Times New Roman" w:hAnsi="Palatino Linotype" w:cs="Times New Roman"/>
          <w:sz w:val="18"/>
          <w:szCs w:val="18"/>
          <w:lang w:val="el-GR" w:eastAsia="it-IT"/>
        </w:rPr>
        <w:t>μὴ</w:t>
      </w:r>
      <w:proofErr w:type="spellEnd"/>
      <w:r w:rsidRPr="00203059">
        <w:rPr>
          <w:rFonts w:ascii="Palatino Linotype" w:eastAsia="Times New Roman" w:hAnsi="Palatino Linotype" w:cs="Times New Roman"/>
          <w:sz w:val="18"/>
          <w:szCs w:val="18"/>
          <w:shd w:val="clear" w:color="auto" w:fill="F8F9F3"/>
          <w:lang w:eastAsia="it-IT"/>
        </w:rPr>
        <w:t> </w:t>
      </w:r>
      <w:proofErr w:type="spellStart"/>
      <w:r w:rsidRPr="00203059">
        <w:rPr>
          <w:rFonts w:ascii="Palatino Linotype" w:eastAsia="Times New Roman" w:hAnsi="Palatino Linotype" w:cs="Times New Roman"/>
          <w:sz w:val="18"/>
          <w:szCs w:val="18"/>
          <w:lang w:val="el-GR" w:eastAsia="it-IT"/>
        </w:rPr>
        <w:t>οἱ</w:t>
      </w:r>
      <w:proofErr w:type="spellEnd"/>
      <w:r w:rsidRPr="00203059">
        <w:rPr>
          <w:rFonts w:ascii="Palatino Linotype" w:eastAsia="Times New Roman" w:hAnsi="Palatino Linotype" w:cs="Times New Roman"/>
          <w:sz w:val="18"/>
          <w:szCs w:val="18"/>
          <w:shd w:val="clear" w:color="auto" w:fill="F8F9F3"/>
          <w:lang w:eastAsia="it-IT"/>
        </w:rPr>
        <w:t> </w:t>
      </w:r>
      <w:r w:rsidRPr="00203059">
        <w:rPr>
          <w:rFonts w:ascii="Palatino Linotype" w:eastAsia="Times New Roman" w:hAnsi="Palatino Linotype" w:cs="Times New Roman"/>
          <w:sz w:val="18"/>
          <w:szCs w:val="18"/>
          <w:lang w:val="el-GR" w:eastAsia="it-IT"/>
        </w:rPr>
        <w:t>σεβάσμιοι</w:t>
      </w:r>
      <w:r w:rsidRPr="00203059">
        <w:rPr>
          <w:rFonts w:ascii="Palatino Linotype" w:eastAsia="Times New Roman" w:hAnsi="Palatino Linotype" w:cs="Times New Roman"/>
          <w:sz w:val="18"/>
          <w:szCs w:val="18"/>
          <w:shd w:val="clear" w:color="auto" w:fill="F8F9F3"/>
          <w:lang w:eastAsia="it-IT"/>
        </w:rPr>
        <w:t> </w:t>
      </w:r>
      <w:proofErr w:type="spellStart"/>
      <w:r w:rsidRPr="00203059">
        <w:rPr>
          <w:rFonts w:ascii="Palatino Linotype" w:eastAsia="Times New Roman" w:hAnsi="Palatino Linotype" w:cs="Times New Roman"/>
          <w:sz w:val="18"/>
          <w:szCs w:val="18"/>
          <w:lang w:val="el-GR" w:eastAsia="it-IT"/>
        </w:rPr>
        <w:t>ἐκεῖνοι</w:t>
      </w:r>
      <w:proofErr w:type="spellEnd"/>
      <w:r w:rsidRPr="00203059">
        <w:rPr>
          <w:rFonts w:ascii="Palatino Linotype" w:eastAsia="Times New Roman" w:hAnsi="Palatino Linotype" w:cs="Times New Roman"/>
          <w:sz w:val="18"/>
          <w:szCs w:val="18"/>
          <w:shd w:val="clear" w:color="auto" w:fill="F8F9F3"/>
          <w:lang w:eastAsia="it-IT"/>
        </w:rPr>
        <w:t> </w:t>
      </w:r>
      <w:proofErr w:type="spellStart"/>
      <w:r w:rsidRPr="00203059">
        <w:rPr>
          <w:rFonts w:ascii="Palatino Linotype" w:eastAsia="Times New Roman" w:hAnsi="Palatino Linotype" w:cs="Times New Roman"/>
          <w:sz w:val="18"/>
          <w:szCs w:val="18"/>
          <w:lang w:val="el-GR" w:eastAsia="it-IT"/>
        </w:rPr>
        <w:t>καὶ</w:t>
      </w:r>
      <w:proofErr w:type="spellEnd"/>
      <w:r w:rsidRPr="00203059">
        <w:rPr>
          <w:rFonts w:ascii="Palatino Linotype" w:eastAsia="Times New Roman" w:hAnsi="Palatino Linotype" w:cs="Times New Roman"/>
          <w:sz w:val="18"/>
          <w:szCs w:val="18"/>
          <w:lang w:eastAsia="it-IT"/>
        </w:rPr>
        <w:t xml:space="preserve"> </w:t>
      </w:r>
      <w:proofErr w:type="spellStart"/>
      <w:r w:rsidRPr="00203059">
        <w:rPr>
          <w:rFonts w:ascii="Palatino Linotype" w:eastAsia="Times New Roman" w:hAnsi="Palatino Linotype" w:cs="Times New Roman"/>
          <w:sz w:val="18"/>
          <w:szCs w:val="18"/>
          <w:lang w:val="el-GR" w:eastAsia="it-IT"/>
        </w:rPr>
        <w:t>θεοδόχοι</w:t>
      </w:r>
      <w:proofErr w:type="spellEnd"/>
      <w:r w:rsidRPr="00203059">
        <w:rPr>
          <w:rFonts w:ascii="Palatino Linotype" w:eastAsia="Times New Roman" w:hAnsi="Palatino Linotype" w:cs="Times New Roman"/>
          <w:sz w:val="18"/>
          <w:szCs w:val="18"/>
          <w:lang w:eastAsia="it-IT"/>
        </w:rPr>
        <w:t xml:space="preserve"> / </w:t>
      </w:r>
      <w:r w:rsidRPr="00203059">
        <w:rPr>
          <w:rFonts w:ascii="Palatino Linotype" w:eastAsia="Times New Roman" w:hAnsi="Palatino Linotype" w:cs="Times New Roman"/>
          <w:sz w:val="18"/>
          <w:szCs w:val="18"/>
          <w:lang w:val="el-GR" w:eastAsia="it-IT"/>
        </w:rPr>
        <w:t>τόποι</w:t>
      </w:r>
      <w:r w:rsidRPr="00203059">
        <w:rPr>
          <w:rFonts w:ascii="Palatino Linotype" w:eastAsia="Times New Roman" w:hAnsi="Palatino Linotype" w:cs="Times New Roman"/>
          <w:sz w:val="18"/>
          <w:szCs w:val="18"/>
          <w:shd w:val="clear" w:color="auto" w:fill="F8F9F3"/>
          <w:lang w:eastAsia="it-IT"/>
        </w:rPr>
        <w:t> </w:t>
      </w:r>
      <w:proofErr w:type="spellStart"/>
      <w:r w:rsidRPr="00203059">
        <w:rPr>
          <w:rFonts w:ascii="Palatino Linotype" w:eastAsia="Times New Roman" w:hAnsi="Palatino Linotype" w:cs="Times New Roman"/>
          <w:sz w:val="18"/>
          <w:szCs w:val="18"/>
          <w:lang w:val="el-GR" w:eastAsia="it-IT"/>
        </w:rPr>
        <w:t>τοῖς</w:t>
      </w:r>
      <w:proofErr w:type="spellEnd"/>
      <w:r w:rsidRPr="00203059">
        <w:rPr>
          <w:rFonts w:ascii="Palatino Linotype" w:eastAsia="Times New Roman" w:hAnsi="Palatino Linotype" w:cs="Times New Roman"/>
          <w:sz w:val="18"/>
          <w:szCs w:val="18"/>
          <w:shd w:val="clear" w:color="auto" w:fill="F8F9F3"/>
          <w:lang w:eastAsia="it-IT"/>
        </w:rPr>
        <w:t> </w:t>
      </w:r>
      <w:r w:rsidRPr="00203059">
        <w:rPr>
          <w:rFonts w:ascii="Palatino Linotype" w:eastAsia="Times New Roman" w:hAnsi="Palatino Linotype" w:cs="Times New Roman"/>
          <w:sz w:val="18"/>
          <w:szCs w:val="18"/>
          <w:lang w:val="el-GR" w:eastAsia="it-IT"/>
        </w:rPr>
        <w:t>Νεστορίου</w:t>
      </w:r>
      <w:r w:rsidRPr="00203059">
        <w:rPr>
          <w:rFonts w:ascii="Palatino Linotype" w:eastAsia="Times New Roman" w:hAnsi="Palatino Linotype" w:cs="Times New Roman"/>
          <w:sz w:val="18"/>
          <w:szCs w:val="18"/>
          <w:shd w:val="clear" w:color="auto" w:fill="F8F9F3"/>
          <w:lang w:eastAsia="it-IT"/>
        </w:rPr>
        <w:t> </w:t>
      </w:r>
      <w:proofErr w:type="spellStart"/>
      <w:r w:rsidRPr="00203059">
        <w:rPr>
          <w:rFonts w:ascii="Palatino Linotype" w:eastAsia="Times New Roman" w:hAnsi="Palatino Linotype" w:cs="Times New Roman"/>
          <w:sz w:val="18"/>
          <w:szCs w:val="18"/>
          <w:lang w:val="el-GR" w:eastAsia="it-IT"/>
        </w:rPr>
        <w:t>δόγμασιν</w:t>
      </w:r>
      <w:proofErr w:type="spellEnd"/>
      <w:r w:rsidRPr="00203059">
        <w:rPr>
          <w:rFonts w:ascii="Palatino Linotype" w:eastAsia="Times New Roman" w:hAnsi="Palatino Linotype" w:cs="Times New Roman"/>
          <w:sz w:val="18"/>
          <w:szCs w:val="18"/>
          <w:shd w:val="clear" w:color="auto" w:fill="F8F9F3"/>
          <w:lang w:eastAsia="it-IT"/>
        </w:rPr>
        <w:t> </w:t>
      </w:r>
      <w:proofErr w:type="spellStart"/>
      <w:r w:rsidRPr="00203059">
        <w:rPr>
          <w:rFonts w:ascii="Palatino Linotype" w:eastAsia="Times New Roman" w:hAnsi="Palatino Linotype" w:cs="Times New Roman"/>
          <w:sz w:val="18"/>
          <w:szCs w:val="18"/>
          <w:lang w:val="el-GR" w:eastAsia="it-IT"/>
        </w:rPr>
        <w:t>καταμιαίνωντα</w:t>
      </w:r>
      <w:r w:rsidR="00DC492E" w:rsidRPr="00203059">
        <w:rPr>
          <w:rFonts w:ascii="Palatino Linotype" w:eastAsia="Times New Roman" w:hAnsi="Palatino Linotype" w:cs="Times New Roman"/>
          <w:sz w:val="18"/>
          <w:szCs w:val="18"/>
          <w:lang w:val="el-GR" w:eastAsia="it-IT"/>
        </w:rPr>
        <w:t>ι</w:t>
      </w:r>
      <w:proofErr w:type="spellEnd"/>
      <w:r w:rsidR="00DC492E" w:rsidRPr="00203059">
        <w:rPr>
          <w:rFonts w:ascii="Palatino Linotype" w:eastAsia="Times New Roman" w:hAnsi="Palatino Linotype" w:cs="Times New Roman"/>
          <w:sz w:val="18"/>
          <w:szCs w:val="18"/>
          <w:lang w:eastAsia="it-IT"/>
        </w:rPr>
        <w:t xml:space="preserve"> (Schwartz 1939, 144).</w:t>
      </w:r>
    </w:p>
  </w:footnote>
  <w:footnote w:id="27">
    <w:p w:rsidR="008E7763" w:rsidRPr="00652341" w:rsidRDefault="008E7763" w:rsidP="00203059">
      <w:pPr>
        <w:pStyle w:val="Nessunaspaziatura"/>
        <w:jc w:val="both"/>
        <w:rPr>
          <w:rFonts w:ascii="Palatino Linotype" w:hAnsi="Palatino Linotype"/>
          <w:color w:val="0070C0"/>
          <w:sz w:val="18"/>
          <w:szCs w:val="18"/>
          <w:lang w:val="it-IT"/>
        </w:rPr>
      </w:pPr>
      <w:r w:rsidRPr="00203059">
        <w:rPr>
          <w:rStyle w:val="Rimandonotaapidipagina"/>
          <w:rFonts w:ascii="Palatino Linotype" w:hAnsi="Palatino Linotype"/>
          <w:color w:val="0070C0"/>
          <w:sz w:val="18"/>
          <w:szCs w:val="18"/>
        </w:rPr>
        <w:footnoteRef/>
      </w:r>
      <w:r w:rsidRPr="00203059">
        <w:rPr>
          <w:rFonts w:ascii="Palatino Linotype" w:hAnsi="Palatino Linotype"/>
          <w:color w:val="0070C0"/>
          <w:sz w:val="18"/>
          <w:szCs w:val="18"/>
        </w:rPr>
        <w:t xml:space="preserve"> </w:t>
      </w:r>
      <w:r w:rsidR="00233C5B" w:rsidRPr="00203059">
        <w:rPr>
          <w:rFonts w:ascii="Palatino Linotype" w:hAnsi="Palatino Linotype"/>
          <w:color w:val="0070C0"/>
          <w:sz w:val="18"/>
          <w:szCs w:val="18"/>
        </w:rPr>
        <w:t xml:space="preserve">Nel Nuovo </w:t>
      </w:r>
      <w:proofErr w:type="spellStart"/>
      <w:r w:rsidR="00233C5B" w:rsidRPr="00203059">
        <w:rPr>
          <w:rFonts w:ascii="Palatino Linotype" w:hAnsi="Palatino Linotype"/>
          <w:color w:val="0070C0"/>
          <w:sz w:val="18"/>
          <w:szCs w:val="18"/>
        </w:rPr>
        <w:t>Testamento</w:t>
      </w:r>
      <w:proofErr w:type="spellEnd"/>
      <w:r w:rsidR="00233C5B" w:rsidRPr="00203059">
        <w:rPr>
          <w:rFonts w:ascii="Palatino Linotype" w:hAnsi="Palatino Linotype"/>
          <w:color w:val="0070C0"/>
          <w:sz w:val="18"/>
          <w:szCs w:val="18"/>
        </w:rPr>
        <w:t xml:space="preserve">, compare </w:t>
      </w:r>
      <w:proofErr w:type="spellStart"/>
      <w:r w:rsidR="00233C5B" w:rsidRPr="00203059">
        <w:rPr>
          <w:rFonts w:ascii="Palatino Linotype" w:hAnsi="Palatino Linotype"/>
          <w:color w:val="0070C0"/>
          <w:sz w:val="18"/>
          <w:szCs w:val="18"/>
        </w:rPr>
        <w:t>fugacemente</w:t>
      </w:r>
      <w:proofErr w:type="spellEnd"/>
      <w:r w:rsidR="00233C5B" w:rsidRPr="00203059">
        <w:rPr>
          <w:rFonts w:ascii="Palatino Linotype" w:hAnsi="Palatino Linotype"/>
          <w:color w:val="0070C0"/>
          <w:sz w:val="18"/>
          <w:szCs w:val="18"/>
        </w:rPr>
        <w:t xml:space="preserve"> in </w:t>
      </w:r>
      <w:proofErr w:type="spellStart"/>
      <w:r w:rsidR="00233C5B" w:rsidRPr="00203059">
        <w:rPr>
          <w:rFonts w:ascii="Palatino Linotype" w:hAnsi="Palatino Linotype"/>
          <w:i/>
          <w:iCs/>
          <w:color w:val="0070C0"/>
          <w:sz w:val="18"/>
          <w:szCs w:val="18"/>
        </w:rPr>
        <w:t>Lc</w:t>
      </w:r>
      <w:proofErr w:type="spellEnd"/>
      <w:r w:rsidR="00233C5B" w:rsidRPr="00203059">
        <w:rPr>
          <w:rFonts w:ascii="Palatino Linotype" w:hAnsi="Palatino Linotype"/>
          <w:color w:val="0070C0"/>
          <w:sz w:val="18"/>
          <w:szCs w:val="18"/>
        </w:rPr>
        <w:t xml:space="preserve">. 2, 29-35. </w:t>
      </w:r>
      <w:r w:rsidR="00B61748" w:rsidRPr="00203059">
        <w:rPr>
          <w:rFonts w:ascii="Palatino Linotype" w:hAnsi="Palatino Linotype"/>
          <w:color w:val="0070C0"/>
          <w:sz w:val="18"/>
          <w:szCs w:val="18"/>
        </w:rPr>
        <w:t xml:space="preserve">Il primo </w:t>
      </w:r>
      <w:proofErr w:type="spellStart"/>
      <w:r w:rsidR="00B61748" w:rsidRPr="00203059">
        <w:rPr>
          <w:rFonts w:ascii="Palatino Linotype" w:hAnsi="Palatino Linotype"/>
          <w:color w:val="0070C0"/>
          <w:sz w:val="18"/>
          <w:szCs w:val="18"/>
        </w:rPr>
        <w:t>testo</w:t>
      </w:r>
      <w:proofErr w:type="spellEnd"/>
      <w:r w:rsidR="00B61748" w:rsidRPr="00203059">
        <w:rPr>
          <w:rFonts w:ascii="Palatino Linotype" w:hAnsi="Palatino Linotype"/>
          <w:color w:val="0070C0"/>
          <w:sz w:val="18"/>
          <w:szCs w:val="18"/>
        </w:rPr>
        <w:t xml:space="preserve"> </w:t>
      </w:r>
      <w:proofErr w:type="spellStart"/>
      <w:r w:rsidR="00B61748" w:rsidRPr="00203059">
        <w:rPr>
          <w:rFonts w:ascii="Palatino Linotype" w:hAnsi="Palatino Linotype"/>
          <w:color w:val="0070C0"/>
          <w:sz w:val="18"/>
          <w:szCs w:val="18"/>
        </w:rPr>
        <w:t>nel</w:t>
      </w:r>
      <w:proofErr w:type="spellEnd"/>
      <w:r w:rsidR="00B61748" w:rsidRPr="00203059">
        <w:rPr>
          <w:rFonts w:ascii="Palatino Linotype" w:hAnsi="Palatino Linotype"/>
          <w:color w:val="0070C0"/>
          <w:sz w:val="18"/>
          <w:szCs w:val="18"/>
        </w:rPr>
        <w:t xml:space="preserve"> quale è </w:t>
      </w:r>
      <w:proofErr w:type="spellStart"/>
      <w:r w:rsidR="00B61748" w:rsidRPr="00203059">
        <w:rPr>
          <w:rFonts w:ascii="Palatino Linotype" w:hAnsi="Palatino Linotype"/>
          <w:color w:val="0070C0"/>
          <w:sz w:val="18"/>
          <w:szCs w:val="18"/>
        </w:rPr>
        <w:t>dato</w:t>
      </w:r>
      <w:proofErr w:type="spellEnd"/>
      <w:r w:rsidR="00B61748" w:rsidRPr="00203059">
        <w:rPr>
          <w:rFonts w:ascii="Palatino Linotype" w:hAnsi="Palatino Linotype"/>
          <w:color w:val="0070C0"/>
          <w:sz w:val="18"/>
          <w:szCs w:val="18"/>
        </w:rPr>
        <w:t xml:space="preserve"> </w:t>
      </w:r>
      <w:proofErr w:type="spellStart"/>
      <w:r w:rsidR="00B61748" w:rsidRPr="00203059">
        <w:rPr>
          <w:rFonts w:ascii="Palatino Linotype" w:hAnsi="Palatino Linotype"/>
          <w:color w:val="0070C0"/>
          <w:sz w:val="18"/>
          <w:szCs w:val="18"/>
        </w:rPr>
        <w:t>trovare</w:t>
      </w:r>
      <w:proofErr w:type="spellEnd"/>
      <w:r w:rsidR="00B61748" w:rsidRPr="00203059">
        <w:rPr>
          <w:rFonts w:ascii="Palatino Linotype" w:hAnsi="Palatino Linotype"/>
          <w:color w:val="0070C0"/>
          <w:sz w:val="18"/>
          <w:szCs w:val="18"/>
        </w:rPr>
        <w:t xml:space="preserve"> </w:t>
      </w:r>
      <w:proofErr w:type="spellStart"/>
      <w:r w:rsidR="00B61748" w:rsidRPr="00203059">
        <w:rPr>
          <w:rFonts w:ascii="Palatino Linotype" w:hAnsi="Palatino Linotype"/>
          <w:color w:val="0070C0"/>
          <w:sz w:val="18"/>
          <w:szCs w:val="18"/>
        </w:rPr>
        <w:t>l’attribuzione</w:t>
      </w:r>
      <w:proofErr w:type="spellEnd"/>
      <w:r w:rsidR="00B61748" w:rsidRPr="00203059">
        <w:rPr>
          <w:rFonts w:ascii="Palatino Linotype" w:hAnsi="Palatino Linotype"/>
          <w:color w:val="0070C0"/>
          <w:sz w:val="18"/>
          <w:szCs w:val="18"/>
        </w:rPr>
        <w:t xml:space="preserve"> </w:t>
      </w:r>
      <w:proofErr w:type="spellStart"/>
      <w:r w:rsidR="00B61748" w:rsidRPr="00203059">
        <w:rPr>
          <w:rFonts w:ascii="Palatino Linotype" w:hAnsi="Palatino Linotype"/>
          <w:color w:val="0070C0"/>
          <w:sz w:val="18"/>
          <w:szCs w:val="18"/>
        </w:rPr>
        <w:t>dell’epiteto</w:t>
      </w:r>
      <w:proofErr w:type="spellEnd"/>
      <w:r w:rsidR="00B61748" w:rsidRPr="00203059">
        <w:rPr>
          <w:rFonts w:ascii="Palatino Linotype" w:hAnsi="Palatino Linotype"/>
          <w:color w:val="0070C0"/>
          <w:sz w:val="18"/>
          <w:szCs w:val="18"/>
        </w:rPr>
        <w:t xml:space="preserve"> di </w:t>
      </w:r>
      <w:proofErr w:type="spellStart"/>
      <w:r w:rsidR="00B61748" w:rsidRPr="00203059">
        <w:rPr>
          <w:rFonts w:ascii="Palatino Linotype" w:hAnsi="Palatino Linotype"/>
          <w:color w:val="0070C0"/>
          <w:sz w:val="18"/>
          <w:szCs w:val="18"/>
          <w:lang w:val="el-GR"/>
        </w:rPr>
        <w:t>θεοδόχος</w:t>
      </w:r>
      <w:proofErr w:type="spellEnd"/>
      <w:r w:rsidR="00B61748" w:rsidRPr="00203059">
        <w:rPr>
          <w:rFonts w:ascii="Palatino Linotype" w:hAnsi="Palatino Linotype"/>
          <w:color w:val="0070C0"/>
          <w:sz w:val="18"/>
          <w:szCs w:val="18"/>
          <w:lang w:val="it-IT"/>
        </w:rPr>
        <w:t xml:space="preserve"> a Simeone è</w:t>
      </w:r>
      <w:r w:rsidR="00CD653B" w:rsidRPr="00203059">
        <w:rPr>
          <w:rFonts w:ascii="Palatino Linotype" w:hAnsi="Palatino Linotype"/>
          <w:color w:val="0070C0"/>
          <w:sz w:val="18"/>
          <w:szCs w:val="18"/>
          <w:lang w:val="it-IT"/>
        </w:rPr>
        <w:t xml:space="preserve"> nell’incipit </w:t>
      </w:r>
      <w:r w:rsidR="00AE5862" w:rsidRPr="00203059">
        <w:rPr>
          <w:rFonts w:ascii="Palatino Linotype" w:hAnsi="Palatino Linotype"/>
          <w:color w:val="0070C0"/>
          <w:sz w:val="18"/>
          <w:szCs w:val="18"/>
          <w:lang w:val="it-IT"/>
        </w:rPr>
        <w:t xml:space="preserve">della </w:t>
      </w:r>
      <w:proofErr w:type="spellStart"/>
      <w:r w:rsidR="00CD653B" w:rsidRPr="00203059">
        <w:rPr>
          <w:rFonts w:ascii="Palatino Linotype" w:hAnsi="Palatino Linotype"/>
          <w:i/>
          <w:iCs/>
          <w:color w:val="0070C0"/>
          <w:sz w:val="18"/>
          <w:szCs w:val="18"/>
          <w:lang w:val="it-IT"/>
        </w:rPr>
        <w:t>homilia</w:t>
      </w:r>
      <w:proofErr w:type="spellEnd"/>
      <w:r w:rsidR="00CD653B" w:rsidRPr="00203059">
        <w:rPr>
          <w:rFonts w:ascii="Palatino Linotype" w:hAnsi="Palatino Linotype"/>
          <w:i/>
          <w:iCs/>
          <w:color w:val="0070C0"/>
          <w:sz w:val="18"/>
          <w:szCs w:val="18"/>
          <w:lang w:val="it-IT"/>
        </w:rPr>
        <w:t xml:space="preserve"> in </w:t>
      </w:r>
      <w:proofErr w:type="spellStart"/>
      <w:r w:rsidR="00CD653B" w:rsidRPr="00203059">
        <w:rPr>
          <w:rFonts w:ascii="Palatino Linotype" w:hAnsi="Palatino Linotype"/>
          <w:i/>
          <w:iCs/>
          <w:color w:val="0070C0"/>
          <w:sz w:val="18"/>
          <w:szCs w:val="18"/>
          <w:lang w:val="it-IT"/>
        </w:rPr>
        <w:t>occursum</w:t>
      </w:r>
      <w:proofErr w:type="spellEnd"/>
      <w:r w:rsidR="00CD653B" w:rsidRPr="00203059">
        <w:rPr>
          <w:rFonts w:ascii="Palatino Linotype" w:hAnsi="Palatino Linotype"/>
          <w:i/>
          <w:iCs/>
          <w:color w:val="0070C0"/>
          <w:sz w:val="18"/>
          <w:szCs w:val="18"/>
          <w:lang w:val="it-IT"/>
        </w:rPr>
        <w:t xml:space="preserve"> Domini</w:t>
      </w:r>
      <w:r w:rsidR="00AE5862" w:rsidRPr="00203059">
        <w:rPr>
          <w:rFonts w:ascii="Palatino Linotype" w:hAnsi="Palatino Linotype"/>
          <w:color w:val="0070C0"/>
          <w:sz w:val="18"/>
          <w:szCs w:val="18"/>
          <w:lang w:val="it-IT"/>
        </w:rPr>
        <w:t>, attribuita a</w:t>
      </w:r>
      <w:r w:rsidR="00CD653B" w:rsidRPr="00203059">
        <w:rPr>
          <w:rFonts w:ascii="Palatino Linotype" w:hAnsi="Palatino Linotype"/>
          <w:color w:val="0070C0"/>
          <w:sz w:val="18"/>
          <w:szCs w:val="18"/>
          <w:lang w:val="it-IT"/>
        </w:rPr>
        <w:t xml:space="preserve"> Cirillo di Gerusalemme</w:t>
      </w:r>
      <w:r w:rsidR="00AE5862" w:rsidRPr="00203059">
        <w:rPr>
          <w:rFonts w:ascii="Palatino Linotype" w:hAnsi="Palatino Linotype"/>
          <w:color w:val="0070C0"/>
          <w:sz w:val="18"/>
          <w:szCs w:val="18"/>
          <w:lang w:val="it-IT"/>
        </w:rPr>
        <w:t xml:space="preserve">. </w:t>
      </w:r>
      <w:r w:rsidR="00652341" w:rsidRPr="00203059">
        <w:rPr>
          <w:rFonts w:ascii="Palatino Linotype" w:hAnsi="Palatino Linotype"/>
          <w:color w:val="0070C0"/>
          <w:sz w:val="18"/>
          <w:szCs w:val="18"/>
          <w:lang w:val="it-IT"/>
        </w:rPr>
        <w:t xml:space="preserve">Nella tradizione ortodossa è noto anche come </w:t>
      </w:r>
      <w:proofErr w:type="spellStart"/>
      <w:r w:rsidR="00652341" w:rsidRPr="00203059">
        <w:rPr>
          <w:rFonts w:ascii="Palatino Linotype" w:eastAsia="Times New Roman" w:hAnsi="Palatino Linotype" w:cs="Arial"/>
          <w:color w:val="0070C0"/>
          <w:sz w:val="18"/>
          <w:szCs w:val="18"/>
          <w:shd w:val="clear" w:color="auto" w:fill="FFFFFF"/>
          <w:lang w:val="it-IT" w:eastAsia="it-IT"/>
        </w:rPr>
        <w:t>Симеон</w:t>
      </w:r>
      <w:proofErr w:type="spellEnd"/>
      <w:r w:rsidR="00652341" w:rsidRPr="00203059">
        <w:rPr>
          <w:rFonts w:ascii="Palatino Linotype" w:eastAsia="Times New Roman" w:hAnsi="Palatino Linotype" w:cs="Arial"/>
          <w:color w:val="0070C0"/>
          <w:sz w:val="18"/>
          <w:szCs w:val="18"/>
          <w:shd w:val="clear" w:color="auto" w:fill="FFFFFF"/>
          <w:lang w:val="it-IT" w:eastAsia="it-IT"/>
        </w:rPr>
        <w:t xml:space="preserve"> </w:t>
      </w:r>
      <w:proofErr w:type="spellStart"/>
      <w:r w:rsidR="00652341" w:rsidRPr="00203059">
        <w:rPr>
          <w:rFonts w:ascii="Palatino Linotype" w:eastAsia="Times New Roman" w:hAnsi="Palatino Linotype" w:cs="Arial"/>
          <w:color w:val="0070C0"/>
          <w:sz w:val="18"/>
          <w:szCs w:val="18"/>
          <w:shd w:val="clear" w:color="auto" w:fill="FFFFFF"/>
          <w:lang w:val="it-IT" w:eastAsia="it-IT"/>
        </w:rPr>
        <w:t>Богоприимец</w:t>
      </w:r>
      <w:proofErr w:type="spellEnd"/>
      <w:r w:rsidR="00652341" w:rsidRPr="00203059">
        <w:rPr>
          <w:rFonts w:ascii="Palatino Linotype" w:eastAsia="Times New Roman" w:hAnsi="Palatino Linotype" w:cs="Arial"/>
          <w:color w:val="0070C0"/>
          <w:sz w:val="18"/>
          <w:szCs w:val="18"/>
          <w:shd w:val="clear" w:color="auto" w:fill="FFFFFF"/>
          <w:lang w:val="it-IT" w:eastAsia="it-IT"/>
        </w:rPr>
        <w:t xml:space="preserve">, traduzione russa di </w:t>
      </w:r>
      <w:proofErr w:type="spellStart"/>
      <w:r w:rsidR="00652341" w:rsidRPr="00203059">
        <w:rPr>
          <w:rFonts w:ascii="Palatino Linotype" w:eastAsia="Times New Roman" w:hAnsi="Palatino Linotype" w:cs="Arial"/>
          <w:color w:val="0070C0"/>
          <w:sz w:val="18"/>
          <w:szCs w:val="18"/>
          <w:shd w:val="clear" w:color="auto" w:fill="FFFFFF"/>
          <w:lang w:val="el-GR" w:eastAsia="it-IT"/>
        </w:rPr>
        <w:t>θεοδόχος</w:t>
      </w:r>
      <w:proofErr w:type="spellEnd"/>
      <w:r w:rsidR="00652341" w:rsidRPr="00203059">
        <w:rPr>
          <w:rFonts w:ascii="Palatino Linotype" w:eastAsia="Times New Roman" w:hAnsi="Palatino Linotype" w:cs="Arial"/>
          <w:color w:val="0070C0"/>
          <w:sz w:val="18"/>
          <w:szCs w:val="18"/>
          <w:shd w:val="clear" w:color="auto" w:fill="FFFFFF"/>
          <w:lang w:val="it-IT" w:eastAsia="it-IT"/>
        </w:rPr>
        <w:t>.</w:t>
      </w:r>
      <w:r w:rsidR="00652341">
        <w:rPr>
          <w:rFonts w:ascii="Palatino Linotype" w:hAnsi="Palatino Linotype"/>
          <w:color w:val="0070C0"/>
          <w:sz w:val="18"/>
          <w:szCs w:val="18"/>
          <w:lang w:val="it-IT"/>
        </w:rPr>
        <w:t xml:space="preserve"> </w:t>
      </w:r>
      <w:r w:rsidRPr="00203059">
        <w:rPr>
          <w:rFonts w:ascii="Palatino Linotype" w:hAnsi="Palatino Linotype"/>
          <w:color w:val="0070C0"/>
          <w:sz w:val="18"/>
          <w:szCs w:val="18"/>
        </w:rPr>
        <w:t>San Simeone</w:t>
      </w:r>
      <w:r w:rsidR="00652341">
        <w:rPr>
          <w:rFonts w:ascii="Palatino Linotype" w:hAnsi="Palatino Linotype"/>
          <w:color w:val="0070C0"/>
          <w:sz w:val="18"/>
          <w:szCs w:val="18"/>
        </w:rPr>
        <w:t xml:space="preserve"> </w:t>
      </w:r>
      <w:proofErr w:type="spellStart"/>
      <w:r w:rsidR="00652341">
        <w:rPr>
          <w:rFonts w:ascii="Palatino Linotype" w:hAnsi="Palatino Linotype"/>
          <w:color w:val="0070C0"/>
          <w:sz w:val="18"/>
          <w:szCs w:val="18"/>
        </w:rPr>
        <w:t>il</w:t>
      </w:r>
      <w:proofErr w:type="spellEnd"/>
      <w:r w:rsidR="00652341">
        <w:rPr>
          <w:rFonts w:ascii="Palatino Linotype" w:hAnsi="Palatino Linotype"/>
          <w:color w:val="0070C0"/>
          <w:sz w:val="18"/>
          <w:szCs w:val="18"/>
        </w:rPr>
        <w:t xml:space="preserve"> Vecchio</w:t>
      </w:r>
      <w:r w:rsidRPr="00203059">
        <w:rPr>
          <w:rFonts w:ascii="Palatino Linotype" w:hAnsi="Palatino Linotype"/>
          <w:color w:val="0070C0"/>
          <w:sz w:val="18"/>
          <w:szCs w:val="18"/>
        </w:rPr>
        <w:t xml:space="preserve"> </w:t>
      </w:r>
      <w:proofErr w:type="spellStart"/>
      <w:r w:rsidR="00CE3174" w:rsidRPr="00203059">
        <w:rPr>
          <w:rFonts w:ascii="Palatino Linotype" w:hAnsi="Palatino Linotype"/>
          <w:color w:val="0070C0"/>
          <w:sz w:val="18"/>
          <w:szCs w:val="18"/>
        </w:rPr>
        <w:t>sarebbe</w:t>
      </w:r>
      <w:proofErr w:type="spellEnd"/>
      <w:r w:rsidR="00CE3174" w:rsidRPr="00203059">
        <w:rPr>
          <w:rFonts w:ascii="Palatino Linotype" w:hAnsi="Palatino Linotype"/>
          <w:color w:val="0070C0"/>
          <w:sz w:val="18"/>
          <w:szCs w:val="18"/>
        </w:rPr>
        <w:t xml:space="preserve"> </w:t>
      </w:r>
      <w:proofErr w:type="spellStart"/>
      <w:r w:rsidR="00CE3174" w:rsidRPr="00203059">
        <w:rPr>
          <w:rFonts w:ascii="Palatino Linotype" w:hAnsi="Palatino Linotype"/>
          <w:color w:val="0070C0"/>
          <w:sz w:val="18"/>
          <w:szCs w:val="18"/>
        </w:rPr>
        <w:t>diventato</w:t>
      </w:r>
      <w:proofErr w:type="spellEnd"/>
      <w:r w:rsidR="00CE3174" w:rsidRPr="00203059">
        <w:rPr>
          <w:rFonts w:ascii="Palatino Linotype" w:hAnsi="Palatino Linotype"/>
          <w:color w:val="0070C0"/>
          <w:sz w:val="18"/>
          <w:szCs w:val="18"/>
        </w:rPr>
        <w:t xml:space="preserve"> </w:t>
      </w:r>
      <w:proofErr w:type="spellStart"/>
      <w:r w:rsidRPr="00203059">
        <w:rPr>
          <w:rFonts w:ascii="Palatino Linotype" w:hAnsi="Palatino Linotype"/>
          <w:color w:val="0070C0"/>
          <w:sz w:val="18"/>
          <w:szCs w:val="18"/>
        </w:rPr>
        <w:t>il</w:t>
      </w:r>
      <w:proofErr w:type="spellEnd"/>
      <w:r w:rsidRPr="00203059">
        <w:rPr>
          <w:rFonts w:ascii="Palatino Linotype" w:hAnsi="Palatino Linotype"/>
          <w:color w:val="0070C0"/>
          <w:sz w:val="18"/>
          <w:szCs w:val="18"/>
        </w:rPr>
        <w:t xml:space="preserve"> </w:t>
      </w:r>
      <w:r w:rsidRPr="00203059">
        <w:rPr>
          <w:rFonts w:ascii="Palatino Linotype" w:hAnsi="Palatino Linotype"/>
          <w:color w:val="0070C0"/>
          <w:sz w:val="18"/>
          <w:szCs w:val="18"/>
          <w:lang w:val="it-IT"/>
        </w:rPr>
        <w:t xml:space="preserve">patrono di Zara, </w:t>
      </w:r>
      <w:r w:rsidR="00CE3174" w:rsidRPr="00203059">
        <w:rPr>
          <w:rFonts w:ascii="Palatino Linotype" w:hAnsi="Palatino Linotype"/>
          <w:color w:val="0070C0"/>
          <w:sz w:val="18"/>
          <w:szCs w:val="18"/>
          <w:lang w:val="it-IT"/>
        </w:rPr>
        <w:t xml:space="preserve">che vanta di conservarne le spoglie, ma secondo un’altra tradizione </w:t>
      </w:r>
      <w:r w:rsidRPr="00203059">
        <w:rPr>
          <w:rFonts w:ascii="Palatino Linotype" w:hAnsi="Palatino Linotype"/>
          <w:color w:val="0070C0"/>
          <w:sz w:val="18"/>
          <w:szCs w:val="18"/>
          <w:lang w:val="it-IT"/>
        </w:rPr>
        <w:t xml:space="preserve">le </w:t>
      </w:r>
      <w:r w:rsidR="00CE3174" w:rsidRPr="00203059">
        <w:rPr>
          <w:rFonts w:ascii="Palatino Linotype" w:hAnsi="Palatino Linotype"/>
          <w:color w:val="0070C0"/>
          <w:sz w:val="18"/>
          <w:szCs w:val="18"/>
          <w:lang w:val="it-IT"/>
        </w:rPr>
        <w:t>sue</w:t>
      </w:r>
      <w:r w:rsidRPr="00203059">
        <w:rPr>
          <w:rFonts w:ascii="Palatino Linotype" w:hAnsi="Palatino Linotype"/>
          <w:color w:val="0070C0"/>
          <w:sz w:val="18"/>
          <w:szCs w:val="18"/>
          <w:lang w:val="it-IT"/>
        </w:rPr>
        <w:t xml:space="preserve"> reliquie dai tempi della Quarta Crociata sono conservate nell</w:t>
      </w:r>
      <w:r w:rsidR="00652341">
        <w:rPr>
          <w:rFonts w:ascii="Palatino Linotype" w:hAnsi="Palatino Linotype"/>
          <w:color w:val="0070C0"/>
          <w:sz w:val="18"/>
          <w:szCs w:val="18"/>
          <w:lang w:val="it-IT"/>
        </w:rPr>
        <w:t>’omonima</w:t>
      </w:r>
      <w:r w:rsidRPr="00203059">
        <w:rPr>
          <w:rFonts w:ascii="Palatino Linotype" w:hAnsi="Palatino Linotype"/>
          <w:color w:val="0070C0"/>
          <w:sz w:val="18"/>
          <w:szCs w:val="18"/>
          <w:lang w:val="it-IT"/>
        </w:rPr>
        <w:t xml:space="preserve"> chiesa veneziana</w:t>
      </w:r>
      <w:r w:rsidR="00CE3174" w:rsidRPr="00203059">
        <w:rPr>
          <w:rFonts w:ascii="Palatino Linotype" w:hAnsi="Palatino Linotype"/>
          <w:color w:val="0070C0"/>
          <w:sz w:val="18"/>
          <w:szCs w:val="18"/>
          <w:lang w:val="it-IT"/>
        </w:rPr>
        <w:t>.</w:t>
      </w:r>
      <w:r w:rsidR="00DA4BF9" w:rsidRPr="00203059">
        <w:rPr>
          <w:rFonts w:ascii="Palatino Linotype" w:hAnsi="Palatino Linotype"/>
          <w:color w:val="0070C0"/>
          <w:sz w:val="18"/>
          <w:szCs w:val="18"/>
          <w:lang w:val="it-IT"/>
        </w:rPr>
        <w:t xml:space="preserve"> </w:t>
      </w:r>
      <w:r w:rsidR="00395C7F" w:rsidRPr="00203059">
        <w:rPr>
          <w:rFonts w:ascii="Palatino Linotype" w:eastAsia="Times New Roman" w:hAnsi="Palatino Linotype" w:cs="Arial"/>
          <w:color w:val="0070C0"/>
          <w:sz w:val="18"/>
          <w:szCs w:val="18"/>
          <w:shd w:val="clear" w:color="auto" w:fill="FFFFFF"/>
          <w:lang w:val="it-IT" w:eastAsia="it-IT"/>
        </w:rPr>
        <w:t xml:space="preserve">Su Simeone il Vecchio, vedi anche </w:t>
      </w:r>
      <w:proofErr w:type="spellStart"/>
      <w:r w:rsidR="00395C7F" w:rsidRPr="00203059">
        <w:rPr>
          <w:rFonts w:ascii="Palatino Linotype" w:eastAsia="Times New Roman" w:hAnsi="Palatino Linotype" w:cs="Arial"/>
          <w:color w:val="0070C0"/>
          <w:sz w:val="18"/>
          <w:szCs w:val="18"/>
          <w:shd w:val="clear" w:color="auto" w:fill="FFFFFF"/>
          <w:lang w:val="it-IT" w:eastAsia="it-IT"/>
        </w:rPr>
        <w:t>Frenschkowski</w:t>
      </w:r>
      <w:proofErr w:type="spellEnd"/>
      <w:r w:rsidR="00395C7F" w:rsidRPr="00203059">
        <w:rPr>
          <w:rFonts w:ascii="Palatino Linotype" w:eastAsia="Times New Roman" w:hAnsi="Palatino Linotype" w:cs="Arial"/>
          <w:color w:val="0070C0"/>
          <w:sz w:val="18"/>
          <w:szCs w:val="18"/>
          <w:shd w:val="clear" w:color="auto" w:fill="FFFFFF"/>
          <w:lang w:val="it-IT" w:eastAsia="it-IT"/>
        </w:rPr>
        <w:t xml:space="preserve"> 1995.</w:t>
      </w:r>
      <w:r w:rsidR="00395C7F">
        <w:rPr>
          <w:rFonts w:eastAsia="Times New Roman" w:cs="Arial"/>
          <w:color w:val="0070C0"/>
          <w:shd w:val="clear" w:color="auto" w:fill="FFFFFF"/>
          <w:lang w:val="it-IT" w:eastAsia="it-I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C7898"/>
    <w:multiLevelType w:val="multilevel"/>
    <w:tmpl w:val="8082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9B4513"/>
    <w:multiLevelType w:val="hybridMultilevel"/>
    <w:tmpl w:val="89D667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F5826BF"/>
    <w:multiLevelType w:val="hybridMultilevel"/>
    <w:tmpl w:val="B8982A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62"/>
    <w:rsid w:val="000226EE"/>
    <w:rsid w:val="00034CDB"/>
    <w:rsid w:val="000409F6"/>
    <w:rsid w:val="00044672"/>
    <w:rsid w:val="00045682"/>
    <w:rsid w:val="0005309E"/>
    <w:rsid w:val="0005670A"/>
    <w:rsid w:val="0007452E"/>
    <w:rsid w:val="00095272"/>
    <w:rsid w:val="000962B7"/>
    <w:rsid w:val="000A05EB"/>
    <w:rsid w:val="000A0C9B"/>
    <w:rsid w:val="000B24DD"/>
    <w:rsid w:val="000B62E3"/>
    <w:rsid w:val="000B7327"/>
    <w:rsid w:val="000C012F"/>
    <w:rsid w:val="000D1281"/>
    <w:rsid w:val="000D5362"/>
    <w:rsid w:val="000E3849"/>
    <w:rsid w:val="000E3887"/>
    <w:rsid w:val="000E79EB"/>
    <w:rsid w:val="000F6B35"/>
    <w:rsid w:val="000F6DDD"/>
    <w:rsid w:val="001034CF"/>
    <w:rsid w:val="00111033"/>
    <w:rsid w:val="00111BBB"/>
    <w:rsid w:val="00113193"/>
    <w:rsid w:val="00120402"/>
    <w:rsid w:val="00137027"/>
    <w:rsid w:val="00143E68"/>
    <w:rsid w:val="00152C54"/>
    <w:rsid w:val="00160D3F"/>
    <w:rsid w:val="001B5F30"/>
    <w:rsid w:val="001D3A32"/>
    <w:rsid w:val="00200D35"/>
    <w:rsid w:val="00203059"/>
    <w:rsid w:val="00213B3C"/>
    <w:rsid w:val="002204A3"/>
    <w:rsid w:val="00231576"/>
    <w:rsid w:val="00233C5B"/>
    <w:rsid w:val="0023456E"/>
    <w:rsid w:val="00237B87"/>
    <w:rsid w:val="00246605"/>
    <w:rsid w:val="00263B1A"/>
    <w:rsid w:val="00264D22"/>
    <w:rsid w:val="002B1792"/>
    <w:rsid w:val="002B30E7"/>
    <w:rsid w:val="002B6E08"/>
    <w:rsid w:val="002C5CC2"/>
    <w:rsid w:val="002D2812"/>
    <w:rsid w:val="002D6A83"/>
    <w:rsid w:val="002E1719"/>
    <w:rsid w:val="002E6B16"/>
    <w:rsid w:val="002F0C73"/>
    <w:rsid w:val="002F3A4B"/>
    <w:rsid w:val="002F4B8C"/>
    <w:rsid w:val="002F4F9A"/>
    <w:rsid w:val="002F6044"/>
    <w:rsid w:val="00303278"/>
    <w:rsid w:val="00305FEA"/>
    <w:rsid w:val="00307EE1"/>
    <w:rsid w:val="00340D84"/>
    <w:rsid w:val="00353914"/>
    <w:rsid w:val="003619C0"/>
    <w:rsid w:val="00362F7F"/>
    <w:rsid w:val="00364C3E"/>
    <w:rsid w:val="00367BC7"/>
    <w:rsid w:val="003736D4"/>
    <w:rsid w:val="00384CA6"/>
    <w:rsid w:val="003915C5"/>
    <w:rsid w:val="00395C7F"/>
    <w:rsid w:val="003A24FF"/>
    <w:rsid w:val="003A7D1C"/>
    <w:rsid w:val="003B494A"/>
    <w:rsid w:val="003B4C9C"/>
    <w:rsid w:val="003E09DB"/>
    <w:rsid w:val="003E0A25"/>
    <w:rsid w:val="003E1169"/>
    <w:rsid w:val="00400FA2"/>
    <w:rsid w:val="0040696C"/>
    <w:rsid w:val="00413D26"/>
    <w:rsid w:val="00422325"/>
    <w:rsid w:val="00451DCD"/>
    <w:rsid w:val="0045557C"/>
    <w:rsid w:val="00473600"/>
    <w:rsid w:val="004769ED"/>
    <w:rsid w:val="00481D03"/>
    <w:rsid w:val="0049053C"/>
    <w:rsid w:val="004929E0"/>
    <w:rsid w:val="004B225E"/>
    <w:rsid w:val="004B377C"/>
    <w:rsid w:val="004D018E"/>
    <w:rsid w:val="004D12C0"/>
    <w:rsid w:val="004D1930"/>
    <w:rsid w:val="00513147"/>
    <w:rsid w:val="0052487F"/>
    <w:rsid w:val="00524ACB"/>
    <w:rsid w:val="0053481C"/>
    <w:rsid w:val="005428BD"/>
    <w:rsid w:val="00556BBC"/>
    <w:rsid w:val="00561EDB"/>
    <w:rsid w:val="00584683"/>
    <w:rsid w:val="00592E9D"/>
    <w:rsid w:val="005A6410"/>
    <w:rsid w:val="005B59F1"/>
    <w:rsid w:val="005C132C"/>
    <w:rsid w:val="005C2977"/>
    <w:rsid w:val="005E3064"/>
    <w:rsid w:val="005F2AC6"/>
    <w:rsid w:val="00604B01"/>
    <w:rsid w:val="0061338D"/>
    <w:rsid w:val="006158BF"/>
    <w:rsid w:val="00621962"/>
    <w:rsid w:val="00624738"/>
    <w:rsid w:val="00631B8D"/>
    <w:rsid w:val="006320D4"/>
    <w:rsid w:val="00636B59"/>
    <w:rsid w:val="00643635"/>
    <w:rsid w:val="00652341"/>
    <w:rsid w:val="0065257D"/>
    <w:rsid w:val="00654550"/>
    <w:rsid w:val="00665647"/>
    <w:rsid w:val="00676112"/>
    <w:rsid w:val="00684C17"/>
    <w:rsid w:val="00690B9B"/>
    <w:rsid w:val="006A56B8"/>
    <w:rsid w:val="006C1383"/>
    <w:rsid w:val="006E615A"/>
    <w:rsid w:val="0070272F"/>
    <w:rsid w:val="007163A7"/>
    <w:rsid w:val="0072300F"/>
    <w:rsid w:val="00727AFB"/>
    <w:rsid w:val="007376D3"/>
    <w:rsid w:val="0075741C"/>
    <w:rsid w:val="007778EB"/>
    <w:rsid w:val="007C00CE"/>
    <w:rsid w:val="007C1D9B"/>
    <w:rsid w:val="007F6DFD"/>
    <w:rsid w:val="00804E79"/>
    <w:rsid w:val="008053D6"/>
    <w:rsid w:val="00812F22"/>
    <w:rsid w:val="00814D52"/>
    <w:rsid w:val="00823E23"/>
    <w:rsid w:val="0083084E"/>
    <w:rsid w:val="00836D4E"/>
    <w:rsid w:val="00846E1F"/>
    <w:rsid w:val="00847AE0"/>
    <w:rsid w:val="00876E1E"/>
    <w:rsid w:val="008829DD"/>
    <w:rsid w:val="008D44BB"/>
    <w:rsid w:val="008D69E2"/>
    <w:rsid w:val="008E7763"/>
    <w:rsid w:val="008F2508"/>
    <w:rsid w:val="00926EFB"/>
    <w:rsid w:val="00941EEA"/>
    <w:rsid w:val="00941F6E"/>
    <w:rsid w:val="00947822"/>
    <w:rsid w:val="00951193"/>
    <w:rsid w:val="00951471"/>
    <w:rsid w:val="0096531D"/>
    <w:rsid w:val="00983F5E"/>
    <w:rsid w:val="00985A47"/>
    <w:rsid w:val="009944C4"/>
    <w:rsid w:val="009A3807"/>
    <w:rsid w:val="009B319D"/>
    <w:rsid w:val="009B629D"/>
    <w:rsid w:val="009B767C"/>
    <w:rsid w:val="009C1206"/>
    <w:rsid w:val="009C5248"/>
    <w:rsid w:val="009C5D41"/>
    <w:rsid w:val="009C63B1"/>
    <w:rsid w:val="009E215F"/>
    <w:rsid w:val="00A25CF6"/>
    <w:rsid w:val="00A3250E"/>
    <w:rsid w:val="00A37433"/>
    <w:rsid w:val="00A51439"/>
    <w:rsid w:val="00A54072"/>
    <w:rsid w:val="00A555D7"/>
    <w:rsid w:val="00A709DB"/>
    <w:rsid w:val="00A72993"/>
    <w:rsid w:val="00A75DBA"/>
    <w:rsid w:val="00A93009"/>
    <w:rsid w:val="00A970E2"/>
    <w:rsid w:val="00A97FD2"/>
    <w:rsid w:val="00AA1846"/>
    <w:rsid w:val="00AA2F6D"/>
    <w:rsid w:val="00AB0BB4"/>
    <w:rsid w:val="00AC241C"/>
    <w:rsid w:val="00AC26E8"/>
    <w:rsid w:val="00AC40CF"/>
    <w:rsid w:val="00AC63A0"/>
    <w:rsid w:val="00AE5862"/>
    <w:rsid w:val="00B02BDE"/>
    <w:rsid w:val="00B056DC"/>
    <w:rsid w:val="00B07A3A"/>
    <w:rsid w:val="00B2019C"/>
    <w:rsid w:val="00B2215B"/>
    <w:rsid w:val="00B455CF"/>
    <w:rsid w:val="00B61748"/>
    <w:rsid w:val="00BA002E"/>
    <w:rsid w:val="00BA07B5"/>
    <w:rsid w:val="00BB2FB2"/>
    <w:rsid w:val="00BC4305"/>
    <w:rsid w:val="00BE6A71"/>
    <w:rsid w:val="00BF3BA6"/>
    <w:rsid w:val="00BF65C6"/>
    <w:rsid w:val="00C03C4E"/>
    <w:rsid w:val="00C32660"/>
    <w:rsid w:val="00C35980"/>
    <w:rsid w:val="00C57E44"/>
    <w:rsid w:val="00C67BB9"/>
    <w:rsid w:val="00C71D74"/>
    <w:rsid w:val="00C92FB7"/>
    <w:rsid w:val="00CD33BA"/>
    <w:rsid w:val="00CD4A54"/>
    <w:rsid w:val="00CD653B"/>
    <w:rsid w:val="00CE3174"/>
    <w:rsid w:val="00CF3770"/>
    <w:rsid w:val="00CF5F20"/>
    <w:rsid w:val="00D04B96"/>
    <w:rsid w:val="00D462B6"/>
    <w:rsid w:val="00D558AC"/>
    <w:rsid w:val="00D55F91"/>
    <w:rsid w:val="00D72A45"/>
    <w:rsid w:val="00D73277"/>
    <w:rsid w:val="00D827FA"/>
    <w:rsid w:val="00D85695"/>
    <w:rsid w:val="00D873AD"/>
    <w:rsid w:val="00D90F24"/>
    <w:rsid w:val="00DA4BF9"/>
    <w:rsid w:val="00DA7487"/>
    <w:rsid w:val="00DC492E"/>
    <w:rsid w:val="00DC7281"/>
    <w:rsid w:val="00DE0173"/>
    <w:rsid w:val="00DF0A03"/>
    <w:rsid w:val="00DF7A46"/>
    <w:rsid w:val="00E0463E"/>
    <w:rsid w:val="00E342EE"/>
    <w:rsid w:val="00E3545F"/>
    <w:rsid w:val="00E443B4"/>
    <w:rsid w:val="00E47113"/>
    <w:rsid w:val="00E5134A"/>
    <w:rsid w:val="00E55896"/>
    <w:rsid w:val="00E94BD7"/>
    <w:rsid w:val="00EB55B3"/>
    <w:rsid w:val="00EC33FA"/>
    <w:rsid w:val="00EE021B"/>
    <w:rsid w:val="00EE6CD5"/>
    <w:rsid w:val="00F06355"/>
    <w:rsid w:val="00F12171"/>
    <w:rsid w:val="00F135D9"/>
    <w:rsid w:val="00F228D2"/>
    <w:rsid w:val="00F24E71"/>
    <w:rsid w:val="00F25819"/>
    <w:rsid w:val="00F269F2"/>
    <w:rsid w:val="00F3208D"/>
    <w:rsid w:val="00F4239E"/>
    <w:rsid w:val="00F47F99"/>
    <w:rsid w:val="00F661AB"/>
    <w:rsid w:val="00F70FA0"/>
    <w:rsid w:val="00F715C7"/>
    <w:rsid w:val="00F83FD7"/>
    <w:rsid w:val="00F852F8"/>
    <w:rsid w:val="00FA478C"/>
    <w:rsid w:val="00FC1275"/>
    <w:rsid w:val="00FC42C5"/>
    <w:rsid w:val="00FE1DFA"/>
    <w:rsid w:val="00FE2DF4"/>
    <w:rsid w:val="00FE4948"/>
    <w:rsid w:val="00FE67E6"/>
    <w:rsid w:val="00FF6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6212"/>
  <w15:chartTrackingRefBased/>
  <w15:docId w15:val="{84314F4F-3458-4DD0-A9E6-E275718A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219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219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21962"/>
    <w:rPr>
      <w:sz w:val="20"/>
      <w:szCs w:val="20"/>
    </w:rPr>
  </w:style>
  <w:style w:type="character" w:styleId="Rimandonotaapidipagina">
    <w:name w:val="footnote reference"/>
    <w:basedOn w:val="Carpredefinitoparagrafo"/>
    <w:uiPriority w:val="99"/>
    <w:semiHidden/>
    <w:unhideWhenUsed/>
    <w:rsid w:val="00621962"/>
    <w:rPr>
      <w:vertAlign w:val="superscript"/>
    </w:rPr>
  </w:style>
  <w:style w:type="paragraph" w:styleId="Nessunaspaziatura">
    <w:name w:val="No Spacing"/>
    <w:uiPriority w:val="1"/>
    <w:qFormat/>
    <w:rsid w:val="00592E9D"/>
    <w:pPr>
      <w:spacing w:after="0" w:line="240" w:lineRule="auto"/>
    </w:pPr>
  </w:style>
  <w:style w:type="character" w:customStyle="1" w:styleId="apple-converted-space">
    <w:name w:val="apple-converted-space"/>
    <w:basedOn w:val="Carpredefinitoparagrafo"/>
    <w:rsid w:val="00D72A45"/>
  </w:style>
  <w:style w:type="character" w:customStyle="1" w:styleId="hi1">
    <w:name w:val="hi1"/>
    <w:basedOn w:val="Carpredefinitoparagrafo"/>
    <w:rsid w:val="00D72A45"/>
  </w:style>
  <w:style w:type="character" w:customStyle="1" w:styleId="citright">
    <w:name w:val="citright"/>
    <w:basedOn w:val="Carpredefinitoparagrafo"/>
    <w:rsid w:val="00C71D74"/>
  </w:style>
  <w:style w:type="character" w:customStyle="1" w:styleId="escape">
    <w:name w:val="escape"/>
    <w:basedOn w:val="Carpredefinitoparagrafo"/>
    <w:rsid w:val="00C71D74"/>
  </w:style>
  <w:style w:type="character" w:customStyle="1" w:styleId="city">
    <w:name w:val="city"/>
    <w:basedOn w:val="Carpredefinitoparagrafo"/>
    <w:rsid w:val="00C71D74"/>
  </w:style>
  <w:style w:type="character" w:styleId="Collegamentoipertestuale">
    <w:name w:val="Hyperlink"/>
    <w:basedOn w:val="Carpredefinitoparagrafo"/>
    <w:uiPriority w:val="99"/>
    <w:semiHidden/>
    <w:unhideWhenUsed/>
    <w:rsid w:val="00395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68687">
      <w:bodyDiv w:val="1"/>
      <w:marLeft w:val="0"/>
      <w:marRight w:val="0"/>
      <w:marTop w:val="0"/>
      <w:marBottom w:val="0"/>
      <w:divBdr>
        <w:top w:val="none" w:sz="0" w:space="0" w:color="auto"/>
        <w:left w:val="none" w:sz="0" w:space="0" w:color="auto"/>
        <w:bottom w:val="none" w:sz="0" w:space="0" w:color="auto"/>
        <w:right w:val="none" w:sz="0" w:space="0" w:color="auto"/>
      </w:divBdr>
    </w:div>
    <w:div w:id="714082877">
      <w:bodyDiv w:val="1"/>
      <w:marLeft w:val="0"/>
      <w:marRight w:val="0"/>
      <w:marTop w:val="0"/>
      <w:marBottom w:val="0"/>
      <w:divBdr>
        <w:top w:val="none" w:sz="0" w:space="0" w:color="auto"/>
        <w:left w:val="none" w:sz="0" w:space="0" w:color="auto"/>
        <w:bottom w:val="none" w:sz="0" w:space="0" w:color="auto"/>
        <w:right w:val="none" w:sz="0" w:space="0" w:color="auto"/>
      </w:divBdr>
    </w:div>
    <w:div w:id="919632807">
      <w:bodyDiv w:val="1"/>
      <w:marLeft w:val="0"/>
      <w:marRight w:val="0"/>
      <w:marTop w:val="0"/>
      <w:marBottom w:val="0"/>
      <w:divBdr>
        <w:top w:val="none" w:sz="0" w:space="0" w:color="auto"/>
        <w:left w:val="none" w:sz="0" w:space="0" w:color="auto"/>
        <w:bottom w:val="none" w:sz="0" w:space="0" w:color="auto"/>
        <w:right w:val="none" w:sz="0" w:space="0" w:color="auto"/>
      </w:divBdr>
    </w:div>
    <w:div w:id="1145317515">
      <w:bodyDiv w:val="1"/>
      <w:marLeft w:val="0"/>
      <w:marRight w:val="0"/>
      <w:marTop w:val="0"/>
      <w:marBottom w:val="0"/>
      <w:divBdr>
        <w:top w:val="none" w:sz="0" w:space="0" w:color="auto"/>
        <w:left w:val="none" w:sz="0" w:space="0" w:color="auto"/>
        <w:bottom w:val="none" w:sz="0" w:space="0" w:color="auto"/>
        <w:right w:val="none" w:sz="0" w:space="0" w:color="auto"/>
      </w:divBdr>
    </w:div>
    <w:div w:id="1154761890">
      <w:bodyDiv w:val="1"/>
      <w:marLeft w:val="0"/>
      <w:marRight w:val="0"/>
      <w:marTop w:val="0"/>
      <w:marBottom w:val="0"/>
      <w:divBdr>
        <w:top w:val="none" w:sz="0" w:space="0" w:color="auto"/>
        <w:left w:val="none" w:sz="0" w:space="0" w:color="auto"/>
        <w:bottom w:val="none" w:sz="0" w:space="0" w:color="auto"/>
        <w:right w:val="none" w:sz="0" w:space="0" w:color="auto"/>
      </w:divBdr>
    </w:div>
    <w:div w:id="1525172994">
      <w:bodyDiv w:val="1"/>
      <w:marLeft w:val="0"/>
      <w:marRight w:val="0"/>
      <w:marTop w:val="0"/>
      <w:marBottom w:val="0"/>
      <w:divBdr>
        <w:top w:val="none" w:sz="0" w:space="0" w:color="auto"/>
        <w:left w:val="none" w:sz="0" w:space="0" w:color="auto"/>
        <w:bottom w:val="none" w:sz="0" w:space="0" w:color="auto"/>
        <w:right w:val="none" w:sz="0" w:space="0" w:color="auto"/>
      </w:divBdr>
    </w:div>
    <w:div w:id="1618413569">
      <w:bodyDiv w:val="1"/>
      <w:marLeft w:val="0"/>
      <w:marRight w:val="0"/>
      <w:marTop w:val="0"/>
      <w:marBottom w:val="0"/>
      <w:divBdr>
        <w:top w:val="none" w:sz="0" w:space="0" w:color="auto"/>
        <w:left w:val="none" w:sz="0" w:space="0" w:color="auto"/>
        <w:bottom w:val="none" w:sz="0" w:space="0" w:color="auto"/>
        <w:right w:val="none" w:sz="0" w:space="0" w:color="auto"/>
      </w:divBdr>
    </w:div>
    <w:div w:id="1624533561">
      <w:bodyDiv w:val="1"/>
      <w:marLeft w:val="0"/>
      <w:marRight w:val="0"/>
      <w:marTop w:val="0"/>
      <w:marBottom w:val="0"/>
      <w:divBdr>
        <w:top w:val="none" w:sz="0" w:space="0" w:color="auto"/>
        <w:left w:val="none" w:sz="0" w:space="0" w:color="auto"/>
        <w:bottom w:val="none" w:sz="0" w:space="0" w:color="auto"/>
        <w:right w:val="none" w:sz="0" w:space="0" w:color="auto"/>
      </w:divBdr>
    </w:div>
    <w:div w:id="1845393495">
      <w:bodyDiv w:val="1"/>
      <w:marLeft w:val="0"/>
      <w:marRight w:val="0"/>
      <w:marTop w:val="0"/>
      <w:marBottom w:val="0"/>
      <w:divBdr>
        <w:top w:val="none" w:sz="0" w:space="0" w:color="auto"/>
        <w:left w:val="none" w:sz="0" w:space="0" w:color="auto"/>
        <w:bottom w:val="none" w:sz="0" w:space="0" w:color="auto"/>
        <w:right w:val="none" w:sz="0" w:space="0" w:color="auto"/>
      </w:divBdr>
    </w:div>
    <w:div w:id="21183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D3FD-77E0-FF41-A3ED-3E89BC5A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4</Pages>
  <Words>1698</Words>
  <Characters>9188</Characters>
  <Application>Microsoft Office Word</Application>
  <DocSecurity>0</DocSecurity>
  <Lines>131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Enrico Cerroni</cp:lastModifiedBy>
  <cp:revision>254</cp:revision>
  <dcterms:created xsi:type="dcterms:W3CDTF">2019-09-03T13:52:00Z</dcterms:created>
  <dcterms:modified xsi:type="dcterms:W3CDTF">2019-11-05T20:00:00Z</dcterms:modified>
</cp:coreProperties>
</file>