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2"/>
        <w:gridCol w:w="3474"/>
      </w:tblGrid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</w:pPr>
            <w:r w:rsidRPr="00721125">
              <w:t>SIMCHAT TORAH FAMILY Activities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</w:pPr>
            <w:r w:rsidRPr="00721125">
              <w:t>FLAGS, FLAGS, FLAGS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</w:pPr>
            <w:r w:rsidRPr="00721125">
              <w:t xml:space="preserve">For hundreds of years, Jewish communities have designed special flags to help involve children in </w:t>
            </w:r>
            <w:proofErr w:type="spellStart"/>
            <w:r w:rsidRPr="00721125">
              <w:t>Simchat</w:t>
            </w:r>
            <w:proofErr w:type="spellEnd"/>
            <w:r w:rsidRPr="00721125">
              <w:t xml:space="preserve"> Torah celebrations</w:t>
            </w:r>
            <w:r w:rsidRPr="00721125">
              <w:rPr>
                <w:rFonts w:cs="Arial"/>
                <w:rtl/>
              </w:rPr>
              <w:t>.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  <w:rPr>
                <w:rFonts w:hint="cs"/>
              </w:rPr>
            </w:pPr>
            <w:r w:rsidRPr="00721125">
              <w:t>CAN YOU CRACK THE CODE</w:t>
            </w:r>
            <w:r w:rsidRPr="00721125">
              <w:rPr>
                <w:rFonts w:cs="Arial"/>
                <w:rtl/>
              </w:rPr>
              <w:t>?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  <w:rPr>
                <w:rFonts w:hint="cs"/>
              </w:rPr>
            </w:pPr>
            <w:r w:rsidRPr="00721125">
              <w:t>Look closely at both flags and count how many of each symbol appears. Then use the answers to decode the message</w:t>
            </w:r>
            <w:r w:rsidRPr="00721125">
              <w:rPr>
                <w:rFonts w:cs="Arial"/>
                <w:rtl/>
              </w:rPr>
              <w:t>!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</w:pPr>
            <w:proofErr w:type="spellStart"/>
            <w:r w:rsidRPr="00721125">
              <w:t>Simchat</w:t>
            </w:r>
            <w:proofErr w:type="spellEnd"/>
            <w:r w:rsidRPr="00721125">
              <w:t xml:space="preserve"> Torah flag from Warsaw, 1902</w:t>
            </w:r>
            <w:r w:rsidRPr="00721125">
              <w:rPr>
                <w:rFonts w:cs="Arial"/>
                <w:rtl/>
              </w:rPr>
              <w:t xml:space="preserve"> 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pStyle w:val="ListParagraph"/>
              <w:numPr>
                <w:ilvl w:val="0"/>
                <w:numId w:val="1"/>
              </w:numPr>
              <w:bidi w:val="0"/>
            </w:pPr>
            <w:r w:rsidRPr="00721125">
              <w:t>Stars of David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pStyle w:val="ListParagraph"/>
              <w:numPr>
                <w:ilvl w:val="0"/>
                <w:numId w:val="1"/>
              </w:num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pStyle w:val="ListParagraph"/>
              <w:numPr>
                <w:ilvl w:val="0"/>
                <w:numId w:val="1"/>
              </w:numPr>
              <w:bidi w:val="0"/>
            </w:pPr>
            <w:r w:rsidRPr="00721125">
              <w:t>People’s Faces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pStyle w:val="ListParagraph"/>
              <w:numPr>
                <w:ilvl w:val="0"/>
                <w:numId w:val="1"/>
              </w:num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pStyle w:val="ListParagraph"/>
              <w:numPr>
                <w:ilvl w:val="0"/>
                <w:numId w:val="1"/>
              </w:numPr>
              <w:bidi w:val="0"/>
            </w:pPr>
            <w:r w:rsidRPr="00721125">
              <w:t>Branches of Leaves</w:t>
            </w:r>
            <w:r w:rsidRPr="00721125">
              <w:rPr>
                <w:rFonts w:cs="Arial"/>
                <w:rtl/>
              </w:rPr>
              <w:t xml:space="preserve"> 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pStyle w:val="ListParagraph"/>
              <w:numPr>
                <w:ilvl w:val="0"/>
                <w:numId w:val="1"/>
              </w:num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pStyle w:val="ListParagraph"/>
              <w:numPr>
                <w:ilvl w:val="0"/>
                <w:numId w:val="1"/>
              </w:numPr>
              <w:bidi w:val="0"/>
            </w:pPr>
            <w:r w:rsidRPr="00721125">
              <w:t>Menorah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pStyle w:val="ListParagraph"/>
              <w:numPr>
                <w:ilvl w:val="0"/>
                <w:numId w:val="1"/>
              </w:num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pStyle w:val="ListParagraph"/>
              <w:numPr>
                <w:ilvl w:val="0"/>
                <w:numId w:val="1"/>
              </w:numPr>
              <w:bidi w:val="0"/>
            </w:pPr>
            <w:r w:rsidRPr="00721125">
              <w:t>Torah Scrolls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pStyle w:val="ListParagraph"/>
              <w:numPr>
                <w:ilvl w:val="0"/>
                <w:numId w:val="1"/>
              </w:num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pStyle w:val="ListParagraph"/>
              <w:numPr>
                <w:ilvl w:val="0"/>
                <w:numId w:val="1"/>
              </w:numPr>
              <w:bidi w:val="0"/>
              <w:rPr>
                <w:rFonts w:hint="cs"/>
              </w:rPr>
            </w:pPr>
            <w:r w:rsidRPr="00721125">
              <w:t>Ten Commandments</w:t>
            </w:r>
            <w:r w:rsidRPr="00721125">
              <w:rPr>
                <w:rFonts w:cs="Arial"/>
                <w:rtl/>
              </w:rPr>
              <w:t xml:space="preserve"> 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pStyle w:val="ListParagraph"/>
              <w:numPr>
                <w:ilvl w:val="0"/>
                <w:numId w:val="1"/>
              </w:num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  <w:rPr>
                <w:rFonts w:hint="cs"/>
              </w:rPr>
            </w:pPr>
            <w:r w:rsidRPr="00721125">
              <w:t xml:space="preserve">On </w:t>
            </w:r>
            <w:proofErr w:type="spellStart"/>
            <w:r w:rsidRPr="00721125">
              <w:t>Simchat</w:t>
            </w:r>
            <w:proofErr w:type="spellEnd"/>
            <w:r w:rsidRPr="00721125">
              <w:t xml:space="preserve"> Torah, we proudly hold the (4)               up high, and dance and sing with our family and friends. There is joy on (12)             and (5)              around their necks. This </w:t>
            </w:r>
            <w:proofErr w:type="gramStart"/>
            <w:r w:rsidRPr="00721125">
              <w:t>isn’t</w:t>
            </w:r>
            <w:proofErr w:type="gramEnd"/>
            <w:r w:rsidRPr="00721125">
              <w:t xml:space="preserve"> the festival where we bring out the (1)         and it isn’t the one where we celebrate receiving the (2)             . </w:t>
            </w:r>
            <w:proofErr w:type="gramStart"/>
            <w:r w:rsidRPr="00721125">
              <w:t>But</w:t>
            </w:r>
            <w:proofErr w:type="gramEnd"/>
            <w:r w:rsidRPr="00721125">
              <w:t xml:space="preserve"> like the blossoming (8)               , on </w:t>
            </w:r>
            <w:proofErr w:type="spellStart"/>
            <w:r w:rsidRPr="00721125">
              <w:t>Simchat</w:t>
            </w:r>
            <w:proofErr w:type="spellEnd"/>
            <w:r w:rsidRPr="00721125">
              <w:t xml:space="preserve"> Torah we celebrate growth and the cycle of life</w:t>
            </w:r>
            <w:r w:rsidRPr="00721125">
              <w:rPr>
                <w:rFonts w:cs="Arial"/>
                <w:rtl/>
              </w:rPr>
              <w:t>.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</w:pPr>
            <w:r w:rsidRPr="00721125">
              <w:t xml:space="preserve">Journey through the history of </w:t>
            </w:r>
            <w:proofErr w:type="spellStart"/>
            <w:r w:rsidRPr="00721125">
              <w:t>Simchat</w:t>
            </w:r>
            <w:proofErr w:type="spellEnd"/>
            <w:r w:rsidRPr="00721125">
              <w:t xml:space="preserve"> Torah flags</w:t>
            </w:r>
            <w:r w:rsidRPr="00721125">
              <w:rPr>
                <w:rFonts w:cs="Arial"/>
                <w:rtl/>
              </w:rPr>
              <w:t xml:space="preserve"> → 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</w:pPr>
            <w:r w:rsidRPr="00721125">
              <w:t xml:space="preserve">Ask your grandparents or other older relatives or friends whether they celebrated </w:t>
            </w:r>
            <w:proofErr w:type="spellStart"/>
            <w:r w:rsidRPr="00721125">
              <w:t>Simchat</w:t>
            </w:r>
            <w:proofErr w:type="spellEnd"/>
            <w:r w:rsidRPr="00721125">
              <w:t xml:space="preserve"> Torah as children. What were their customs</w:t>
            </w:r>
            <w:r w:rsidRPr="00721125">
              <w:rPr>
                <w:rFonts w:cs="Arial"/>
                <w:rtl/>
              </w:rPr>
              <w:t>?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  <w:rPr>
                <w:rFonts w:hint="cs"/>
              </w:rPr>
            </w:pPr>
            <w:r w:rsidRPr="00721125">
              <w:t>Did they carry flags? Did the children get treats</w:t>
            </w:r>
            <w:r w:rsidRPr="00721125">
              <w:rPr>
                <w:rFonts w:cs="Arial"/>
                <w:rtl/>
              </w:rPr>
              <w:t>?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</w:pPr>
            <w:proofErr w:type="spellStart"/>
            <w:r w:rsidRPr="00721125">
              <w:t>Simchat</w:t>
            </w:r>
            <w:proofErr w:type="spellEnd"/>
            <w:r w:rsidRPr="00721125">
              <w:t xml:space="preserve"> Torah</w:t>
            </w:r>
            <w:r w:rsidRPr="00721125">
              <w:t xml:space="preserve"> </w:t>
            </w:r>
            <w:r w:rsidRPr="00721125">
              <w:t>Flag, 1967</w:t>
            </w:r>
            <w:r w:rsidRPr="00721125">
              <w:rPr>
                <w:rFonts w:cs="Arial"/>
                <w:rtl/>
              </w:rPr>
              <w:t xml:space="preserve"> 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</w:pPr>
            <w:r w:rsidRPr="00721125">
              <w:t>PEOPLE OF THE BOOK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</w:pPr>
            <w:r w:rsidRPr="00721125">
              <w:t>Torah Scroll, The Hague, 1725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</w:pPr>
            <w:r w:rsidRPr="00721125">
              <w:t xml:space="preserve">Find the Torah. Why do you think it </w:t>
            </w:r>
            <w:proofErr w:type="gramStart"/>
            <w:r w:rsidRPr="00721125">
              <w:t>is being held</w:t>
            </w:r>
            <w:proofErr w:type="gramEnd"/>
            <w:r w:rsidRPr="00721125">
              <w:t xml:space="preserve"> in this way</w:t>
            </w:r>
            <w:r w:rsidRPr="00721125">
              <w:rPr>
                <w:rFonts w:cs="Arial"/>
                <w:rtl/>
              </w:rPr>
              <w:t>?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</w:pPr>
            <w:r w:rsidRPr="00721125">
              <w:t>My Holy Ark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</w:pPr>
            <w:r w:rsidRPr="00721125">
              <w:t xml:space="preserve">The Torah scroll </w:t>
            </w:r>
            <w:proofErr w:type="gramStart"/>
            <w:r w:rsidRPr="00721125">
              <w:t>is housed</w:t>
            </w:r>
            <w:proofErr w:type="gramEnd"/>
            <w:r w:rsidRPr="00721125">
              <w:t xml:space="preserve"> inside a special sacred ark called the </w:t>
            </w:r>
            <w:proofErr w:type="spellStart"/>
            <w:r w:rsidRPr="00721125">
              <w:t>aron</w:t>
            </w:r>
            <w:proofErr w:type="spellEnd"/>
            <w:r w:rsidRPr="00721125">
              <w:t xml:space="preserve"> </w:t>
            </w:r>
            <w:proofErr w:type="spellStart"/>
            <w:r w:rsidRPr="00721125">
              <w:t>hakodesh</w:t>
            </w:r>
            <w:proofErr w:type="spellEnd"/>
            <w:r w:rsidRPr="00721125">
              <w:t>. What is sacred to you? Use this ark template to draw a selection of items you consider sacred. Decorate it in ways that make it extra special to you</w:t>
            </w:r>
            <w:r w:rsidRPr="00721125">
              <w:rPr>
                <w:rFonts w:cs="Arial"/>
                <w:rtl/>
              </w:rPr>
              <w:t xml:space="preserve">. 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RPr="00721125" w:rsidTr="00721125">
        <w:tc>
          <w:tcPr>
            <w:tcW w:w="4822" w:type="dxa"/>
          </w:tcPr>
          <w:p w:rsidR="00721125" w:rsidRPr="00721125" w:rsidRDefault="00721125" w:rsidP="008C0D98">
            <w:pPr>
              <w:bidi w:val="0"/>
            </w:pPr>
            <w:proofErr w:type="spellStart"/>
            <w:r w:rsidRPr="00721125">
              <w:t>Simchat</w:t>
            </w:r>
            <w:proofErr w:type="spellEnd"/>
            <w:r w:rsidRPr="00721125">
              <w:t xml:space="preserve"> Torah also celebrates restarting the Torah – the essential Jewish book, which has been a central source of Jewish identity for thousands of years. Follow the tradition of “the People of the Book” and reread some of your favorite books</w:t>
            </w:r>
            <w:r w:rsidRPr="00721125">
              <w:rPr>
                <w:rFonts w:cs="Arial"/>
                <w:rtl/>
              </w:rPr>
              <w:t>.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  <w:tr w:rsidR="00721125" w:rsidTr="00721125">
        <w:tc>
          <w:tcPr>
            <w:tcW w:w="4822" w:type="dxa"/>
          </w:tcPr>
          <w:p w:rsidR="00721125" w:rsidRDefault="00721125" w:rsidP="008C0D98">
            <w:pPr>
              <w:bidi w:val="0"/>
              <w:rPr>
                <w:rFonts w:hint="cs"/>
              </w:rPr>
            </w:pPr>
            <w:proofErr w:type="spellStart"/>
            <w:r w:rsidRPr="00721125">
              <w:t>Simchat</w:t>
            </w:r>
            <w:proofErr w:type="spellEnd"/>
            <w:r w:rsidRPr="00721125">
              <w:t xml:space="preserve"> Torah celebrates the completion of the yearly Torah reading cycle. How do you feel when you complete a very big project</w:t>
            </w:r>
            <w:bookmarkStart w:id="0" w:name="_GoBack"/>
            <w:bookmarkEnd w:id="0"/>
            <w:r w:rsidRPr="00721125">
              <w:t xml:space="preserve">? How do you like </w:t>
            </w:r>
            <w:r w:rsidRPr="00721125">
              <w:lastRenderedPageBreak/>
              <w:t>to celebrate it? Are you ready to do it again or to take on another large project</w:t>
            </w:r>
            <w:r w:rsidRPr="00721125">
              <w:rPr>
                <w:rFonts w:cs="Arial"/>
                <w:rtl/>
              </w:rPr>
              <w:t>?</w:t>
            </w:r>
          </w:p>
        </w:tc>
        <w:tc>
          <w:tcPr>
            <w:tcW w:w="3474" w:type="dxa"/>
          </w:tcPr>
          <w:p w:rsidR="00721125" w:rsidRPr="00721125" w:rsidRDefault="00721125" w:rsidP="008C0D98">
            <w:pPr>
              <w:bidi w:val="0"/>
            </w:pPr>
          </w:p>
        </w:tc>
      </w:tr>
    </w:tbl>
    <w:p w:rsidR="000A7CC5" w:rsidRDefault="000A7CC5" w:rsidP="00721125">
      <w:pPr>
        <w:bidi w:val="0"/>
        <w:rPr>
          <w:rFonts w:hint="cs"/>
        </w:rPr>
      </w:pPr>
    </w:p>
    <w:sectPr w:rsidR="000A7CC5" w:rsidSect="00A041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646E6"/>
    <w:multiLevelType w:val="hybridMultilevel"/>
    <w:tmpl w:val="5A5C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25"/>
    <w:rsid w:val="000A7CC5"/>
    <w:rsid w:val="00133577"/>
    <w:rsid w:val="00721125"/>
    <w:rsid w:val="00A0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B3BF0"/>
  <w15:chartTrackingRefBased/>
  <w15:docId w15:val="{FA218C7D-FAC6-461A-928F-2CB6168B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125"/>
    <w:pPr>
      <w:ind w:left="720"/>
      <w:contextualSpacing/>
    </w:pPr>
  </w:style>
  <w:style w:type="table" w:styleId="TableGrid">
    <w:name w:val="Table Grid"/>
    <w:basedOn w:val="TableNormal"/>
    <w:uiPriority w:val="39"/>
    <w:rsid w:val="0072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1641</Characters>
  <Application>Microsoft Office Word</Application>
  <DocSecurity>0</DocSecurity>
  <Lines>126</Lines>
  <Paragraphs>34</Paragraphs>
  <ScaleCrop>false</ScaleCrop>
  <Company>NLI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Shuvi Hoffman</dc:creator>
  <cp:keywords/>
  <dc:description/>
  <cp:lastModifiedBy>Shuvi Hoffman</cp:lastModifiedBy>
  <cp:revision>2</cp:revision>
  <dcterms:created xsi:type="dcterms:W3CDTF">2021-01-13T10:11:00Z</dcterms:created>
  <dcterms:modified xsi:type="dcterms:W3CDTF">2021-01-13T10:13:00Z</dcterms:modified>
</cp:coreProperties>
</file>