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צגה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1952.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בלדרגייה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לשימלאקו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מעייניו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שדאג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שיקבלו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הסמוכה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פשוט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כסנדלר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החזיקה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ששיחקה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הצמצום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לבישול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הרחוב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בחשמל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כיהודייה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כשסיימה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ואהיט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אידגט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בהיברט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פיתוח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ושגשוג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במשאבים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העומדים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לרשותם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מכבסים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ומנצלים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השטחים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הוטל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כמפיצה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הסוציאליסטי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המפלגה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הסובבים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הרצאותיה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ומסעותיה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הסוציאליסטי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המפלגה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היטיבה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מאידך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והושמה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כנציגת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בבטחה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מחופשת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שכיהודיה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כבוגדת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להכריע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ונעלמה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הותקפה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ממחתרת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שחולצה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המפלגה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חשבונות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בתאגיד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התאגיד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המיובאים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שהטילו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המחתרות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נציגיו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מסתובבת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אקדח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שהתאספו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לתורם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משגרירות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https://drive.google.com/file/d/1Hb8qyV5PzBVrjbswMyoorOUoykCAxzBa/view?usp=sharing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בגרויות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חשבונות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סוציאליזם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תאגיד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בלדרגייה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שימלאקו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ואהיט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Hb8qyV5PzBVrjbswMyoorOUoykCAxzBa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