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אסנאקו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אלמו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אסרסה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יטא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1955.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ווייניה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פירוש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הכיבוש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נדד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ודמביה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והשתקע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התעמרו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היבולים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והעדרים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לייסד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ולואי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ברהנו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ההתיישבות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המפורסם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התפוצצה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פגז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נכרתה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מאשפוזו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בעצת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ווייניה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הסמוך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ווייניה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התאפשר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ומשבגר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גשאו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החינוכית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והעונשים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מקובלים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הציבורי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וגנבים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הציבורי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וקראו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התייצב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בלשכת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המצב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המדיני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סומליה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ממזרח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ובמרכז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הטירונות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בסיומה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127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להילחם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שבגזרה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הצפונית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הפיקודי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כחייל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וכוחותיו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נתקלו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במארב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בכתפו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באקסום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בשמחה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ביכולתו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מועמדותו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התכתובת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הבידוק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הביטחוני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המבקרים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לפגישות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הביטחונית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משרדו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ריכוז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היכרותו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שבסביבה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נקלע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למצוקה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מממשים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מתוקף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נתפסו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ונכלאו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הנערים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ומפקד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צגאו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משחררים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הצבאי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ומדריכים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להיתפס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הרשויות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שימסור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מאסרו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האסיר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המשגיח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באגף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האסירים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האסירים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שזומנו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לחקירות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הורשע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הממשלתית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להוציא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https://drive.google.com/file/d/16ONQkLbH907CpecjFFPsLoTqH9VzR44y/view?usp=sharing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אסנאקו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ברהנו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פצצה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חטיפות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צגאו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ווייניה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סומליה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אקסום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6ONQkLbH907CpecjFFPsLoTqH9VzR44y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