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ברוך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אזגצ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זרובבל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1944.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בהשראת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מנקוסה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המסמיכים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הקפדניים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המאוחרות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ab/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לכבס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ולהתקלח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להיכנס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וניצל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ממעמד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ִ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נמוכות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מעורב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בהנחיית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במחסן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התגוררו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שיעורי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הרחוב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לתפוס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מוקדי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הצבאית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-19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להימנע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ממקרי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להשתתף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בהתרגשות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לדרכונו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ומפורסם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באיטליה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https://drive.google.com/file/d/0B1U0sU7KGVTmQ3czZDFQYXVBc3M/view?usp=sharing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מוסלמי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סגפנות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Q3czZDFQYXVBc3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