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זאיסאנו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ארטה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זאיסאנו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יאייך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1944.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שבניגוד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מיסיונרים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החופשות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להינשא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התנגדותה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לסלילת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כבישים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באדרקאי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טייגרי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כשהפרויקט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בפרויקטים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מעורב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דחף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ברפואת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בקליניקה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ניתוחיים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באוניברסיטה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התנדב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בתוכנית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פיתוח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לפיתוח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ההתנדבות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מזורז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ביולוגיה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גיינט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-3000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לוועידה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בנוכחות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וועידה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הנוכחים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נקראו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לפגישות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משהוצע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להתנכל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https://drive.google.com/file/d/0B1U0sU7KGVTmM0tLN2V4NDM4Y3c/view?usp=sharing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ירגה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זאיסאנו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ארטה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טיפוגרפיה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מסיונריים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פקיד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חברה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לסלילת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כבישים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תאונת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דרכים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מרפאת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עיניים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עיניים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מטפל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פוליטיקה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אהפ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שמברה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שלאמה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אדרקאי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גיינט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M0tLN2V4NDM4Y3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