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לקיה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1953.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אבלווהא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ותופרת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בפתרון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בעגלים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דזיהון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וגרושה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כשפגשה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ההשלכות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והאישיות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מתמודדת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והנישואין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במעיינות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והתזת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והסתמכה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דוגמאות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ולטיפולים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הטקסים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שנערכו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מיוחדים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והליווי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השושבינים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כמקובל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הסתדרה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אדרהדמבה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ועיבדה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מצטרפת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משמעות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יפעילו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מהאפשרות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שיחטפו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https://drive.google.com/file/d/1nV3jjOlGVbfn38gWepJdrHz0gyYkP45g/view?usp=sharing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אבלווהא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דזיהון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אדרהדמבה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nV3jjOlGVbfn38gWepJdrHz0gyYkP45g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