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לייך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פנטה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אבווסן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1955.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לעומק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תיחוח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הזריעה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המאפיינים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חליפין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ותחמושת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שיטות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וההזדמנויות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שנקרו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הבעיות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נתקלו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תשישותם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להעברת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מודיע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פטירה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הרכוש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https://drive.google.com/file/d/0B1U0sU7KGVTmelFodUNUOUIwdFU/view?usp=sharing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פישטן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מריחואנה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תחמושת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הודעות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elFodUNUOUIwdF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