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בלאי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טרקין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תאריך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1973.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קוששלית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קוששלית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ומציין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שאירעו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ומפגשים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שהפריעו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וגרמו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עקבותיהם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נעכרה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והפכה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לגזענית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ואלימה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והנערים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התחבאו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-12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נחטף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וגויס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לטירונות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הבסיס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ההליכה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שפגשו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והפחד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שיתפסו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גועש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נתפסו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ביחידת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צנחני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קומנדו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בסידמו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מיוחדת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שבסופם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ככוח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גיבוי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יחידתו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להשתתף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הרכב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הופצץ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הנוסעים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פצוע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אושפז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שהחלים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בבסיס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אדיגרט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התגעגע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ורצה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לערוק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-12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תכננו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עוכבו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לחקירה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הסודנים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מהחבורה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הלשין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הסודני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התעלף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שהצליחה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להבריח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בגדריף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בגדריף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חיפש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וכשהבין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ושנתיב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לסחור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בסחורות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לשגרירות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בשיתוף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הנדרשים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שהמתין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לאישורים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בשיכונם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באכסניות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המיוחלים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      </w:t>
        <w:tab/>
      </w:r>
    </w:p>
    <w:p w:rsidR="00000000" w:rsidDel="00000000" w:rsidP="00000000" w:rsidRDefault="00000000" w:rsidRPr="00000000" w14:paraId="0000001D">
      <w:pPr>
        <w:bidi w:val="1"/>
        <w:spacing w:after="0" w:line="276" w:lineRule="auto"/>
        <w:contextualSpacing w:val="0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</w:t>
      </w:r>
    </w:p>
    <w:p w:rsidR="00000000" w:rsidDel="00000000" w:rsidP="00000000" w:rsidRDefault="00000000" w:rsidRPr="00000000" w14:paraId="0000001F">
      <w:pPr>
        <w:bidi w:val="1"/>
        <w:spacing w:line="276" w:lineRule="auto"/>
        <w:contextualSpacing w:val="0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highlight w:val="white"/>
            <w:u w:val="single"/>
            <w:rtl w:val="0"/>
          </w:rPr>
          <w:t xml:space="preserve">https://docs.google.com/document/d/1njsQJEvxQ_9Rpyn_oMCGPCPNaRijjQoqSGorIzYTT74/edit?usp=sharing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חרישה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עינוים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צנחנים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קומנדו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פצצה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פציעה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אשפוז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קוששלית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סידמו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אדיגרט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דוחא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גדריף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</w:t>
      </w:r>
    </w:p>
    <w:p w:rsidR="00000000" w:rsidDel="00000000" w:rsidP="00000000" w:rsidRDefault="00000000" w:rsidRPr="00000000" w14:paraId="00000022">
      <w:pPr>
        <w:bidi w:val="1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njsQJEvxQ_9Rpyn_oMCGPCPNaRijjQoqSGorIzYTT74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