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וונדימגיון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תייהו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וונדימגיון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תאיו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דמקץ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זנבה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צלאמתי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ברחבי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בהבאת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ומרחיב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בעקרו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בהפרש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מאחיותיו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ברעיית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וסיפקו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מייצברי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20,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במלאכת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המקצוע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לייצור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סוערת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ביקוש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לתיקון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מחיריהם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הלקוחות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שרטוט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הכמיהה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חיפשו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ועיתון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)‎‏ 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הנכון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להשאיר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ההחלטה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כשהרגיש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הצטרפו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למשלחת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שמנתה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370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https://drive.google.com/file/d/12acZCJpMnxYbcirVyPJOvaGRGBusr9lI/view?usp=sharing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וונדימגיון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תקשורת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צלאמתי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מייצברי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2acZCJpMnxYbcirVyPJOvaGRGBusr9lI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