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נגדו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אנברם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פטג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1938.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ומזמר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משבגר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מזמינים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ולרקוד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בחתונות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לביטחון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ופתרון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בולטת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ומרכזית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שישפוט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בנושאים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ההיררכי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השמגלוץ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הופרש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שנקבע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להשאיר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ששווריו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נגנבו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הגנב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שנגנבו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שיחקור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וישיב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הגנובים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והדיחה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בוטל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ולסגן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קפטנים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והביטחון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פושעים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וגנבים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)‎‏,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לפעול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בטלמת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מפורעי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ומאנשי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המגויסים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https://drive.google.com/file/d/11nj4er0ScwlF_1PZL58RHgwFiwJDvAgj/view?usp=sharing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ריקוד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קפטן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טלמת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1nj4er0ScwlF_1PZL58RHgwFiwJDvAgj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