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D8FF" w14:textId="77777777" w:rsidR="0024668B" w:rsidRDefault="0024668B" w:rsidP="0024668B">
      <w:pPr>
        <w:ind w:left="1440" w:hanging="360"/>
        <w:jc w:val="both"/>
      </w:pPr>
    </w:p>
    <w:p w14:paraId="4E8A512C" w14:textId="0CB0C796" w:rsidR="0024668B" w:rsidRDefault="0024668B" w:rsidP="0024668B">
      <w:pPr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>In questo studio intendo presentare il caso specifico della diffusione della desinenza -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nella terza persona plurale dell’aoristo nel greco bizantino. A rigore, il fenomeno interessa anche l’imperfetto (per es.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ἐβλέπασι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) e a una forma come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faremo riferimento, perché in effetti fece le veci dell’aoristo dopo il dileguo di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ἔσχον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>.</w:t>
      </w:r>
    </w:p>
    <w:p w14:paraId="74E56F13" w14:textId="20E324D7" w:rsidR="0024668B" w:rsidRDefault="0024668B" w:rsidP="0024668B">
      <w:pPr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</w:p>
    <w:p w14:paraId="063EBD6D" w14:textId="77777777" w:rsidR="0024668B" w:rsidRPr="00F32156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Le più antiche attestazioni, del resto, rimandano a opere agiografiche, come nel caso di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nella </w:t>
      </w:r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Vita di san Pancrazio di Taormina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,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recentemente 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>datata al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l’VIII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secolo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(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before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730;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as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to the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textual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tradition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, ho verificato che il testimone più antico </w:t>
      </w:r>
      <w:proofErr w:type="spellStart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Vat</w:t>
      </w:r>
      <w:proofErr w:type="spellEnd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. gr.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1591, datato al 964, in realtà non presenta questo passo per un salto </w:t>
      </w:r>
      <w:proofErr w:type="spellStart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du</w:t>
      </w:r>
      <w:proofErr w:type="spellEnd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même</w:t>
      </w:r>
      <w:proofErr w:type="spellEnd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au</w:t>
      </w:r>
      <w:proofErr w:type="spellEnd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proofErr w:type="gramStart"/>
      <w:r w:rsidRPr="00174221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même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;</w:t>
      </w:r>
      <w:proofErr w:type="gram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ma gli altri testimoni sono comunque risalenti almeno all’XI sec.;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see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also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Stallman-Pacitti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2018).</w:t>
      </w:r>
    </w:p>
    <w:p w14:paraId="17EBF2D1" w14:textId="77777777" w:rsidR="0024668B" w:rsidRDefault="0024668B" w:rsidP="0024668B">
      <w:pPr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</w:p>
    <w:p w14:paraId="51CEFDC9" w14:textId="3961878B" w:rsidR="0024668B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Nel caso di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,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sembra che 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la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prima 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>attestazione letteraria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sia anche più antica e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riconduc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a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alla </w:t>
      </w:r>
      <w:proofErr w:type="spellStart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Laudatio</w:t>
      </w:r>
      <w:proofErr w:type="spellEnd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sancti</w:t>
      </w:r>
      <w:proofErr w:type="spellEnd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Iohannis</w:t>
      </w:r>
      <w:proofErr w:type="spellEnd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 </w:t>
      </w:r>
      <w:proofErr w:type="spellStart"/>
      <w:r w:rsidRPr="00F32156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Chrysostomi</w:t>
      </w:r>
      <w:proofErr w:type="spellEnd"/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datata al 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>V sec.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(17.5 ed.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Halkin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1977</w:t>
      </w:r>
      <w:r w:rsidRPr="00F32156">
        <w:rPr>
          <w:rFonts w:ascii="Palatino Linotype" w:eastAsia="Calibri" w:hAnsi="Palatino Linotype" w:cs="Times New Roman"/>
          <w:color w:val="0070C0"/>
          <w:sz w:val="18"/>
          <w:szCs w:val="18"/>
        </w:rPr>
        <w:t>)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.</w:t>
      </w:r>
    </w:p>
    <w:p w14:paraId="6D99B9A2" w14:textId="3D736966" w:rsidR="0024668B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</w:p>
    <w:p w14:paraId="2F6D5DA8" w14:textId="77777777" w:rsidR="0024668B" w:rsidRPr="00F26B62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In generale, più che dai testi letterari, sia pur agiografici, è dai papiri che è possibile raccogliere le più antiche testimonianze: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in un papiro del terzo quarto del VI sec. d.C. (</w:t>
      </w:r>
      <w:r w:rsidRPr="00F26B6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P. Cairo </w:t>
      </w:r>
      <w:proofErr w:type="spellStart"/>
      <w:r w:rsidRPr="00F26B6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Masp</w:t>
      </w:r>
      <w:proofErr w:type="spellEnd"/>
      <w:r w:rsidRPr="00F26B62">
        <w:rPr>
          <w:rFonts w:ascii="Palatino Linotype" w:eastAsia="Calibri" w:hAnsi="Palatino Linotype" w:cs="Times New Roman"/>
          <w:color w:val="0070C0"/>
          <w:sz w:val="18"/>
          <w:szCs w:val="18"/>
        </w:rPr>
        <w:t>. 1 67020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),</w:t>
      </w:r>
      <w:r w:rsidRPr="00C032EC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εἴπασι</w:t>
      </w:r>
      <w:proofErr w:type="spellEnd"/>
      <w:r w:rsidRPr="00C032EC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in uno datato al VII secolo (</w:t>
      </w:r>
      <w:proofErr w:type="spellStart"/>
      <w:r w:rsidRPr="00F26B6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Stud</w:t>
      </w:r>
      <w:proofErr w:type="spellEnd"/>
      <w:r w:rsidRPr="00F26B6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 xml:space="preserve">. </w:t>
      </w:r>
      <w:proofErr w:type="spellStart"/>
      <w:r w:rsidRPr="00F26B6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Pal</w:t>
      </w:r>
      <w:proofErr w:type="spellEnd"/>
      <w:r w:rsidRPr="00F26B62">
        <w:rPr>
          <w:rFonts w:ascii="Palatino Linotype" w:eastAsia="Calibri" w:hAnsi="Palatino Linotype" w:cs="Times New Roman"/>
          <w:color w:val="0070C0"/>
          <w:sz w:val="18"/>
          <w:szCs w:val="18"/>
        </w:rPr>
        <w:t>. 20 262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). Da tali sparute attestazioni si può desumere una loro circolazione nel greco parlato già nel Tardo Antico, se non in epoca anteriore, verosimilmente senza funzionalità metrica.</w:t>
      </w:r>
    </w:p>
    <w:p w14:paraId="11AEB101" w14:textId="77777777" w:rsidR="0024668B" w:rsidRPr="00D349AA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</w:rPr>
        <w:t>Quando le ritroviamo n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ella poesia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bizantina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in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>decapentasillabo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>, in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vece,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esse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ha una precisa utilità,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quella di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costituire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una forma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alternativa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con una sillaba in più soprattutto per verbi già brevi (bisillabici)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>. L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a loro attestazione in testi in prosa, di tipo sia letterario, sia documentario, 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invece,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</w:rPr>
        <w:t>ancora non è stata oggetto di studi specifici</w:t>
      </w:r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dopo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</w:rPr>
        <w:t>Hinterberger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2001.</w:t>
      </w:r>
    </w:p>
    <w:p w14:paraId="0F9F371D" w14:textId="409BFB03" w:rsidR="0024668B" w:rsidRDefault="0024668B" w:rsidP="0024668B">
      <w:pPr>
        <w:contextualSpacing/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</w:p>
    <w:p w14:paraId="0E37009B" w14:textId="2E453167" w:rsidR="0024668B" w:rsidRDefault="0024668B" w:rsidP="0024668B">
      <w:pPr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  <w:r w:rsidRPr="0024668B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Per partire dalla poesia, quel che colpisce è anzitutto la notevole differenza nella frequenza d’uso tra le opere del XII secolo e la ricca produzione in greco demotico del XIII e XIV secolo, come emergerà dai dati che fornisco di seguito. </w:t>
      </w:r>
    </w:p>
    <w:p w14:paraId="2F8516C8" w14:textId="1FC7D2BF" w:rsidR="0024668B" w:rsidRDefault="0024668B" w:rsidP="0024668B">
      <w:pPr>
        <w:jc w:val="both"/>
        <w:rPr>
          <w:rFonts w:ascii="Palatino Linotype" w:eastAsia="Calibri" w:hAnsi="Palatino Linotype" w:cs="Times New Roman"/>
          <w:color w:val="0070C0"/>
          <w:sz w:val="18"/>
          <w:szCs w:val="18"/>
        </w:rPr>
      </w:pPr>
    </w:p>
    <w:p w14:paraId="44A66C4F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Iniziamo dalla forma </w:t>
      </w:r>
      <w:proofErr w:type="spellStart"/>
      <w:r w:rsidRPr="00D349AA"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el-GR"/>
        </w:rPr>
        <w:t>εἴδασι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La recensione dell’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Escorial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(E)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restituisce 5 casi (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vv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88, 187, 515, 786, 1030), di cui 3 nella locuzione temporale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ὡς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εἴδα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σιν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Per es. al v. 88:</w:t>
      </w:r>
    </w:p>
    <w:p w14:paraId="7591DC73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Al contrario, il codice di Grottaferrata (G) conserva solo la forma dotta εἶδον (20x), riferita sia alla prima singolare, sia alla terza plurale.</w:t>
      </w:r>
    </w:p>
    <w:p w14:paraId="12271949" w14:textId="77777777" w:rsidR="0024668B" w:rsidRPr="00D349AA" w:rsidRDefault="0024668B" w:rsidP="0024668B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La situazione muta di poco con </w:t>
      </w:r>
      <w:r w:rsidRPr="00D349AA"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el-GR"/>
        </w:rPr>
        <w:t>ἤλθασι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Nel </w:t>
      </w:r>
      <w:proofErr w:type="spellStart"/>
      <w:r w:rsidRPr="00D349AA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Digenis</w:t>
      </w:r>
      <w:proofErr w:type="spellEnd"/>
      <w:r w:rsidRPr="00D349AA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si trova solo due volte in E, ai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vv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78 e 293:</w:t>
      </w:r>
    </w:p>
    <w:p w14:paraId="403925C7" w14:textId="77777777" w:rsidR="0024668B" w:rsidRPr="00D349AA" w:rsidRDefault="0024668B" w:rsidP="0024668B">
      <w:pPr>
        <w:pStyle w:val="Paragrafoelenco"/>
        <w:spacing w:line="240" w:lineRule="aut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In entrambi i casi la forma è seguita da altro aoristo alla terza persona plurale con desinenza -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ηὕρασιν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ἀπλικεύσασιν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</w:t>
      </w:r>
    </w:p>
    <w:p w14:paraId="6B6B1DCE" w14:textId="77777777" w:rsidR="0024668B" w:rsidRPr="00D349AA" w:rsidRDefault="0024668B" w:rsidP="0024668B">
      <w:pPr>
        <w:pStyle w:val="Paragrafoelenco"/>
        <w:spacing w:line="240" w:lineRule="aut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</w:p>
    <w:p w14:paraId="076351DD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Veniamo all’imperfetto </w:t>
      </w:r>
      <w:r w:rsidRPr="00D349AA"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el-GR"/>
        </w:rPr>
        <w:t>εἴχασι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che assorbe anche le funzioni dell’aoristo. L’altissima frequenza d’uso del verbo dovuta all’utilità metrica probabilmente spiega la penetrazione di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εἴ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anche laddove non lo aspetteremmo, in G, sia pur in una sola attestazione (4.962):</w:t>
      </w:r>
    </w:p>
    <w:p w14:paraId="7AADC1AA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È evidente che l’opera di rimaneggiamento linguistico del recensore G non poté sempre essere coerente e qualche caduta di stile era inevitabile per ragioni metriche. A fronte di 10 casi del più corretto εἶχον (non εἶχαν!) alla terza persona plurale, il trisillabico εἴχα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sfuggì solo una volta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</w:p>
    <w:p w14:paraId="76EB8FD7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Ci aspetteremmo un numero maggiore di casi in E, ma non è così: se ne ha infatti una sola attestazione (v. 38).</w:t>
      </w:r>
    </w:p>
    <w:p w14:paraId="722A7B03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Da un punto di vista topologico, la forma occupa in entrambi i casi la posizione centrale del verso, tra sesta e ottava sillaba. Questa volta l’aoristo corrente alla terza persona plurale nella recensione E è infatti εἶχαν (12x).</w:t>
      </w:r>
    </w:p>
    <w:p w14:paraId="62BE055E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Oltre a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εἴδασι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nella recensione E è dato trovare</w:t>
      </w:r>
      <w:r w:rsidRPr="00A606E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sempre alla fine del primo emistichio tranne che in un caso,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il già citato ηὕρα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σιν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vv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78, 417), </w:t>
      </w:r>
      <w:proofErr w:type="spellStart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ἐπάθασι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(v. 1213), 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ἐπήρασι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(v. 693):</w:t>
      </w:r>
    </w:p>
    <w:p w14:paraId="033B0ED7" w14:textId="77777777" w:rsidR="0024668B" w:rsidRPr="00D349AA" w:rsidRDefault="0024668B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È</w:t>
      </w:r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chiaro che i numeri così ridotti ci impediscono di individuare un ampio repertorio formulare nel </w:t>
      </w:r>
      <w:proofErr w:type="spellStart"/>
      <w:r w:rsidRPr="00D349AA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Digenis</w:t>
      </w:r>
      <w:proofErr w:type="spellEnd"/>
      <w:r w:rsidRPr="00D349AA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almeno per come è tramandato da G ed E.</w:t>
      </w:r>
    </w:p>
    <w:p w14:paraId="05DCB86A" w14:textId="77777777" w:rsidR="00FA17C6" w:rsidRPr="00FA17C6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  <w:r w:rsidRPr="000F6096"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 xml:space="preserve">Si rimane delusi anche dai carmi </w:t>
      </w:r>
      <w:proofErr w:type="spellStart"/>
      <w:r w:rsidRPr="000F6096">
        <w:rPr>
          <w:rFonts w:ascii="Palatino Linotype" w:eastAsia="Calibri" w:hAnsi="Palatino Linotype" w:cs="Times New Roman"/>
          <w:i/>
          <w:iCs/>
          <w:color w:val="000000" w:themeColor="text1"/>
          <w:sz w:val="18"/>
          <w:szCs w:val="18"/>
          <w:lang w:val="it-IT"/>
        </w:rPr>
        <w:t>Ptocoprodromici</w:t>
      </w:r>
      <w:proofErr w:type="spellEnd"/>
      <w:r w:rsidRPr="000F6096"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>.</w:t>
      </w:r>
      <w:r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  <w:t xml:space="preserve"> </w:t>
      </w:r>
      <w:r w:rsidRPr="00FA17C6"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 xml:space="preserve">Ho registrato solo un </w:t>
      </w:r>
      <w:proofErr w:type="spellStart"/>
      <w:r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el-GR"/>
        </w:rPr>
        <w:t>ἐφύγασι</w:t>
      </w:r>
      <w:proofErr w:type="spellEnd"/>
      <w:r w:rsidRPr="00FA17C6"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 xml:space="preserve"> (3.252).</w:t>
      </w:r>
    </w:p>
    <w:p w14:paraId="6343E4A4" w14:textId="77777777" w:rsidR="00FA17C6" w:rsidRPr="00D349AA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</w:pPr>
      <w:r w:rsidRPr="00D349AA">
        <w:rPr>
          <w:rFonts w:ascii="Palatino Linotype" w:hAnsi="Palatino Linotype"/>
          <w:color w:val="0070C0"/>
          <w:sz w:val="18"/>
          <w:szCs w:val="18"/>
          <w:lang w:val="it-IT"/>
        </w:rPr>
        <w:t xml:space="preserve">Per avere un riflesso diretto, non filtrato dal controllo grammaticale di redattori colti, della reale frequenza di tali forme incastonate in 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un sistema </w:t>
      </w:r>
      <w:r w:rsidRPr="00D349AA">
        <w:rPr>
          <w:rFonts w:ascii="Palatino Linotype" w:hAnsi="Palatino Linotype"/>
          <w:color w:val="0070C0"/>
          <w:sz w:val="18"/>
          <w:szCs w:val="18"/>
          <w:lang w:val="it-IT"/>
        </w:rPr>
        <w:t>formul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>are</w:t>
      </w:r>
      <w:r w:rsidRPr="00D349AA">
        <w:rPr>
          <w:rFonts w:ascii="Palatino Linotype" w:hAnsi="Palatino Linotype"/>
          <w:color w:val="0070C0"/>
          <w:sz w:val="18"/>
          <w:szCs w:val="18"/>
          <w:lang w:val="it-IT"/>
        </w:rPr>
        <w:t xml:space="preserve">, bisogna volgere invece lo sguardo alle traduzioni che fiorirono 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>a partire dalla fine del Duecento.</w:t>
      </w:r>
    </w:p>
    <w:p w14:paraId="33E3FC42" w14:textId="77777777" w:rsidR="00FA17C6" w:rsidRPr="00D62F7B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Veniamo alla frequenza di alcune forme, perlopiù complementare a quella delle forme in -</w:t>
      </w:r>
      <w:r w:rsidRPr="00D62F7B">
        <w:rPr>
          <w:rFonts w:ascii="Palatino Linotype" w:hAnsi="Palatino Linotype"/>
          <w:color w:val="0070C0"/>
          <w:sz w:val="18"/>
          <w:szCs w:val="18"/>
          <w:lang w:val="el-GR"/>
        </w:rPr>
        <w:t>αν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Papathomopoulos-Jeffreys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1996: LXXIV):</w:t>
      </w:r>
    </w:p>
    <w:p w14:paraId="61A43579" w14:textId="5F40966E" w:rsidR="00FA17C6" w:rsidRPr="00FA17C6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Spesso sono inserite in espressioni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 formulari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, dell’ampiezza del verso o dell’emistichio, 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>come le seguenti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, </w:t>
      </w:r>
      <w:r w:rsidRPr="00FF4D7D"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>con inversione di nome e aggettivo</w:t>
      </w:r>
      <w:r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  <w:t>.</w:t>
      </w:r>
    </w:p>
    <w:p w14:paraId="4FECA5EE" w14:textId="20D0E1F7" w:rsidR="0024668B" w:rsidRPr="00FA17C6" w:rsidRDefault="00FA17C6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FA17C6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La distribuzione di queste formule collocate nel primo emistichio è complementare a quella di formule analoghe poste a riempire la seconda metà, in cui l’aoristo alla terza persona plurale si presenta bisillabico con εἶχαν. </w:t>
      </w:r>
    </w:p>
    <w:p w14:paraId="38D8CAFE" w14:textId="77777777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6FF043DE" w14:textId="77777777" w:rsidR="00FA17C6" w:rsidRPr="00D62F7B" w:rsidRDefault="00FA17C6" w:rsidP="00FA17C6">
      <w:pPr>
        <w:pStyle w:val="Paragrafoelenco"/>
        <w:numPr>
          <w:ilvl w:val="0"/>
          <w:numId w:val="4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lastRenderedPageBreak/>
        <w:t xml:space="preserve">Alla luce di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questi dati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si ha la tentazione di vedere le prime tracce di un sistema formulare proprio nei passi isolati del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Digenìs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citati prima, a dimostrazione del fatto che la poesia orale in greco demotico </w:t>
      </w:r>
      <w:proofErr w:type="gram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ave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sse</w:t>
      </w:r>
      <w:proofErr w:type="gram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già un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proprio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repertorio nel XII secolo, che però le recensioni G e persino E del poema acritico in buona parte censurarono nel tentativo di purificare la lingua.</w:t>
      </w:r>
    </w:p>
    <w:p w14:paraId="6F68946E" w14:textId="77777777" w:rsidR="00FA17C6" w:rsidRPr="00D62F7B" w:rsidRDefault="00FA17C6" w:rsidP="00FA17C6">
      <w:pPr>
        <w:pStyle w:val="Paragrafoelenco"/>
        <w:numPr>
          <w:ilvl w:val="0"/>
          <w:numId w:val="4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Allora, sorge la domanda se forme trisillabiche proparossitone come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fossero spendibili solo nella clausola del primo emistichio del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decapentasillabo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o avessero utilità anche altrove, non essendo mere creazioni artificiali indotte dall’esigenza metrica.</w:t>
      </w:r>
    </w:p>
    <w:p w14:paraId="1A1338AC" w14:textId="77777777" w:rsidR="00FA17C6" w:rsidRPr="00D62F7B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L’impressione di avere di fronte degli emistichi già confezionati è contraddetta già nel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Digenis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dell’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Escorial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da casi come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ἐσμίξασι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(v. 34):</w:t>
      </w:r>
    </w:p>
    <w:p w14:paraId="1F9A8609" w14:textId="77777777" w:rsidR="00FA17C6" w:rsidRPr="00D62F7B" w:rsidRDefault="00FA17C6" w:rsidP="00FA17C6">
      <w:pPr>
        <w:pStyle w:val="Paragrafoelenco"/>
        <w:numPr>
          <w:ilvl w:val="0"/>
          <w:numId w:val="4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Di fatto, una forma come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ἐσμίξασι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che non si trova nella ricorrente posizione della clausola del primo emistichio, e che ha comunque una utilità metrica, dimostra probabilmente la vitalità della desinenza lunga -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non solo in formule stereotipiche come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χαρὰν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μεγάλην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ma anche in impieghi estemporanei in altre posizioni del verso politico. Una conferma viene dal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Bellum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Troianum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(15x), che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di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ἐσμίξασι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fa uso in tutte le posizioni possibile del verso.</w:t>
      </w:r>
    </w:p>
    <w:p w14:paraId="0614BC66" w14:textId="77777777" w:rsidR="00FA17C6" w:rsidRPr="00D62F7B" w:rsidRDefault="00FA17C6" w:rsidP="00FA17C6">
      <w:pPr>
        <w:pStyle w:val="Paragrafoelenco"/>
        <w:numPr>
          <w:ilvl w:val="0"/>
          <w:numId w:val="4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Un altro indizio dell’estrazione dal parlato viene dal moderno ὑπ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ήγ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(3x), poi registrato anche da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ChM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(P), in pochi casi anche con l’aferesi nella forma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πήγασι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Achilleis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byz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.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1063, 1111) e da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ἐκάμασι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(9x), con una sola attestazione nel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ChM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(H)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</w:p>
    <w:p w14:paraId="648C4036" w14:textId="77777777" w:rsidR="00FA17C6" w:rsidRPr="007505C5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08798465" w14:textId="4524CC14" w:rsidR="00FA17C6" w:rsidRPr="00FA17C6" w:rsidRDefault="00FA17C6" w:rsidP="0024668B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Tale patrimonio formulare, con la distribuzione complementare di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εἶχαν, si ripresenta, sia pur variato, nel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</w:p>
    <w:p w14:paraId="7149CCD5" w14:textId="77777777" w:rsidR="00FA17C6" w:rsidRPr="00D62F7B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Esempio di variazioni, con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ἐπήρασι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In </w:t>
      </w:r>
      <w:r w:rsidRPr="00097DF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BT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si contano 37 casi, sempre nel primo emistichio, all’interno di espressioni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formulari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come la seguente: </w:t>
      </w:r>
    </w:p>
    <w:p w14:paraId="2F5E3725" w14:textId="77777777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4C7651E5" w14:textId="77777777" w:rsidR="00FA17C6" w:rsidRPr="00D62F7B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Nel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si trova l’espressione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Ὅλοι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β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ουλὴν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ἐπ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ήρ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due volte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in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vv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2103, 2466) o variamente modificata (solo β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ουλὴν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ἐπ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ήρ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ν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13x). Rispetto alla posizione fissa nel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Bellum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Troianum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alla fine del primo emistichio, nel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(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)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è dato avere ἐπ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ήρ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anche nelle prime sedi del verso (896, 5314)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ChM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H: 3x alla fine del primo emistichio.</w:t>
      </w:r>
    </w:p>
    <w:p w14:paraId="723094A8" w14:textId="77777777" w:rsidR="00FA17C6" w:rsidRPr="00D62F7B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Le somiglianze tra il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Bellum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Troianum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il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non finiscono qui: forme come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ἐζητήσασι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sono attesta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te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unicamente nei due poemi, rispettivamente 6 e 3 volte, sempre rigorosamente nel primo emistichio. In altri casi il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(H) sperimenta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creazioni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isolate come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ἐκάψασι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(2x: 4666, 4672), destinate a riaffiorare solo in sparutissime attestazioni poetiche secentesche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 Creta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(Emmanuel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Tzanes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) o l’ancor più raro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ἀρχάσασι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(6x), che non si trova altrove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probabilmente ha molto di artificiale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Rilevanti anche le occorrenze di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ἐπιάσασι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dal moderno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πιάνω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BT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5x, 12x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ChM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(H).</w:t>
      </w:r>
    </w:p>
    <w:p w14:paraId="2FB5ECCA" w14:textId="702C3383" w:rsidR="00FA17C6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Altre volte è il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BT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 stupirci, con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ἐδειλιάσασι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(v. 8263): 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ολλὰ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ἐδειλιάσ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ἐχάσ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αν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τὴν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ἀνδρεί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αν. Una forma come questa, da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δειλιάζω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offre solo un altro riscontro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in letteratura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nel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Galaxidii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del monaco Eutimio.</w:t>
      </w:r>
    </w:p>
    <w:p w14:paraId="6AC121D2" w14:textId="6B0CA49C" w:rsidR="00FA17C6" w:rsidRDefault="00FA17C6" w:rsidP="00FA17C6">
      <w:pPr>
        <w:pStyle w:val="Paragrafoelenco"/>
        <w:numPr>
          <w:ilvl w:val="0"/>
          <w:numId w:val="3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E17F93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 2/3 delle forme in -</w:t>
      </w:r>
      <w:proofErr w:type="spellStart"/>
      <w:r w:rsidRPr="00E17F93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E17F93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si trovano nella prima metà del verso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</w:p>
    <w:p w14:paraId="5F13E656" w14:textId="77777777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</w:p>
    <w:p w14:paraId="141B229F" w14:textId="77777777" w:rsidR="00FA17C6" w:rsidRPr="001D1A40" w:rsidRDefault="00FA17C6" w:rsidP="00FA17C6">
      <w:pPr>
        <w:pStyle w:val="Paragrafoelenco"/>
        <w:numPr>
          <w:ilvl w:val="0"/>
          <w:numId w:val="6"/>
        </w:numPr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</w:rPr>
      </w:pPr>
      <w:r w:rsidRPr="001D1A40"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</w:rPr>
        <w:t>A survey of prose</w:t>
      </w:r>
    </w:p>
    <w:p w14:paraId="700BD998" w14:textId="77777777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</w:p>
    <w:p w14:paraId="11A78007" w14:textId="77777777" w:rsidR="00FA17C6" w:rsidRPr="00D62F7B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Oltre alla poesia, il primo ambito in cui è possibile documentarne la presenza, sia pur con frequenza inizialmente ridotta, è la lingua burocratica e poi quella delle scritture private, come documentato da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2001: 231-234 per un arco di tempo che parte dal 1360 con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εἴπασι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(15x) in un documento dell’archivio del patriarcato costantinopolitano.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Non è inverosimile vedervi il frutto del successo della letteratura romanzesca in lingua vernacolare promossa dagli occidentali nel Peloponneso e presto giunta anche a Costantinopoli.</w:t>
      </w:r>
    </w:p>
    <w:p w14:paraId="61E73DEB" w14:textId="77777777" w:rsidR="00FA17C6" w:rsidRPr="008F1435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</w:p>
    <w:p w14:paraId="7F3F551B" w14:textId="77777777" w:rsidR="00FA17C6" w:rsidRPr="001D5135" w:rsidRDefault="00FA17C6" w:rsidP="00FA17C6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1D5135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Historia </w:t>
      </w:r>
      <w:proofErr w:type="spellStart"/>
      <w:r w:rsidRPr="001D5135">
        <w:rPr>
          <w:rFonts w:ascii="Palatino Linotype" w:hAnsi="Palatino Linotype"/>
          <w:b/>
          <w:bCs/>
          <w:i/>
          <w:iCs/>
          <w:sz w:val="18"/>
          <w:szCs w:val="18"/>
        </w:rPr>
        <w:t>imperatorum</w:t>
      </w:r>
      <w:proofErr w:type="spellEnd"/>
    </w:p>
    <w:p w14:paraId="3BB0ECDD" w14:textId="77777777" w:rsidR="00FA17C6" w:rsidRPr="003A443A" w:rsidRDefault="00FA17C6" w:rsidP="00FA17C6">
      <w:pPr>
        <w:pStyle w:val="Paragrafoelenco"/>
        <w:ind w:left="1080"/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</w:p>
    <w:p w14:paraId="0D7B9E19" w14:textId="77777777" w:rsidR="00FA17C6" w:rsidRPr="00D62F7B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color w:val="0070C0"/>
          <w:sz w:val="18"/>
          <w:szCs w:val="18"/>
          <w:lang w:val="it-IT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L’unico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testo prosastico bizantino che fa largo impiego delle forme in -α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è l’anonima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Historia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Imperatorum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. </w:t>
      </w:r>
    </w:p>
    <w:p w14:paraId="5A6CE751" w14:textId="27EA8800" w:rsidR="00FA17C6" w:rsidRDefault="00FA17C6" w:rsidP="00FA17C6">
      <w:pPr>
        <w:pStyle w:val="Paragrafoelenco"/>
        <w:jc w:val="both"/>
        <w:rPr>
          <w:rFonts w:ascii="Palatino Linotype" w:hAnsi="Palatino Linotype"/>
          <w:color w:val="0070C0"/>
          <w:sz w:val="18"/>
          <w:szCs w:val="18"/>
          <w:lang w:val="it-IT"/>
        </w:rPr>
      </w:pP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La cronografia, nata come parafrasi prosastica della 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el-GR"/>
        </w:rPr>
        <w:t>Σύνοψις</w:t>
      </w:r>
      <w:proofErr w:type="spellEnd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hAnsi="Palatino Linotype"/>
          <w:i/>
          <w:iCs/>
          <w:color w:val="0070C0"/>
          <w:sz w:val="18"/>
          <w:szCs w:val="18"/>
        </w:rPr>
        <w:t>ἱ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el-GR"/>
        </w:rPr>
        <w:t>στορική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di Costantino Manasse (XII sec.), è nota per l’apertura a molti sviluppi del greco parlato e si può datare a un periodo successivo al tardo XV secolo.  </w:t>
      </w:r>
    </w:p>
    <w:p w14:paraId="4C61295D" w14:textId="77777777" w:rsidR="00FA17C6" w:rsidRPr="00D62F7B" w:rsidRDefault="00FA17C6" w:rsidP="00FA17C6">
      <w:pPr>
        <w:pStyle w:val="Paragrafoelenco"/>
        <w:jc w:val="both"/>
        <w:rPr>
          <w:rFonts w:ascii="Palatino Linotype" w:hAnsi="Palatino Linotype"/>
          <w:color w:val="0070C0"/>
          <w:sz w:val="18"/>
          <w:szCs w:val="18"/>
          <w:lang w:val="it-IT"/>
        </w:rPr>
      </w:pP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La fonte della parafrasi era la cronaca di Manasse in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decapentasillabi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, redatta secondo le caratteristiche di quella che Herbert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Hunger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definisce “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Trivialliteratur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”, ma che si manteneva a un livello stilistico alto (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Lampsidis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1996: LXII-LXV) e non ammetteva certo forme popolari come quelle che stiamo considerando. L’origine dell’impiego estensivo di tali forme nell’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>Historia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richiede, dunque, una spiegazione al di là della fonte e che manca nella recente 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lastRenderedPageBreak/>
        <w:t xml:space="preserve">edizione di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Iadevaia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. Era del resto un 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>desideratum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già espresso da Karl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Praechter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1895: “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Genaueres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ergäbe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vielleicht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auch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hier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eine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sprachliche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Untersuchung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”. La coesistenza di diverse redazioni della parafrasi trova un riscontro anche sul piano formale: il codice B (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>Bernensis</w:t>
      </w:r>
      <w:proofErr w:type="spellEnd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596) per esempio reca ηὕρα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σιν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laddove P (</w:t>
      </w:r>
      <w:proofErr w:type="spellStart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>Parisinus</w:t>
      </w:r>
      <w:proofErr w:type="spellEnd"/>
      <w:r w:rsidRPr="00D62F7B">
        <w:rPr>
          <w:rFonts w:ascii="Palatino Linotype" w:hAnsi="Palatino Linotype"/>
          <w:i/>
          <w:iCs/>
          <w:color w:val="0070C0"/>
          <w:sz w:val="18"/>
          <w:szCs w:val="18"/>
          <w:lang w:val="it-IT"/>
        </w:rPr>
        <w:t xml:space="preserve"> gr. 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1708) ha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εὗρον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. </w:t>
      </w:r>
    </w:p>
    <w:p w14:paraId="467CB405" w14:textId="77777777" w:rsidR="00FA17C6" w:rsidRPr="00D62F7B" w:rsidRDefault="00FA17C6" w:rsidP="00FA17C6">
      <w:pPr>
        <w:pStyle w:val="Paragrafoelenco"/>
        <w:jc w:val="both"/>
        <w:rPr>
          <w:rFonts w:ascii="Palatino Linotype" w:hAnsi="Palatino Linotype"/>
          <w:color w:val="0070C0"/>
          <w:sz w:val="18"/>
          <w:szCs w:val="18"/>
          <w:lang w:val="it-IT"/>
        </w:rPr>
      </w:pPr>
    </w:p>
    <w:p w14:paraId="3912F87C" w14:textId="77777777" w:rsidR="00FA17C6" w:rsidRPr="003844AF" w:rsidRDefault="00FA17C6" w:rsidP="00FA17C6">
      <w:pPr>
        <w:pStyle w:val="Paragrafoelenco"/>
        <w:numPr>
          <w:ilvl w:val="1"/>
          <w:numId w:val="2"/>
        </w:numPr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3844AF">
        <w:rPr>
          <w:rFonts w:ascii="Palatino Linotype" w:hAnsi="Palatino Linotype"/>
          <w:b/>
          <w:bCs/>
          <w:sz w:val="18"/>
          <w:szCs w:val="18"/>
          <w:lang w:val="it-IT"/>
        </w:rPr>
        <w:t xml:space="preserve">John </w:t>
      </w:r>
      <w:proofErr w:type="spellStart"/>
      <w:r w:rsidRPr="003844AF">
        <w:rPr>
          <w:rFonts w:ascii="Palatino Linotype" w:hAnsi="Palatino Linotype"/>
          <w:b/>
          <w:bCs/>
          <w:sz w:val="18"/>
          <w:szCs w:val="18"/>
          <w:lang w:val="it-IT"/>
        </w:rPr>
        <w:t>Cananus</w:t>
      </w:r>
      <w:proofErr w:type="spellEnd"/>
    </w:p>
    <w:p w14:paraId="27D390A1" w14:textId="77777777" w:rsidR="00FA17C6" w:rsidRPr="003E1861" w:rsidRDefault="00FA17C6" w:rsidP="00FA17C6">
      <w:pPr>
        <w:pStyle w:val="Paragrafoelenco"/>
        <w:jc w:val="both"/>
        <w:rPr>
          <w:rFonts w:ascii="Palatino Linotype" w:hAnsi="Palatino Linotype"/>
          <w:sz w:val="18"/>
          <w:szCs w:val="18"/>
          <w:lang w:val="it-IT"/>
        </w:rPr>
      </w:pPr>
    </w:p>
    <w:p w14:paraId="7A603352" w14:textId="77777777" w:rsidR="00FA17C6" w:rsidRPr="00D62F7B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Giovanni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Canano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autore di un’opera in prosa sull’assedio di Costantinopoli del 1422, redatta in lingua aperta al demotico, registra due volte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(124, 279), insieme a un isolato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ἐπήρασι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(461):</w:t>
      </w:r>
    </w:p>
    <w:p w14:paraId="579DD1E4" w14:textId="77777777" w:rsidR="00FA17C6" w:rsidRPr="003E1861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32DB00DD" w14:textId="77777777" w:rsidR="00FA17C6" w:rsidRPr="00A320F0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16BCECE3" w14:textId="77777777" w:rsidR="00FA17C6" w:rsidRPr="00D62F7B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La forma standard è quella proparossitona in -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αν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ἐδίωξαν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) e in -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ον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per l’aoristo tematico e i tre tipi in -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al passato non appaiono che nei verbi bisillabici, come in genere avviene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2001: 227-228).</w:t>
      </w:r>
    </w:p>
    <w:p w14:paraId="68D888B2" w14:textId="77777777" w:rsidR="00FA17C6" w:rsidRPr="003E1861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it-IT"/>
        </w:rPr>
      </w:pPr>
    </w:p>
    <w:p w14:paraId="5600F266" w14:textId="77777777" w:rsidR="00FA17C6" w:rsidRPr="003844AF" w:rsidRDefault="00FA17C6" w:rsidP="00FA17C6">
      <w:pPr>
        <w:pStyle w:val="Paragrafoelenco"/>
        <w:numPr>
          <w:ilvl w:val="1"/>
          <w:numId w:val="2"/>
        </w:numPr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  <w:r w:rsidRPr="003844AF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3844AF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>Dukas</w:t>
      </w:r>
      <w:proofErr w:type="spellEnd"/>
    </w:p>
    <w:p w14:paraId="7D6015CF" w14:textId="77777777" w:rsidR="00FA17C6" w:rsidRPr="00FF4D7D" w:rsidRDefault="00FA17C6" w:rsidP="00FA17C6">
      <w:pPr>
        <w:pStyle w:val="Paragrafoelenco"/>
        <w:ind w:left="1080"/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</w:p>
    <w:p w14:paraId="6A318F79" w14:textId="77777777" w:rsidR="00FA17C6" w:rsidRPr="00D62F7B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L’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Historia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turco-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byzantina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di Michele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Ducas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(9x), tradita da un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codex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unicus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Parisinus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gr.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1310) è un’eccezione nel registrare, in prosa, la forma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alternativa a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ἦλθον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attestato 12 volte:</w:t>
      </w:r>
    </w:p>
    <w:p w14:paraId="2B197F75" w14:textId="77777777" w:rsidR="00FA17C6" w:rsidRPr="00FA17C6" w:rsidRDefault="00FA17C6" w:rsidP="00FA17C6">
      <w:pPr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</w:pPr>
    </w:p>
    <w:p w14:paraId="0C3B7B15" w14:textId="522A4781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Per le desinenze alternative, limitate solo a </w:t>
      </w:r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composti, </w:t>
      </w:r>
      <w:proofErr w:type="spellStart"/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vd</w:t>
      </w:r>
      <w:proofErr w:type="spellEnd"/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già </w:t>
      </w:r>
      <w:proofErr w:type="spellStart"/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Galdi</w:t>
      </w:r>
      <w:proofErr w:type="spellEnd"/>
      <w:r w:rsidRPr="00483885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1910: 19.</w:t>
      </w:r>
    </w:p>
    <w:p w14:paraId="60ED845B" w14:textId="77777777" w:rsidR="00FA17C6" w:rsidRPr="008A0EA2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</w:p>
    <w:p w14:paraId="12FB8BF3" w14:textId="77777777" w:rsidR="00FA17C6" w:rsidRDefault="00FA17C6" w:rsidP="00FA17C6">
      <w:pPr>
        <w:pStyle w:val="Paragrafoelenco"/>
        <w:numPr>
          <w:ilvl w:val="1"/>
          <w:numId w:val="2"/>
        </w:numPr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  <w:proofErr w:type="spellStart"/>
      <w:r w:rsidRPr="00A75DD8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>Sphrant</w:t>
      </w:r>
      <w:r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>z</w:t>
      </w:r>
      <w:r w:rsidRPr="00A75DD8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>es</w:t>
      </w:r>
      <w:proofErr w:type="spellEnd"/>
    </w:p>
    <w:p w14:paraId="5734AA8A" w14:textId="77777777" w:rsidR="00FA17C6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</w:rPr>
      </w:pPr>
    </w:p>
    <w:p w14:paraId="1A7F51FE" w14:textId="77777777" w:rsidR="00FA17C6" w:rsidRPr="00D62F7B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Tra gli storici del XV secolo, che scrivono in un greco meno controllato dal punto di vista formale (Maisano 1990: 45), figura anche George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Sphrantzes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(1401 – c. 1478). Un sondaggio sul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minus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restituisce due volte appena </w:t>
      </w:r>
      <w:proofErr w:type="spellStart"/>
      <w:r w:rsidRPr="00D62F7B"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el-GR"/>
        </w:rPr>
        <w:t>ἀπήρασι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:</w:t>
      </w:r>
    </w:p>
    <w:p w14:paraId="0B425C9B" w14:textId="77777777" w:rsidR="00FA17C6" w:rsidRPr="007774DB" w:rsidRDefault="00FA17C6" w:rsidP="00FA17C6">
      <w:pPr>
        <w:pStyle w:val="Paragrafoelenco"/>
        <w:jc w:val="both"/>
        <w:rPr>
          <w:rFonts w:ascii="Palatino Linotype" w:eastAsia="Calibri" w:hAnsi="Palatino Linotype" w:cs="Times New Roman"/>
          <w:color w:val="000000" w:themeColor="text1"/>
          <w:sz w:val="18"/>
          <w:szCs w:val="18"/>
          <w:lang w:val="el-GR"/>
        </w:rPr>
      </w:pPr>
    </w:p>
    <w:p w14:paraId="0BE76E78" w14:textId="77777777" w:rsidR="00FA17C6" w:rsidRPr="00ED3208" w:rsidRDefault="00FA17C6" w:rsidP="00FA17C6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Nonostante la scarsa cura dello stile e la mancata revisione dell’opera, dunque,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Sfranze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conserva ancora le forme corrette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ἦλθον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εἶ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π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ον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εἶδον,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εἶ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χον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al pari degli storici atticisti del periodo, come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Critobulo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</w:p>
    <w:p w14:paraId="6B704057" w14:textId="77777777" w:rsidR="00FA17C6" w:rsidRPr="00D62F7B" w:rsidRDefault="00FA17C6" w:rsidP="00FA17C6">
      <w:pPr>
        <w:pStyle w:val="Paragrafoelenco"/>
        <w:jc w:val="both"/>
        <w:rPr>
          <w:rFonts w:ascii="Palatino Linotype" w:hAnsi="Palatino Linotype"/>
          <w:color w:val="0070C0"/>
          <w:sz w:val="18"/>
          <w:szCs w:val="18"/>
          <w:lang w:val="it-IT"/>
        </w:rPr>
      </w:pPr>
    </w:p>
    <w:p w14:paraId="29557586" w14:textId="77777777" w:rsidR="0024668B" w:rsidRPr="00FA17C6" w:rsidRDefault="0024668B" w:rsidP="00FA17C6">
      <w:pPr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</w:rPr>
      </w:pPr>
    </w:p>
    <w:p w14:paraId="47FAB53D" w14:textId="43337D29" w:rsidR="0024668B" w:rsidRDefault="0024668B" w:rsidP="0024668B">
      <w:pPr>
        <w:pStyle w:val="Paragrafoelenco"/>
        <w:numPr>
          <w:ilvl w:val="1"/>
          <w:numId w:val="2"/>
        </w:numPr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  <w:r w:rsidRPr="00E76405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 xml:space="preserve">La </w:t>
      </w:r>
      <w:r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>letteratura</w:t>
      </w:r>
      <w:r w:rsidRPr="00E76405"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  <w:t xml:space="preserve"> successiva</w:t>
      </w:r>
    </w:p>
    <w:p w14:paraId="7807C7EA" w14:textId="77777777" w:rsidR="0024668B" w:rsidRDefault="0024668B" w:rsidP="0024668B">
      <w:pPr>
        <w:pStyle w:val="Paragrafoelenco"/>
        <w:ind w:left="1440"/>
        <w:jc w:val="both"/>
        <w:rPr>
          <w:rFonts w:ascii="Palatino Linotype" w:eastAsia="Calibri" w:hAnsi="Palatino Linotype" w:cs="Times New Roman"/>
          <w:b/>
          <w:bCs/>
          <w:color w:val="000000" w:themeColor="text1"/>
          <w:sz w:val="18"/>
          <w:szCs w:val="18"/>
          <w:lang w:val="it-IT"/>
        </w:rPr>
      </w:pPr>
    </w:p>
    <w:p w14:paraId="5D8D4548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it-IT" w:eastAsia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Uno sguardo alla prosa letteraria di prima età moderna offre un panorama contrastato. Le omelie in prosa di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Nathalail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Bertos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della seconda metà del XV secolo, che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Eideneier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1996: 156 considera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το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πρώτο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έργο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που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γράφτηκε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στη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νεοελληνική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γραπτή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Κοινή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non registrano alcun aoristo in -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a differenza di quelle in versi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2001: 229), mentre nella traduzione del Nuovo Testamento di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M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aximos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K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alli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o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upolit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(1633) le forme in -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sono un’eccezione e in tre casi su 4 relative a verbi brevi: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ἐπήγασιν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εἴδασι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>Katičić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 1992; </w:t>
      </w:r>
      <w:proofErr w:type="spellStart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>Hinterberger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 2001: 230). Nell’</w:t>
      </w:r>
      <w:proofErr w:type="spellStart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>Historia</w:t>
      </w:r>
      <w:proofErr w:type="spellEnd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 xml:space="preserve"> </w:t>
      </w:r>
      <w:proofErr w:type="spellStart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>imperatorum</w:t>
      </w:r>
      <w:proofErr w:type="spellEnd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 xml:space="preserve"> </w:t>
      </w:r>
      <w:proofErr w:type="spellStart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>turcorum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, scritta dopo il 1573, la frequenza è di 25 (di cui 6 </w:t>
      </w:r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el-GR" w:eastAsia="it-IT"/>
        </w:rPr>
        <w:t>εἴχασι</w:t>
      </w:r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). Nella </w:t>
      </w:r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 xml:space="preserve">Vita di </w:t>
      </w:r>
      <w:proofErr w:type="spellStart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>Barlaam</w:t>
      </w:r>
      <w:proofErr w:type="spellEnd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 xml:space="preserve"> e </w:t>
      </w:r>
      <w:proofErr w:type="spellStart"/>
      <w:r w:rsidRPr="00D62F7B">
        <w:rPr>
          <w:rFonts w:ascii="Palatino Linotype" w:eastAsia="Times New Roman" w:hAnsi="Palatino Linotype" w:cs="Arial"/>
          <w:i/>
          <w:iCs/>
          <w:color w:val="0070C0"/>
          <w:sz w:val="18"/>
          <w:szCs w:val="18"/>
          <w:shd w:val="clear" w:color="auto" w:fill="FFFFFF"/>
          <w:lang w:val="it-IT" w:eastAsia="it-IT"/>
        </w:rPr>
        <w:t>Iosafat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 del monaco Agapio Lando (1641, ed. Klein 1991) sono stati contati solo 4 aoristi in -α</w:t>
      </w:r>
      <w:proofErr w:type="spellStart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el-GR" w:eastAsia="it-IT"/>
        </w:rPr>
        <w:t>σι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 (</w:t>
      </w:r>
      <w:proofErr w:type="spellStart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>Hinterberger</w:t>
      </w:r>
      <w:proofErr w:type="spellEnd"/>
      <w:r w:rsidRPr="00D62F7B">
        <w:rPr>
          <w:rFonts w:ascii="Palatino Linotype" w:eastAsia="Times New Roman" w:hAnsi="Palatino Linotype" w:cs="Arial"/>
          <w:color w:val="0070C0"/>
          <w:sz w:val="18"/>
          <w:szCs w:val="18"/>
          <w:shd w:val="clear" w:color="auto" w:fill="FFFFFF"/>
          <w:lang w:val="it-IT" w:eastAsia="it-IT"/>
        </w:rPr>
        <w:t xml:space="preserve"> 2001: 230).</w:t>
      </w:r>
    </w:p>
    <w:p w14:paraId="0FA7BCF1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</w:pPr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Se poi consideriamo i testi notarili, negli atti del notaio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Antonios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Gialeas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(1529-1532) studiati da Bakker-van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Gemert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la terza persona plurale dell’aoristo indicativo termina sempre in -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el-GR" w:eastAsia="it-IT"/>
        </w:rPr>
        <w:t>ασι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(Bakker-van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Gemert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1978: 16;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Hinterberger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2001: 226), ma in quelli di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Manolis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</w:t>
      </w:r>
      <w:proofErr w:type="spellStart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Baruka</w:t>
      </w:r>
      <w:proofErr w:type="spellEnd"/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(1597-1613) la situazione è diversa, con maggioranza del tipo -</w:t>
      </w:r>
      <w:r w:rsidRPr="00D62F7B">
        <w:rPr>
          <w:rFonts w:ascii="Palatino Linotype" w:eastAsia="Times New Roman" w:hAnsi="Palatino Linotype" w:cs="Times New Roman"/>
          <w:color w:val="0070C0"/>
          <w:sz w:val="18"/>
          <w:szCs w:val="18"/>
          <w:lang w:val="el-GR" w:eastAsia="it-IT"/>
        </w:rPr>
        <w:t>αν</w:t>
      </w:r>
      <w:r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(</w:t>
      </w:r>
      <w:proofErr w:type="gramStart"/>
      <w:r>
        <w:rPr>
          <w:rFonts w:ascii="Palatino Linotype" w:eastAsia="Times New Roman" w:hAnsi="Palatino Linotype" w:cs="Times New Roman"/>
          <w:color w:val="0070C0"/>
          <w:sz w:val="18"/>
          <w:szCs w:val="18"/>
          <w:lang w:val="el-GR" w:eastAsia="it-IT"/>
        </w:rPr>
        <w:t>εἴχασι</w:t>
      </w:r>
      <w:r w:rsidRPr="00A90461"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</w:t>
      </w:r>
      <w:r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>:</w:t>
      </w:r>
      <w:proofErr w:type="gramEnd"/>
      <w:r>
        <w:rPr>
          <w:rFonts w:ascii="Palatino Linotype" w:eastAsia="Times New Roman" w:hAnsi="Palatino Linotype" w:cs="Times New Roman"/>
          <w:color w:val="0070C0"/>
          <w:sz w:val="18"/>
          <w:szCs w:val="18"/>
          <w:lang w:val="it-IT" w:eastAsia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εἶ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χαν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= 16 : 18).</w:t>
      </w:r>
    </w:p>
    <w:p w14:paraId="31081E9A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it-IT" w:eastAsia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Si ricava l’impressione di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una coesistenza disordinata, cui seguirà la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regressione progressiva di queste forme nella prosa a partire dal Seicento, fatta eccezione per alcuni verbi caratterizzati da alta frequenza d’uso. Nel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Galaxidi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del monaco Eutimio (1703) si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avrà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9x, a fronte di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ἶ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2x,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ἐπάθασι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(1x)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ἐπήρασι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(13x)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vs.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ἐπῆραν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(0x). </w:t>
      </w:r>
    </w:p>
    <w:p w14:paraId="0E0A9B76" w14:textId="3C1379C4" w:rsidR="0024668B" w:rsidRPr="00BB2440" w:rsidRDefault="0024668B" w:rsidP="00BB2440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La poesia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cretese, invece,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le conservò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per es. con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Leonardo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Dellaporta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(1346-1420),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Georgios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Chortatz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(1545-1610)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Emm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nuel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Tzanes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(1610-1690)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al livello di singole forme cristallizzate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(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εἴδασι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εὗρ</w:t>
      </w:r>
      <w:r w:rsidRPr="00D62F7B">
        <w:rPr>
          <w:rFonts w:ascii="Palatino Linotype" w:hAnsi="Palatino Linotype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>)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, ormai caratteristiche del genere, tanto che si ritrovano anche fuori Creta, per es. nei versi di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Cesario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Daponte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(1714-1784)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>Invece, non se ne avrà più traccia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nei </w:t>
      </w:r>
      <w:r w:rsidRPr="00D62F7B">
        <w:rPr>
          <w:rFonts w:ascii="Palatino Linotype" w:hAnsi="Palatino Linotype"/>
          <w:color w:val="0070C0"/>
          <w:sz w:val="18"/>
          <w:szCs w:val="18"/>
          <w:lang w:val="it-IT"/>
        </w:rPr>
        <w:t xml:space="preserve">canti </w:t>
      </w:r>
      <w:r w:rsidRPr="004F5C2A">
        <w:rPr>
          <w:rFonts w:ascii="Palatino Linotype" w:hAnsi="Palatino Linotype"/>
          <w:color w:val="0070C0"/>
          <w:sz w:val="18"/>
          <w:szCs w:val="18"/>
          <w:lang w:val="it-IT"/>
        </w:rPr>
        <w:t>popolari (</w:t>
      </w:r>
      <w:r w:rsidRPr="004F5C2A">
        <w:rPr>
          <w:rFonts w:ascii="Palatino Linotype" w:hAnsi="Palatino Linotype"/>
          <w:color w:val="0070C0"/>
          <w:sz w:val="18"/>
          <w:szCs w:val="18"/>
          <w:lang w:val="el-GR"/>
        </w:rPr>
        <w:t>δημοτικά</w:t>
      </w:r>
      <w:r w:rsidRPr="004F5C2A"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  <w:r w:rsidRPr="004F5C2A">
        <w:rPr>
          <w:rFonts w:ascii="Palatino Linotype" w:hAnsi="Palatino Linotype"/>
          <w:color w:val="0070C0"/>
          <w:sz w:val="18"/>
          <w:szCs w:val="18"/>
          <w:lang w:val="el-GR"/>
        </w:rPr>
        <w:t>τραγούδια</w:t>
      </w:r>
      <w:r w:rsidRPr="004F5C2A">
        <w:rPr>
          <w:rFonts w:ascii="Palatino Linotype" w:hAnsi="Palatino Linotype"/>
          <w:color w:val="0070C0"/>
          <w:sz w:val="18"/>
          <w:szCs w:val="18"/>
          <w:lang w:val="it-IT"/>
        </w:rPr>
        <w:t>).</w:t>
      </w:r>
      <w:r>
        <w:rPr>
          <w:rFonts w:ascii="Palatino Linotype" w:hAnsi="Palatino Linotype"/>
          <w:color w:val="0070C0"/>
          <w:sz w:val="18"/>
          <w:szCs w:val="18"/>
          <w:lang w:val="it-IT"/>
        </w:rPr>
        <w:t xml:space="preserve"> </w:t>
      </w:r>
    </w:p>
    <w:p w14:paraId="2096ED56" w14:textId="77777777" w:rsidR="0024668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lastRenderedPageBreak/>
        <w:t>All’inizio del Seicento, l</w:t>
      </w:r>
      <w:r w:rsidRPr="006F0D1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e prime grammatiche del Greco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volgare perlopiù registrano la polimorfia, sia pur con alcune differenze.</w:t>
      </w:r>
    </w:p>
    <w:p w14:paraId="591BB57C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The </w:t>
      </w:r>
      <w:r w:rsidRPr="006F0D1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</w:rPr>
        <w:t>Grammatical Introduction</w:t>
      </w:r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by Nikolaos </w:t>
      </w:r>
      <w:proofErr w:type="spellStart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>Sofianos</w:t>
      </w:r>
      <w:proofErr w:type="spellEnd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(</w:t>
      </w:r>
      <w:proofErr w:type="spellStart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>su</w:t>
      </w:r>
      <w:proofErr w:type="spellEnd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 cui </w:t>
      </w:r>
      <w:proofErr w:type="spellStart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>vd</w:t>
      </w:r>
      <w:proofErr w:type="spellEnd"/>
      <w:r w:rsidRPr="006F0D12">
        <w:rPr>
          <w:rFonts w:ascii="Palatino Linotype" w:eastAsia="Calibri" w:hAnsi="Palatino Linotype" w:cs="Times New Roman"/>
          <w:color w:val="0070C0"/>
          <w:sz w:val="18"/>
          <w:szCs w:val="18"/>
        </w:rPr>
        <w:t xml:space="preserve">.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Lauxtermann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2020) prescrive i tipi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ἔγραφαν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ἐγράφασι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per l’imperfetto ma curiosamente all’aoristo solo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ἔγραψαν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Al piuccheperfetto, tuttavia, ammette entrambe le forme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εἶ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χαν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γράψει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/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γραμμένο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Papadopoulos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1977: 53-54;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2001: 234)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</w:t>
      </w:r>
    </w:p>
    <w:p w14:paraId="32B1891B" w14:textId="63AA31CC" w:rsidR="0024668B" w:rsidRPr="0024668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Girolamo Germano, autore di un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Vocabolario Italiano et Greco, nel quale si contiene come le voci italiane si dicano in </w:t>
      </w:r>
      <w:proofErr w:type="gram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Greco</w:t>
      </w:r>
      <w:proofErr w:type="gram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volgare. Con alcune regole generali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Roma 1622 (ed.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Pernot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1907) annota al perfetto: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ἐγράψανε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ἐγράψασι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Pernot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1907: 89;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2001: 235). Lo stesso si osserva nella grammatica di Simon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Portius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del 1638 (ed.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Meyer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1889). </w:t>
      </w:r>
    </w:p>
    <w:p w14:paraId="082F7B39" w14:textId="77777777" w:rsidR="0024668B" w:rsidRPr="006F0D12" w:rsidRDefault="0024668B" w:rsidP="0024668B">
      <w:pPr>
        <w:pStyle w:val="Paragrafoelenco"/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</w:p>
    <w:p w14:paraId="6C27DA51" w14:textId="77777777" w:rsidR="0024668B" w:rsidRDefault="0024668B" w:rsidP="0024668B">
      <w:pPr>
        <w:pStyle w:val="Paragrafoelenco"/>
        <w:numPr>
          <w:ilvl w:val="0"/>
          <w:numId w:val="2"/>
        </w:numPr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it-IT"/>
        </w:rPr>
      </w:pPr>
      <w:proofErr w:type="spellStart"/>
      <w:r w:rsidRPr="000D4612"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it-IT"/>
        </w:rPr>
        <w:t>Final</w:t>
      </w:r>
      <w:proofErr w:type="spellEnd"/>
      <w:r w:rsidRPr="000D4612"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0D4612"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it-IT"/>
        </w:rPr>
        <w:t>remarks</w:t>
      </w:r>
      <w:proofErr w:type="spellEnd"/>
      <w:r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el-GR"/>
        </w:rPr>
        <w:t xml:space="preserve"> </w:t>
      </w:r>
    </w:p>
    <w:p w14:paraId="4FEF4CA3" w14:textId="77777777" w:rsidR="0024668B" w:rsidRPr="000D4612" w:rsidRDefault="0024668B" w:rsidP="0024668B">
      <w:pPr>
        <w:pStyle w:val="Paragrafoelenco"/>
        <w:ind w:left="360"/>
        <w:rPr>
          <w:rFonts w:ascii="Palatino Linotype" w:eastAsia="Calibri" w:hAnsi="Palatino Linotype" w:cs="Times New Roman"/>
          <w:b/>
          <w:bCs/>
          <w:color w:val="000000" w:themeColor="text1"/>
          <w:sz w:val="20"/>
          <w:szCs w:val="20"/>
          <w:lang w:val="it-IT"/>
        </w:rPr>
      </w:pPr>
    </w:p>
    <w:p w14:paraId="2A5BE2C1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A conclusione di questa rassegna, possiamo affermare che gli aoristi lunghi in -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alla terza persona plurale furono sviluppi analogici del greco parlato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risalenti almeno alla Tarda Antichità, se non anteriori.</w:t>
      </w:r>
    </w:p>
    <w:p w14:paraId="2216E247" w14:textId="77777777" w:rsidR="0024668B" w:rsidRPr="00D62F7B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La più antica epopea bizantina, il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Digenìs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con le sue due recensioni E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G, registra queste forme con estrema parsimonia, probabilmente laddove i redattori non seppero estirparle dal verso (emblematico è il caso di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εἴχασι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persino in G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4.962). E che nel XII secolo fossero avvertite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come forme basse, è del resto dimostrato dal fatto che erano accuratamente evitate anche nel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decapentasillabo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da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autori come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Teodoro Prodromo (eccetto un solo 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ἐφύγασι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)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Giovanni </w:t>
      </w:r>
      <w:proofErr w:type="spellStart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Tzetzes</w:t>
      </w:r>
      <w:proofErr w:type="spellEnd"/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Costantino Manasse.</w:t>
      </w:r>
    </w:p>
    <w:p w14:paraId="62F3814D" w14:textId="77777777" w:rsidR="0024668B" w:rsidRPr="00C40738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Il loro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exploit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nella letteratura inizia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a cavallo tra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il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Duecento e il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Trecento</w:t>
      </w:r>
      <w:r w:rsidRPr="0094092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nel Peloponneso: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opere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“antibizantine”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che registravano liberamente la lingua parlata come il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Bellum</w:t>
      </w:r>
      <w:proofErr w:type="spellEnd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Troianum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il </w:t>
      </w:r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Chronicon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Moreae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ne offrono una ricchissima documentazione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O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pportunamente sfruttat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nella poesia orale in demotico per finalità metriche, a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ll’interno di un repertorio formulare che prevedeva la possibilità dell’alternanza con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e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corrispondent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desinenze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brev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i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in -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αν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t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uttavia, non divennero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almeno non all’inizio,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forme 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poetiche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stereotipiche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per la clausola del primo emistichio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tassello di una sorta di 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Kunstsprache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Hinterberger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1993 e 2001). Lo dimostrano anche casi estemporanei non collocati alla fine del primo emistichio, come il citato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ἐσμίξασι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</w:t>
      </w:r>
      <w:proofErr w:type="spellStart"/>
      <w:r w:rsidRPr="00D62F7B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Dig</w:t>
      </w:r>
      <w:proofErr w:type="spellEnd"/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E 34).</w:t>
      </w:r>
    </w:p>
    <w:p w14:paraId="32B45A10" w14:textId="77777777" w:rsidR="0024668B" w:rsidRPr="008A0EA2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</w:pP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Dato che sono attestate sporadicamente nel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la lingua burocratica e delle scritture private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r w:rsidRPr="00D62F7B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per un arco di tempo che parte dal 1360</w:t>
      </w:r>
      <w:r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</w:t>
      </w:r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quando iniziarono ad essere ammesse anche nella prosa letteraria? A parte l’</w:t>
      </w:r>
      <w:proofErr w:type="spellStart"/>
      <w:r w:rsidRPr="008A0EA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Historia</w:t>
      </w:r>
      <w:proofErr w:type="spellEnd"/>
      <w:r w:rsidRPr="008A0EA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 xml:space="preserve"> </w:t>
      </w:r>
      <w:proofErr w:type="spellStart"/>
      <w:r w:rsidRPr="008A0EA2">
        <w:rPr>
          <w:rFonts w:ascii="Palatino Linotype" w:eastAsia="Calibri" w:hAnsi="Palatino Linotype" w:cs="Times New Roman"/>
          <w:i/>
          <w:iCs/>
          <w:color w:val="0070C0"/>
          <w:sz w:val="18"/>
          <w:szCs w:val="18"/>
          <w:lang w:val="it-IT"/>
        </w:rPr>
        <w:t>imperatorum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che ne fa largo impiego e pone più di una questione stilistica, le prime incrinature dell’ortodossia grammaticale, rispetto a questa forma, si osservano infatti tra XV e XVI secolo. Tra gli storici della crisi e della caduta di Bisanzio, gli unici cui sfuggono aoristi trisillabici come π</w:t>
      </w:r>
      <w:proofErr w:type="spellStart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ήρασι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(o </w:t>
      </w:r>
      <w:proofErr w:type="spellStart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ἀπήρασι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) e </w:t>
      </w:r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ἤλθασι</w:t>
      </w:r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che erano con alta probabilità correnti nel parlato, sono Giovanni </w:t>
      </w:r>
      <w:proofErr w:type="spellStart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Canano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, Giorgio </w:t>
      </w:r>
      <w:proofErr w:type="spellStart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Sfranze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e </w:t>
      </w:r>
      <w:proofErr w:type="spellStart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Dukas</w:t>
      </w:r>
      <w:proofErr w:type="spellEnd"/>
      <w:r w:rsidRPr="008A0EA2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. Ma si tratta evidentemente di cadute di stile. In termini di correttezza grammaticale, esse continuarono a essere percepite dagli autori come devianti rispetto alla norma, anche se costituivano un tassello fondamentale della lingua poetica vernacolare.</w:t>
      </w:r>
    </w:p>
    <w:p w14:paraId="4F166557" w14:textId="683FD979" w:rsidR="0024668B" w:rsidRPr="00BB2440" w:rsidRDefault="0024668B" w:rsidP="0024668B">
      <w:pPr>
        <w:pStyle w:val="Paragrafoelenco"/>
        <w:numPr>
          <w:ilvl w:val="0"/>
          <w:numId w:val="1"/>
        </w:numPr>
        <w:jc w:val="both"/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it-IT"/>
        </w:rPr>
      </w:pPr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Una teoria suggestiva, avanzata da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Jeffreys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2019: 87-88 prospetta la possibilità dell’esistenza di due generi of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modern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greek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oral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poetry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: il primo iniziato nel XII secolo nella capitale, con la poesia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ptocoprodromica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, e proseguito nella tradizione dei canti popolari (</w:t>
      </w:r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τραγούδια</w:t>
      </w:r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) fino a oggi. Per quel che riguarda questo studio, le desinenze -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el-GR"/>
        </w:rPr>
        <w:t>ασι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 degli aoristi, quasi assenti dalla prima tradizione poetica come si è visto, tanto che mancano anche dai canti popolari tradizionali raccolti nell’Ottocento, sembrano invece caratterizzanti della seconda, e probabilmente destinati a conservare una certa caratura stilistica anche in un secondo momento nella poesia cretese, in particolare nell’opera di Emmanuel </w:t>
      </w:r>
      <w:proofErr w:type="spellStart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>Tzanes</w:t>
      </w:r>
      <w:proofErr w:type="spellEnd"/>
      <w:r w:rsidRPr="00BB2440">
        <w:rPr>
          <w:rFonts w:ascii="Palatino Linotype" w:eastAsia="Calibri" w:hAnsi="Palatino Linotype" w:cs="Times New Roman"/>
          <w:color w:val="0070C0"/>
          <w:sz w:val="18"/>
          <w:szCs w:val="18"/>
          <w:lang w:val="it-IT"/>
        </w:rPr>
        <w:t xml:space="preserve">.  </w:t>
      </w:r>
    </w:p>
    <w:p w14:paraId="293A93FF" w14:textId="77777777" w:rsidR="0024668B" w:rsidRDefault="0024668B" w:rsidP="0024668B">
      <w:pPr>
        <w:pStyle w:val="Paragrafoelenco"/>
        <w:jc w:val="both"/>
        <w:rPr>
          <w:rFonts w:ascii="Palatino Linotype" w:eastAsia="Calibri" w:hAnsi="Palatino Linotype" w:cs="Times New Roman"/>
          <w:b/>
          <w:bCs/>
          <w:color w:val="0070C0"/>
          <w:sz w:val="18"/>
          <w:szCs w:val="18"/>
          <w:lang w:val="it-IT"/>
        </w:rPr>
      </w:pPr>
    </w:p>
    <w:p w14:paraId="2ACFCF11" w14:textId="77777777" w:rsidR="00AC424A" w:rsidRDefault="00BB2440"/>
    <w:sectPr w:rsidR="00AC424A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10F"/>
    <w:multiLevelType w:val="hybridMultilevel"/>
    <w:tmpl w:val="E4B2294C"/>
    <w:lvl w:ilvl="0" w:tplc="8E3E8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E10"/>
    <w:multiLevelType w:val="multilevel"/>
    <w:tmpl w:val="2000E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1715107"/>
    <w:multiLevelType w:val="hybridMultilevel"/>
    <w:tmpl w:val="8886D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3E21"/>
    <w:multiLevelType w:val="multilevel"/>
    <w:tmpl w:val="2DEE4C9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i w:val="0"/>
        <w:iCs/>
        <w:color w:val="000000" w:themeColor="text1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eastAsia="Calibri" w:cs="Times New Roman" w:hint="default"/>
        <w:i w:val="0"/>
        <w:iCs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Times New Roman" w:hint="default"/>
        <w:i/>
        <w:color w:val="000000" w:themeColor="text1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Times New Roman" w:hint="default"/>
        <w:i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eastAsia="Calibri" w:cs="Times New Roman" w:hint="default"/>
        <w:i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Times New Roman" w:hint="default"/>
        <w:i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eastAsia="Calibri" w:cs="Times New Roman" w:hint="default"/>
        <w:i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eastAsia="Calibri" w:cs="Times New Roman" w:hint="default"/>
        <w:i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eastAsia="Calibri" w:cs="Times New Roman" w:hint="default"/>
        <w:i/>
        <w:color w:val="000000" w:themeColor="text1"/>
      </w:rPr>
    </w:lvl>
  </w:abstractNum>
  <w:abstractNum w:abstractNumId="4" w15:restartNumberingAfterBreak="0">
    <w:nsid w:val="250C7821"/>
    <w:multiLevelType w:val="multilevel"/>
    <w:tmpl w:val="CFB27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/>
      </w:rPr>
    </w:lvl>
  </w:abstractNum>
  <w:abstractNum w:abstractNumId="5" w15:restartNumberingAfterBreak="0">
    <w:nsid w:val="438E6E59"/>
    <w:multiLevelType w:val="hybridMultilevel"/>
    <w:tmpl w:val="6B563B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22A6"/>
    <w:multiLevelType w:val="hybridMultilevel"/>
    <w:tmpl w:val="00341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8B"/>
    <w:rsid w:val="0024668B"/>
    <w:rsid w:val="008F28CC"/>
    <w:rsid w:val="00BB2440"/>
    <w:rsid w:val="00EB29D8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AB24E"/>
  <w15:chartTrackingRefBased/>
  <w15:docId w15:val="{1BAB3B44-B05B-3F43-B997-67B4C303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68B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A17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2538</Words>
  <Characters>14016</Characters>
  <Application>Microsoft Office Word</Application>
  <DocSecurity>0</DocSecurity>
  <Lines>206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2</cp:revision>
  <dcterms:created xsi:type="dcterms:W3CDTF">2021-06-10T15:02:00Z</dcterms:created>
  <dcterms:modified xsi:type="dcterms:W3CDTF">2021-06-10T15:22:00Z</dcterms:modified>
</cp:coreProperties>
</file>