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C18" w:rsidRDefault="00063C18" w:rsidP="00063C18">
      <w:pPr>
        <w:bidi w:val="0"/>
        <w:rPr>
          <w:rFonts w:asciiTheme="minorBidi" w:hAnsiTheme="minorBidi" w:cs="David"/>
          <w:sz w:val="28"/>
          <w:szCs w:val="28"/>
        </w:rPr>
      </w:pPr>
      <w:bookmarkStart w:id="0" w:name="_GoBack"/>
      <w:bookmarkEnd w:id="0"/>
      <w:r w:rsidRPr="00063C18">
        <w:rPr>
          <w:rFonts w:asciiTheme="minorBidi" w:hAnsiTheme="minorBidi" w:cs="David"/>
          <w:sz w:val="28"/>
          <w:szCs w:val="28"/>
        </w:rPr>
        <w:t xml:space="preserve">The influence of percutaneous </w:t>
      </w:r>
      <w:proofErr w:type="spellStart"/>
      <w:r w:rsidRPr="00063C18">
        <w:rPr>
          <w:rFonts w:asciiTheme="minorBidi" w:hAnsiTheme="minorBidi" w:cs="David"/>
          <w:sz w:val="28"/>
          <w:szCs w:val="28"/>
        </w:rPr>
        <w:t>cholecystostomy</w:t>
      </w:r>
      <w:proofErr w:type="spellEnd"/>
      <w:r w:rsidRPr="00063C18">
        <w:rPr>
          <w:rFonts w:asciiTheme="minorBidi" w:hAnsiTheme="minorBidi" w:cs="David"/>
          <w:sz w:val="28"/>
          <w:szCs w:val="28"/>
        </w:rPr>
        <w:t xml:space="preserve"> on the prognosis </w:t>
      </w:r>
    </w:p>
    <w:p w:rsidR="0082116D" w:rsidRDefault="00063C18" w:rsidP="00063C18">
      <w:pPr>
        <w:bidi w:val="0"/>
        <w:rPr>
          <w:rFonts w:asciiTheme="minorBidi" w:hAnsiTheme="minorBidi" w:cs="David"/>
          <w:sz w:val="28"/>
          <w:szCs w:val="28"/>
        </w:rPr>
      </w:pPr>
      <w:r w:rsidRPr="00063C18">
        <w:rPr>
          <w:rFonts w:asciiTheme="minorBidi" w:hAnsiTheme="minorBidi" w:cs="David"/>
          <w:sz w:val="28"/>
          <w:szCs w:val="28"/>
        </w:rPr>
        <w:t xml:space="preserve">of </w:t>
      </w:r>
      <w:proofErr w:type="gramStart"/>
      <w:r w:rsidRPr="00063C18">
        <w:rPr>
          <w:rFonts w:asciiTheme="minorBidi" w:hAnsiTheme="minorBidi" w:cs="David"/>
          <w:sz w:val="28"/>
          <w:szCs w:val="28"/>
        </w:rPr>
        <w:t>patients  with</w:t>
      </w:r>
      <w:proofErr w:type="gramEnd"/>
      <w:r w:rsidRPr="00063C18">
        <w:rPr>
          <w:rFonts w:asciiTheme="minorBidi" w:hAnsiTheme="minorBidi" w:cs="David"/>
          <w:sz w:val="28"/>
          <w:szCs w:val="28"/>
        </w:rPr>
        <w:t xml:space="preserve"> acute </w:t>
      </w:r>
      <w:proofErr w:type="spellStart"/>
      <w:r w:rsidRPr="00063C18">
        <w:rPr>
          <w:rFonts w:asciiTheme="minorBidi" w:hAnsiTheme="minorBidi" w:cs="David"/>
          <w:sz w:val="28"/>
          <w:szCs w:val="28"/>
        </w:rPr>
        <w:t>cholecystitis</w:t>
      </w:r>
      <w:proofErr w:type="spellEnd"/>
      <w:r w:rsidRPr="00063C18">
        <w:rPr>
          <w:rFonts w:asciiTheme="minorBidi" w:hAnsiTheme="minorBidi" w:cs="David"/>
          <w:sz w:val="28"/>
          <w:szCs w:val="28"/>
        </w:rPr>
        <w:t>.</w:t>
      </w:r>
    </w:p>
    <w:p w:rsidR="00063C18" w:rsidRDefault="00063C18" w:rsidP="00063C18">
      <w:pPr>
        <w:bidi w:val="0"/>
        <w:rPr>
          <w:rFonts w:asciiTheme="minorBidi" w:hAnsiTheme="minorBidi" w:cs="David"/>
          <w:sz w:val="28"/>
          <w:szCs w:val="28"/>
        </w:rPr>
      </w:pPr>
    </w:p>
    <w:p w:rsidR="00063C18" w:rsidRDefault="00063C18" w:rsidP="00063C18">
      <w:pPr>
        <w:bidi w:val="0"/>
        <w:rPr>
          <w:rFonts w:asciiTheme="minorBidi" w:hAnsiTheme="minorBidi" w:cs="David"/>
          <w:sz w:val="28"/>
          <w:szCs w:val="28"/>
        </w:rPr>
      </w:pPr>
    </w:p>
    <w:p w:rsidR="00063C18" w:rsidRDefault="00063C18" w:rsidP="00063C18">
      <w:pPr>
        <w:bidi w:val="0"/>
        <w:rPr>
          <w:rFonts w:asciiTheme="minorBidi" w:hAnsiTheme="minorBidi" w:cs="David"/>
          <w:sz w:val="28"/>
          <w:szCs w:val="28"/>
        </w:rPr>
      </w:pPr>
    </w:p>
    <w:p w:rsidR="00063C18" w:rsidRDefault="00063C18" w:rsidP="00063C18">
      <w:pPr>
        <w:bidi w:val="0"/>
        <w:rPr>
          <w:rFonts w:asciiTheme="minorBidi" w:hAnsiTheme="minorBidi" w:cs="David"/>
          <w:sz w:val="28"/>
          <w:szCs w:val="28"/>
        </w:rPr>
      </w:pPr>
    </w:p>
    <w:p w:rsidR="00063C18" w:rsidRPr="00F733D8" w:rsidRDefault="00063C18" w:rsidP="00063C18">
      <w:pPr>
        <w:bidi w:val="0"/>
        <w:rPr>
          <w:rFonts w:asciiTheme="minorBidi" w:hAnsiTheme="minorBidi" w:cs="David"/>
          <w:sz w:val="28"/>
          <w:szCs w:val="28"/>
        </w:rPr>
      </w:pPr>
      <w:r w:rsidRPr="00F733D8">
        <w:rPr>
          <w:rFonts w:asciiTheme="minorBidi" w:hAnsiTheme="minorBidi" w:cs="David"/>
          <w:sz w:val="28"/>
          <w:szCs w:val="28"/>
        </w:rPr>
        <w:t>Introduction</w:t>
      </w:r>
    </w:p>
    <w:p w:rsidR="00063C18" w:rsidRDefault="00063C18" w:rsidP="007C343A">
      <w:pPr>
        <w:bidi w:val="0"/>
        <w:rPr>
          <w:rFonts w:asciiTheme="minorBidi" w:hAnsiTheme="minorBidi" w:cs="David"/>
          <w:sz w:val="24"/>
          <w:szCs w:val="24"/>
        </w:rPr>
      </w:pPr>
      <w:r>
        <w:rPr>
          <w:rFonts w:asciiTheme="minorBidi" w:hAnsiTheme="minorBidi" w:cs="David"/>
          <w:sz w:val="24"/>
          <w:szCs w:val="24"/>
        </w:rPr>
        <w:t xml:space="preserve">Acute </w:t>
      </w:r>
      <w:proofErr w:type="spellStart"/>
      <w:r>
        <w:rPr>
          <w:rFonts w:asciiTheme="minorBidi" w:hAnsiTheme="minorBidi" w:cs="David"/>
          <w:sz w:val="24"/>
          <w:szCs w:val="24"/>
        </w:rPr>
        <w:t>cholecystitis</w:t>
      </w:r>
      <w:proofErr w:type="spellEnd"/>
      <w:r w:rsidR="00F733D8">
        <w:rPr>
          <w:rFonts w:asciiTheme="minorBidi" w:hAnsiTheme="minorBidi" w:cs="David"/>
          <w:sz w:val="24"/>
          <w:szCs w:val="24"/>
        </w:rPr>
        <w:t xml:space="preserve"> (AC)</w:t>
      </w:r>
      <w:r>
        <w:rPr>
          <w:rFonts w:asciiTheme="minorBidi" w:hAnsiTheme="minorBidi" w:cs="David"/>
          <w:sz w:val="24"/>
          <w:szCs w:val="24"/>
        </w:rPr>
        <w:t xml:space="preserve"> is a common</w:t>
      </w:r>
      <w:r w:rsidR="009A7B54">
        <w:rPr>
          <w:rFonts w:asciiTheme="minorBidi" w:hAnsiTheme="minorBidi" w:cs="David"/>
          <w:sz w:val="24"/>
          <w:szCs w:val="24"/>
        </w:rPr>
        <w:t xml:space="preserve"> cause of surgical </w:t>
      </w:r>
      <w:r>
        <w:rPr>
          <w:rFonts w:asciiTheme="minorBidi" w:hAnsiTheme="minorBidi" w:cs="David"/>
          <w:sz w:val="24"/>
          <w:szCs w:val="24"/>
        </w:rPr>
        <w:t>admission</w:t>
      </w:r>
      <w:r w:rsidR="009A7B54">
        <w:rPr>
          <w:rFonts w:asciiTheme="minorBidi" w:hAnsiTheme="minorBidi" w:cs="David"/>
          <w:sz w:val="24"/>
          <w:szCs w:val="24"/>
        </w:rPr>
        <w:t xml:space="preserve">s. </w:t>
      </w:r>
      <w:r w:rsidR="007C343A">
        <w:rPr>
          <w:rFonts w:asciiTheme="minorBidi" w:hAnsiTheme="minorBidi" w:cs="David"/>
          <w:sz w:val="24"/>
          <w:szCs w:val="24"/>
        </w:rPr>
        <w:t>Patients prognosis</w:t>
      </w:r>
      <w:r w:rsidR="009A7B54">
        <w:rPr>
          <w:rFonts w:asciiTheme="minorBidi" w:hAnsiTheme="minorBidi" w:cs="David"/>
          <w:sz w:val="24"/>
          <w:szCs w:val="24"/>
        </w:rPr>
        <w:t xml:space="preserve"> is usually good while 75% of patients will improve under conservative treatment. However 25% of patients are prone to complication despite conservative treatment that </w:t>
      </w:r>
      <w:r w:rsidR="00F733D8">
        <w:rPr>
          <w:rFonts w:asciiTheme="minorBidi" w:hAnsiTheme="minorBidi" w:cs="David"/>
          <w:sz w:val="24"/>
          <w:szCs w:val="24"/>
        </w:rPr>
        <w:t>includes</w:t>
      </w:r>
      <w:r w:rsidR="009A7B54">
        <w:rPr>
          <w:rFonts w:asciiTheme="minorBidi" w:hAnsiTheme="minorBidi" w:cs="David"/>
          <w:sz w:val="24"/>
          <w:szCs w:val="24"/>
        </w:rPr>
        <w:t xml:space="preserve"> empyema of gallbladder, gangrenous </w:t>
      </w:r>
      <w:proofErr w:type="spellStart"/>
      <w:r w:rsidR="009A7B54">
        <w:rPr>
          <w:rFonts w:asciiTheme="minorBidi" w:hAnsiTheme="minorBidi" w:cs="David"/>
          <w:sz w:val="24"/>
          <w:szCs w:val="24"/>
        </w:rPr>
        <w:t>cholecystitis</w:t>
      </w:r>
      <w:proofErr w:type="spellEnd"/>
      <w:r w:rsidR="009A7B54">
        <w:rPr>
          <w:rFonts w:asciiTheme="minorBidi" w:hAnsiTheme="minorBidi" w:cs="David"/>
          <w:sz w:val="24"/>
          <w:szCs w:val="24"/>
        </w:rPr>
        <w:t>, gallbladder perforation</w:t>
      </w:r>
      <w:r w:rsidR="007C343A">
        <w:rPr>
          <w:rFonts w:asciiTheme="minorBidi" w:hAnsiTheme="minorBidi" w:cs="David"/>
          <w:sz w:val="24"/>
          <w:szCs w:val="24"/>
        </w:rPr>
        <w:t xml:space="preserve">, </w:t>
      </w:r>
      <w:r w:rsidR="009A7B54">
        <w:rPr>
          <w:rFonts w:asciiTheme="minorBidi" w:hAnsiTheme="minorBidi" w:cs="David"/>
          <w:sz w:val="24"/>
          <w:szCs w:val="24"/>
        </w:rPr>
        <w:t xml:space="preserve">gallstone ileus etc. </w:t>
      </w:r>
    </w:p>
    <w:p w:rsidR="009A7B54" w:rsidRDefault="009A7B54" w:rsidP="009A7B54">
      <w:pPr>
        <w:bidi w:val="0"/>
        <w:rPr>
          <w:rFonts w:asciiTheme="minorBidi" w:hAnsiTheme="minorBidi" w:cs="David"/>
          <w:sz w:val="24"/>
          <w:szCs w:val="24"/>
        </w:rPr>
      </w:pPr>
      <w:r>
        <w:rPr>
          <w:rFonts w:asciiTheme="minorBidi" w:hAnsiTheme="minorBidi" w:cs="David"/>
          <w:sz w:val="24"/>
          <w:szCs w:val="24"/>
        </w:rPr>
        <w:t xml:space="preserve">The gold standard therapy in the 21th century is "laparoscopic cholecystectomy" in the first operating day in depending on disease severity and </w:t>
      </w:r>
      <w:r w:rsidR="00F733D8">
        <w:rPr>
          <w:rFonts w:asciiTheme="minorBidi" w:hAnsiTheme="minorBidi" w:cs="David"/>
          <w:sz w:val="24"/>
          <w:szCs w:val="24"/>
        </w:rPr>
        <w:t>patients'</w:t>
      </w:r>
      <w:r>
        <w:rPr>
          <w:rFonts w:asciiTheme="minorBidi" w:hAnsiTheme="minorBidi" w:cs="David"/>
          <w:sz w:val="24"/>
          <w:szCs w:val="24"/>
        </w:rPr>
        <w:t xml:space="preserve"> comorbidities. However there </w:t>
      </w:r>
      <w:r w:rsidR="00F733D8">
        <w:rPr>
          <w:rFonts w:asciiTheme="minorBidi" w:hAnsiTheme="minorBidi" w:cs="David"/>
          <w:sz w:val="24"/>
          <w:szCs w:val="24"/>
        </w:rPr>
        <w:t>are some treatment policies included late cholecystectomies,</w:t>
      </w:r>
      <w:r>
        <w:rPr>
          <w:rFonts w:asciiTheme="minorBidi" w:hAnsiTheme="minorBidi" w:cs="David"/>
          <w:sz w:val="24"/>
          <w:szCs w:val="24"/>
        </w:rPr>
        <w:t xml:space="preserve"> percutaneous </w:t>
      </w:r>
      <w:proofErr w:type="spellStart"/>
      <w:r>
        <w:rPr>
          <w:rFonts w:asciiTheme="minorBidi" w:hAnsiTheme="minorBidi" w:cs="David"/>
          <w:sz w:val="24"/>
          <w:szCs w:val="24"/>
        </w:rPr>
        <w:t>cholecystostomy</w:t>
      </w:r>
      <w:proofErr w:type="spellEnd"/>
      <w:r>
        <w:rPr>
          <w:rFonts w:asciiTheme="minorBidi" w:hAnsiTheme="minorBidi" w:cs="David"/>
          <w:sz w:val="24"/>
          <w:szCs w:val="24"/>
        </w:rPr>
        <w:t xml:space="preserve"> (PC) as a bridging or definitive treatment.</w:t>
      </w:r>
    </w:p>
    <w:p w:rsidR="00486FA2" w:rsidRDefault="009A7B54" w:rsidP="00486FA2">
      <w:pPr>
        <w:bidi w:val="0"/>
        <w:rPr>
          <w:rFonts w:asciiTheme="minorBidi" w:hAnsiTheme="minorBidi" w:cs="David"/>
          <w:sz w:val="24"/>
          <w:szCs w:val="24"/>
        </w:rPr>
      </w:pPr>
      <w:r>
        <w:rPr>
          <w:rFonts w:asciiTheme="minorBidi" w:hAnsiTheme="minorBidi" w:cs="David"/>
          <w:sz w:val="24"/>
          <w:szCs w:val="24"/>
        </w:rPr>
        <w:t>Treatment is based first on stabilization of the patients</w:t>
      </w:r>
      <w:r w:rsidR="00486FA2">
        <w:rPr>
          <w:rFonts w:asciiTheme="minorBidi" w:hAnsiTheme="minorBidi" w:cs="David"/>
          <w:sz w:val="24"/>
          <w:szCs w:val="24"/>
        </w:rPr>
        <w:t xml:space="preserve">, </w:t>
      </w:r>
      <w:r>
        <w:rPr>
          <w:rFonts w:asciiTheme="minorBidi" w:hAnsiTheme="minorBidi" w:cs="David"/>
          <w:sz w:val="24"/>
          <w:szCs w:val="24"/>
        </w:rPr>
        <w:t>fluids</w:t>
      </w:r>
      <w:r w:rsidR="00486FA2">
        <w:rPr>
          <w:rFonts w:asciiTheme="minorBidi" w:hAnsiTheme="minorBidi" w:cs="David"/>
          <w:sz w:val="24"/>
          <w:szCs w:val="24"/>
        </w:rPr>
        <w:t xml:space="preserve">, </w:t>
      </w:r>
      <w:r>
        <w:rPr>
          <w:rFonts w:asciiTheme="minorBidi" w:hAnsiTheme="minorBidi" w:cs="David"/>
          <w:sz w:val="24"/>
          <w:szCs w:val="24"/>
        </w:rPr>
        <w:t>antibiotic therapy</w:t>
      </w:r>
      <w:r w:rsidR="00486FA2">
        <w:rPr>
          <w:rFonts w:asciiTheme="minorBidi" w:hAnsiTheme="minorBidi" w:cs="David"/>
          <w:sz w:val="24"/>
          <w:szCs w:val="24"/>
        </w:rPr>
        <w:t xml:space="preserve">, NPO electrolytes balance and </w:t>
      </w:r>
      <w:r w:rsidR="007C343A">
        <w:rPr>
          <w:rFonts w:asciiTheme="minorBidi" w:hAnsiTheme="minorBidi" w:cs="David"/>
          <w:sz w:val="24"/>
          <w:szCs w:val="24"/>
        </w:rPr>
        <w:t>analgesics</w:t>
      </w:r>
      <w:r w:rsidR="00486FA2">
        <w:rPr>
          <w:rFonts w:asciiTheme="minorBidi" w:hAnsiTheme="minorBidi" w:cs="David"/>
          <w:sz w:val="24"/>
          <w:szCs w:val="24"/>
        </w:rPr>
        <w:t xml:space="preserve">. </w:t>
      </w:r>
    </w:p>
    <w:p w:rsidR="00581877" w:rsidRDefault="00486FA2" w:rsidP="007556CA">
      <w:pPr>
        <w:bidi w:val="0"/>
        <w:rPr>
          <w:rFonts w:asciiTheme="minorBidi" w:hAnsiTheme="minorBidi" w:cs="David"/>
          <w:sz w:val="24"/>
          <w:szCs w:val="24"/>
        </w:rPr>
      </w:pPr>
      <w:r>
        <w:rPr>
          <w:rFonts w:asciiTheme="minorBidi" w:hAnsiTheme="minorBidi" w:cs="David"/>
          <w:sz w:val="24"/>
          <w:szCs w:val="24"/>
        </w:rPr>
        <w:t>Patients, those who are fit for surgery, usually being operated at the 1</w:t>
      </w:r>
      <w:r w:rsidRPr="00486FA2">
        <w:rPr>
          <w:rFonts w:asciiTheme="minorBidi" w:hAnsiTheme="minorBidi" w:cs="David"/>
          <w:sz w:val="24"/>
          <w:szCs w:val="24"/>
          <w:vertAlign w:val="superscript"/>
        </w:rPr>
        <w:t>st</w:t>
      </w:r>
      <w:r>
        <w:rPr>
          <w:rFonts w:asciiTheme="minorBidi" w:hAnsiTheme="minorBidi" w:cs="David"/>
          <w:sz w:val="24"/>
          <w:szCs w:val="24"/>
        </w:rPr>
        <w:t xml:space="preserve"> operating day if the timing of the inflammation process is less than 3 days [3]. This method proved to be safe with shortened hospital stay and no increased in complication rate [4,5,6].</w:t>
      </w:r>
      <w:r w:rsidR="007C343A">
        <w:rPr>
          <w:rFonts w:asciiTheme="minorBidi" w:hAnsiTheme="minorBidi" w:cs="David"/>
          <w:sz w:val="24"/>
          <w:szCs w:val="24"/>
        </w:rPr>
        <w:t xml:space="preserve"> However, elderly </w:t>
      </w:r>
      <w:proofErr w:type="gramStart"/>
      <w:r w:rsidR="007C343A">
        <w:rPr>
          <w:rFonts w:asciiTheme="minorBidi" w:hAnsiTheme="minorBidi" w:cs="David"/>
          <w:sz w:val="24"/>
          <w:szCs w:val="24"/>
        </w:rPr>
        <w:t>patients ,</w:t>
      </w:r>
      <w:proofErr w:type="gramEnd"/>
      <w:r w:rsidR="007C343A">
        <w:rPr>
          <w:rFonts w:asciiTheme="minorBidi" w:hAnsiTheme="minorBidi" w:cs="David"/>
          <w:sz w:val="24"/>
          <w:szCs w:val="24"/>
        </w:rPr>
        <w:t xml:space="preserve"> high risk  patients-  with comorbidities or admitted patients with failure of conservative treatment or hemodynamically unstable are referred to PC</w:t>
      </w:r>
      <w:r w:rsidR="00581877">
        <w:rPr>
          <w:rFonts w:asciiTheme="minorBidi" w:hAnsiTheme="minorBidi" w:cs="David"/>
          <w:sz w:val="24"/>
          <w:szCs w:val="24"/>
        </w:rPr>
        <w:t>. The insertion of PC usually served as a bridging therapy although in some cases as a definitive therapy especially in very high risk patients.</w:t>
      </w:r>
    </w:p>
    <w:p w:rsidR="00F733D8" w:rsidRDefault="00581877" w:rsidP="007556CA">
      <w:pPr>
        <w:bidi w:val="0"/>
        <w:rPr>
          <w:rFonts w:asciiTheme="minorBidi" w:hAnsiTheme="minorBidi" w:cs="David"/>
          <w:sz w:val="24"/>
          <w:szCs w:val="24"/>
        </w:rPr>
      </w:pPr>
      <w:r>
        <w:rPr>
          <w:rFonts w:asciiTheme="minorBidi" w:hAnsiTheme="minorBidi" w:cs="David"/>
          <w:sz w:val="24"/>
          <w:szCs w:val="24"/>
        </w:rPr>
        <w:t>The aim of this study was to determine the consequences of PC</w:t>
      </w:r>
      <w:r w:rsidR="00F733D8">
        <w:rPr>
          <w:rFonts w:asciiTheme="minorBidi" w:hAnsiTheme="minorBidi" w:cs="David"/>
          <w:sz w:val="24"/>
          <w:szCs w:val="24"/>
        </w:rPr>
        <w:t xml:space="preserve"> in patients with A</w:t>
      </w:r>
      <w:r w:rsidR="007556CA">
        <w:rPr>
          <w:rFonts w:asciiTheme="minorBidi" w:hAnsiTheme="minorBidi" w:cs="David"/>
          <w:sz w:val="24"/>
          <w:szCs w:val="24"/>
        </w:rPr>
        <w:t>C</w:t>
      </w:r>
      <w:r w:rsidR="00F733D8">
        <w:rPr>
          <w:rFonts w:asciiTheme="minorBidi" w:hAnsiTheme="minorBidi" w:cs="David"/>
          <w:sz w:val="24"/>
          <w:szCs w:val="24"/>
        </w:rPr>
        <w:t xml:space="preserve"> in comparison to patients with AC that did not performed </w:t>
      </w:r>
      <w:proofErr w:type="gramStart"/>
      <w:r w:rsidR="00F733D8">
        <w:rPr>
          <w:rFonts w:asciiTheme="minorBidi" w:hAnsiTheme="minorBidi" w:cs="David"/>
          <w:sz w:val="24"/>
          <w:szCs w:val="24"/>
        </w:rPr>
        <w:t xml:space="preserve">PC  </w:t>
      </w:r>
      <w:r>
        <w:rPr>
          <w:rFonts w:asciiTheme="minorBidi" w:hAnsiTheme="minorBidi" w:cs="David"/>
          <w:sz w:val="24"/>
          <w:szCs w:val="24"/>
        </w:rPr>
        <w:t>with</w:t>
      </w:r>
      <w:proofErr w:type="gramEnd"/>
      <w:r>
        <w:rPr>
          <w:rFonts w:asciiTheme="minorBidi" w:hAnsiTheme="minorBidi" w:cs="David"/>
          <w:sz w:val="24"/>
          <w:szCs w:val="24"/>
        </w:rPr>
        <w:t xml:space="preserve"> regard to: hospitalization period</w:t>
      </w:r>
      <w:r w:rsidR="00F733D8">
        <w:rPr>
          <w:rFonts w:asciiTheme="minorBidi" w:hAnsiTheme="minorBidi" w:cs="David"/>
          <w:sz w:val="24"/>
          <w:szCs w:val="24"/>
        </w:rPr>
        <w:t xml:space="preserve">, 30 days and 1 year mortality and recurrent admissions.  </w:t>
      </w:r>
    </w:p>
    <w:p w:rsidR="00F733D8" w:rsidRDefault="00F733D8" w:rsidP="00F733D8">
      <w:pPr>
        <w:bidi w:val="0"/>
        <w:rPr>
          <w:rFonts w:asciiTheme="minorBidi" w:hAnsiTheme="minorBidi" w:cs="David"/>
          <w:sz w:val="24"/>
          <w:szCs w:val="24"/>
        </w:rPr>
      </w:pPr>
    </w:p>
    <w:p w:rsidR="00F733D8" w:rsidRDefault="00F733D8" w:rsidP="00F733D8">
      <w:pPr>
        <w:bidi w:val="0"/>
        <w:rPr>
          <w:rFonts w:asciiTheme="minorBidi" w:hAnsiTheme="minorBidi" w:cs="David"/>
          <w:sz w:val="24"/>
          <w:szCs w:val="24"/>
        </w:rPr>
      </w:pPr>
    </w:p>
    <w:p w:rsidR="00F733D8" w:rsidRDefault="00F733D8" w:rsidP="00F733D8">
      <w:pPr>
        <w:bidi w:val="0"/>
        <w:rPr>
          <w:rFonts w:asciiTheme="minorBidi" w:hAnsiTheme="minorBidi" w:cs="David"/>
          <w:sz w:val="24"/>
          <w:szCs w:val="24"/>
        </w:rPr>
      </w:pPr>
    </w:p>
    <w:p w:rsidR="00F733D8" w:rsidRDefault="00F733D8" w:rsidP="00F733D8">
      <w:pPr>
        <w:bidi w:val="0"/>
        <w:rPr>
          <w:rFonts w:asciiTheme="minorBidi" w:hAnsiTheme="minorBidi" w:cs="David"/>
          <w:b/>
          <w:bCs/>
          <w:sz w:val="28"/>
          <w:szCs w:val="28"/>
        </w:rPr>
      </w:pPr>
      <w:r w:rsidRPr="00F733D8">
        <w:rPr>
          <w:rFonts w:asciiTheme="minorBidi" w:hAnsiTheme="minorBidi" w:cs="David"/>
          <w:b/>
          <w:bCs/>
          <w:sz w:val="28"/>
          <w:szCs w:val="28"/>
        </w:rPr>
        <w:lastRenderedPageBreak/>
        <w:t>Materials and methods</w:t>
      </w:r>
    </w:p>
    <w:p w:rsidR="00F733D8" w:rsidRPr="00112051" w:rsidRDefault="00F733D8" w:rsidP="00F733D8">
      <w:pPr>
        <w:bidi w:val="0"/>
        <w:rPr>
          <w:rFonts w:asciiTheme="minorBidi" w:hAnsiTheme="minorBidi" w:cs="David"/>
          <w:sz w:val="24"/>
          <w:szCs w:val="24"/>
        </w:rPr>
      </w:pPr>
    </w:p>
    <w:p w:rsidR="009A7B54" w:rsidRDefault="00F733D8" w:rsidP="007556CA">
      <w:pPr>
        <w:bidi w:val="0"/>
        <w:rPr>
          <w:rFonts w:asciiTheme="minorBidi" w:hAnsiTheme="minorBidi" w:cs="David"/>
          <w:sz w:val="24"/>
          <w:szCs w:val="24"/>
        </w:rPr>
      </w:pPr>
      <w:r w:rsidRPr="00112051">
        <w:rPr>
          <w:rFonts w:asciiTheme="minorBidi" w:hAnsiTheme="minorBidi" w:cs="David"/>
          <w:sz w:val="24"/>
          <w:szCs w:val="24"/>
        </w:rPr>
        <w:t>A retrospective case study approved by the local IRB</w:t>
      </w:r>
      <w:r w:rsidR="00112051" w:rsidRPr="00112051">
        <w:rPr>
          <w:rFonts w:asciiTheme="minorBidi" w:hAnsiTheme="minorBidi" w:cs="David"/>
          <w:sz w:val="24"/>
          <w:szCs w:val="24"/>
        </w:rPr>
        <w:t xml:space="preserve">. Inclusion criteria were </w:t>
      </w:r>
      <w:r w:rsidRPr="00112051">
        <w:rPr>
          <w:rFonts w:asciiTheme="minorBidi" w:hAnsiTheme="minorBidi" w:cs="David"/>
          <w:sz w:val="24"/>
          <w:szCs w:val="24"/>
        </w:rPr>
        <w:t xml:space="preserve"> </w:t>
      </w:r>
      <w:r w:rsidR="009A7B54" w:rsidRPr="00112051">
        <w:rPr>
          <w:rFonts w:asciiTheme="minorBidi" w:hAnsiTheme="minorBidi" w:cs="David"/>
          <w:sz w:val="24"/>
          <w:szCs w:val="24"/>
        </w:rPr>
        <w:t xml:space="preserve"> </w:t>
      </w:r>
      <w:r w:rsidR="00112051">
        <w:rPr>
          <w:rFonts w:asciiTheme="minorBidi" w:hAnsiTheme="minorBidi" w:cs="David"/>
          <w:sz w:val="24"/>
          <w:szCs w:val="24"/>
        </w:rPr>
        <w:t xml:space="preserve">all patients admitted to the surgical departments in Wolfson medical center between 2008 to 2014 with the diagnosis of AC. Patients that were operated upon during the primary admission or patients that were first admitted with AC before 2008 were excluded from our study. Patients were divided into two groups according to insertion of PC or none. Data was collected including demographic features severity score of AC, ASA </w:t>
      </w:r>
      <w:r w:rsidR="00AB11C9">
        <w:rPr>
          <w:rFonts w:asciiTheme="minorBidi" w:hAnsiTheme="minorBidi" w:cs="David"/>
          <w:sz w:val="24"/>
          <w:szCs w:val="24"/>
        </w:rPr>
        <w:t>score</w:t>
      </w:r>
      <w:r w:rsidR="00112051">
        <w:rPr>
          <w:rFonts w:asciiTheme="minorBidi" w:hAnsiTheme="minorBidi" w:cs="David"/>
          <w:sz w:val="24"/>
          <w:szCs w:val="24"/>
        </w:rPr>
        <w:t>, comorbidities</w:t>
      </w:r>
      <w:r w:rsidR="00AB11C9">
        <w:rPr>
          <w:rFonts w:asciiTheme="minorBidi" w:hAnsiTheme="minorBidi" w:cs="David"/>
          <w:sz w:val="24"/>
          <w:szCs w:val="24"/>
        </w:rPr>
        <w:t xml:space="preserve">, </w:t>
      </w:r>
      <w:r w:rsidR="00112051">
        <w:rPr>
          <w:rFonts w:asciiTheme="minorBidi" w:hAnsiTheme="minorBidi" w:cs="David"/>
          <w:sz w:val="24"/>
          <w:szCs w:val="24"/>
        </w:rPr>
        <w:t xml:space="preserve"> laboratory tests</w:t>
      </w:r>
      <w:r w:rsidR="00AB11C9">
        <w:rPr>
          <w:rFonts w:asciiTheme="minorBidi" w:hAnsiTheme="minorBidi" w:cs="David"/>
          <w:sz w:val="24"/>
          <w:szCs w:val="24"/>
        </w:rPr>
        <w:t xml:space="preserve">, </w:t>
      </w:r>
      <w:r w:rsidR="00112051">
        <w:rPr>
          <w:rFonts w:asciiTheme="minorBidi" w:hAnsiTheme="minorBidi" w:cs="David"/>
          <w:sz w:val="24"/>
          <w:szCs w:val="24"/>
        </w:rPr>
        <w:t xml:space="preserve"> hospitalization period, Cholecystectomy date, recurrent admissions</w:t>
      </w:r>
      <w:r w:rsidR="00AB11C9">
        <w:rPr>
          <w:rFonts w:asciiTheme="minorBidi" w:hAnsiTheme="minorBidi" w:cs="David"/>
          <w:sz w:val="24"/>
          <w:szCs w:val="24"/>
        </w:rPr>
        <w:t>,</w:t>
      </w:r>
      <w:r w:rsidR="00112051">
        <w:rPr>
          <w:rFonts w:asciiTheme="minorBidi" w:hAnsiTheme="minorBidi" w:cs="David"/>
          <w:sz w:val="24"/>
          <w:szCs w:val="24"/>
        </w:rPr>
        <w:t xml:space="preserve"> recurrent admission with AC (in the relevant cases ) and mortality</w:t>
      </w:r>
      <w:r w:rsidR="007556CA">
        <w:rPr>
          <w:rFonts w:asciiTheme="minorBidi" w:hAnsiTheme="minorBidi" w:cs="David"/>
          <w:sz w:val="24"/>
          <w:szCs w:val="24"/>
        </w:rPr>
        <w:t xml:space="preserve">, </w:t>
      </w:r>
      <w:r w:rsidR="00112051">
        <w:rPr>
          <w:rFonts w:asciiTheme="minorBidi" w:hAnsiTheme="minorBidi" w:cs="David"/>
          <w:sz w:val="24"/>
          <w:szCs w:val="24"/>
        </w:rPr>
        <w:t>in patients with PC</w:t>
      </w:r>
      <w:r w:rsidR="00AB11C9">
        <w:rPr>
          <w:rFonts w:asciiTheme="minorBidi" w:hAnsiTheme="minorBidi" w:cs="David"/>
          <w:sz w:val="24"/>
          <w:szCs w:val="24"/>
        </w:rPr>
        <w:t>. D</w:t>
      </w:r>
      <w:r w:rsidR="00112051">
        <w:rPr>
          <w:rFonts w:asciiTheme="minorBidi" w:hAnsiTheme="minorBidi" w:cs="David"/>
          <w:sz w:val="24"/>
          <w:szCs w:val="24"/>
        </w:rPr>
        <w:t xml:space="preserve">rain complication reports were also recorded including self-extraction or sepsis. </w:t>
      </w:r>
    </w:p>
    <w:p w:rsidR="00B232EF" w:rsidRDefault="00B232EF" w:rsidP="00B232EF">
      <w:pPr>
        <w:bidi w:val="0"/>
        <w:rPr>
          <w:rFonts w:asciiTheme="minorBidi" w:hAnsiTheme="minorBidi" w:cs="David"/>
          <w:sz w:val="24"/>
          <w:szCs w:val="24"/>
        </w:rPr>
      </w:pPr>
    </w:p>
    <w:p w:rsidR="00AB11C9" w:rsidRDefault="00B232EF" w:rsidP="00B232EF">
      <w:pPr>
        <w:bidi w:val="0"/>
        <w:rPr>
          <w:rFonts w:asciiTheme="minorBidi" w:hAnsiTheme="minorBidi" w:cs="David"/>
          <w:sz w:val="24"/>
          <w:szCs w:val="24"/>
        </w:rPr>
      </w:pPr>
      <w:r>
        <w:rPr>
          <w:rFonts w:asciiTheme="minorBidi" w:hAnsiTheme="minorBidi" w:cs="David"/>
          <w:sz w:val="24"/>
          <w:szCs w:val="24"/>
        </w:rPr>
        <w:t xml:space="preserve">Percutaneous </w:t>
      </w:r>
      <w:proofErr w:type="spellStart"/>
      <w:r>
        <w:rPr>
          <w:rFonts w:asciiTheme="minorBidi" w:hAnsiTheme="minorBidi" w:cs="David"/>
          <w:sz w:val="24"/>
          <w:szCs w:val="24"/>
        </w:rPr>
        <w:t>Cholecystostomy</w:t>
      </w:r>
      <w:proofErr w:type="spellEnd"/>
      <w:r>
        <w:rPr>
          <w:rFonts w:asciiTheme="minorBidi" w:hAnsiTheme="minorBidi" w:cs="David"/>
          <w:sz w:val="24"/>
          <w:szCs w:val="24"/>
        </w:rPr>
        <w:t xml:space="preserve"> was performed by interventional radiologist. All procedures were performed in the invasive radiology unit under local anesthesia and monitoring. An ultrasound guided </w:t>
      </w:r>
      <w:proofErr w:type="spellStart"/>
      <w:r>
        <w:rPr>
          <w:rFonts w:asciiTheme="minorBidi" w:hAnsiTheme="minorBidi" w:cs="David"/>
          <w:sz w:val="24"/>
          <w:szCs w:val="24"/>
        </w:rPr>
        <w:t>transhepatic</w:t>
      </w:r>
      <w:proofErr w:type="spellEnd"/>
      <w:r>
        <w:rPr>
          <w:rFonts w:asciiTheme="minorBidi" w:hAnsiTheme="minorBidi" w:cs="David"/>
          <w:sz w:val="24"/>
          <w:szCs w:val="24"/>
        </w:rPr>
        <w:t xml:space="preserve"> approach was used in all patients. A 19G sheathed needle was inserted using the </w:t>
      </w:r>
      <w:proofErr w:type="spellStart"/>
      <w:r>
        <w:rPr>
          <w:rFonts w:asciiTheme="minorBidi" w:hAnsiTheme="minorBidi" w:cs="David"/>
          <w:sz w:val="24"/>
          <w:szCs w:val="24"/>
        </w:rPr>
        <w:t>Seldinger</w:t>
      </w:r>
      <w:proofErr w:type="spellEnd"/>
      <w:r>
        <w:rPr>
          <w:rFonts w:asciiTheme="minorBidi" w:hAnsiTheme="minorBidi" w:cs="David"/>
          <w:sz w:val="24"/>
          <w:szCs w:val="24"/>
        </w:rPr>
        <w:t xml:space="preserve"> technique and a pigtail drainage catheter was inserted after proper dilatation. The gallbladder content was aspirated and </w:t>
      </w:r>
      <w:r w:rsidR="00AB11C9">
        <w:rPr>
          <w:rFonts w:asciiTheme="minorBidi" w:hAnsiTheme="minorBidi" w:cs="David"/>
          <w:sz w:val="24"/>
          <w:szCs w:val="24"/>
        </w:rPr>
        <w:t>send for</w:t>
      </w:r>
      <w:r>
        <w:rPr>
          <w:rFonts w:asciiTheme="minorBidi" w:hAnsiTheme="minorBidi" w:cs="David"/>
          <w:sz w:val="24"/>
          <w:szCs w:val="24"/>
        </w:rPr>
        <w:t xml:space="preserve"> culture and the catheter was secured to the </w:t>
      </w:r>
      <w:r w:rsidR="00AB11C9">
        <w:rPr>
          <w:rFonts w:asciiTheme="minorBidi" w:hAnsiTheme="minorBidi" w:cs="David"/>
          <w:sz w:val="24"/>
          <w:szCs w:val="24"/>
        </w:rPr>
        <w:t xml:space="preserve">skin. </w:t>
      </w:r>
      <w:r>
        <w:rPr>
          <w:rFonts w:asciiTheme="minorBidi" w:hAnsiTheme="minorBidi" w:cs="David"/>
          <w:sz w:val="24"/>
          <w:szCs w:val="24"/>
        </w:rPr>
        <w:t xml:space="preserve">The PC was left intact until </w:t>
      </w:r>
      <w:proofErr w:type="spellStart"/>
      <w:r>
        <w:rPr>
          <w:rFonts w:asciiTheme="minorBidi" w:hAnsiTheme="minorBidi" w:cs="David"/>
          <w:sz w:val="24"/>
          <w:szCs w:val="24"/>
        </w:rPr>
        <w:t>cesasion</w:t>
      </w:r>
      <w:proofErr w:type="spellEnd"/>
      <w:r>
        <w:rPr>
          <w:rFonts w:asciiTheme="minorBidi" w:hAnsiTheme="minorBidi" w:cs="David"/>
          <w:sz w:val="24"/>
          <w:szCs w:val="24"/>
        </w:rPr>
        <w:t xml:space="preserve"> of septic episode. In cases of future planned Laparoscopic </w:t>
      </w:r>
      <w:proofErr w:type="spellStart"/>
      <w:r>
        <w:rPr>
          <w:rFonts w:asciiTheme="minorBidi" w:hAnsiTheme="minorBidi" w:cs="David"/>
          <w:sz w:val="24"/>
          <w:szCs w:val="24"/>
        </w:rPr>
        <w:t>cholecystecvtomy</w:t>
      </w:r>
      <w:proofErr w:type="spellEnd"/>
      <w:r>
        <w:rPr>
          <w:rFonts w:asciiTheme="minorBidi" w:hAnsiTheme="minorBidi" w:cs="David"/>
          <w:sz w:val="24"/>
          <w:szCs w:val="24"/>
        </w:rPr>
        <w:t xml:space="preserve"> the catheter was clamped and removed during operation</w:t>
      </w:r>
      <w:r w:rsidR="007556CA">
        <w:rPr>
          <w:rFonts w:asciiTheme="minorBidi" w:hAnsiTheme="minorBidi" w:cs="David"/>
          <w:sz w:val="24"/>
          <w:szCs w:val="24"/>
        </w:rPr>
        <w:t xml:space="preserve"> after demonstration of cystic duct patency on cholangiography</w:t>
      </w:r>
      <w:r>
        <w:rPr>
          <w:rFonts w:asciiTheme="minorBidi" w:hAnsiTheme="minorBidi" w:cs="David"/>
          <w:sz w:val="24"/>
          <w:szCs w:val="24"/>
        </w:rPr>
        <w:t xml:space="preserve">. In cases of </w:t>
      </w:r>
      <w:r w:rsidR="00AB11C9">
        <w:rPr>
          <w:rFonts w:asciiTheme="minorBidi" w:hAnsiTheme="minorBidi" w:cs="David"/>
          <w:sz w:val="24"/>
          <w:szCs w:val="24"/>
        </w:rPr>
        <w:t>high risk patients the PC was left open connected to a bag.</w:t>
      </w:r>
    </w:p>
    <w:p w:rsidR="00AB11C9" w:rsidRDefault="00AB11C9" w:rsidP="00AB11C9">
      <w:pPr>
        <w:bidi w:val="0"/>
        <w:rPr>
          <w:rFonts w:asciiTheme="minorBidi" w:hAnsiTheme="minorBidi" w:cs="David"/>
          <w:sz w:val="24"/>
          <w:szCs w:val="24"/>
        </w:rPr>
      </w:pPr>
    </w:p>
    <w:p w:rsidR="00AB11C9" w:rsidRDefault="00AB11C9" w:rsidP="00AB11C9">
      <w:pPr>
        <w:bidi w:val="0"/>
        <w:rPr>
          <w:rFonts w:asciiTheme="minorBidi" w:hAnsiTheme="minorBidi" w:cs="David"/>
          <w:sz w:val="24"/>
          <w:szCs w:val="24"/>
        </w:rPr>
      </w:pPr>
    </w:p>
    <w:p w:rsidR="00AB11C9" w:rsidRDefault="00AB11C9" w:rsidP="00AB11C9">
      <w:pPr>
        <w:bidi w:val="0"/>
        <w:rPr>
          <w:rFonts w:asciiTheme="minorBidi" w:hAnsiTheme="minorBidi" w:cs="David"/>
          <w:sz w:val="24"/>
          <w:szCs w:val="24"/>
        </w:rPr>
      </w:pPr>
    </w:p>
    <w:p w:rsidR="00AB11C9" w:rsidRDefault="00AB11C9" w:rsidP="00AB11C9">
      <w:pPr>
        <w:bidi w:val="0"/>
        <w:rPr>
          <w:rFonts w:asciiTheme="minorBidi" w:hAnsiTheme="minorBidi" w:cs="David"/>
          <w:sz w:val="24"/>
          <w:szCs w:val="24"/>
        </w:rPr>
      </w:pPr>
    </w:p>
    <w:p w:rsidR="00AB11C9" w:rsidRDefault="00AB11C9" w:rsidP="00AB11C9">
      <w:pPr>
        <w:bidi w:val="0"/>
        <w:rPr>
          <w:rFonts w:asciiTheme="minorBidi" w:hAnsiTheme="minorBidi" w:cs="David"/>
          <w:sz w:val="24"/>
          <w:szCs w:val="24"/>
        </w:rPr>
      </w:pPr>
    </w:p>
    <w:p w:rsidR="00AB11C9" w:rsidRDefault="00AB11C9" w:rsidP="00AB11C9">
      <w:pPr>
        <w:bidi w:val="0"/>
        <w:rPr>
          <w:rFonts w:asciiTheme="minorBidi" w:hAnsiTheme="minorBidi" w:cs="David"/>
          <w:sz w:val="24"/>
          <w:szCs w:val="24"/>
        </w:rPr>
      </w:pPr>
    </w:p>
    <w:p w:rsidR="00AB11C9" w:rsidRDefault="00AB11C9" w:rsidP="00AB11C9">
      <w:pPr>
        <w:bidi w:val="0"/>
        <w:rPr>
          <w:rFonts w:asciiTheme="minorBidi" w:hAnsiTheme="minorBidi" w:cs="David"/>
          <w:sz w:val="24"/>
          <w:szCs w:val="24"/>
        </w:rPr>
      </w:pPr>
      <w:r>
        <w:rPr>
          <w:rFonts w:asciiTheme="minorBidi" w:hAnsiTheme="minorBidi" w:cs="David"/>
          <w:sz w:val="24"/>
          <w:szCs w:val="24"/>
        </w:rPr>
        <w:t>Results</w:t>
      </w:r>
    </w:p>
    <w:p w:rsidR="007556CA" w:rsidRDefault="00AB11C9" w:rsidP="007556CA">
      <w:pPr>
        <w:bidi w:val="0"/>
        <w:rPr>
          <w:rFonts w:asciiTheme="minorBidi" w:hAnsiTheme="minorBidi" w:cs="David"/>
          <w:sz w:val="24"/>
          <w:szCs w:val="24"/>
        </w:rPr>
      </w:pPr>
      <w:r>
        <w:rPr>
          <w:rFonts w:asciiTheme="minorBidi" w:hAnsiTheme="minorBidi" w:cs="David"/>
          <w:sz w:val="24"/>
          <w:szCs w:val="24"/>
        </w:rPr>
        <w:t xml:space="preserve">During the research period 683 patients were admitted with the diagnosis of Acute </w:t>
      </w:r>
      <w:proofErr w:type="spellStart"/>
      <w:r>
        <w:rPr>
          <w:rFonts w:asciiTheme="minorBidi" w:hAnsiTheme="minorBidi" w:cs="David"/>
          <w:sz w:val="24"/>
          <w:szCs w:val="24"/>
        </w:rPr>
        <w:t>Cholecystitis</w:t>
      </w:r>
      <w:proofErr w:type="spellEnd"/>
      <w:r>
        <w:rPr>
          <w:rFonts w:asciiTheme="minorBidi" w:hAnsiTheme="minorBidi" w:cs="David"/>
          <w:sz w:val="24"/>
          <w:szCs w:val="24"/>
        </w:rPr>
        <w:t xml:space="preserve">, of which 69 pts (10%) needed more than one admission during the research period thought 764 </w:t>
      </w:r>
      <w:r w:rsidR="007556CA">
        <w:rPr>
          <w:rFonts w:asciiTheme="minorBidi" w:hAnsiTheme="minorBidi" w:cs="David"/>
          <w:sz w:val="24"/>
          <w:szCs w:val="24"/>
        </w:rPr>
        <w:t>patients</w:t>
      </w:r>
      <w:r>
        <w:rPr>
          <w:rFonts w:asciiTheme="minorBidi" w:hAnsiTheme="minorBidi" w:cs="David"/>
          <w:sz w:val="24"/>
          <w:szCs w:val="24"/>
        </w:rPr>
        <w:t xml:space="preserve"> were included. Demographic </w:t>
      </w:r>
      <w:r w:rsidR="00457407">
        <w:rPr>
          <w:rFonts w:asciiTheme="minorBidi" w:hAnsiTheme="minorBidi" w:cs="David"/>
          <w:sz w:val="24"/>
          <w:szCs w:val="24"/>
        </w:rPr>
        <w:t xml:space="preserve">characteristics are presented in Table 1. Average age was 62 years while 336 </w:t>
      </w:r>
      <w:r w:rsidR="00457407">
        <w:rPr>
          <w:rFonts w:asciiTheme="minorBidi" w:hAnsiTheme="minorBidi" w:cs="David"/>
          <w:sz w:val="24"/>
          <w:szCs w:val="24"/>
        </w:rPr>
        <w:lastRenderedPageBreak/>
        <w:t xml:space="preserve">pts (49.1%) were above 65 years of age. </w:t>
      </w:r>
      <w:r w:rsidR="007556CA">
        <w:rPr>
          <w:rFonts w:asciiTheme="minorBidi" w:hAnsiTheme="minorBidi" w:cs="David"/>
          <w:sz w:val="24"/>
          <w:szCs w:val="24"/>
        </w:rPr>
        <w:t xml:space="preserve">There was a female predominance 54% v 45% man. Patients were equally admitted to the two surgical wards. </w:t>
      </w:r>
    </w:p>
    <w:p w:rsidR="00B232EF" w:rsidRDefault="007556CA" w:rsidP="007556CA">
      <w:pPr>
        <w:bidi w:val="0"/>
        <w:rPr>
          <w:rFonts w:asciiTheme="minorBidi" w:hAnsiTheme="minorBidi" w:cs="David"/>
          <w:sz w:val="24"/>
          <w:szCs w:val="24"/>
          <w:rtl/>
        </w:rPr>
      </w:pPr>
      <w:r>
        <w:rPr>
          <w:rFonts w:asciiTheme="minorBidi" w:hAnsiTheme="minorBidi" w:cs="David" w:hint="cs"/>
          <w:sz w:val="24"/>
          <w:szCs w:val="24"/>
          <w:rtl/>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
        <w:gridCol w:w="4876"/>
        <w:gridCol w:w="3063"/>
      </w:tblGrid>
      <w:tr w:rsidR="007556CA" w:rsidTr="004A0A3F">
        <w:tc>
          <w:tcPr>
            <w:tcW w:w="8296" w:type="dxa"/>
            <w:gridSpan w:val="3"/>
            <w:tcBorders>
              <w:bottom w:val="single" w:sz="8" w:space="0" w:color="auto"/>
            </w:tcBorders>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sidRPr="006000F0">
              <w:rPr>
                <w:rFonts w:ascii="Times New Roman" w:hAnsi="Times New Roman" w:cs="Times New Roman"/>
                <w:b/>
                <w:bCs/>
                <w:sz w:val="24"/>
                <w:szCs w:val="24"/>
              </w:rPr>
              <w:t>Table 1</w:t>
            </w:r>
            <w:r>
              <w:rPr>
                <w:rFonts w:ascii="Times New Roman" w:hAnsi="Times New Roman" w:cs="Times New Roman"/>
                <w:sz w:val="24"/>
                <w:szCs w:val="24"/>
              </w:rPr>
              <w:t>: Patient Demographics</w:t>
            </w:r>
          </w:p>
        </w:tc>
      </w:tr>
      <w:tr w:rsidR="007556CA" w:rsidTr="004A0A3F">
        <w:tc>
          <w:tcPr>
            <w:tcW w:w="5233" w:type="dxa"/>
            <w:gridSpan w:val="2"/>
            <w:tcBorders>
              <w:top w:val="single" w:sz="8" w:space="0" w:color="auto"/>
            </w:tcBorders>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Age (years)</w:t>
            </w:r>
          </w:p>
        </w:tc>
        <w:tc>
          <w:tcPr>
            <w:tcW w:w="3063" w:type="dxa"/>
            <w:tcBorders>
              <w:top w:val="single" w:sz="8" w:space="0" w:color="auto"/>
            </w:tcBorders>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62.0+19.3</w:t>
            </w:r>
          </w:p>
        </w:tc>
      </w:tr>
      <w:tr w:rsidR="007556CA" w:rsidTr="004A0A3F">
        <w:tc>
          <w:tcPr>
            <w:tcW w:w="5233" w:type="dxa"/>
            <w:gridSpan w:val="2"/>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Sex</w:t>
            </w:r>
          </w:p>
        </w:tc>
        <w:tc>
          <w:tcPr>
            <w:tcW w:w="3063"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p>
        </w:tc>
      </w:tr>
      <w:tr w:rsidR="007556CA" w:rsidTr="004A0A3F">
        <w:tc>
          <w:tcPr>
            <w:tcW w:w="357"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p>
        </w:tc>
        <w:tc>
          <w:tcPr>
            <w:tcW w:w="4876"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males</w:t>
            </w:r>
          </w:p>
        </w:tc>
        <w:tc>
          <w:tcPr>
            <w:tcW w:w="3063"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312 (45.7%)</w:t>
            </w:r>
          </w:p>
        </w:tc>
      </w:tr>
      <w:tr w:rsidR="007556CA" w:rsidTr="004A0A3F">
        <w:tc>
          <w:tcPr>
            <w:tcW w:w="357"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p>
        </w:tc>
        <w:tc>
          <w:tcPr>
            <w:tcW w:w="4876"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Females</w:t>
            </w:r>
          </w:p>
        </w:tc>
        <w:tc>
          <w:tcPr>
            <w:tcW w:w="3063"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371 (54.3%)</w:t>
            </w:r>
          </w:p>
        </w:tc>
      </w:tr>
      <w:tr w:rsidR="007556CA" w:rsidTr="004A0A3F">
        <w:tc>
          <w:tcPr>
            <w:tcW w:w="5233" w:type="dxa"/>
            <w:gridSpan w:val="2"/>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Marital status</w:t>
            </w:r>
          </w:p>
        </w:tc>
        <w:tc>
          <w:tcPr>
            <w:tcW w:w="3063"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p>
        </w:tc>
      </w:tr>
      <w:tr w:rsidR="007556CA" w:rsidTr="004A0A3F">
        <w:tc>
          <w:tcPr>
            <w:tcW w:w="357"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p>
        </w:tc>
        <w:tc>
          <w:tcPr>
            <w:tcW w:w="4876"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Single</w:t>
            </w:r>
          </w:p>
        </w:tc>
        <w:tc>
          <w:tcPr>
            <w:tcW w:w="3063"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66 (9.7%)</w:t>
            </w:r>
          </w:p>
        </w:tc>
      </w:tr>
      <w:tr w:rsidR="007556CA" w:rsidTr="004A0A3F">
        <w:tc>
          <w:tcPr>
            <w:tcW w:w="357"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p>
        </w:tc>
        <w:tc>
          <w:tcPr>
            <w:tcW w:w="4876"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Married</w:t>
            </w:r>
          </w:p>
        </w:tc>
        <w:tc>
          <w:tcPr>
            <w:tcW w:w="3063"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390 (57.1%)</w:t>
            </w:r>
          </w:p>
        </w:tc>
      </w:tr>
      <w:tr w:rsidR="007556CA" w:rsidTr="004A0A3F">
        <w:tc>
          <w:tcPr>
            <w:tcW w:w="357"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p>
        </w:tc>
        <w:tc>
          <w:tcPr>
            <w:tcW w:w="4876"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Divorced</w:t>
            </w:r>
          </w:p>
        </w:tc>
        <w:tc>
          <w:tcPr>
            <w:tcW w:w="3063"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97 (14.2%)</w:t>
            </w:r>
          </w:p>
        </w:tc>
      </w:tr>
      <w:tr w:rsidR="007556CA" w:rsidTr="004A0A3F">
        <w:tc>
          <w:tcPr>
            <w:tcW w:w="357"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p>
        </w:tc>
        <w:tc>
          <w:tcPr>
            <w:tcW w:w="4876"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Widowed</w:t>
            </w:r>
          </w:p>
        </w:tc>
        <w:tc>
          <w:tcPr>
            <w:tcW w:w="3063"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116 (17.0%)</w:t>
            </w:r>
          </w:p>
        </w:tc>
      </w:tr>
      <w:tr w:rsidR="007556CA" w:rsidTr="004A0A3F">
        <w:tc>
          <w:tcPr>
            <w:tcW w:w="5233" w:type="dxa"/>
            <w:gridSpan w:val="2"/>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Department of admission</w:t>
            </w:r>
          </w:p>
        </w:tc>
        <w:tc>
          <w:tcPr>
            <w:tcW w:w="3063"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p>
        </w:tc>
      </w:tr>
      <w:tr w:rsidR="007556CA" w:rsidTr="004A0A3F">
        <w:tc>
          <w:tcPr>
            <w:tcW w:w="357"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p>
        </w:tc>
        <w:tc>
          <w:tcPr>
            <w:tcW w:w="4876"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Surgery "A"</w:t>
            </w:r>
          </w:p>
        </w:tc>
        <w:tc>
          <w:tcPr>
            <w:tcW w:w="3063"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348 (51.0%)</w:t>
            </w:r>
          </w:p>
        </w:tc>
      </w:tr>
      <w:tr w:rsidR="007556CA" w:rsidTr="004A0A3F">
        <w:tc>
          <w:tcPr>
            <w:tcW w:w="357" w:type="dxa"/>
            <w:tcBorders>
              <w:bottom w:val="single" w:sz="8" w:space="0" w:color="auto"/>
            </w:tcBorders>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p>
        </w:tc>
        <w:tc>
          <w:tcPr>
            <w:tcW w:w="4876" w:type="dxa"/>
            <w:tcBorders>
              <w:bottom w:val="single" w:sz="8" w:space="0" w:color="auto"/>
            </w:tcBorders>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Surgery "B"</w:t>
            </w:r>
          </w:p>
        </w:tc>
        <w:tc>
          <w:tcPr>
            <w:tcW w:w="3063" w:type="dxa"/>
            <w:tcBorders>
              <w:bottom w:val="single" w:sz="8" w:space="0" w:color="auto"/>
            </w:tcBorders>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335 (49.0%)</w:t>
            </w:r>
          </w:p>
        </w:tc>
      </w:tr>
    </w:tbl>
    <w:p w:rsidR="007556CA" w:rsidRDefault="007556CA" w:rsidP="007556CA">
      <w:pPr>
        <w:rPr>
          <w:rtl/>
        </w:rPr>
      </w:pPr>
    </w:p>
    <w:p w:rsidR="007556CA" w:rsidRDefault="007556CA" w:rsidP="007556CA">
      <w:pPr>
        <w:bidi w:val="0"/>
        <w:rPr>
          <w:rFonts w:asciiTheme="minorBidi" w:hAnsiTheme="minorBidi" w:cs="David"/>
          <w:sz w:val="24"/>
          <w:szCs w:val="24"/>
          <w:rtl/>
        </w:rPr>
      </w:pPr>
    </w:p>
    <w:p w:rsidR="007556CA" w:rsidRDefault="007556CA" w:rsidP="007556CA">
      <w:pPr>
        <w:bidi w:val="0"/>
        <w:rPr>
          <w:rFonts w:asciiTheme="minorBidi" w:hAnsiTheme="minorBidi" w:cs="David"/>
          <w:sz w:val="24"/>
          <w:szCs w:val="24"/>
          <w:rtl/>
        </w:rPr>
      </w:pPr>
    </w:p>
    <w:p w:rsidR="007556CA" w:rsidRDefault="007556CA" w:rsidP="007556CA">
      <w:pPr>
        <w:bidi w:val="0"/>
        <w:rPr>
          <w:rFonts w:asciiTheme="minorBidi" w:hAnsiTheme="minorBidi" w:cs="David"/>
          <w:sz w:val="24"/>
          <w:szCs w:val="24"/>
          <w:rtl/>
        </w:rPr>
      </w:pPr>
    </w:p>
    <w:p w:rsidR="007556CA" w:rsidRDefault="007556CA" w:rsidP="007556CA">
      <w:pPr>
        <w:bidi w:val="0"/>
        <w:rPr>
          <w:rFonts w:asciiTheme="minorBidi" w:hAnsiTheme="minorBidi" w:cs="David"/>
          <w:sz w:val="24"/>
          <w:szCs w:val="24"/>
          <w:rtl/>
        </w:rPr>
      </w:pPr>
    </w:p>
    <w:p w:rsidR="007556CA" w:rsidRDefault="007556CA" w:rsidP="007556CA">
      <w:pPr>
        <w:bidi w:val="0"/>
        <w:rPr>
          <w:rFonts w:asciiTheme="minorBidi" w:hAnsiTheme="minorBidi" w:cs="David"/>
          <w:sz w:val="24"/>
          <w:szCs w:val="24"/>
          <w:rtl/>
        </w:rPr>
      </w:pPr>
    </w:p>
    <w:p w:rsidR="00457407" w:rsidRDefault="00457407" w:rsidP="007556CA">
      <w:pPr>
        <w:bidi w:val="0"/>
        <w:rPr>
          <w:rFonts w:asciiTheme="minorBidi" w:hAnsiTheme="minorBidi" w:cs="David"/>
          <w:sz w:val="24"/>
          <w:szCs w:val="24"/>
        </w:rPr>
      </w:pPr>
      <w:r>
        <w:rPr>
          <w:rFonts w:asciiTheme="minorBidi" w:hAnsiTheme="minorBidi" w:cs="David"/>
          <w:sz w:val="24"/>
          <w:szCs w:val="24"/>
        </w:rPr>
        <w:t xml:space="preserve">Table 2 </w:t>
      </w:r>
      <w:r w:rsidR="003544C4">
        <w:rPr>
          <w:rFonts w:asciiTheme="minorBidi" w:hAnsiTheme="minorBidi" w:cs="David"/>
          <w:sz w:val="24"/>
          <w:szCs w:val="24"/>
        </w:rPr>
        <w:t>presents patients</w:t>
      </w:r>
      <w:r>
        <w:rPr>
          <w:rFonts w:asciiTheme="minorBidi" w:hAnsiTheme="minorBidi" w:cs="David"/>
          <w:sz w:val="24"/>
          <w:szCs w:val="24"/>
        </w:rPr>
        <w:t xml:space="preserve"> co morbidities, ASA score, disease severity</w:t>
      </w:r>
      <w:r w:rsidR="003544C4">
        <w:rPr>
          <w:rFonts w:asciiTheme="minorBidi" w:hAnsiTheme="minorBidi" w:cs="David"/>
          <w:sz w:val="24"/>
          <w:szCs w:val="24"/>
        </w:rPr>
        <w:t xml:space="preserve"> score and laboratory values. The average ASA score was 2.12 while 62.5% of patients had ASA </w:t>
      </w:r>
      <w:r w:rsidR="007556CA">
        <w:rPr>
          <w:rFonts w:asciiTheme="minorBidi" w:hAnsiTheme="minorBidi" w:cs="David"/>
          <w:sz w:val="24"/>
          <w:szCs w:val="24"/>
        </w:rPr>
        <w:t>score of</w:t>
      </w:r>
      <w:r w:rsidR="003544C4">
        <w:rPr>
          <w:rFonts w:asciiTheme="minorBidi" w:hAnsiTheme="minorBidi" w:cs="David"/>
          <w:sz w:val="24"/>
          <w:szCs w:val="24"/>
        </w:rPr>
        <w:t xml:space="preserve"> 1-2 </w:t>
      </w:r>
      <w:r w:rsidR="007556CA">
        <w:rPr>
          <w:rFonts w:asciiTheme="minorBidi" w:hAnsiTheme="minorBidi" w:cs="David"/>
          <w:sz w:val="24"/>
          <w:szCs w:val="24"/>
        </w:rPr>
        <w:t>and only</w:t>
      </w:r>
      <w:r w:rsidR="003544C4">
        <w:rPr>
          <w:rFonts w:asciiTheme="minorBidi" w:hAnsiTheme="minorBidi" w:cs="David"/>
          <w:sz w:val="24"/>
          <w:szCs w:val="24"/>
        </w:rPr>
        <w:t xml:space="preserve"> 2.8%</w:t>
      </w:r>
      <w:r w:rsidR="007556CA">
        <w:rPr>
          <w:rFonts w:asciiTheme="minorBidi" w:hAnsiTheme="minorBidi" w:cs="David"/>
          <w:sz w:val="24"/>
          <w:szCs w:val="24"/>
        </w:rPr>
        <w:t xml:space="preserve"> had ASA score of 4-5. Disease severity score was mild to moderate in 94.3% of the patients. NIDDM was the common comorbidity followed by </w:t>
      </w:r>
      <w:proofErr w:type="gramStart"/>
      <w:r w:rsidR="007556CA">
        <w:rPr>
          <w:rFonts w:asciiTheme="minorBidi" w:hAnsiTheme="minorBidi" w:cs="David"/>
          <w:sz w:val="24"/>
          <w:szCs w:val="24"/>
        </w:rPr>
        <w:t>I.H.D  and</w:t>
      </w:r>
      <w:proofErr w:type="gramEnd"/>
      <w:r w:rsidR="007556CA">
        <w:rPr>
          <w:rFonts w:asciiTheme="minorBidi" w:hAnsiTheme="minorBidi" w:cs="David"/>
          <w:sz w:val="24"/>
          <w:szCs w:val="24"/>
        </w:rPr>
        <w:t xml:space="preserve"> C.O.P.D. </w:t>
      </w:r>
    </w:p>
    <w:p w:rsidR="007556CA" w:rsidRDefault="007556CA" w:rsidP="007556CA">
      <w:pPr>
        <w:bidi w:val="0"/>
        <w:rPr>
          <w:rFonts w:asciiTheme="minorBidi" w:hAnsiTheme="minorBidi" w:cs="David"/>
          <w:sz w:val="24"/>
          <w:szCs w:val="24"/>
        </w:rPr>
      </w:pPr>
    </w:p>
    <w:p w:rsidR="007556CA" w:rsidRDefault="007556CA" w:rsidP="007556CA">
      <w:pPr>
        <w:bidi w:val="0"/>
        <w:rPr>
          <w:rFonts w:asciiTheme="minorBidi" w:hAnsiTheme="minorBidi" w:cs="David"/>
          <w:sz w:val="24"/>
          <w:szCs w:val="24"/>
        </w:rPr>
      </w:pPr>
    </w:p>
    <w:p w:rsidR="007556CA" w:rsidRDefault="007556CA" w:rsidP="007556CA">
      <w:pPr>
        <w:bidi w:val="0"/>
        <w:rPr>
          <w:rFonts w:asciiTheme="minorBidi" w:hAnsiTheme="minorBidi" w:cs="David"/>
          <w:sz w:val="24"/>
          <w:szCs w:val="24"/>
        </w:rPr>
      </w:pPr>
    </w:p>
    <w:p w:rsidR="007556CA" w:rsidRPr="00112051" w:rsidRDefault="007556CA" w:rsidP="007556CA">
      <w:pPr>
        <w:bidi w:val="0"/>
        <w:rPr>
          <w:rFonts w:asciiTheme="minorBidi" w:hAnsiTheme="minorBidi" w:cs="David"/>
          <w:sz w:val="24"/>
          <w:szCs w:val="24"/>
        </w:rPr>
      </w:pPr>
    </w:p>
    <w:p w:rsidR="00063C18" w:rsidRDefault="00063C18" w:rsidP="00063C18">
      <w:pPr>
        <w:bidi w:val="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
        <w:gridCol w:w="4876"/>
        <w:gridCol w:w="3063"/>
      </w:tblGrid>
      <w:tr w:rsidR="007556CA" w:rsidTr="004A0A3F">
        <w:tc>
          <w:tcPr>
            <w:tcW w:w="8296" w:type="dxa"/>
            <w:gridSpan w:val="3"/>
            <w:tcBorders>
              <w:bottom w:val="single" w:sz="8" w:space="0" w:color="auto"/>
            </w:tcBorders>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tl/>
              </w:rPr>
              <w:lastRenderedPageBreak/>
              <w:br w:type="page"/>
            </w:r>
            <w:r w:rsidRPr="006000F0">
              <w:rPr>
                <w:rFonts w:ascii="Times New Roman" w:hAnsi="Times New Roman" w:cs="Times New Roman"/>
                <w:b/>
                <w:bCs/>
                <w:sz w:val="24"/>
                <w:szCs w:val="24"/>
              </w:rPr>
              <w:t>Table 2</w:t>
            </w:r>
            <w:r>
              <w:rPr>
                <w:rFonts w:ascii="Times New Roman" w:hAnsi="Times New Roman" w:cs="Times New Roman"/>
                <w:sz w:val="24"/>
                <w:szCs w:val="24"/>
              </w:rPr>
              <w:t>: Disease parameters, co-morbidities and laboratory values of study cohort</w:t>
            </w:r>
          </w:p>
        </w:tc>
      </w:tr>
      <w:tr w:rsidR="007556CA" w:rsidTr="004A0A3F">
        <w:tc>
          <w:tcPr>
            <w:tcW w:w="5233" w:type="dxa"/>
            <w:gridSpan w:val="2"/>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Disease severity</w:t>
            </w:r>
          </w:p>
        </w:tc>
        <w:tc>
          <w:tcPr>
            <w:tcW w:w="3063"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p>
        </w:tc>
      </w:tr>
      <w:tr w:rsidR="007556CA" w:rsidTr="004A0A3F">
        <w:tc>
          <w:tcPr>
            <w:tcW w:w="357"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p>
        </w:tc>
        <w:tc>
          <w:tcPr>
            <w:tcW w:w="4876"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Mild</w:t>
            </w:r>
          </w:p>
        </w:tc>
        <w:tc>
          <w:tcPr>
            <w:tcW w:w="3063"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439 (64.3%)</w:t>
            </w:r>
          </w:p>
        </w:tc>
      </w:tr>
      <w:tr w:rsidR="007556CA" w:rsidTr="004A0A3F">
        <w:tc>
          <w:tcPr>
            <w:tcW w:w="357"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p>
        </w:tc>
        <w:tc>
          <w:tcPr>
            <w:tcW w:w="4876"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Moderate</w:t>
            </w:r>
          </w:p>
        </w:tc>
        <w:tc>
          <w:tcPr>
            <w:tcW w:w="3063"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205 (30.0%)</w:t>
            </w:r>
          </w:p>
        </w:tc>
      </w:tr>
      <w:tr w:rsidR="007556CA" w:rsidTr="004A0A3F">
        <w:tc>
          <w:tcPr>
            <w:tcW w:w="357"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p>
        </w:tc>
        <w:tc>
          <w:tcPr>
            <w:tcW w:w="4876"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Severe</w:t>
            </w:r>
          </w:p>
        </w:tc>
        <w:tc>
          <w:tcPr>
            <w:tcW w:w="3063"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39 (5.7%)</w:t>
            </w:r>
          </w:p>
        </w:tc>
      </w:tr>
      <w:tr w:rsidR="007556CA" w:rsidTr="004A0A3F">
        <w:tc>
          <w:tcPr>
            <w:tcW w:w="5233" w:type="dxa"/>
            <w:gridSpan w:val="2"/>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Average ASA score</w:t>
            </w:r>
          </w:p>
        </w:tc>
        <w:tc>
          <w:tcPr>
            <w:tcW w:w="3063"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2.12+0.87</w:t>
            </w:r>
          </w:p>
        </w:tc>
      </w:tr>
      <w:tr w:rsidR="007556CA" w:rsidTr="004A0A3F">
        <w:tc>
          <w:tcPr>
            <w:tcW w:w="5233" w:type="dxa"/>
            <w:gridSpan w:val="2"/>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 xml:space="preserve">Co-morbidities </w:t>
            </w:r>
          </w:p>
        </w:tc>
        <w:tc>
          <w:tcPr>
            <w:tcW w:w="3063"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p>
        </w:tc>
      </w:tr>
      <w:tr w:rsidR="007556CA" w:rsidTr="004A0A3F">
        <w:tc>
          <w:tcPr>
            <w:tcW w:w="357"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p>
        </w:tc>
        <w:tc>
          <w:tcPr>
            <w:tcW w:w="4876"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Diabetes mellitus</w:t>
            </w:r>
          </w:p>
        </w:tc>
        <w:tc>
          <w:tcPr>
            <w:tcW w:w="3063"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30.2%</w:t>
            </w:r>
          </w:p>
        </w:tc>
      </w:tr>
      <w:tr w:rsidR="007556CA" w:rsidTr="004A0A3F">
        <w:tc>
          <w:tcPr>
            <w:tcW w:w="357"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p>
        </w:tc>
        <w:tc>
          <w:tcPr>
            <w:tcW w:w="4876"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Ischemic heart disease</w:t>
            </w:r>
          </w:p>
        </w:tc>
        <w:tc>
          <w:tcPr>
            <w:tcW w:w="3063"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20.6%</w:t>
            </w:r>
          </w:p>
        </w:tc>
      </w:tr>
      <w:tr w:rsidR="007556CA" w:rsidTr="004A0A3F">
        <w:tc>
          <w:tcPr>
            <w:tcW w:w="357"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p>
        </w:tc>
        <w:tc>
          <w:tcPr>
            <w:tcW w:w="4876"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COPD</w:t>
            </w:r>
          </w:p>
        </w:tc>
        <w:tc>
          <w:tcPr>
            <w:tcW w:w="3063"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10.8%</w:t>
            </w:r>
          </w:p>
        </w:tc>
      </w:tr>
      <w:tr w:rsidR="007556CA" w:rsidTr="004A0A3F">
        <w:tc>
          <w:tcPr>
            <w:tcW w:w="357"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p>
        </w:tc>
        <w:tc>
          <w:tcPr>
            <w:tcW w:w="4876"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Renal failure</w:t>
            </w:r>
          </w:p>
        </w:tc>
        <w:tc>
          <w:tcPr>
            <w:tcW w:w="3063"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7.3%</w:t>
            </w:r>
          </w:p>
        </w:tc>
      </w:tr>
      <w:tr w:rsidR="007556CA" w:rsidTr="004A0A3F">
        <w:tc>
          <w:tcPr>
            <w:tcW w:w="357"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p>
        </w:tc>
        <w:tc>
          <w:tcPr>
            <w:tcW w:w="4876"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Obesity</w:t>
            </w:r>
          </w:p>
        </w:tc>
        <w:tc>
          <w:tcPr>
            <w:tcW w:w="3063"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7.3%</w:t>
            </w:r>
          </w:p>
        </w:tc>
      </w:tr>
      <w:tr w:rsidR="007556CA" w:rsidTr="004A0A3F">
        <w:tc>
          <w:tcPr>
            <w:tcW w:w="357"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p>
        </w:tc>
        <w:tc>
          <w:tcPr>
            <w:tcW w:w="4876"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Biliary calculus</w:t>
            </w:r>
          </w:p>
        </w:tc>
        <w:tc>
          <w:tcPr>
            <w:tcW w:w="3063"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4.8%</w:t>
            </w:r>
          </w:p>
        </w:tc>
      </w:tr>
      <w:tr w:rsidR="007556CA" w:rsidTr="004A0A3F">
        <w:tc>
          <w:tcPr>
            <w:tcW w:w="357"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p>
        </w:tc>
        <w:tc>
          <w:tcPr>
            <w:tcW w:w="4876"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CVA</w:t>
            </w:r>
          </w:p>
        </w:tc>
        <w:tc>
          <w:tcPr>
            <w:tcW w:w="3063"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1.6%</w:t>
            </w:r>
          </w:p>
        </w:tc>
      </w:tr>
      <w:tr w:rsidR="007556CA" w:rsidTr="004A0A3F">
        <w:tc>
          <w:tcPr>
            <w:tcW w:w="357"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p>
        </w:tc>
        <w:tc>
          <w:tcPr>
            <w:tcW w:w="4876"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proofErr w:type="spellStart"/>
            <w:r>
              <w:rPr>
                <w:rFonts w:ascii="Times New Roman" w:hAnsi="Times New Roman" w:cs="Times New Roman"/>
                <w:sz w:val="24"/>
                <w:szCs w:val="24"/>
              </w:rPr>
              <w:t>Cholecystostome</w:t>
            </w:r>
            <w:proofErr w:type="spellEnd"/>
          </w:p>
        </w:tc>
        <w:tc>
          <w:tcPr>
            <w:tcW w:w="3063"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7.3%</w:t>
            </w:r>
          </w:p>
        </w:tc>
      </w:tr>
      <w:tr w:rsidR="007556CA" w:rsidTr="004A0A3F">
        <w:tc>
          <w:tcPr>
            <w:tcW w:w="357"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p>
        </w:tc>
        <w:tc>
          <w:tcPr>
            <w:tcW w:w="4876"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Cholecystectomy*</w:t>
            </w:r>
          </w:p>
        </w:tc>
        <w:tc>
          <w:tcPr>
            <w:tcW w:w="3063"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41.6%</w:t>
            </w:r>
          </w:p>
        </w:tc>
      </w:tr>
      <w:tr w:rsidR="007556CA" w:rsidTr="004A0A3F">
        <w:tc>
          <w:tcPr>
            <w:tcW w:w="5233" w:type="dxa"/>
            <w:gridSpan w:val="2"/>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Laboratory values</w:t>
            </w:r>
          </w:p>
        </w:tc>
        <w:tc>
          <w:tcPr>
            <w:tcW w:w="3063"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p>
        </w:tc>
      </w:tr>
      <w:tr w:rsidR="007556CA" w:rsidTr="004A0A3F">
        <w:tc>
          <w:tcPr>
            <w:tcW w:w="357"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p>
        </w:tc>
        <w:tc>
          <w:tcPr>
            <w:tcW w:w="4876"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Hemoglobin (g/</w:t>
            </w:r>
            <w:proofErr w:type="spellStart"/>
            <w:r>
              <w:rPr>
                <w:rFonts w:ascii="Times New Roman" w:hAnsi="Times New Roman" w:cs="Times New Roman"/>
                <w:sz w:val="24"/>
                <w:szCs w:val="24"/>
              </w:rPr>
              <w:t>dL</w:t>
            </w:r>
            <w:proofErr w:type="spellEnd"/>
            <w:r>
              <w:rPr>
                <w:rFonts w:ascii="Times New Roman" w:hAnsi="Times New Roman" w:cs="Times New Roman"/>
                <w:sz w:val="24"/>
                <w:szCs w:val="24"/>
              </w:rPr>
              <w:t>)</w:t>
            </w:r>
          </w:p>
        </w:tc>
        <w:tc>
          <w:tcPr>
            <w:tcW w:w="3063"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13.3+1.7</w:t>
            </w:r>
          </w:p>
        </w:tc>
      </w:tr>
      <w:tr w:rsidR="007556CA" w:rsidTr="004A0A3F">
        <w:tc>
          <w:tcPr>
            <w:tcW w:w="357"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p>
        </w:tc>
        <w:tc>
          <w:tcPr>
            <w:tcW w:w="4876"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WBC (cells per cmm</w:t>
            </w:r>
            <w:r w:rsidRPr="00F0449A">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3063"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12.7+4.8</w:t>
            </w:r>
          </w:p>
        </w:tc>
      </w:tr>
      <w:tr w:rsidR="007556CA" w:rsidTr="004A0A3F">
        <w:tc>
          <w:tcPr>
            <w:tcW w:w="357"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p>
        </w:tc>
        <w:tc>
          <w:tcPr>
            <w:tcW w:w="4876"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Creatinine (mg/</w:t>
            </w:r>
            <w:proofErr w:type="spellStart"/>
            <w:r>
              <w:rPr>
                <w:rFonts w:ascii="Times New Roman" w:hAnsi="Times New Roman" w:cs="Times New Roman"/>
                <w:sz w:val="24"/>
                <w:szCs w:val="24"/>
              </w:rPr>
              <w:t>dL</w:t>
            </w:r>
            <w:proofErr w:type="spellEnd"/>
            <w:r>
              <w:rPr>
                <w:rFonts w:ascii="Times New Roman" w:hAnsi="Times New Roman" w:cs="Times New Roman"/>
                <w:sz w:val="24"/>
                <w:szCs w:val="24"/>
              </w:rPr>
              <w:t>)</w:t>
            </w:r>
          </w:p>
        </w:tc>
        <w:tc>
          <w:tcPr>
            <w:tcW w:w="3063"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0.93+0.56</w:t>
            </w:r>
          </w:p>
        </w:tc>
      </w:tr>
      <w:tr w:rsidR="007556CA" w:rsidTr="004A0A3F">
        <w:tc>
          <w:tcPr>
            <w:tcW w:w="357"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p>
        </w:tc>
        <w:tc>
          <w:tcPr>
            <w:tcW w:w="4876"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Total bilirubin (mg/</w:t>
            </w:r>
            <w:proofErr w:type="spellStart"/>
            <w:r>
              <w:rPr>
                <w:rFonts w:ascii="Times New Roman" w:hAnsi="Times New Roman" w:cs="Times New Roman"/>
                <w:sz w:val="24"/>
                <w:szCs w:val="24"/>
              </w:rPr>
              <w:t>dL</w:t>
            </w:r>
            <w:proofErr w:type="spellEnd"/>
          </w:p>
        </w:tc>
        <w:tc>
          <w:tcPr>
            <w:tcW w:w="3063" w:type="dxa"/>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1.26+1.30</w:t>
            </w:r>
          </w:p>
        </w:tc>
      </w:tr>
      <w:tr w:rsidR="007556CA" w:rsidTr="004A0A3F">
        <w:tc>
          <w:tcPr>
            <w:tcW w:w="357" w:type="dxa"/>
            <w:tcBorders>
              <w:bottom w:val="single" w:sz="8" w:space="0" w:color="auto"/>
            </w:tcBorders>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p>
        </w:tc>
        <w:tc>
          <w:tcPr>
            <w:tcW w:w="4876" w:type="dxa"/>
            <w:tcBorders>
              <w:bottom w:val="single" w:sz="8" w:space="0" w:color="auto"/>
            </w:tcBorders>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ALP (IU/</w:t>
            </w:r>
            <w:proofErr w:type="spellStart"/>
            <w:r>
              <w:rPr>
                <w:rFonts w:ascii="Times New Roman" w:hAnsi="Times New Roman" w:cs="Times New Roman"/>
                <w:sz w:val="24"/>
                <w:szCs w:val="24"/>
              </w:rPr>
              <w:t>dL</w:t>
            </w:r>
            <w:proofErr w:type="spellEnd"/>
            <w:r>
              <w:rPr>
                <w:rFonts w:ascii="Times New Roman" w:hAnsi="Times New Roman" w:cs="Times New Roman"/>
                <w:sz w:val="24"/>
                <w:szCs w:val="24"/>
              </w:rPr>
              <w:t>)</w:t>
            </w:r>
          </w:p>
        </w:tc>
        <w:tc>
          <w:tcPr>
            <w:tcW w:w="3063" w:type="dxa"/>
            <w:tcBorders>
              <w:bottom w:val="single" w:sz="8" w:space="0" w:color="auto"/>
            </w:tcBorders>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110+101</w:t>
            </w:r>
          </w:p>
        </w:tc>
      </w:tr>
      <w:tr w:rsidR="007556CA" w:rsidTr="004A0A3F">
        <w:tc>
          <w:tcPr>
            <w:tcW w:w="357" w:type="dxa"/>
            <w:tcBorders>
              <w:top w:val="single" w:sz="8" w:space="0" w:color="auto"/>
            </w:tcBorders>
          </w:tcPr>
          <w:p w:rsidR="007556CA" w:rsidRPr="002722C9" w:rsidRDefault="007556CA" w:rsidP="007556CA">
            <w:pPr>
              <w:pStyle w:val="a4"/>
              <w:numPr>
                <w:ilvl w:val="0"/>
                <w:numId w:val="1"/>
              </w:numPr>
              <w:autoSpaceDE w:val="0"/>
              <w:autoSpaceDN w:val="0"/>
              <w:bidi w:val="0"/>
              <w:adjustRightInd w:val="0"/>
              <w:spacing w:line="400" w:lineRule="atLeast"/>
              <w:rPr>
                <w:rFonts w:ascii="Times New Roman" w:hAnsi="Times New Roman" w:cs="Times New Roman"/>
                <w:sz w:val="24"/>
                <w:szCs w:val="24"/>
              </w:rPr>
            </w:pPr>
          </w:p>
        </w:tc>
        <w:tc>
          <w:tcPr>
            <w:tcW w:w="7939" w:type="dxa"/>
            <w:gridSpan w:val="2"/>
            <w:tcBorders>
              <w:top w:val="single" w:sz="8" w:space="0" w:color="auto"/>
            </w:tcBorders>
          </w:tcPr>
          <w:p w:rsidR="007556CA" w:rsidRDefault="007556CA" w:rsidP="004A0A3F">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 xml:space="preserve">* -Number of patients undergoing elective cholecystectomy at the Wolfson Medical Center following the admission. </w:t>
            </w:r>
          </w:p>
        </w:tc>
      </w:tr>
    </w:tbl>
    <w:p w:rsidR="007556CA" w:rsidRDefault="007556CA" w:rsidP="007556CA">
      <w:pPr>
        <w:bidi w:val="0"/>
      </w:pPr>
    </w:p>
    <w:p w:rsidR="00063C18" w:rsidRDefault="00063C18" w:rsidP="00063C18">
      <w:pPr>
        <w:bidi w:val="0"/>
      </w:pPr>
    </w:p>
    <w:p w:rsidR="00063C18" w:rsidRDefault="00063C18" w:rsidP="00063C18">
      <w:pPr>
        <w:bidi w:val="0"/>
      </w:pPr>
    </w:p>
    <w:p w:rsidR="000D1261" w:rsidRDefault="000D1261" w:rsidP="000D1261">
      <w:pPr>
        <w:bidi w:val="0"/>
      </w:pPr>
    </w:p>
    <w:p w:rsidR="000D1261" w:rsidRDefault="000D1261" w:rsidP="000D1261">
      <w:pPr>
        <w:bidi w:val="0"/>
      </w:pPr>
    </w:p>
    <w:p w:rsidR="000D1261" w:rsidRDefault="000D1261" w:rsidP="000D1261">
      <w:pPr>
        <w:bidi w:val="0"/>
      </w:pPr>
    </w:p>
    <w:p w:rsidR="000D1261" w:rsidRDefault="000D1261" w:rsidP="000D1261">
      <w:pPr>
        <w:bidi w:val="0"/>
      </w:pPr>
    </w:p>
    <w:p w:rsidR="000D1261" w:rsidRDefault="000D1261" w:rsidP="000D1261">
      <w:pPr>
        <w:bidi w:val="0"/>
      </w:pPr>
    </w:p>
    <w:p w:rsidR="000D1261" w:rsidRDefault="007556CA" w:rsidP="000D1261">
      <w:pPr>
        <w:bidi w:val="0"/>
      </w:pPr>
      <w:r>
        <w:lastRenderedPageBreak/>
        <w:t xml:space="preserve">Patients were divided into two groups depending </w:t>
      </w:r>
      <w:proofErr w:type="spellStart"/>
      <w:r>
        <w:t>Cholecystostom</w:t>
      </w:r>
      <w:proofErr w:type="spellEnd"/>
      <w:r>
        <w:t xml:space="preserve"> insertion. Tables 3 and 4 represents demographic characteristics and laboratory results of the two groups. Patients with PC were much older </w:t>
      </w:r>
      <w:proofErr w:type="gramStart"/>
      <w:r>
        <w:t>while  84</w:t>
      </w:r>
      <w:proofErr w:type="gramEnd"/>
      <w:r>
        <w:t xml:space="preserve">% of them were in the geriatric population (age&lt; 65 years).  There was no statistical significant </w:t>
      </w:r>
      <w:proofErr w:type="spellStart"/>
      <w:r>
        <w:t>diffirence</w:t>
      </w:r>
      <w:proofErr w:type="spellEnd"/>
      <w:r>
        <w:t xml:space="preserve"> in comparing comorbidities between the two groups </w:t>
      </w:r>
      <w:proofErr w:type="spellStart"/>
      <w:r>
        <w:t>althogh</w:t>
      </w:r>
      <w:proofErr w:type="spellEnd"/>
      <w:r>
        <w:t xml:space="preserve"> the incidence of CVA was more common in the PC group. </w:t>
      </w:r>
    </w:p>
    <w:p w:rsidR="007556CA" w:rsidRDefault="007556CA" w:rsidP="007556CA">
      <w:pPr>
        <w:bidi w:val="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691"/>
        <w:gridCol w:w="1428"/>
        <w:gridCol w:w="1218"/>
      </w:tblGrid>
      <w:tr w:rsidR="007556CA" w:rsidRPr="00965C76" w:rsidTr="004A0A3F">
        <w:tc>
          <w:tcPr>
            <w:tcW w:w="8306" w:type="dxa"/>
            <w:gridSpan w:val="4"/>
            <w:tcBorders>
              <w:bottom w:val="single" w:sz="8" w:space="0" w:color="auto"/>
            </w:tcBorders>
          </w:tcPr>
          <w:p w:rsidR="007556CA" w:rsidRPr="00965C76" w:rsidRDefault="007556CA" w:rsidP="004A0A3F">
            <w:pPr>
              <w:autoSpaceDE w:val="0"/>
              <w:autoSpaceDN w:val="0"/>
              <w:bidi w:val="0"/>
              <w:adjustRightInd w:val="0"/>
              <w:spacing w:before="120" w:after="120"/>
              <w:rPr>
                <w:rFonts w:asciiTheme="majorBidi" w:hAnsiTheme="majorBidi" w:cstheme="majorBidi"/>
                <w:sz w:val="24"/>
                <w:szCs w:val="24"/>
              </w:rPr>
            </w:pPr>
            <w:r w:rsidRPr="006000F0">
              <w:rPr>
                <w:rFonts w:asciiTheme="majorBidi" w:hAnsiTheme="majorBidi" w:cstheme="majorBidi"/>
                <w:b/>
                <w:bCs/>
                <w:sz w:val="24"/>
                <w:szCs w:val="24"/>
              </w:rPr>
              <w:t>Table 3</w:t>
            </w:r>
            <w:r>
              <w:rPr>
                <w:rFonts w:asciiTheme="majorBidi" w:hAnsiTheme="majorBidi" w:cstheme="majorBidi"/>
                <w:sz w:val="24"/>
                <w:szCs w:val="24"/>
              </w:rPr>
              <w:t xml:space="preserve">: Comparison of patient demographic data and co-morbidities across </w:t>
            </w:r>
            <w:proofErr w:type="spellStart"/>
            <w:r>
              <w:rPr>
                <w:rFonts w:asciiTheme="majorBidi" w:hAnsiTheme="majorBidi" w:cstheme="majorBidi"/>
                <w:sz w:val="24"/>
                <w:szCs w:val="24"/>
              </w:rPr>
              <w:t>Cholecystostom</w:t>
            </w:r>
            <w:proofErr w:type="spellEnd"/>
            <w:r>
              <w:rPr>
                <w:rFonts w:asciiTheme="majorBidi" w:hAnsiTheme="majorBidi" w:cstheme="majorBidi"/>
                <w:sz w:val="24"/>
                <w:szCs w:val="24"/>
              </w:rPr>
              <w:t xml:space="preserve"> placement status</w:t>
            </w:r>
          </w:p>
        </w:tc>
      </w:tr>
      <w:tr w:rsidR="007556CA" w:rsidRPr="00965C76" w:rsidTr="004A0A3F">
        <w:tc>
          <w:tcPr>
            <w:tcW w:w="3969" w:type="dxa"/>
            <w:tcBorders>
              <w:top w:val="single" w:sz="8" w:space="0" w:color="auto"/>
              <w:bottom w:val="single" w:sz="8" w:space="0" w:color="auto"/>
            </w:tcBorders>
          </w:tcPr>
          <w:p w:rsidR="007556CA" w:rsidRPr="00965C76" w:rsidRDefault="007556CA" w:rsidP="004A0A3F">
            <w:pPr>
              <w:autoSpaceDE w:val="0"/>
              <w:autoSpaceDN w:val="0"/>
              <w:bidi w:val="0"/>
              <w:adjustRightInd w:val="0"/>
              <w:rPr>
                <w:rFonts w:asciiTheme="majorBidi" w:hAnsiTheme="majorBidi" w:cstheme="majorBidi"/>
                <w:sz w:val="24"/>
                <w:szCs w:val="24"/>
              </w:rPr>
            </w:pPr>
          </w:p>
        </w:tc>
        <w:tc>
          <w:tcPr>
            <w:tcW w:w="1691" w:type="dxa"/>
            <w:tcBorders>
              <w:top w:val="single" w:sz="8" w:space="0" w:color="auto"/>
              <w:bottom w:val="single" w:sz="8" w:space="0" w:color="auto"/>
            </w:tcBorders>
          </w:tcPr>
          <w:p w:rsidR="007556CA" w:rsidRDefault="007556CA" w:rsidP="004A0A3F">
            <w:pPr>
              <w:autoSpaceDE w:val="0"/>
              <w:autoSpaceDN w:val="0"/>
              <w:bidi w:val="0"/>
              <w:adjustRightInd w:val="0"/>
              <w:jc w:val="center"/>
              <w:rPr>
                <w:rFonts w:asciiTheme="majorBidi" w:hAnsiTheme="majorBidi" w:cstheme="majorBidi"/>
                <w:sz w:val="24"/>
                <w:szCs w:val="24"/>
              </w:rPr>
            </w:pPr>
            <w:r>
              <w:rPr>
                <w:rFonts w:asciiTheme="majorBidi" w:hAnsiTheme="majorBidi" w:cstheme="majorBidi"/>
                <w:sz w:val="24"/>
                <w:szCs w:val="24"/>
              </w:rPr>
              <w:t>No</w:t>
            </w:r>
          </w:p>
          <w:p w:rsidR="007556CA" w:rsidRPr="00965C76" w:rsidRDefault="007556CA" w:rsidP="004A0A3F">
            <w:pPr>
              <w:autoSpaceDE w:val="0"/>
              <w:autoSpaceDN w:val="0"/>
              <w:bidi w:val="0"/>
              <w:adjustRightInd w:val="0"/>
              <w:jc w:val="center"/>
              <w:rPr>
                <w:rFonts w:asciiTheme="majorBidi" w:hAnsiTheme="majorBidi" w:cstheme="majorBidi"/>
                <w:sz w:val="24"/>
                <w:szCs w:val="24"/>
              </w:rPr>
            </w:pPr>
            <w:r>
              <w:rPr>
                <w:rFonts w:asciiTheme="majorBidi" w:hAnsiTheme="majorBidi" w:cstheme="majorBidi"/>
                <w:sz w:val="24"/>
                <w:szCs w:val="24"/>
              </w:rPr>
              <w:t>n=633</w:t>
            </w:r>
          </w:p>
        </w:tc>
        <w:tc>
          <w:tcPr>
            <w:tcW w:w="1428" w:type="dxa"/>
            <w:tcBorders>
              <w:top w:val="single" w:sz="8" w:space="0" w:color="auto"/>
              <w:bottom w:val="single" w:sz="8" w:space="0" w:color="auto"/>
            </w:tcBorders>
          </w:tcPr>
          <w:p w:rsidR="007556CA" w:rsidRDefault="007556CA" w:rsidP="004A0A3F">
            <w:pPr>
              <w:autoSpaceDE w:val="0"/>
              <w:autoSpaceDN w:val="0"/>
              <w:bidi w:val="0"/>
              <w:adjustRightInd w:val="0"/>
              <w:jc w:val="center"/>
              <w:rPr>
                <w:rFonts w:asciiTheme="majorBidi" w:hAnsiTheme="majorBidi" w:cstheme="majorBidi"/>
                <w:sz w:val="24"/>
                <w:szCs w:val="24"/>
              </w:rPr>
            </w:pPr>
            <w:r>
              <w:rPr>
                <w:rFonts w:asciiTheme="majorBidi" w:hAnsiTheme="majorBidi" w:cstheme="majorBidi"/>
                <w:sz w:val="24"/>
                <w:szCs w:val="24"/>
              </w:rPr>
              <w:t>Yes</w:t>
            </w:r>
          </w:p>
          <w:p w:rsidR="007556CA" w:rsidRPr="00965C76" w:rsidRDefault="007556CA" w:rsidP="004A0A3F">
            <w:pPr>
              <w:autoSpaceDE w:val="0"/>
              <w:autoSpaceDN w:val="0"/>
              <w:bidi w:val="0"/>
              <w:adjustRightInd w:val="0"/>
              <w:jc w:val="center"/>
              <w:rPr>
                <w:rFonts w:asciiTheme="majorBidi" w:hAnsiTheme="majorBidi" w:cstheme="majorBidi"/>
                <w:sz w:val="24"/>
                <w:szCs w:val="24"/>
              </w:rPr>
            </w:pPr>
            <w:r>
              <w:rPr>
                <w:rFonts w:asciiTheme="majorBidi" w:hAnsiTheme="majorBidi" w:cstheme="majorBidi"/>
                <w:sz w:val="24"/>
                <w:szCs w:val="24"/>
              </w:rPr>
              <w:t>n=50</w:t>
            </w:r>
          </w:p>
        </w:tc>
        <w:tc>
          <w:tcPr>
            <w:tcW w:w="1218" w:type="dxa"/>
            <w:tcBorders>
              <w:top w:val="single" w:sz="8" w:space="0" w:color="auto"/>
              <w:bottom w:val="single" w:sz="8" w:space="0" w:color="auto"/>
            </w:tcBorders>
          </w:tcPr>
          <w:p w:rsidR="007556CA" w:rsidRPr="00965C76" w:rsidRDefault="007556CA" w:rsidP="004A0A3F">
            <w:pPr>
              <w:autoSpaceDE w:val="0"/>
              <w:autoSpaceDN w:val="0"/>
              <w:bidi w:val="0"/>
              <w:adjustRightInd w:val="0"/>
              <w:spacing w:before="240"/>
              <w:jc w:val="center"/>
              <w:rPr>
                <w:rFonts w:asciiTheme="majorBidi" w:hAnsiTheme="majorBidi" w:cstheme="majorBidi"/>
                <w:sz w:val="24"/>
                <w:szCs w:val="24"/>
                <w:rtl/>
              </w:rPr>
            </w:pPr>
            <w:r>
              <w:rPr>
                <w:rFonts w:asciiTheme="majorBidi" w:hAnsiTheme="majorBidi" w:cstheme="majorBidi"/>
                <w:sz w:val="24"/>
                <w:szCs w:val="24"/>
              </w:rPr>
              <w:t>p Value</w:t>
            </w:r>
          </w:p>
        </w:tc>
      </w:tr>
      <w:tr w:rsidR="007556CA" w:rsidRPr="00965C76" w:rsidTr="004A0A3F">
        <w:tc>
          <w:tcPr>
            <w:tcW w:w="3969" w:type="dxa"/>
            <w:tcBorders>
              <w:top w:val="single" w:sz="8" w:space="0" w:color="auto"/>
            </w:tcBorders>
            <w:vAlign w:val="bottom"/>
          </w:tcPr>
          <w:p w:rsidR="007556CA" w:rsidRPr="00E076CF" w:rsidRDefault="007556CA" w:rsidP="004A0A3F">
            <w:pPr>
              <w:bidi w:val="0"/>
              <w:spacing w:before="120" w:after="120"/>
              <w:rPr>
                <w:rFonts w:asciiTheme="majorBidi" w:eastAsia="Times New Roman" w:hAnsiTheme="majorBidi" w:cstheme="majorBidi"/>
                <w:b/>
                <w:bCs/>
                <w:color w:val="000000"/>
                <w:sz w:val="24"/>
                <w:szCs w:val="24"/>
              </w:rPr>
            </w:pPr>
            <w:r w:rsidRPr="00E076CF">
              <w:rPr>
                <w:rFonts w:asciiTheme="majorBidi" w:eastAsia="Times New Roman" w:hAnsiTheme="majorBidi" w:cstheme="majorBidi"/>
                <w:b/>
                <w:bCs/>
                <w:color w:val="000000"/>
                <w:sz w:val="24"/>
                <w:szCs w:val="24"/>
              </w:rPr>
              <w:t>Age (years)</w:t>
            </w:r>
          </w:p>
        </w:tc>
        <w:tc>
          <w:tcPr>
            <w:tcW w:w="1691" w:type="dxa"/>
            <w:tcBorders>
              <w:top w:val="single" w:sz="8" w:space="0" w:color="auto"/>
            </w:tcBorders>
            <w:vAlign w:val="bottom"/>
          </w:tcPr>
          <w:p w:rsidR="007556CA" w:rsidRPr="00E076CF" w:rsidRDefault="007556CA" w:rsidP="004A0A3F">
            <w:pPr>
              <w:bidi w:val="0"/>
              <w:spacing w:before="120" w:after="120"/>
              <w:jc w:val="center"/>
              <w:rPr>
                <w:rFonts w:asciiTheme="majorBidi" w:eastAsia="Times New Roman" w:hAnsiTheme="majorBidi" w:cstheme="majorBidi"/>
                <w:b/>
                <w:bCs/>
                <w:color w:val="000000"/>
                <w:sz w:val="24"/>
                <w:szCs w:val="24"/>
              </w:rPr>
            </w:pPr>
            <w:r w:rsidRPr="00E076CF">
              <w:rPr>
                <w:rFonts w:asciiTheme="majorBidi" w:eastAsia="Times New Roman" w:hAnsiTheme="majorBidi" w:cstheme="majorBidi"/>
                <w:b/>
                <w:bCs/>
                <w:color w:val="000000"/>
                <w:sz w:val="24"/>
                <w:szCs w:val="24"/>
              </w:rPr>
              <w:t>60.8±19.2</w:t>
            </w:r>
          </w:p>
        </w:tc>
        <w:tc>
          <w:tcPr>
            <w:tcW w:w="1428" w:type="dxa"/>
            <w:tcBorders>
              <w:top w:val="single" w:sz="8" w:space="0" w:color="auto"/>
            </w:tcBorders>
            <w:vAlign w:val="bottom"/>
          </w:tcPr>
          <w:p w:rsidR="007556CA" w:rsidRPr="00E076CF" w:rsidRDefault="007556CA" w:rsidP="004A0A3F">
            <w:pPr>
              <w:bidi w:val="0"/>
              <w:spacing w:before="120" w:after="120"/>
              <w:jc w:val="center"/>
              <w:rPr>
                <w:rFonts w:asciiTheme="majorBidi" w:eastAsia="Times New Roman" w:hAnsiTheme="majorBidi" w:cstheme="majorBidi"/>
                <w:b/>
                <w:bCs/>
                <w:color w:val="000000"/>
                <w:sz w:val="24"/>
                <w:szCs w:val="24"/>
              </w:rPr>
            </w:pPr>
            <w:r w:rsidRPr="00E076CF">
              <w:rPr>
                <w:rFonts w:asciiTheme="majorBidi" w:eastAsia="Times New Roman" w:hAnsiTheme="majorBidi" w:cstheme="majorBidi"/>
                <w:b/>
                <w:bCs/>
                <w:color w:val="000000"/>
                <w:sz w:val="24"/>
                <w:szCs w:val="24"/>
              </w:rPr>
              <w:t>76.0±12.4</w:t>
            </w:r>
          </w:p>
        </w:tc>
        <w:tc>
          <w:tcPr>
            <w:tcW w:w="1218" w:type="dxa"/>
            <w:tcBorders>
              <w:top w:val="single" w:sz="8" w:space="0" w:color="auto"/>
            </w:tcBorders>
          </w:tcPr>
          <w:p w:rsidR="007556CA" w:rsidRPr="00E076CF" w:rsidRDefault="007556CA" w:rsidP="004A0A3F">
            <w:pPr>
              <w:autoSpaceDE w:val="0"/>
              <w:autoSpaceDN w:val="0"/>
              <w:bidi w:val="0"/>
              <w:adjustRightInd w:val="0"/>
              <w:spacing w:before="120" w:after="120"/>
              <w:jc w:val="center"/>
              <w:rPr>
                <w:rFonts w:asciiTheme="majorBidi" w:hAnsiTheme="majorBidi" w:cstheme="majorBidi"/>
                <w:b/>
                <w:bCs/>
                <w:sz w:val="24"/>
                <w:szCs w:val="24"/>
              </w:rPr>
            </w:pPr>
            <w:r w:rsidRPr="00E076CF">
              <w:rPr>
                <w:rFonts w:asciiTheme="majorBidi" w:hAnsiTheme="majorBidi" w:cstheme="majorBidi"/>
                <w:b/>
                <w:bCs/>
                <w:sz w:val="24"/>
                <w:szCs w:val="24"/>
              </w:rPr>
              <w:t>&lt;0.001</w:t>
            </w:r>
          </w:p>
        </w:tc>
      </w:tr>
      <w:tr w:rsidR="007556CA" w:rsidRPr="00965C76" w:rsidTr="004A0A3F">
        <w:tc>
          <w:tcPr>
            <w:tcW w:w="3969" w:type="dxa"/>
            <w:vAlign w:val="bottom"/>
          </w:tcPr>
          <w:p w:rsidR="007556CA" w:rsidRPr="00E076CF" w:rsidRDefault="007556CA" w:rsidP="004A0A3F">
            <w:pPr>
              <w:bidi w:val="0"/>
              <w:spacing w:before="120" w:after="120"/>
              <w:rPr>
                <w:rFonts w:asciiTheme="majorBidi" w:eastAsia="Times New Roman" w:hAnsiTheme="majorBidi" w:cstheme="majorBidi"/>
                <w:b/>
                <w:bCs/>
                <w:color w:val="000000"/>
                <w:sz w:val="24"/>
                <w:szCs w:val="24"/>
              </w:rPr>
            </w:pPr>
            <w:r w:rsidRPr="00E076CF">
              <w:rPr>
                <w:rFonts w:asciiTheme="majorBidi" w:eastAsia="Times New Roman" w:hAnsiTheme="majorBidi" w:cstheme="majorBidi"/>
                <w:b/>
                <w:bCs/>
                <w:color w:val="000000"/>
                <w:sz w:val="24"/>
                <w:szCs w:val="24"/>
              </w:rPr>
              <w:t>Age 65 and over (%)</w:t>
            </w:r>
          </w:p>
        </w:tc>
        <w:tc>
          <w:tcPr>
            <w:tcW w:w="1691" w:type="dxa"/>
            <w:vAlign w:val="bottom"/>
          </w:tcPr>
          <w:p w:rsidR="007556CA" w:rsidRPr="00E076CF" w:rsidRDefault="007556CA" w:rsidP="004A0A3F">
            <w:pPr>
              <w:bidi w:val="0"/>
              <w:spacing w:before="120" w:after="120"/>
              <w:jc w:val="center"/>
              <w:rPr>
                <w:rFonts w:asciiTheme="majorBidi" w:eastAsia="Times New Roman" w:hAnsiTheme="majorBidi" w:cstheme="majorBidi"/>
                <w:b/>
                <w:bCs/>
                <w:color w:val="000000"/>
                <w:sz w:val="24"/>
                <w:szCs w:val="24"/>
              </w:rPr>
            </w:pPr>
            <w:r w:rsidRPr="00E076CF">
              <w:rPr>
                <w:rFonts w:asciiTheme="majorBidi" w:eastAsia="Times New Roman" w:hAnsiTheme="majorBidi" w:cstheme="majorBidi"/>
                <w:b/>
                <w:bCs/>
                <w:color w:val="000000"/>
                <w:sz w:val="24"/>
                <w:szCs w:val="24"/>
              </w:rPr>
              <w:t>46.4</w:t>
            </w:r>
          </w:p>
        </w:tc>
        <w:tc>
          <w:tcPr>
            <w:tcW w:w="1428" w:type="dxa"/>
            <w:vAlign w:val="bottom"/>
          </w:tcPr>
          <w:p w:rsidR="007556CA" w:rsidRPr="00E076CF" w:rsidRDefault="007556CA" w:rsidP="004A0A3F">
            <w:pPr>
              <w:bidi w:val="0"/>
              <w:spacing w:before="120" w:after="120"/>
              <w:jc w:val="center"/>
              <w:rPr>
                <w:rFonts w:asciiTheme="majorBidi" w:eastAsia="Times New Roman" w:hAnsiTheme="majorBidi" w:cstheme="majorBidi"/>
                <w:b/>
                <w:bCs/>
                <w:color w:val="000000"/>
                <w:sz w:val="24"/>
                <w:szCs w:val="24"/>
              </w:rPr>
            </w:pPr>
            <w:r w:rsidRPr="00E076CF">
              <w:rPr>
                <w:rFonts w:asciiTheme="majorBidi" w:eastAsia="Times New Roman" w:hAnsiTheme="majorBidi" w:cstheme="majorBidi"/>
                <w:b/>
                <w:bCs/>
                <w:color w:val="000000"/>
                <w:sz w:val="24"/>
                <w:szCs w:val="24"/>
              </w:rPr>
              <w:t>84.0</w:t>
            </w:r>
          </w:p>
        </w:tc>
        <w:tc>
          <w:tcPr>
            <w:tcW w:w="1218" w:type="dxa"/>
          </w:tcPr>
          <w:p w:rsidR="007556CA" w:rsidRPr="00E076CF" w:rsidRDefault="007556CA" w:rsidP="004A0A3F">
            <w:pPr>
              <w:autoSpaceDE w:val="0"/>
              <w:autoSpaceDN w:val="0"/>
              <w:bidi w:val="0"/>
              <w:adjustRightInd w:val="0"/>
              <w:spacing w:before="120" w:after="120"/>
              <w:jc w:val="center"/>
              <w:rPr>
                <w:rFonts w:asciiTheme="majorBidi" w:hAnsiTheme="majorBidi" w:cstheme="majorBidi"/>
                <w:b/>
                <w:bCs/>
                <w:sz w:val="24"/>
                <w:szCs w:val="24"/>
              </w:rPr>
            </w:pPr>
            <w:r w:rsidRPr="00E076CF">
              <w:rPr>
                <w:rFonts w:asciiTheme="majorBidi" w:hAnsiTheme="majorBidi" w:cstheme="majorBidi"/>
                <w:b/>
                <w:bCs/>
                <w:sz w:val="24"/>
                <w:szCs w:val="24"/>
              </w:rPr>
              <w:t>&lt;0.001</w:t>
            </w:r>
          </w:p>
        </w:tc>
      </w:tr>
      <w:tr w:rsidR="007556CA" w:rsidRPr="00965C76" w:rsidTr="004A0A3F">
        <w:tc>
          <w:tcPr>
            <w:tcW w:w="3969" w:type="dxa"/>
            <w:vAlign w:val="bottom"/>
          </w:tcPr>
          <w:p w:rsidR="007556CA" w:rsidRPr="00965C76" w:rsidRDefault="007556CA" w:rsidP="004A0A3F">
            <w:pPr>
              <w:bidi w:val="0"/>
              <w:spacing w:before="120" w:after="12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Female sex (%)</w:t>
            </w:r>
          </w:p>
        </w:tc>
        <w:tc>
          <w:tcPr>
            <w:tcW w:w="1691" w:type="dxa"/>
            <w:vAlign w:val="bottom"/>
          </w:tcPr>
          <w:p w:rsidR="007556CA" w:rsidRPr="00965C76" w:rsidRDefault="007556CA" w:rsidP="004A0A3F">
            <w:pPr>
              <w:bidi w:val="0"/>
              <w:spacing w:before="120" w:after="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55.1</w:t>
            </w:r>
          </w:p>
        </w:tc>
        <w:tc>
          <w:tcPr>
            <w:tcW w:w="1428" w:type="dxa"/>
            <w:vAlign w:val="bottom"/>
          </w:tcPr>
          <w:p w:rsidR="007556CA" w:rsidRPr="00965C76" w:rsidRDefault="007556CA" w:rsidP="004A0A3F">
            <w:pPr>
              <w:bidi w:val="0"/>
              <w:spacing w:before="120" w:after="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44.0</w:t>
            </w:r>
          </w:p>
        </w:tc>
        <w:tc>
          <w:tcPr>
            <w:tcW w:w="1218" w:type="dxa"/>
          </w:tcPr>
          <w:p w:rsidR="007556CA" w:rsidRPr="00965C76" w:rsidRDefault="007556CA" w:rsidP="004A0A3F">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0.128</w:t>
            </w:r>
          </w:p>
        </w:tc>
      </w:tr>
      <w:tr w:rsidR="007556CA" w:rsidRPr="00965C76" w:rsidTr="004A0A3F">
        <w:tc>
          <w:tcPr>
            <w:tcW w:w="3969" w:type="dxa"/>
          </w:tcPr>
          <w:p w:rsidR="007556CA" w:rsidRDefault="007556CA" w:rsidP="004A0A3F">
            <w:pPr>
              <w:autoSpaceDE w:val="0"/>
              <w:autoSpaceDN w:val="0"/>
              <w:bidi w:val="0"/>
              <w:adjustRightInd w:val="0"/>
              <w:spacing w:before="120" w:after="120"/>
              <w:rPr>
                <w:rFonts w:asciiTheme="majorBidi" w:hAnsiTheme="majorBidi" w:cstheme="majorBidi"/>
                <w:sz w:val="24"/>
                <w:szCs w:val="24"/>
              </w:rPr>
            </w:pPr>
            <w:r>
              <w:rPr>
                <w:rFonts w:asciiTheme="majorBidi" w:hAnsiTheme="majorBidi" w:cstheme="majorBidi"/>
                <w:sz w:val="24"/>
                <w:szCs w:val="24"/>
              </w:rPr>
              <w:t>Diabetes mellitus (%)</w:t>
            </w:r>
          </w:p>
        </w:tc>
        <w:tc>
          <w:tcPr>
            <w:tcW w:w="1691" w:type="dxa"/>
          </w:tcPr>
          <w:p w:rsidR="007556CA" w:rsidRDefault="007556CA" w:rsidP="004A0A3F">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29.5</w:t>
            </w:r>
          </w:p>
        </w:tc>
        <w:tc>
          <w:tcPr>
            <w:tcW w:w="1428" w:type="dxa"/>
          </w:tcPr>
          <w:p w:rsidR="007556CA" w:rsidRDefault="007556CA" w:rsidP="004A0A3F">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36.7</w:t>
            </w:r>
          </w:p>
        </w:tc>
        <w:tc>
          <w:tcPr>
            <w:tcW w:w="1218" w:type="dxa"/>
          </w:tcPr>
          <w:p w:rsidR="007556CA" w:rsidRPr="00965C76" w:rsidRDefault="007556CA" w:rsidP="004A0A3F">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0.414</w:t>
            </w:r>
          </w:p>
        </w:tc>
      </w:tr>
      <w:tr w:rsidR="007556CA" w:rsidRPr="00965C76" w:rsidTr="004A0A3F">
        <w:tc>
          <w:tcPr>
            <w:tcW w:w="3969" w:type="dxa"/>
          </w:tcPr>
          <w:p w:rsidR="007556CA" w:rsidRDefault="007556CA" w:rsidP="004A0A3F">
            <w:pPr>
              <w:autoSpaceDE w:val="0"/>
              <w:autoSpaceDN w:val="0"/>
              <w:bidi w:val="0"/>
              <w:adjustRightInd w:val="0"/>
              <w:spacing w:before="120" w:after="120"/>
              <w:rPr>
                <w:rFonts w:asciiTheme="majorBidi" w:hAnsiTheme="majorBidi" w:cstheme="majorBidi"/>
                <w:sz w:val="24"/>
                <w:szCs w:val="24"/>
              </w:rPr>
            </w:pPr>
            <w:r>
              <w:rPr>
                <w:rFonts w:asciiTheme="majorBidi" w:hAnsiTheme="majorBidi" w:cstheme="majorBidi"/>
                <w:sz w:val="24"/>
                <w:szCs w:val="24"/>
              </w:rPr>
              <w:t>Renal failure (%)</w:t>
            </w:r>
          </w:p>
        </w:tc>
        <w:tc>
          <w:tcPr>
            <w:tcW w:w="1691" w:type="dxa"/>
          </w:tcPr>
          <w:p w:rsidR="007556CA" w:rsidRDefault="007556CA" w:rsidP="004A0A3F">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7.0</w:t>
            </w:r>
          </w:p>
        </w:tc>
        <w:tc>
          <w:tcPr>
            <w:tcW w:w="1428" w:type="dxa"/>
          </w:tcPr>
          <w:p w:rsidR="007556CA" w:rsidRDefault="007556CA" w:rsidP="004A0A3F">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10.0</w:t>
            </w:r>
          </w:p>
        </w:tc>
        <w:tc>
          <w:tcPr>
            <w:tcW w:w="1218" w:type="dxa"/>
          </w:tcPr>
          <w:p w:rsidR="007556CA" w:rsidRPr="00965C76" w:rsidRDefault="007556CA" w:rsidP="004A0A3F">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0.550</w:t>
            </w:r>
          </w:p>
        </w:tc>
      </w:tr>
      <w:tr w:rsidR="007556CA" w:rsidRPr="00965C76" w:rsidTr="004A0A3F">
        <w:tc>
          <w:tcPr>
            <w:tcW w:w="3969" w:type="dxa"/>
          </w:tcPr>
          <w:p w:rsidR="007556CA" w:rsidRDefault="007556CA" w:rsidP="004A0A3F">
            <w:pPr>
              <w:autoSpaceDE w:val="0"/>
              <w:autoSpaceDN w:val="0"/>
              <w:bidi w:val="0"/>
              <w:adjustRightInd w:val="0"/>
              <w:spacing w:before="120" w:after="120"/>
              <w:rPr>
                <w:rFonts w:asciiTheme="majorBidi" w:hAnsiTheme="majorBidi" w:cstheme="majorBidi"/>
                <w:sz w:val="24"/>
                <w:szCs w:val="24"/>
              </w:rPr>
            </w:pPr>
            <w:r>
              <w:rPr>
                <w:rFonts w:asciiTheme="majorBidi" w:hAnsiTheme="majorBidi" w:cstheme="majorBidi"/>
                <w:sz w:val="24"/>
                <w:szCs w:val="24"/>
              </w:rPr>
              <w:t>Obesity (%)</w:t>
            </w:r>
          </w:p>
        </w:tc>
        <w:tc>
          <w:tcPr>
            <w:tcW w:w="1691" w:type="dxa"/>
          </w:tcPr>
          <w:p w:rsidR="007556CA" w:rsidRDefault="007556CA" w:rsidP="004A0A3F">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6.7</w:t>
            </w:r>
          </w:p>
        </w:tc>
        <w:tc>
          <w:tcPr>
            <w:tcW w:w="1428" w:type="dxa"/>
          </w:tcPr>
          <w:p w:rsidR="007556CA" w:rsidRDefault="007556CA" w:rsidP="004A0A3F">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13.3</w:t>
            </w:r>
          </w:p>
        </w:tc>
        <w:tc>
          <w:tcPr>
            <w:tcW w:w="1218" w:type="dxa"/>
          </w:tcPr>
          <w:p w:rsidR="007556CA" w:rsidRPr="00965C76" w:rsidRDefault="007556CA" w:rsidP="004A0A3F">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0.182</w:t>
            </w:r>
          </w:p>
        </w:tc>
      </w:tr>
      <w:tr w:rsidR="007556CA" w:rsidRPr="00965C76" w:rsidTr="004A0A3F">
        <w:tc>
          <w:tcPr>
            <w:tcW w:w="3969" w:type="dxa"/>
          </w:tcPr>
          <w:p w:rsidR="007556CA" w:rsidRDefault="007556CA" w:rsidP="004A0A3F">
            <w:pPr>
              <w:autoSpaceDE w:val="0"/>
              <w:autoSpaceDN w:val="0"/>
              <w:bidi w:val="0"/>
              <w:adjustRightInd w:val="0"/>
              <w:spacing w:before="120" w:after="120"/>
              <w:rPr>
                <w:rFonts w:asciiTheme="majorBidi" w:hAnsiTheme="majorBidi" w:cstheme="majorBidi"/>
                <w:sz w:val="24"/>
                <w:szCs w:val="24"/>
              </w:rPr>
            </w:pPr>
            <w:r>
              <w:rPr>
                <w:rFonts w:asciiTheme="majorBidi" w:hAnsiTheme="majorBidi" w:cstheme="majorBidi"/>
                <w:sz w:val="24"/>
                <w:szCs w:val="24"/>
              </w:rPr>
              <w:t>IHD (%)</w:t>
            </w:r>
          </w:p>
        </w:tc>
        <w:tc>
          <w:tcPr>
            <w:tcW w:w="1691" w:type="dxa"/>
          </w:tcPr>
          <w:p w:rsidR="007556CA" w:rsidRDefault="007556CA" w:rsidP="004A0A3F">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19.3</w:t>
            </w:r>
          </w:p>
        </w:tc>
        <w:tc>
          <w:tcPr>
            <w:tcW w:w="1428" w:type="dxa"/>
          </w:tcPr>
          <w:p w:rsidR="007556CA" w:rsidRDefault="007556CA" w:rsidP="004A0A3F">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33.3</w:t>
            </w:r>
          </w:p>
        </w:tc>
        <w:tc>
          <w:tcPr>
            <w:tcW w:w="1218" w:type="dxa"/>
          </w:tcPr>
          <w:p w:rsidR="007556CA" w:rsidRPr="00965C76" w:rsidRDefault="007556CA" w:rsidP="004A0A3F">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0.071</w:t>
            </w:r>
          </w:p>
        </w:tc>
      </w:tr>
      <w:tr w:rsidR="007556CA" w:rsidRPr="00965C76" w:rsidTr="004A0A3F">
        <w:tc>
          <w:tcPr>
            <w:tcW w:w="3969" w:type="dxa"/>
          </w:tcPr>
          <w:p w:rsidR="007556CA" w:rsidRDefault="007556CA" w:rsidP="004A0A3F">
            <w:pPr>
              <w:autoSpaceDE w:val="0"/>
              <w:autoSpaceDN w:val="0"/>
              <w:bidi w:val="0"/>
              <w:adjustRightInd w:val="0"/>
              <w:spacing w:before="120" w:after="120"/>
              <w:rPr>
                <w:rFonts w:asciiTheme="majorBidi" w:hAnsiTheme="majorBidi" w:cstheme="majorBidi"/>
                <w:sz w:val="24"/>
                <w:szCs w:val="24"/>
              </w:rPr>
            </w:pPr>
            <w:r>
              <w:rPr>
                <w:rFonts w:asciiTheme="majorBidi" w:hAnsiTheme="majorBidi" w:cstheme="majorBidi"/>
                <w:sz w:val="24"/>
                <w:szCs w:val="24"/>
              </w:rPr>
              <w:t>Biliary calculus (%)</w:t>
            </w:r>
          </w:p>
        </w:tc>
        <w:tc>
          <w:tcPr>
            <w:tcW w:w="1691" w:type="dxa"/>
          </w:tcPr>
          <w:p w:rsidR="007556CA" w:rsidRDefault="007556CA" w:rsidP="004A0A3F">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5.3</w:t>
            </w:r>
          </w:p>
        </w:tc>
        <w:tc>
          <w:tcPr>
            <w:tcW w:w="1428" w:type="dxa"/>
          </w:tcPr>
          <w:p w:rsidR="007556CA" w:rsidRDefault="007556CA" w:rsidP="004A0A3F">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w:t>
            </w:r>
          </w:p>
        </w:tc>
        <w:tc>
          <w:tcPr>
            <w:tcW w:w="1218" w:type="dxa"/>
          </w:tcPr>
          <w:p w:rsidR="007556CA" w:rsidRPr="00965C76" w:rsidRDefault="007556CA" w:rsidP="004A0A3F">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0.198</w:t>
            </w:r>
          </w:p>
        </w:tc>
      </w:tr>
      <w:tr w:rsidR="007556CA" w:rsidRPr="00C91249" w:rsidTr="004A0A3F">
        <w:tc>
          <w:tcPr>
            <w:tcW w:w="3969" w:type="dxa"/>
          </w:tcPr>
          <w:p w:rsidR="007556CA" w:rsidRPr="00C91249" w:rsidRDefault="007556CA" w:rsidP="004A0A3F">
            <w:pPr>
              <w:autoSpaceDE w:val="0"/>
              <w:autoSpaceDN w:val="0"/>
              <w:bidi w:val="0"/>
              <w:adjustRightInd w:val="0"/>
              <w:spacing w:before="120" w:after="120"/>
              <w:rPr>
                <w:rFonts w:asciiTheme="majorBidi" w:hAnsiTheme="majorBidi" w:cstheme="majorBidi"/>
                <w:b/>
                <w:bCs/>
                <w:sz w:val="24"/>
                <w:szCs w:val="24"/>
              </w:rPr>
            </w:pPr>
            <w:r w:rsidRPr="00C91249">
              <w:rPr>
                <w:rFonts w:asciiTheme="majorBidi" w:hAnsiTheme="majorBidi" w:cstheme="majorBidi"/>
                <w:b/>
                <w:bCs/>
                <w:sz w:val="24"/>
                <w:szCs w:val="24"/>
              </w:rPr>
              <w:t>CVA</w:t>
            </w:r>
            <w:r>
              <w:rPr>
                <w:rFonts w:asciiTheme="majorBidi" w:hAnsiTheme="majorBidi" w:cstheme="majorBidi"/>
                <w:sz w:val="24"/>
                <w:szCs w:val="24"/>
              </w:rPr>
              <w:t xml:space="preserve"> (%)</w:t>
            </w:r>
          </w:p>
        </w:tc>
        <w:tc>
          <w:tcPr>
            <w:tcW w:w="1691" w:type="dxa"/>
          </w:tcPr>
          <w:p w:rsidR="007556CA" w:rsidRPr="00C91249" w:rsidRDefault="007556CA" w:rsidP="004A0A3F">
            <w:pPr>
              <w:autoSpaceDE w:val="0"/>
              <w:autoSpaceDN w:val="0"/>
              <w:bidi w:val="0"/>
              <w:adjustRightInd w:val="0"/>
              <w:spacing w:before="120" w:after="120"/>
              <w:jc w:val="center"/>
              <w:rPr>
                <w:rFonts w:asciiTheme="majorBidi" w:hAnsiTheme="majorBidi" w:cstheme="majorBidi"/>
                <w:b/>
                <w:bCs/>
                <w:sz w:val="24"/>
                <w:szCs w:val="24"/>
              </w:rPr>
            </w:pPr>
            <w:r w:rsidRPr="00C91249">
              <w:rPr>
                <w:rFonts w:asciiTheme="majorBidi" w:hAnsiTheme="majorBidi" w:cstheme="majorBidi"/>
                <w:b/>
                <w:bCs/>
                <w:sz w:val="24"/>
                <w:szCs w:val="24"/>
              </w:rPr>
              <w:t>1.1</w:t>
            </w:r>
          </w:p>
        </w:tc>
        <w:tc>
          <w:tcPr>
            <w:tcW w:w="1428" w:type="dxa"/>
          </w:tcPr>
          <w:p w:rsidR="007556CA" w:rsidRPr="00C91249" w:rsidRDefault="007556CA" w:rsidP="004A0A3F">
            <w:pPr>
              <w:autoSpaceDE w:val="0"/>
              <w:autoSpaceDN w:val="0"/>
              <w:bidi w:val="0"/>
              <w:adjustRightInd w:val="0"/>
              <w:spacing w:before="120" w:after="120"/>
              <w:jc w:val="center"/>
              <w:rPr>
                <w:rFonts w:asciiTheme="majorBidi" w:hAnsiTheme="majorBidi" w:cstheme="majorBidi"/>
                <w:b/>
                <w:bCs/>
                <w:sz w:val="24"/>
                <w:szCs w:val="24"/>
              </w:rPr>
            </w:pPr>
            <w:r w:rsidRPr="00C91249">
              <w:rPr>
                <w:rFonts w:asciiTheme="majorBidi" w:hAnsiTheme="majorBidi" w:cstheme="majorBidi"/>
                <w:b/>
                <w:bCs/>
                <w:sz w:val="24"/>
                <w:szCs w:val="24"/>
              </w:rPr>
              <w:t>6.7</w:t>
            </w:r>
          </w:p>
        </w:tc>
        <w:tc>
          <w:tcPr>
            <w:tcW w:w="1218" w:type="dxa"/>
          </w:tcPr>
          <w:p w:rsidR="007556CA" w:rsidRPr="00C91249" w:rsidRDefault="007556CA" w:rsidP="004A0A3F">
            <w:pPr>
              <w:autoSpaceDE w:val="0"/>
              <w:autoSpaceDN w:val="0"/>
              <w:bidi w:val="0"/>
              <w:adjustRightInd w:val="0"/>
              <w:spacing w:before="120" w:after="120"/>
              <w:jc w:val="center"/>
              <w:rPr>
                <w:rFonts w:asciiTheme="majorBidi" w:hAnsiTheme="majorBidi" w:cstheme="majorBidi"/>
                <w:b/>
                <w:bCs/>
                <w:sz w:val="24"/>
                <w:szCs w:val="24"/>
              </w:rPr>
            </w:pPr>
            <w:r w:rsidRPr="00C91249">
              <w:rPr>
                <w:rFonts w:asciiTheme="majorBidi" w:hAnsiTheme="majorBidi" w:cstheme="majorBidi"/>
                <w:b/>
                <w:bCs/>
                <w:sz w:val="24"/>
                <w:szCs w:val="24"/>
              </w:rPr>
              <w:t>0.019</w:t>
            </w:r>
          </w:p>
        </w:tc>
      </w:tr>
      <w:tr w:rsidR="007556CA" w:rsidRPr="00965C76" w:rsidTr="004A0A3F">
        <w:tc>
          <w:tcPr>
            <w:tcW w:w="3969" w:type="dxa"/>
          </w:tcPr>
          <w:p w:rsidR="007556CA" w:rsidRDefault="007556CA" w:rsidP="004A0A3F">
            <w:pPr>
              <w:autoSpaceDE w:val="0"/>
              <w:autoSpaceDN w:val="0"/>
              <w:bidi w:val="0"/>
              <w:adjustRightInd w:val="0"/>
              <w:spacing w:before="120" w:after="120"/>
              <w:rPr>
                <w:rFonts w:asciiTheme="majorBidi" w:hAnsiTheme="majorBidi" w:cstheme="majorBidi"/>
                <w:sz w:val="24"/>
                <w:szCs w:val="24"/>
              </w:rPr>
            </w:pPr>
            <w:r>
              <w:rPr>
                <w:rFonts w:asciiTheme="majorBidi" w:hAnsiTheme="majorBidi" w:cstheme="majorBidi"/>
                <w:sz w:val="24"/>
                <w:szCs w:val="24"/>
              </w:rPr>
              <w:t>Cholangitis (%)</w:t>
            </w:r>
          </w:p>
        </w:tc>
        <w:tc>
          <w:tcPr>
            <w:tcW w:w="1691" w:type="dxa"/>
          </w:tcPr>
          <w:p w:rsidR="007556CA" w:rsidRDefault="007556CA" w:rsidP="004A0A3F">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0.7</w:t>
            </w:r>
          </w:p>
        </w:tc>
        <w:tc>
          <w:tcPr>
            <w:tcW w:w="1428" w:type="dxa"/>
          </w:tcPr>
          <w:p w:rsidR="007556CA" w:rsidRDefault="007556CA" w:rsidP="004A0A3F">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w:t>
            </w:r>
          </w:p>
        </w:tc>
        <w:tc>
          <w:tcPr>
            <w:tcW w:w="1218" w:type="dxa"/>
          </w:tcPr>
          <w:p w:rsidR="007556CA" w:rsidRDefault="007556CA" w:rsidP="004A0A3F">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0.645</w:t>
            </w:r>
          </w:p>
        </w:tc>
      </w:tr>
      <w:tr w:rsidR="007556CA" w:rsidRPr="00965C76" w:rsidTr="004A0A3F">
        <w:tc>
          <w:tcPr>
            <w:tcW w:w="3969" w:type="dxa"/>
            <w:tcBorders>
              <w:bottom w:val="single" w:sz="8" w:space="0" w:color="000000"/>
            </w:tcBorders>
          </w:tcPr>
          <w:p w:rsidR="007556CA" w:rsidRDefault="007556CA" w:rsidP="004A0A3F">
            <w:pPr>
              <w:autoSpaceDE w:val="0"/>
              <w:autoSpaceDN w:val="0"/>
              <w:bidi w:val="0"/>
              <w:adjustRightInd w:val="0"/>
              <w:spacing w:before="120" w:after="120"/>
              <w:rPr>
                <w:rFonts w:asciiTheme="majorBidi" w:hAnsiTheme="majorBidi" w:cstheme="majorBidi"/>
                <w:sz w:val="24"/>
                <w:szCs w:val="24"/>
              </w:rPr>
            </w:pPr>
            <w:r>
              <w:rPr>
                <w:rFonts w:asciiTheme="majorBidi" w:hAnsiTheme="majorBidi" w:cstheme="majorBidi"/>
                <w:sz w:val="24"/>
                <w:szCs w:val="24"/>
              </w:rPr>
              <w:t>Cholecystectomy (%)</w:t>
            </w:r>
          </w:p>
        </w:tc>
        <w:tc>
          <w:tcPr>
            <w:tcW w:w="1691" w:type="dxa"/>
            <w:tcBorders>
              <w:bottom w:val="single" w:sz="8" w:space="0" w:color="000000"/>
            </w:tcBorders>
          </w:tcPr>
          <w:p w:rsidR="007556CA" w:rsidRDefault="007556CA" w:rsidP="004A0A3F">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41.4</w:t>
            </w:r>
          </w:p>
        </w:tc>
        <w:tc>
          <w:tcPr>
            <w:tcW w:w="1428" w:type="dxa"/>
            <w:tcBorders>
              <w:bottom w:val="single" w:sz="8" w:space="0" w:color="000000"/>
            </w:tcBorders>
          </w:tcPr>
          <w:p w:rsidR="007556CA" w:rsidRDefault="007556CA" w:rsidP="004A0A3F">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44.0</w:t>
            </w:r>
          </w:p>
        </w:tc>
        <w:tc>
          <w:tcPr>
            <w:tcW w:w="1218" w:type="dxa"/>
            <w:tcBorders>
              <w:bottom w:val="single" w:sz="8" w:space="0" w:color="000000"/>
            </w:tcBorders>
          </w:tcPr>
          <w:p w:rsidR="007556CA" w:rsidRDefault="007556CA" w:rsidP="004A0A3F">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0.719</w:t>
            </w:r>
          </w:p>
        </w:tc>
      </w:tr>
    </w:tbl>
    <w:p w:rsidR="007556CA" w:rsidRDefault="007556CA" w:rsidP="007556CA">
      <w:pPr>
        <w:bidi w:val="0"/>
      </w:pPr>
    </w:p>
    <w:p w:rsidR="000D1261" w:rsidRDefault="000D1261" w:rsidP="000D1261">
      <w:pPr>
        <w:bidi w:val="0"/>
      </w:pPr>
    </w:p>
    <w:p w:rsidR="007556CA" w:rsidRDefault="007556CA" w:rsidP="007556CA">
      <w:pPr>
        <w:bidi w:val="0"/>
      </w:pPr>
      <w:r>
        <w:t xml:space="preserve">Laboratory tests demonstrated abnormal finding in the PC group. Patients with PC were anemic, with higher leukocytes count higher urea and creatinine levels and lower albumin and sodium levels. </w:t>
      </w:r>
    </w:p>
    <w:p w:rsidR="007556CA" w:rsidRDefault="007556CA" w:rsidP="007556CA">
      <w:pPr>
        <w:bidi w:val="0"/>
      </w:pPr>
      <w:r>
        <w:t xml:space="preserve">Disease severity score and ASA scores were significantly worse in the PC group (figure 3 &amp; </w:t>
      </w:r>
      <w:proofErr w:type="gramStart"/>
      <w:r>
        <w:t>4 )</w:t>
      </w:r>
      <w:proofErr w:type="gramEnd"/>
      <w:r>
        <w:t>.</w:t>
      </w:r>
    </w:p>
    <w:p w:rsidR="007556CA" w:rsidRDefault="007556CA" w:rsidP="007556CA">
      <w:pPr>
        <w:bidi w:val="0"/>
      </w:pPr>
    </w:p>
    <w:p w:rsidR="007556CA" w:rsidRDefault="007556CA" w:rsidP="007556CA">
      <w:pPr>
        <w:bidi w:val="0"/>
      </w:pPr>
    </w:p>
    <w:p w:rsidR="007556CA" w:rsidRDefault="007556CA" w:rsidP="007556CA">
      <w:pPr>
        <w:bidi w:val="0"/>
      </w:pPr>
    </w:p>
    <w:p w:rsidR="007556CA" w:rsidRDefault="007556CA" w:rsidP="007556CA">
      <w:pPr>
        <w:bidi w:val="0"/>
      </w:pPr>
    </w:p>
    <w:p w:rsidR="007556CA" w:rsidRDefault="007556CA" w:rsidP="007556CA">
      <w:pPr>
        <w:bidi w:val="0"/>
        <w:rPr>
          <w:rFonts w:asciiTheme="minorBidi" w:hAnsiTheme="minorBidi"/>
          <w:b/>
          <w:bCs/>
          <w:sz w:val="24"/>
          <w:szCs w:val="24"/>
        </w:rPr>
      </w:pPr>
      <w:r w:rsidRPr="00C91249">
        <w:rPr>
          <w:rFonts w:asciiTheme="minorBidi" w:hAnsiTheme="minorBidi"/>
          <w:b/>
          <w:bCs/>
          <w:noProof/>
          <w:sz w:val="24"/>
          <w:szCs w:val="24"/>
          <w:rtl/>
        </w:rPr>
        <mc:AlternateContent>
          <mc:Choice Requires="wps">
            <w:drawing>
              <wp:anchor distT="0" distB="0" distL="114300" distR="114300" simplePos="0" relativeHeight="251659264" behindDoc="0" locked="0" layoutInCell="1" allowOverlap="1" wp14:anchorId="667CF2D9" wp14:editId="627D4CCA">
                <wp:simplePos x="0" y="0"/>
                <wp:positionH relativeFrom="margin">
                  <wp:posOffset>-131445</wp:posOffset>
                </wp:positionH>
                <wp:positionV relativeFrom="paragraph">
                  <wp:posOffset>0</wp:posOffset>
                </wp:positionV>
                <wp:extent cx="5508625" cy="3931920"/>
                <wp:effectExtent l="0" t="0" r="15875" b="11430"/>
                <wp:wrapNone/>
                <wp:docPr id="7" name="מלבן 7"/>
                <wp:cNvGraphicFramePr/>
                <a:graphic xmlns:a="http://schemas.openxmlformats.org/drawingml/2006/main">
                  <a:graphicData uri="http://schemas.microsoft.com/office/word/2010/wordprocessingShape">
                    <wps:wsp>
                      <wps:cNvSpPr/>
                      <wps:spPr>
                        <a:xfrm>
                          <a:off x="0" y="0"/>
                          <a:ext cx="5508625" cy="39319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FCF12" id="מלבן 7" o:spid="_x0000_s1026" style="position:absolute;left:0;text-align:left;margin-left:-10.35pt;margin-top:0;width:433.75pt;height:30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" filled="f" strokecolor="#243f60 [1604]" strokeweight="2pt">
                <w10:wrap anchorx="margin"/>
              </v:rect>
            </w:pict>
          </mc:Fallback>
        </mc:AlternateContent>
      </w:r>
    </w:p>
    <w:p w:rsidR="007556CA" w:rsidRDefault="007556CA" w:rsidP="007556CA">
      <w:pPr>
        <w:bidi w:val="0"/>
      </w:pPr>
      <w:r w:rsidRPr="00C91249">
        <w:rPr>
          <w:rFonts w:asciiTheme="minorBidi" w:hAnsiTheme="minorBidi"/>
          <w:b/>
          <w:bCs/>
          <w:sz w:val="24"/>
          <w:szCs w:val="24"/>
        </w:rPr>
        <w:t xml:space="preserve">Figure </w:t>
      </w:r>
      <w:r>
        <w:rPr>
          <w:rFonts w:asciiTheme="minorBidi" w:hAnsiTheme="minorBidi"/>
          <w:b/>
          <w:bCs/>
          <w:sz w:val="24"/>
          <w:szCs w:val="24"/>
        </w:rPr>
        <w:t>3</w:t>
      </w:r>
      <w:r>
        <w:rPr>
          <w:rFonts w:asciiTheme="minorBidi" w:hAnsiTheme="minorBidi"/>
          <w:sz w:val="24"/>
          <w:szCs w:val="24"/>
        </w:rPr>
        <w:t xml:space="preserve">: Distribution of ASA score across </w:t>
      </w:r>
      <w:proofErr w:type="spellStart"/>
      <w:r>
        <w:rPr>
          <w:rFonts w:asciiTheme="minorBidi" w:hAnsiTheme="minorBidi"/>
          <w:sz w:val="24"/>
          <w:szCs w:val="24"/>
        </w:rPr>
        <w:t>cholecystostom</w:t>
      </w:r>
      <w:proofErr w:type="spellEnd"/>
      <w:r>
        <w:rPr>
          <w:rFonts w:asciiTheme="minorBidi" w:hAnsiTheme="minorBidi"/>
          <w:sz w:val="24"/>
          <w:szCs w:val="24"/>
        </w:rPr>
        <w:t xml:space="preserve"> status groups</w:t>
      </w:r>
    </w:p>
    <w:p w:rsidR="007556CA" w:rsidRDefault="007556CA" w:rsidP="007556CA">
      <w:pPr>
        <w:jc w:val="center"/>
        <w:rPr>
          <w:rtl/>
        </w:rPr>
      </w:pPr>
      <w:r w:rsidRPr="00D22ADB">
        <w:rPr>
          <w:rFonts w:ascii="Times New Roman" w:hAnsi="Times New Roman" w:cs="Times New Roman"/>
          <w:noProof/>
          <w:sz w:val="24"/>
          <w:szCs w:val="24"/>
        </w:rPr>
        <w:drawing>
          <wp:inline distT="0" distB="0" distL="0" distR="0" wp14:anchorId="7BF7D90A" wp14:editId="6E4E57E8">
            <wp:extent cx="4057650" cy="3143250"/>
            <wp:effectExtent l="0" t="0" r="19050" b="19050"/>
            <wp:docPr id="12"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556CA" w:rsidRDefault="007556CA" w:rsidP="007556CA">
      <w:pPr>
        <w:bidi w:val="0"/>
      </w:pPr>
    </w:p>
    <w:p w:rsidR="007556CA" w:rsidRDefault="007556CA" w:rsidP="007556CA">
      <w:pPr>
        <w:bidi w:val="0"/>
      </w:pPr>
    </w:p>
    <w:p w:rsidR="007556CA" w:rsidRDefault="007556CA" w:rsidP="007556CA">
      <w:pPr>
        <w:spacing w:after="0" w:line="480" w:lineRule="auto"/>
      </w:pPr>
      <w:r w:rsidRPr="00C91249">
        <w:rPr>
          <w:rFonts w:asciiTheme="minorBidi" w:hAnsiTheme="minorBidi"/>
          <w:b/>
          <w:bCs/>
          <w:noProof/>
          <w:sz w:val="24"/>
          <w:szCs w:val="24"/>
          <w:rtl/>
        </w:rPr>
        <mc:AlternateContent>
          <mc:Choice Requires="wps">
            <w:drawing>
              <wp:anchor distT="0" distB="0" distL="114300" distR="114300" simplePos="0" relativeHeight="251661312" behindDoc="0" locked="0" layoutInCell="1" allowOverlap="1" wp14:anchorId="0FDD54DC" wp14:editId="390D2548">
                <wp:simplePos x="0" y="0"/>
                <wp:positionH relativeFrom="margin">
                  <wp:align>center</wp:align>
                </wp:positionH>
                <wp:positionV relativeFrom="paragraph">
                  <wp:posOffset>276958</wp:posOffset>
                </wp:positionV>
                <wp:extent cx="5508625" cy="4046561"/>
                <wp:effectExtent l="0" t="0" r="15875" b="11430"/>
                <wp:wrapNone/>
                <wp:docPr id="14" name="מלבן 14"/>
                <wp:cNvGraphicFramePr/>
                <a:graphic xmlns:a="http://schemas.openxmlformats.org/drawingml/2006/main">
                  <a:graphicData uri="http://schemas.microsoft.com/office/word/2010/wordprocessingShape">
                    <wps:wsp>
                      <wps:cNvSpPr/>
                      <wps:spPr>
                        <a:xfrm>
                          <a:off x="0" y="0"/>
                          <a:ext cx="5508625" cy="404656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878A4" id="מלבן 14" o:spid="_x0000_s1026" style="position:absolute;left:0;text-align:left;margin-left:0;margin-top:21.8pt;width:433.75pt;height:318.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" filled="f" strokecolor="#243f60 [1604]" strokeweight="2pt">
                <w10:wrap anchorx="margin"/>
              </v:rect>
            </w:pict>
          </mc:Fallback>
        </mc:AlternateContent>
      </w:r>
      <w:r w:rsidRPr="00C91249">
        <w:rPr>
          <w:rFonts w:asciiTheme="minorBidi" w:hAnsiTheme="minorBidi"/>
          <w:b/>
          <w:bCs/>
          <w:sz w:val="24"/>
          <w:szCs w:val="24"/>
        </w:rPr>
        <w:t xml:space="preserve">Figure </w:t>
      </w:r>
      <w:r>
        <w:rPr>
          <w:rFonts w:asciiTheme="minorBidi" w:hAnsiTheme="minorBidi"/>
          <w:b/>
          <w:bCs/>
          <w:sz w:val="24"/>
          <w:szCs w:val="24"/>
        </w:rPr>
        <w:t>4</w:t>
      </w:r>
      <w:r>
        <w:rPr>
          <w:rFonts w:asciiTheme="minorBidi" w:hAnsiTheme="minorBidi"/>
          <w:sz w:val="24"/>
          <w:szCs w:val="24"/>
        </w:rPr>
        <w:t xml:space="preserve">: Disease severity across </w:t>
      </w:r>
      <w:proofErr w:type="spellStart"/>
      <w:r>
        <w:rPr>
          <w:rFonts w:asciiTheme="minorBidi" w:hAnsiTheme="minorBidi"/>
          <w:sz w:val="24"/>
          <w:szCs w:val="24"/>
        </w:rPr>
        <w:t>cholecystostom</w:t>
      </w:r>
      <w:proofErr w:type="spellEnd"/>
      <w:r>
        <w:rPr>
          <w:rFonts w:asciiTheme="minorBidi" w:hAnsiTheme="minorBidi"/>
          <w:sz w:val="24"/>
          <w:szCs w:val="24"/>
        </w:rPr>
        <w:t xml:space="preserve"> status groups</w:t>
      </w:r>
    </w:p>
    <w:p w:rsidR="007556CA" w:rsidRPr="005943F5" w:rsidRDefault="007556CA" w:rsidP="007556CA">
      <w:pPr>
        <w:spacing w:after="0" w:line="480" w:lineRule="auto"/>
        <w:rPr>
          <w:rFonts w:asciiTheme="minorBidi" w:hAnsiTheme="minorBidi"/>
          <w:sz w:val="24"/>
          <w:szCs w:val="24"/>
          <w:rtl/>
        </w:rPr>
      </w:pPr>
    </w:p>
    <w:p w:rsidR="007556CA" w:rsidRDefault="007556CA" w:rsidP="007556CA">
      <w:pPr>
        <w:spacing w:after="0" w:line="480" w:lineRule="auto"/>
        <w:jc w:val="center"/>
        <w:rPr>
          <w:rFonts w:asciiTheme="minorBidi" w:hAnsiTheme="minorBidi"/>
          <w:sz w:val="24"/>
          <w:szCs w:val="24"/>
          <w:rtl/>
        </w:rPr>
      </w:pPr>
      <w:r>
        <w:rPr>
          <w:noProof/>
        </w:rPr>
        <w:drawing>
          <wp:inline distT="0" distB="0" distL="0" distR="0" wp14:anchorId="1461C549" wp14:editId="05DA3FDD">
            <wp:extent cx="4057650" cy="3143250"/>
            <wp:effectExtent l="0" t="0" r="0" b="0"/>
            <wp:docPr id="9" name="תרשים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556CA" w:rsidRDefault="007556CA" w:rsidP="007556CA">
      <w:pPr>
        <w:bidi w:val="0"/>
      </w:pPr>
    </w:p>
    <w:p w:rsidR="007556CA" w:rsidRDefault="007556CA" w:rsidP="007556CA">
      <w:pPr>
        <w:bidi w:val="0"/>
      </w:pPr>
    </w:p>
    <w:p w:rsidR="007556CA" w:rsidRDefault="007556CA" w:rsidP="007556CA">
      <w:pPr>
        <w:bidi w:val="0"/>
      </w:pPr>
    </w:p>
    <w:p w:rsidR="007556CA" w:rsidRDefault="007556CA" w:rsidP="007556CA">
      <w:pPr>
        <w:bidi w:val="0"/>
      </w:pPr>
    </w:p>
    <w:p w:rsidR="007556CA" w:rsidRDefault="007556CA" w:rsidP="007556CA">
      <w:pPr>
        <w:bidi w:val="0"/>
      </w:pPr>
    </w:p>
    <w:p w:rsidR="007556CA" w:rsidRDefault="007556CA" w:rsidP="007556CA">
      <w:pPr>
        <w:bidi w:val="0"/>
      </w:pPr>
    </w:p>
    <w:p w:rsidR="000D1261" w:rsidRDefault="000D1261" w:rsidP="000D1261">
      <w:pPr>
        <w:bidi w:val="0"/>
      </w:pPr>
      <w:r>
        <w:t>Discussion</w:t>
      </w:r>
    </w:p>
    <w:p w:rsidR="000D1261" w:rsidRDefault="000D1261" w:rsidP="00680A73">
      <w:pPr>
        <w:bidi w:val="0"/>
      </w:pPr>
      <w:r>
        <w:t xml:space="preserve">The use of percutaneous </w:t>
      </w:r>
      <w:proofErr w:type="spellStart"/>
      <w:r>
        <w:t>cholecystostomy</w:t>
      </w:r>
      <w:proofErr w:type="spellEnd"/>
      <w:r>
        <w:t xml:space="preserve"> is still common practice in special populations although the literature is floated with reports on laparoscopic cholecystectomy even in the acute phase, </w:t>
      </w:r>
      <w:r w:rsidR="00680A73">
        <w:t>H</w:t>
      </w:r>
      <w:r>
        <w:t xml:space="preserve">owever the outcome of patients with </w:t>
      </w:r>
      <w:proofErr w:type="spellStart"/>
      <w:r>
        <w:t>cholecystostom</w:t>
      </w:r>
      <w:proofErr w:type="spellEnd"/>
      <w:r>
        <w:t xml:space="preserve"> is </w:t>
      </w:r>
      <w:proofErr w:type="spellStart"/>
      <w:r>
        <w:t>intersting</w:t>
      </w:r>
      <w:proofErr w:type="spellEnd"/>
      <w:r>
        <w:t xml:space="preserve">. </w:t>
      </w:r>
      <w:r w:rsidR="00680A73">
        <w:t xml:space="preserve"> </w:t>
      </w:r>
    </w:p>
    <w:p w:rsidR="000D1261" w:rsidRDefault="000D1261" w:rsidP="000D1261">
      <w:pPr>
        <w:bidi w:val="0"/>
      </w:pPr>
    </w:p>
    <w:p w:rsidR="007556CA" w:rsidRDefault="007556CA" w:rsidP="007556CA">
      <w:pPr>
        <w:bidi w:val="0"/>
      </w:pPr>
    </w:p>
    <w:p w:rsidR="007556CA" w:rsidRDefault="007556CA" w:rsidP="007556CA">
      <w:pPr>
        <w:bidi w:val="0"/>
      </w:pPr>
    </w:p>
    <w:p w:rsidR="007556CA" w:rsidRDefault="007556CA" w:rsidP="007556CA">
      <w:pPr>
        <w:bidi w:val="0"/>
      </w:pPr>
    </w:p>
    <w:p w:rsidR="007556CA" w:rsidRDefault="007556CA" w:rsidP="007556CA">
      <w:pPr>
        <w:bidi w:val="0"/>
      </w:pPr>
    </w:p>
    <w:p w:rsidR="007556CA" w:rsidRDefault="007556CA" w:rsidP="007556CA">
      <w:pPr>
        <w:bidi w:val="0"/>
      </w:pPr>
    </w:p>
    <w:p w:rsidR="007556CA" w:rsidRDefault="007556CA" w:rsidP="007556CA">
      <w:pPr>
        <w:bidi w:val="0"/>
      </w:pPr>
    </w:p>
    <w:p w:rsidR="007556CA" w:rsidRDefault="007556CA" w:rsidP="007556CA">
      <w:pPr>
        <w:bidi w:val="0"/>
      </w:pPr>
    </w:p>
    <w:p w:rsidR="007556CA" w:rsidRDefault="007556CA" w:rsidP="007556CA">
      <w:pPr>
        <w:bidi w:val="0"/>
      </w:pPr>
    </w:p>
    <w:p w:rsidR="007556CA" w:rsidRDefault="007556CA" w:rsidP="007556CA">
      <w:pPr>
        <w:bidi w:val="0"/>
      </w:pPr>
    </w:p>
    <w:p w:rsidR="007556CA" w:rsidRDefault="007556CA" w:rsidP="007556CA">
      <w:pPr>
        <w:bidi w:val="0"/>
      </w:pPr>
    </w:p>
    <w:p w:rsidR="007556CA" w:rsidRDefault="007556CA" w:rsidP="007556CA">
      <w:pPr>
        <w:bidi w:val="0"/>
      </w:pPr>
    </w:p>
    <w:p w:rsidR="007556CA" w:rsidRDefault="007556CA" w:rsidP="007556CA">
      <w:pPr>
        <w:bidi w:val="0"/>
      </w:pPr>
    </w:p>
    <w:p w:rsidR="007556CA" w:rsidRDefault="007556CA" w:rsidP="007556CA">
      <w:pPr>
        <w:bidi w:val="0"/>
      </w:pPr>
    </w:p>
    <w:p w:rsidR="007556CA" w:rsidRDefault="007556CA" w:rsidP="007556CA">
      <w:pPr>
        <w:bidi w:val="0"/>
      </w:pPr>
    </w:p>
    <w:p w:rsidR="007556CA" w:rsidRDefault="007556CA" w:rsidP="007556CA">
      <w:pPr>
        <w:bidi w:val="0"/>
      </w:pPr>
    </w:p>
    <w:p w:rsidR="007556CA" w:rsidRDefault="007556CA" w:rsidP="007556CA">
      <w:pPr>
        <w:bidi w:val="0"/>
      </w:pPr>
    </w:p>
    <w:p w:rsidR="007556CA" w:rsidRDefault="007556CA" w:rsidP="007556CA">
      <w:pPr>
        <w:bidi w:val="0"/>
      </w:pPr>
    </w:p>
    <w:p w:rsidR="007556CA" w:rsidRDefault="007556CA" w:rsidP="007556CA">
      <w:pPr>
        <w:bidi w:val="0"/>
      </w:pPr>
    </w:p>
    <w:p w:rsidR="007556CA" w:rsidRDefault="007556CA" w:rsidP="007556CA">
      <w:pPr>
        <w:bidi w:val="0"/>
      </w:pPr>
    </w:p>
    <w:p w:rsidR="007556CA" w:rsidRDefault="007556CA" w:rsidP="007556CA">
      <w:pPr>
        <w:bidi w:val="0"/>
      </w:pPr>
    </w:p>
    <w:p w:rsidR="007556CA" w:rsidRPr="007556CA" w:rsidRDefault="007556CA" w:rsidP="007556CA">
      <w:pPr>
        <w:bidi w:val="0"/>
        <w:rPr>
          <w:b/>
          <w:bCs/>
          <w:sz w:val="28"/>
          <w:szCs w:val="28"/>
        </w:rPr>
      </w:pPr>
    </w:p>
    <w:p w:rsidR="007556CA" w:rsidRDefault="007556CA" w:rsidP="007556CA">
      <w:pPr>
        <w:rPr>
          <w:rFonts w:ascii="Arial" w:hAnsi="Arial" w:cs="Arial"/>
          <w:color w:val="1F497D"/>
          <w:rtl/>
        </w:rPr>
      </w:pPr>
    </w:p>
    <w:p w:rsidR="007556CA" w:rsidRDefault="007556CA" w:rsidP="007556CA">
      <w:pPr>
        <w:bidi w:val="0"/>
      </w:pPr>
    </w:p>
    <w:sectPr w:rsidR="007556CA" w:rsidSect="00564F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81700"/>
    <w:multiLevelType w:val="hybridMultilevel"/>
    <w:tmpl w:val="9A368310"/>
    <w:lvl w:ilvl="0" w:tplc="CA4C7AB2">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18"/>
    <w:rsid w:val="00063C18"/>
    <w:rsid w:val="000D1261"/>
    <w:rsid w:val="00112051"/>
    <w:rsid w:val="001416EB"/>
    <w:rsid w:val="003544C4"/>
    <w:rsid w:val="00457407"/>
    <w:rsid w:val="00486FA2"/>
    <w:rsid w:val="00533983"/>
    <w:rsid w:val="00564F39"/>
    <w:rsid w:val="00581877"/>
    <w:rsid w:val="00680A73"/>
    <w:rsid w:val="007556CA"/>
    <w:rsid w:val="007C343A"/>
    <w:rsid w:val="0082116D"/>
    <w:rsid w:val="009A7B54"/>
    <w:rsid w:val="00AB11C9"/>
    <w:rsid w:val="00B14C6D"/>
    <w:rsid w:val="00B232EF"/>
    <w:rsid w:val="00CA6198"/>
    <w:rsid w:val="00F733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0C1D0-061B-464E-B928-8A1CC96C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5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56CA"/>
    <w:pPr>
      <w:ind w:left="720"/>
      <w:contextualSpacing/>
    </w:pPr>
  </w:style>
  <w:style w:type="paragraph" w:styleId="a5">
    <w:name w:val="Balloon Text"/>
    <w:basedOn w:val="a"/>
    <w:link w:val="a6"/>
    <w:uiPriority w:val="99"/>
    <w:semiHidden/>
    <w:unhideWhenUsed/>
    <w:rsid w:val="007556CA"/>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7556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Eyal\Documents\&#1506;&#1489;&#1493;&#1491;&#1492;\active%20reserach\&#1502;&#1514;&#1502;&#1495;&#1497;&#1501;\&#1500;&#1497;&#1492;%20&#1513;&#1497;&#1489;&#1504;&#1493;&#1489;\&#1506;&#1493;&#1514;&#1511;%20&#1513;&#1500;%20lia%20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Sheet3!$K$6</c:f>
              <c:strCache>
                <c:ptCount val="1"/>
                <c:pt idx="0">
                  <c:v>no</c:v>
                </c:pt>
              </c:strCache>
            </c:strRef>
          </c:tx>
          <c:invertIfNegative val="0"/>
          <c:cat>
            <c:numRef>
              <c:f>Sheet3!$J$7:$J$11</c:f>
              <c:numCache>
                <c:formatCode>General</c:formatCode>
                <c:ptCount val="5"/>
                <c:pt idx="0">
                  <c:v>1</c:v>
                </c:pt>
                <c:pt idx="1">
                  <c:v>2</c:v>
                </c:pt>
                <c:pt idx="2">
                  <c:v>3</c:v>
                </c:pt>
                <c:pt idx="3">
                  <c:v>4</c:v>
                </c:pt>
                <c:pt idx="4">
                  <c:v>5</c:v>
                </c:pt>
              </c:numCache>
            </c:numRef>
          </c:cat>
          <c:val>
            <c:numRef>
              <c:f>Sheet3!$K$7:$K$11</c:f>
              <c:numCache>
                <c:formatCode>General</c:formatCode>
                <c:ptCount val="5"/>
                <c:pt idx="0">
                  <c:v>0.2970000000000001</c:v>
                </c:pt>
                <c:pt idx="1">
                  <c:v>0.35100000000000003</c:v>
                </c:pt>
                <c:pt idx="2">
                  <c:v>0.33000000000000007</c:v>
                </c:pt>
                <c:pt idx="3">
                  <c:v>1.7000000000000001E-2</c:v>
                </c:pt>
                <c:pt idx="4">
                  <c:v>3.0000000000000005E-3</c:v>
                </c:pt>
              </c:numCache>
            </c:numRef>
          </c:val>
          <c:extLst>
            <c:ext xmlns:c16="http://schemas.microsoft.com/office/drawing/2014/chart" uri="{C3380CC4-5D6E-409C-BE32-E72D297353CC}">
              <c16:uniqueId val="{00000000-5884-471F-8FD1-9125EEC069D8}"/>
            </c:ext>
          </c:extLst>
        </c:ser>
        <c:ser>
          <c:idx val="1"/>
          <c:order val="1"/>
          <c:tx>
            <c:strRef>
              <c:f>Sheet3!$L$6</c:f>
              <c:strCache>
                <c:ptCount val="1"/>
                <c:pt idx="0">
                  <c:v>yes</c:v>
                </c:pt>
              </c:strCache>
            </c:strRef>
          </c:tx>
          <c:invertIfNegative val="0"/>
          <c:cat>
            <c:numRef>
              <c:f>Sheet3!$J$7:$J$11</c:f>
              <c:numCache>
                <c:formatCode>General</c:formatCode>
                <c:ptCount val="5"/>
                <c:pt idx="0">
                  <c:v>1</c:v>
                </c:pt>
                <c:pt idx="1">
                  <c:v>2</c:v>
                </c:pt>
                <c:pt idx="2">
                  <c:v>3</c:v>
                </c:pt>
                <c:pt idx="3">
                  <c:v>4</c:v>
                </c:pt>
                <c:pt idx="4">
                  <c:v>5</c:v>
                </c:pt>
              </c:numCache>
            </c:numRef>
          </c:cat>
          <c:val>
            <c:numRef>
              <c:f>Sheet3!$L$7:$L$11</c:f>
              <c:numCache>
                <c:formatCode>General</c:formatCode>
                <c:ptCount val="5"/>
                <c:pt idx="0">
                  <c:v>8.0000000000000016E-2</c:v>
                </c:pt>
                <c:pt idx="1">
                  <c:v>0.26</c:v>
                </c:pt>
                <c:pt idx="2">
                  <c:v>0.54</c:v>
                </c:pt>
                <c:pt idx="3">
                  <c:v>8.0000000000000016E-2</c:v>
                </c:pt>
                <c:pt idx="4">
                  <c:v>4.0000000000000008E-2</c:v>
                </c:pt>
              </c:numCache>
            </c:numRef>
          </c:val>
          <c:extLst>
            <c:ext xmlns:c16="http://schemas.microsoft.com/office/drawing/2014/chart" uri="{C3380CC4-5D6E-409C-BE32-E72D297353CC}">
              <c16:uniqueId val="{00000001-5884-471F-8FD1-9125EEC069D8}"/>
            </c:ext>
          </c:extLst>
        </c:ser>
        <c:dLbls>
          <c:showLegendKey val="0"/>
          <c:showVal val="0"/>
          <c:showCatName val="0"/>
          <c:showSerName val="0"/>
          <c:showPercent val="0"/>
          <c:showBubbleSize val="0"/>
        </c:dLbls>
        <c:gapWidth val="150"/>
        <c:axId val="131794816"/>
        <c:axId val="131870720"/>
      </c:barChart>
      <c:catAx>
        <c:axId val="131794816"/>
        <c:scaling>
          <c:orientation val="minMax"/>
        </c:scaling>
        <c:delete val="0"/>
        <c:axPos val="b"/>
        <c:title>
          <c:tx>
            <c:rich>
              <a:bodyPr/>
              <a:lstStyle/>
              <a:p>
                <a:pPr>
                  <a:defRPr/>
                </a:pPr>
                <a:r>
                  <a:rPr lang="en-US"/>
                  <a:t>ASA score</a:t>
                </a:r>
              </a:p>
            </c:rich>
          </c:tx>
          <c:overlay val="0"/>
        </c:title>
        <c:numFmt formatCode="General" sourceLinked="1"/>
        <c:majorTickMark val="none"/>
        <c:minorTickMark val="none"/>
        <c:tickLblPos val="nextTo"/>
        <c:crossAx val="131870720"/>
        <c:crosses val="autoZero"/>
        <c:auto val="1"/>
        <c:lblAlgn val="ctr"/>
        <c:lblOffset val="100"/>
        <c:noMultiLvlLbl val="0"/>
      </c:catAx>
      <c:valAx>
        <c:axId val="131870720"/>
        <c:scaling>
          <c:orientation val="minMax"/>
          <c:max val="0.60000000000000053"/>
          <c:min val="0"/>
        </c:scaling>
        <c:delete val="0"/>
        <c:axPos val="l"/>
        <c:title>
          <c:tx>
            <c:rich>
              <a:bodyPr rot="-5400000" vert="horz"/>
              <a:lstStyle/>
              <a:p>
                <a:pPr>
                  <a:defRPr/>
                </a:pPr>
                <a:r>
                  <a:rPr lang="en-US"/>
                  <a:t>Incidence (%)</a:t>
                </a:r>
              </a:p>
            </c:rich>
          </c:tx>
          <c:overlay val="0"/>
        </c:title>
        <c:numFmt formatCode="0%" sourceLinked="0"/>
        <c:majorTickMark val="none"/>
        <c:minorTickMark val="none"/>
        <c:tickLblPos val="nextTo"/>
        <c:crossAx val="131794816"/>
        <c:crosses val="autoZero"/>
        <c:crossBetween val="between"/>
        <c:majorUnit val="0.15000000000000013"/>
      </c:valAx>
    </c:plotArea>
    <c:legend>
      <c:legendPos val="t"/>
      <c:layout>
        <c:manualLayout>
          <c:xMode val="edge"/>
          <c:yMode val="edge"/>
          <c:x val="0.62974849974739122"/>
          <c:y val="2.4242424242424229E-2"/>
          <c:w val="0.20640419947506583"/>
          <c:h val="8.2842599220551913E-2"/>
        </c:manualLayout>
      </c:layout>
      <c:overlay val="0"/>
      <c:txPr>
        <a:bodyPr/>
        <a:lstStyle/>
        <a:p>
          <a:pPr>
            <a:defRPr>
              <a:latin typeface="+mn-lt"/>
            </a:defRPr>
          </a:pPr>
          <a:endParaRPr lang="he-IL"/>
        </a:p>
      </c:txPr>
    </c:legend>
    <c:plotVisOnly val="1"/>
    <c:dispBlanksAs val="gap"/>
    <c:showDLblsOverMax val="0"/>
  </c:chart>
  <c:txPr>
    <a:bodyPr/>
    <a:lstStyle/>
    <a:p>
      <a:pPr>
        <a:defRPr sz="1200">
          <a:cs typeface="+mn-cs"/>
        </a:defRPr>
      </a:pPr>
      <a:endParaRPr lang="he-IL"/>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Sheet4!$K$6</c:f>
              <c:strCache>
                <c:ptCount val="1"/>
                <c:pt idx="0">
                  <c:v>no</c:v>
                </c:pt>
              </c:strCache>
            </c:strRef>
          </c:tx>
          <c:invertIfNegative val="0"/>
          <c:cat>
            <c:strRef>
              <c:f>Sheet4!$J$7:$J$9</c:f>
              <c:strCache>
                <c:ptCount val="3"/>
                <c:pt idx="0">
                  <c:v>mild</c:v>
                </c:pt>
                <c:pt idx="1">
                  <c:v>moderate</c:v>
                </c:pt>
                <c:pt idx="2">
                  <c:v>severe</c:v>
                </c:pt>
              </c:strCache>
            </c:strRef>
          </c:cat>
          <c:val>
            <c:numRef>
              <c:f>Sheet4!$K$7:$K$9</c:f>
              <c:numCache>
                <c:formatCode>General</c:formatCode>
                <c:ptCount val="3"/>
                <c:pt idx="0">
                  <c:v>0.68100000000000005</c:v>
                </c:pt>
                <c:pt idx="1">
                  <c:v>0.27</c:v>
                </c:pt>
                <c:pt idx="2">
                  <c:v>4.9000000000000002E-2</c:v>
                </c:pt>
              </c:numCache>
            </c:numRef>
          </c:val>
          <c:extLst>
            <c:ext xmlns:c16="http://schemas.microsoft.com/office/drawing/2014/chart" uri="{C3380CC4-5D6E-409C-BE32-E72D297353CC}">
              <c16:uniqueId val="{00000000-EBEE-4838-8531-566FDF5BD979}"/>
            </c:ext>
          </c:extLst>
        </c:ser>
        <c:ser>
          <c:idx val="1"/>
          <c:order val="1"/>
          <c:tx>
            <c:strRef>
              <c:f>Sheet4!$L$6</c:f>
              <c:strCache>
                <c:ptCount val="1"/>
                <c:pt idx="0">
                  <c:v>yes</c:v>
                </c:pt>
              </c:strCache>
            </c:strRef>
          </c:tx>
          <c:invertIfNegative val="0"/>
          <c:cat>
            <c:strRef>
              <c:f>Sheet4!$J$7:$J$9</c:f>
              <c:strCache>
                <c:ptCount val="3"/>
                <c:pt idx="0">
                  <c:v>mild</c:v>
                </c:pt>
                <c:pt idx="1">
                  <c:v>moderate</c:v>
                </c:pt>
                <c:pt idx="2">
                  <c:v>severe</c:v>
                </c:pt>
              </c:strCache>
            </c:strRef>
          </c:cat>
          <c:val>
            <c:numRef>
              <c:f>Sheet4!$L$7:$L$9</c:f>
              <c:numCache>
                <c:formatCode>General</c:formatCode>
                <c:ptCount val="3"/>
                <c:pt idx="0">
                  <c:v>0.16</c:v>
                </c:pt>
                <c:pt idx="1">
                  <c:v>0.68</c:v>
                </c:pt>
                <c:pt idx="2">
                  <c:v>0.16</c:v>
                </c:pt>
              </c:numCache>
            </c:numRef>
          </c:val>
          <c:extLst>
            <c:ext xmlns:c16="http://schemas.microsoft.com/office/drawing/2014/chart" uri="{C3380CC4-5D6E-409C-BE32-E72D297353CC}">
              <c16:uniqueId val="{00000001-EBEE-4838-8531-566FDF5BD979}"/>
            </c:ext>
          </c:extLst>
        </c:ser>
        <c:dLbls>
          <c:showLegendKey val="0"/>
          <c:showVal val="0"/>
          <c:showCatName val="0"/>
          <c:showSerName val="0"/>
          <c:showPercent val="0"/>
          <c:showBubbleSize val="0"/>
        </c:dLbls>
        <c:gapWidth val="150"/>
        <c:axId val="133206784"/>
        <c:axId val="133209088"/>
      </c:barChart>
      <c:catAx>
        <c:axId val="133206784"/>
        <c:scaling>
          <c:orientation val="minMax"/>
        </c:scaling>
        <c:delete val="0"/>
        <c:axPos val="b"/>
        <c:title>
          <c:tx>
            <c:rich>
              <a:bodyPr/>
              <a:lstStyle/>
              <a:p>
                <a:pPr>
                  <a:defRPr/>
                </a:pPr>
                <a:r>
                  <a:rPr lang="en-US"/>
                  <a:t>Disease severity</a:t>
                </a:r>
              </a:p>
            </c:rich>
          </c:tx>
          <c:overlay val="0"/>
        </c:title>
        <c:numFmt formatCode="General" sourceLinked="1"/>
        <c:majorTickMark val="none"/>
        <c:minorTickMark val="none"/>
        <c:tickLblPos val="nextTo"/>
        <c:crossAx val="133209088"/>
        <c:crosses val="autoZero"/>
        <c:auto val="1"/>
        <c:lblAlgn val="ctr"/>
        <c:lblOffset val="100"/>
        <c:noMultiLvlLbl val="0"/>
      </c:catAx>
      <c:valAx>
        <c:axId val="133209088"/>
        <c:scaling>
          <c:orientation val="minMax"/>
          <c:max val="0.8"/>
          <c:min val="0"/>
        </c:scaling>
        <c:delete val="0"/>
        <c:axPos val="l"/>
        <c:title>
          <c:tx>
            <c:rich>
              <a:bodyPr rot="-5400000" vert="horz"/>
              <a:lstStyle/>
              <a:p>
                <a:pPr>
                  <a:defRPr/>
                </a:pPr>
                <a:r>
                  <a:rPr lang="en-US"/>
                  <a:t>Incidence (%)</a:t>
                </a:r>
              </a:p>
            </c:rich>
          </c:tx>
          <c:overlay val="0"/>
        </c:title>
        <c:numFmt formatCode="0%" sourceLinked="0"/>
        <c:majorTickMark val="none"/>
        <c:minorTickMark val="none"/>
        <c:tickLblPos val="nextTo"/>
        <c:crossAx val="133206784"/>
        <c:crosses val="autoZero"/>
        <c:crossBetween val="between"/>
        <c:majorUnit val="0.2"/>
      </c:valAx>
    </c:plotArea>
    <c:legend>
      <c:legendPos val="t"/>
      <c:layout>
        <c:manualLayout>
          <c:xMode val="edge"/>
          <c:yMode val="edge"/>
          <c:x val="0.629748499747391"/>
          <c:y val="2.4242424242424232E-2"/>
          <c:w val="0.20640419947506572"/>
          <c:h val="8.2842599220551927E-2"/>
        </c:manualLayout>
      </c:layout>
      <c:overlay val="0"/>
      <c:txPr>
        <a:bodyPr/>
        <a:lstStyle/>
        <a:p>
          <a:pPr>
            <a:defRPr>
              <a:latin typeface="+mn-lt"/>
            </a:defRPr>
          </a:pPr>
          <a:endParaRPr lang="he-IL"/>
        </a:p>
      </c:txPr>
    </c:legend>
    <c:plotVisOnly val="1"/>
    <c:dispBlanksAs val="gap"/>
    <c:showDLblsOverMax val="0"/>
  </c:chart>
  <c:txPr>
    <a:bodyPr/>
    <a:lstStyle/>
    <a:p>
      <a:pPr rtl="0">
        <a:defRPr sz="1200">
          <a:cs typeface="+mn-cs"/>
        </a:defRPr>
      </a:pPr>
      <a:endParaRPr lang="he-IL"/>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0.2277</cdr:x>
      <cdr:y>0.02121</cdr:y>
    </cdr:from>
    <cdr:to>
      <cdr:x>0.6385</cdr:x>
      <cdr:y>0.1</cdr:y>
    </cdr:to>
    <cdr:sp macro="" textlink="">
      <cdr:nvSpPr>
        <cdr:cNvPr id="2" name="TextBox 1"/>
        <cdr:cNvSpPr txBox="1"/>
      </cdr:nvSpPr>
      <cdr:spPr>
        <a:xfrm xmlns:a="http://schemas.openxmlformats.org/drawingml/2006/main">
          <a:off x="923924" y="66675"/>
          <a:ext cx="1666875" cy="247650"/>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r>
            <a:rPr lang="en-US" sz="1200">
              <a:cs typeface="+mn-cs"/>
            </a:rPr>
            <a:t>Cholecystostome status</a:t>
          </a:r>
          <a:endParaRPr lang="he-IL" sz="1200">
            <a:cs typeface="+mn-cs"/>
          </a:endParaRPr>
        </a:p>
      </cdr:txBody>
    </cdr:sp>
  </cdr:relSizeAnchor>
  <cdr:relSizeAnchor xmlns:cdr="http://schemas.openxmlformats.org/drawingml/2006/chartDrawing">
    <cdr:from>
      <cdr:x>0.777</cdr:x>
      <cdr:y>0.1697</cdr:y>
    </cdr:from>
    <cdr:to>
      <cdr:x>0.93897</cdr:x>
      <cdr:y>0.24848</cdr:y>
    </cdr:to>
    <cdr:sp macro="" textlink="">
      <cdr:nvSpPr>
        <cdr:cNvPr id="3" name="TextBox 1"/>
        <cdr:cNvSpPr txBox="1"/>
      </cdr:nvSpPr>
      <cdr:spPr>
        <a:xfrm xmlns:a="http://schemas.openxmlformats.org/drawingml/2006/main">
          <a:off x="3152775" y="533400"/>
          <a:ext cx="657225" cy="247650"/>
        </a:xfrm>
        <a:prstGeom xmlns:a="http://schemas.openxmlformats.org/drawingml/2006/main" prst="rect">
          <a:avLst/>
        </a:prstGeom>
      </cdr:spPr>
      <cdr:txBody>
        <a:bodyPr xmlns:a="http://schemas.openxmlformats.org/drawingml/2006/main" wrap="none" rtlCol="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t>p&lt;0.001</a:t>
          </a:r>
          <a:endParaRPr lang="he-IL" sz="1200">
            <a:cs typeface="Aria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0.2277</cdr:x>
      <cdr:y>0.02121</cdr:y>
    </cdr:from>
    <cdr:to>
      <cdr:x>0.6385</cdr:x>
      <cdr:y>0.1</cdr:y>
    </cdr:to>
    <cdr:sp macro="" textlink="">
      <cdr:nvSpPr>
        <cdr:cNvPr id="2" name="TextBox 1"/>
        <cdr:cNvSpPr txBox="1"/>
      </cdr:nvSpPr>
      <cdr:spPr>
        <a:xfrm xmlns:a="http://schemas.openxmlformats.org/drawingml/2006/main">
          <a:off x="923924" y="66675"/>
          <a:ext cx="1666875" cy="247650"/>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r>
            <a:rPr lang="en-US" sz="1200">
              <a:cs typeface="+mn-cs"/>
            </a:rPr>
            <a:t>Cholecystostome status</a:t>
          </a:r>
          <a:endParaRPr lang="he-IL" sz="1200">
            <a:cs typeface="+mn-cs"/>
          </a:endParaRPr>
        </a:p>
      </cdr:txBody>
    </cdr:sp>
  </cdr:relSizeAnchor>
  <cdr:relSizeAnchor xmlns:cdr="http://schemas.openxmlformats.org/drawingml/2006/chartDrawing">
    <cdr:from>
      <cdr:x>0.777</cdr:x>
      <cdr:y>0.1697</cdr:y>
    </cdr:from>
    <cdr:to>
      <cdr:x>0.93897</cdr:x>
      <cdr:y>0.24848</cdr:y>
    </cdr:to>
    <cdr:sp macro="" textlink="">
      <cdr:nvSpPr>
        <cdr:cNvPr id="3" name="TextBox 1"/>
        <cdr:cNvSpPr txBox="1"/>
      </cdr:nvSpPr>
      <cdr:spPr>
        <a:xfrm xmlns:a="http://schemas.openxmlformats.org/drawingml/2006/main">
          <a:off x="3152775" y="533400"/>
          <a:ext cx="657225" cy="247650"/>
        </a:xfrm>
        <a:prstGeom xmlns:a="http://schemas.openxmlformats.org/drawingml/2006/main" prst="rect">
          <a:avLst/>
        </a:prstGeom>
      </cdr:spPr>
      <cdr:txBody>
        <a:bodyPr xmlns:a="http://schemas.openxmlformats.org/drawingml/2006/main" wrap="none" rtlCol="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t>p&lt;0.001</a:t>
          </a:r>
          <a:endParaRPr lang="he-IL" sz="1200">
            <a:cs typeface="Arial"/>
          </a:endParaRPr>
        </a:p>
      </cdr:txBody>
    </cdr: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1135</Words>
  <Characters>5679</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Shimonov, Mordechai Dr - ד"ר מרדכי שמעונוב</dc:creator>
  <cp:lastModifiedBy>Karplus, Gideon - גדעון קרפלוס</cp:lastModifiedBy>
  <cp:revision>2</cp:revision>
  <cp:lastPrinted>2017-07-04T12:17:00Z</cp:lastPrinted>
  <dcterms:created xsi:type="dcterms:W3CDTF">2017-07-07T06:14:00Z</dcterms:created>
  <dcterms:modified xsi:type="dcterms:W3CDTF">2017-07-07T06:14:00Z</dcterms:modified>
</cp:coreProperties>
</file>