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555" w:rsidRPr="00AE02C1" w:rsidRDefault="007E6555" w:rsidP="007E6555">
      <w:pPr>
        <w:spacing w:line="360" w:lineRule="auto"/>
        <w:jc w:val="center"/>
        <w:rPr>
          <w:rFonts w:cs="FrankRuehl"/>
          <w:rtl/>
        </w:rPr>
      </w:pPr>
      <w:r w:rsidRPr="00AE02C1">
        <w:rPr>
          <w:rFonts w:cs="FrankRuehl" w:hint="cs"/>
          <w:rtl/>
        </w:rPr>
        <w:t>סדר השבטים בדברי הימים א ב–ח לדעת מחבר הפירוש לדברי הימים המיוחס לתלמיד של רס"ג</w:t>
      </w:r>
    </w:p>
    <w:p w:rsidR="007E6555" w:rsidRDefault="007E6555" w:rsidP="007E6555">
      <w:pPr>
        <w:pStyle w:val="af"/>
        <w:spacing w:line="360" w:lineRule="auto"/>
        <w:jc w:val="center"/>
        <w:rPr>
          <w:sz w:val="26"/>
          <w:szCs w:val="26"/>
        </w:rPr>
      </w:pPr>
      <w:r w:rsidRPr="009C6A2B">
        <w:rPr>
          <w:rFonts w:hint="cs"/>
          <w:sz w:val="26"/>
          <w:szCs w:val="26"/>
        </w:rPr>
        <w:t>T</w:t>
      </w:r>
      <w:r w:rsidRPr="009C6A2B">
        <w:rPr>
          <w:sz w:val="26"/>
          <w:szCs w:val="26"/>
        </w:rPr>
        <w:t xml:space="preserve">he Order of the Tribes in I Chronicles 2–8 according to the Commentary on Chronicles Attributed to </w:t>
      </w:r>
      <w:proofErr w:type="spellStart"/>
      <w:r w:rsidRPr="009C6A2B">
        <w:rPr>
          <w:sz w:val="26"/>
          <w:szCs w:val="26"/>
        </w:rPr>
        <w:t>Ra</w:t>
      </w:r>
      <w:r>
        <w:rPr>
          <w:sz w:val="26"/>
          <w:szCs w:val="26"/>
        </w:rPr>
        <w:t>s</w:t>
      </w:r>
      <w:r w:rsidRPr="009C6A2B">
        <w:rPr>
          <w:sz w:val="26"/>
          <w:szCs w:val="26"/>
        </w:rPr>
        <w:t>a</w:t>
      </w:r>
      <w:r>
        <w:rPr>
          <w:sz w:val="26"/>
          <w:szCs w:val="26"/>
        </w:rPr>
        <w:t>g’</w:t>
      </w:r>
      <w:r w:rsidRPr="009C6A2B">
        <w:rPr>
          <w:sz w:val="26"/>
          <w:szCs w:val="26"/>
        </w:rPr>
        <w:t>s</w:t>
      </w:r>
      <w:proofErr w:type="spellEnd"/>
      <w:r w:rsidRPr="009C6A2B">
        <w:rPr>
          <w:sz w:val="26"/>
          <w:szCs w:val="26"/>
        </w:rPr>
        <w:t xml:space="preserve"> Student</w:t>
      </w:r>
    </w:p>
    <w:p w:rsidR="007E6555" w:rsidRPr="00ED4955" w:rsidRDefault="007E6555" w:rsidP="007E6555">
      <w:pPr>
        <w:spacing w:line="360" w:lineRule="auto"/>
        <w:rPr>
          <w:rFonts w:eastAsia="MS Mincho" w:cs="FrankRuehl"/>
          <w:rtl/>
        </w:rPr>
      </w:pPr>
    </w:p>
    <w:p w:rsidR="007E6555" w:rsidRDefault="007E6555" w:rsidP="007E6555">
      <w:pPr>
        <w:bidi w:val="0"/>
        <w:spacing w:line="360" w:lineRule="auto"/>
        <w:rPr>
          <w:rFonts w:cs="FrankRuehl"/>
        </w:rPr>
      </w:pPr>
      <w:r>
        <w:rPr>
          <w:rFonts w:cs="FrankRuehl" w:hint="cs"/>
        </w:rPr>
        <w:t>ABSTRACT</w:t>
      </w:r>
    </w:p>
    <w:p w:rsidR="007E6555" w:rsidRDefault="007E6555" w:rsidP="007E6555">
      <w:pPr>
        <w:pStyle w:val="af"/>
        <w:bidi w:val="0"/>
        <w:spacing w:line="360" w:lineRule="auto"/>
        <w:rPr>
          <w:rFonts w:eastAsia="MS Mincho" w:cs="FrankRuehl"/>
          <w:rtl/>
        </w:rPr>
      </w:pPr>
      <w:r>
        <w:t xml:space="preserve">The list of the Israeli tribes is mentioned a few times in the Bible; </w:t>
      </w:r>
      <w:proofErr w:type="gramStart"/>
      <w:r>
        <w:t>however</w:t>
      </w:r>
      <w:proofErr w:type="gramEnd"/>
      <w:r>
        <w:t xml:space="preserve"> the order of the genealogic lists of the tribes in I Chronicles 2–8 is unique.</w:t>
      </w:r>
      <w:r w:rsidRPr="009E3B1B">
        <w:t xml:space="preserve"> </w:t>
      </w:r>
      <w:r>
        <w:t>Modern scholars, who have tried to explain this unusual order, suggested that</w:t>
      </w:r>
      <w:r>
        <w:rPr>
          <w:rFonts w:hint="cs"/>
          <w:rtl/>
        </w:rPr>
        <w:t xml:space="preserve"> </w:t>
      </w:r>
      <w:r w:rsidRPr="00177547">
        <w:rPr>
          <w:rFonts w:eastAsia="MS Mincho" w:cs="FrankRuehl" w:hint="cs"/>
          <w:color w:val="FF0000"/>
          <w:rtl/>
        </w:rPr>
        <w:t>המחבר מיקם את השבטים החשובים בעיניו בראש הרשימה, באמצע</w:t>
      </w:r>
      <w:r>
        <w:rPr>
          <w:rFonts w:eastAsia="MS Mincho" w:cs="FrankRuehl" w:hint="cs"/>
          <w:color w:val="FF0000"/>
          <w:rtl/>
        </w:rPr>
        <w:t xml:space="preserve"> הרשימה</w:t>
      </w:r>
      <w:r w:rsidRPr="00177547">
        <w:rPr>
          <w:rFonts w:eastAsia="MS Mincho" w:cs="FrankRuehl" w:hint="cs"/>
          <w:color w:val="FF0000"/>
          <w:rtl/>
        </w:rPr>
        <w:t xml:space="preserve"> ובסופה, ואת שאר השבטים מיקם לפי עיקרון גיאוגרפי</w:t>
      </w:r>
      <w:r w:rsidRPr="00554098">
        <w:rPr>
          <w:rFonts w:eastAsia="MS Mincho" w:cs="FrankRuehl" w:hint="cs"/>
          <w:rtl/>
        </w:rPr>
        <w:t xml:space="preserve"> </w:t>
      </w:r>
      <w:r>
        <w:t>(this suggestion required further clarification and conjectural emendations).</w:t>
      </w:r>
      <w:r w:rsidRPr="009E3B1B">
        <w:t xml:space="preserve"> </w:t>
      </w:r>
      <w:r>
        <w:t xml:space="preserve">Among the entire medieval Bible commentators, only the author of the anonymous commentary on Chronicles attributed to </w:t>
      </w:r>
      <w:proofErr w:type="spellStart"/>
      <w:r>
        <w:t>Rasag’s</w:t>
      </w:r>
      <w:proofErr w:type="spellEnd"/>
      <w:r>
        <w:t xml:space="preserve"> Student (early 11</w:t>
      </w:r>
      <w:r w:rsidRPr="0041755D">
        <w:rPr>
          <w:vertAlign w:val="superscript"/>
        </w:rPr>
        <w:t>th</w:t>
      </w:r>
      <w:r>
        <w:t xml:space="preserve">, Provence?) offered a systematic explanation regarding the order of the genealogic lists. He presumed that the author composed the lists according to a number of structural principles: topical, geographic and chronological principals. </w:t>
      </w:r>
      <w:r>
        <w:rPr>
          <w:rFonts w:hint="cs"/>
          <w:rtl/>
        </w:rPr>
        <w:t xml:space="preserve"> </w:t>
      </w:r>
      <w:r w:rsidRPr="00177547">
        <w:rPr>
          <w:rFonts w:eastAsia="MS Mincho" w:cs="FrankRuehl" w:hint="cs"/>
          <w:color w:val="FF0000"/>
          <w:rtl/>
        </w:rPr>
        <w:t>זהו ככל הנראה הניסיון המוקדם ביותר בהיסטוריה של מחקר ספר דברי הימים להציג פתרון שיטתי לשאלת סדר השבטים</w:t>
      </w:r>
      <w:r w:rsidRPr="00554098">
        <w:rPr>
          <w:rFonts w:eastAsia="MS Mincho" w:cs="FrankRuehl" w:hint="cs"/>
          <w:rtl/>
        </w:rPr>
        <w:t xml:space="preserve">. </w:t>
      </w:r>
    </w:p>
    <w:p w:rsidR="007E6555" w:rsidRDefault="007E6555" w:rsidP="007E6555">
      <w:pPr>
        <w:pStyle w:val="af"/>
        <w:spacing w:line="360" w:lineRule="auto"/>
        <w:rPr>
          <w:rFonts w:eastAsia="MS Mincho" w:cs="FrankRuehl"/>
          <w:rtl/>
        </w:rPr>
      </w:pPr>
    </w:p>
    <w:p w:rsidR="007E6555" w:rsidRDefault="007E6555" w:rsidP="007E6555">
      <w:pPr>
        <w:pStyle w:val="af"/>
        <w:spacing w:line="360" w:lineRule="auto"/>
        <w:jc w:val="right"/>
      </w:pPr>
    </w:p>
    <w:p w:rsidR="007E6555" w:rsidRPr="00501DE9" w:rsidRDefault="007E6555" w:rsidP="007E6555">
      <w:pPr>
        <w:pStyle w:val="af"/>
        <w:spacing w:line="360" w:lineRule="auto"/>
        <w:jc w:val="right"/>
        <w:rPr>
          <w:rtl/>
        </w:rPr>
      </w:pPr>
    </w:p>
    <w:p w:rsidR="007E6555" w:rsidRPr="00ED4955" w:rsidRDefault="007E6555" w:rsidP="007E6555">
      <w:pPr>
        <w:pageBreakBefore/>
        <w:spacing w:line="360" w:lineRule="auto"/>
        <w:rPr>
          <w:rFonts w:cs="FrankRuehl"/>
          <w:rtl/>
        </w:rPr>
      </w:pPr>
      <w:r w:rsidRPr="00ED4955">
        <w:rPr>
          <w:rFonts w:cs="FrankRuehl" w:hint="cs"/>
          <w:rtl/>
        </w:rPr>
        <w:lastRenderedPageBreak/>
        <w:t>[א]</w:t>
      </w:r>
    </w:p>
    <w:p w:rsidR="007E6555" w:rsidRPr="00AE02C1" w:rsidRDefault="007E6555" w:rsidP="007E6555">
      <w:pPr>
        <w:spacing w:line="360" w:lineRule="auto"/>
        <w:rPr>
          <w:rFonts w:eastAsia="MS Mincho" w:cs="FrankRuehl"/>
          <w:rtl/>
        </w:rPr>
      </w:pPr>
      <w:r w:rsidRPr="00ED4955">
        <w:rPr>
          <w:rFonts w:cs="FrankRuehl" w:hint="cs"/>
          <w:rtl/>
        </w:rPr>
        <w:t>בירור מב</w:t>
      </w:r>
      <w:r w:rsidRPr="00AE02C1">
        <w:rPr>
          <w:rFonts w:cs="FrankRuehl" w:hint="cs"/>
          <w:rtl/>
        </w:rPr>
        <w:t>נהו של ספר דברי הימים וסדר ענייניו הוא נקודת מוצא הכרחית להבנתו, ולפיכך הוקדשה לסוגיות אלו תשומת לב רבה במחקר המודרני. בדרך כלל החוקרים מצביעים על שתי חטיבות פרקים בספר: דה"א א</w:t>
      </w:r>
      <w:r w:rsidRPr="00AE02C1">
        <w:rPr>
          <w:rFonts w:cs="FrankRuehl" w:hint="eastAsia"/>
          <w:rtl/>
        </w:rPr>
        <w:t>–ט</w:t>
      </w:r>
      <w:r w:rsidRPr="00AE02C1">
        <w:rPr>
          <w:rFonts w:cs="FrankRuehl" w:hint="cs"/>
          <w:rtl/>
        </w:rPr>
        <w:t xml:space="preserve"> הכוללים בעיקר רשימות יחס</w:t>
      </w:r>
      <w:r w:rsidRPr="00AE02C1">
        <w:rPr>
          <w:rFonts w:cs="FrankRuehl" w:hint="eastAsia"/>
          <w:rtl/>
        </w:rPr>
        <w:t xml:space="preserve">, </w:t>
      </w:r>
      <w:r w:rsidRPr="00AE02C1">
        <w:rPr>
          <w:rFonts w:cs="FrankRuehl" w:hint="cs"/>
          <w:rtl/>
        </w:rPr>
        <w:t>ודה"א י ואילך הכוללים בעיקר תיאור היסטורי רצוף. בכל אחד מן החלקים החוקרים הצביעו על יחידות משנה ותת-יחידות.</w:t>
      </w:r>
      <w:r w:rsidRPr="00AE02C1">
        <w:rPr>
          <w:rFonts w:cs="FrankRuehl"/>
          <w:vertAlign w:val="superscript"/>
          <w:rtl/>
        </w:rPr>
        <w:footnoteReference w:id="1"/>
      </w:r>
      <w:r w:rsidRPr="00AE02C1">
        <w:rPr>
          <w:rFonts w:cs="FrankRuehl" w:hint="cs"/>
          <w:rtl/>
        </w:rPr>
        <w:t xml:space="preserve"> </w:t>
      </w:r>
      <w:r w:rsidRPr="00AE02C1">
        <w:rPr>
          <w:rFonts w:eastAsia="MS Mincho" w:cs="FrankRuehl" w:hint="cs"/>
          <w:rtl/>
        </w:rPr>
        <w:t xml:space="preserve">רבים מהם רואים בתשעת פרקי היחס הפותחים את הספר </w:t>
      </w:r>
      <w:r w:rsidRPr="00AE02C1">
        <w:rPr>
          <w:rFonts w:cs="FrankRuehl" w:hint="cs"/>
          <w:rtl/>
        </w:rPr>
        <w:t>דברי רקע הנחוצים לפרקים שאחריהם,</w:t>
      </w:r>
      <w:r w:rsidRPr="00AE02C1">
        <w:rPr>
          <w:rStyle w:val="a7"/>
          <w:rFonts w:eastAsia="MS Mincho" w:cs="FrankRuehl"/>
          <w:rtl/>
        </w:rPr>
        <w:footnoteReference w:id="2"/>
      </w:r>
      <w:r w:rsidRPr="00AE02C1">
        <w:rPr>
          <w:rFonts w:eastAsia="MS Mincho" w:cs="FrankRuehl" w:hint="cs"/>
          <w:rtl/>
        </w:rPr>
        <w:t xml:space="preserve"> אך לא תמיד היתה תמימות דעים בנקודה זו.</w:t>
      </w:r>
      <w:r w:rsidRPr="00AE02C1">
        <w:rPr>
          <w:rStyle w:val="a7"/>
          <w:rFonts w:eastAsia="MS Mincho" w:cs="FrankRuehl"/>
          <w:rtl/>
        </w:rPr>
        <w:footnoteReference w:id="3"/>
      </w:r>
      <w:r w:rsidRPr="00AE02C1">
        <w:rPr>
          <w:rFonts w:eastAsia="MS Mincho" w:cs="FrankRuehl" w:hint="cs"/>
          <w:rtl/>
        </w:rPr>
        <w:t xml:space="preserve"> תשעת הפרקים הללו נחלקים לחטיבות גנאלוגיות ולתתי-חטיבות, וניכר כי הם בנויים ממקורות שונים, מקראיים וחוץ-מקראיים</w:t>
      </w:r>
      <w:r>
        <w:rPr>
          <w:rStyle w:val="a7"/>
          <w:rFonts w:eastAsia="MS Mincho" w:cs="FrankRuehl"/>
          <w:rtl/>
        </w:rPr>
        <w:footnoteReference w:id="4"/>
      </w:r>
      <w:r w:rsidRPr="00AE02C1">
        <w:rPr>
          <w:rFonts w:eastAsia="MS Mincho" w:cs="FrankRuehl" w:hint="cs"/>
          <w:rtl/>
        </w:rPr>
        <w:t xml:space="preserve"> אשר שולבו זה לצד זה וזה בתוך זה על פי עקרונות סידור מורכבים הניתנים בדרך כלל לשחזור. יחד עם זאת ישנם מקרים שבהם עיקרון הסידור אינו ברור כלל.</w:t>
      </w:r>
      <w:r w:rsidRPr="00AE02C1">
        <w:rPr>
          <w:rStyle w:val="a7"/>
          <w:rFonts w:eastAsia="MS Mincho" w:cs="FrankRuehl"/>
          <w:rtl/>
        </w:rPr>
        <w:footnoteReference w:id="5"/>
      </w:r>
      <w:r w:rsidRPr="00AE02C1">
        <w:rPr>
          <w:rFonts w:eastAsia="MS Mincho" w:cs="FrankRuehl" w:hint="cs"/>
          <w:rtl/>
        </w:rPr>
        <w:t xml:space="preserve"> </w:t>
      </w:r>
    </w:p>
    <w:p w:rsidR="007E6555" w:rsidRPr="00AE02C1" w:rsidRDefault="007E6555" w:rsidP="007E6555">
      <w:pPr>
        <w:spacing w:line="360" w:lineRule="auto"/>
        <w:ind w:firstLine="720"/>
        <w:rPr>
          <w:rFonts w:eastAsia="MS Mincho" w:cs="FrankRuehl"/>
          <w:rtl/>
        </w:rPr>
      </w:pPr>
      <w:r w:rsidRPr="00AE02C1">
        <w:rPr>
          <w:rFonts w:eastAsia="MS Mincho" w:cs="FrankRuehl" w:hint="cs"/>
          <w:rtl/>
        </w:rPr>
        <w:t xml:space="preserve">דה"א א הוא מעין מבוא לפרקים הגנאלוגיים, ומפורטים בו תולדות האנושות מאדם הראשון ועד ליעקב ובניו. שנים עשר הבנים מפורטים בדה"א ב </w:t>
      </w:r>
      <w:r>
        <w:rPr>
          <w:rFonts w:eastAsia="MS Mincho" w:cs="FrankRuehl" w:hint="cs"/>
          <w:rtl/>
        </w:rPr>
        <w:t>1</w:t>
      </w:r>
      <w:r w:rsidRPr="00AE02C1">
        <w:rPr>
          <w:rFonts w:eastAsia="MS Mincho" w:cs="FrankRuehl" w:hint="cs"/>
          <w:rtl/>
        </w:rPr>
        <w:t>–</w:t>
      </w:r>
      <w:r>
        <w:rPr>
          <w:rFonts w:eastAsia="MS Mincho" w:cs="FrankRuehl" w:hint="cs"/>
          <w:rtl/>
        </w:rPr>
        <w:t>2</w:t>
      </w:r>
      <w:r w:rsidRPr="00AE02C1">
        <w:rPr>
          <w:rFonts w:eastAsia="MS Mincho" w:cs="FrankRuehl" w:hint="cs"/>
          <w:rtl/>
        </w:rPr>
        <w:t xml:space="preserve"> בסדר הבא:</w:t>
      </w:r>
      <w:r>
        <w:rPr>
          <w:rFonts w:eastAsia="MS Mincho" w:cs="FrankRuehl" w:hint="cs"/>
          <w:rtl/>
        </w:rPr>
        <w:t xml:space="preserve"> </w:t>
      </w:r>
      <w:r w:rsidRPr="00D61136">
        <w:rPr>
          <w:rFonts w:eastAsia="MS Mincho" w:cs="FrankRuehl"/>
          <w:sz w:val="20"/>
          <w:szCs w:val="20"/>
        </w:rPr>
        <w:t>“These are the sons of Israel:</w:t>
      </w:r>
      <w:r w:rsidRPr="00D61136">
        <w:rPr>
          <w:rStyle w:val="a7"/>
          <w:rFonts w:eastAsia="MS Mincho" w:cs="FrankRuehl"/>
          <w:sz w:val="20"/>
          <w:szCs w:val="20"/>
        </w:rPr>
        <w:footnoteReference w:id="6"/>
      </w:r>
      <w:r w:rsidRPr="00D61136">
        <w:rPr>
          <w:rFonts w:eastAsia="MS Mincho" w:cs="FrankRuehl"/>
          <w:sz w:val="20"/>
          <w:szCs w:val="20"/>
        </w:rPr>
        <w:t xml:space="preserve"> Reuben, Simeon, Levi, Judah, Issachar, Zebulun, Dan, Joseph, Benjamin, Naphtali, Gad, and Asher.”</w:t>
      </w:r>
      <w:r w:rsidRPr="00AE02C1">
        <w:rPr>
          <w:rFonts w:cs="FrankRuehl" w:hint="cs"/>
          <w:rtl/>
        </w:rPr>
        <w:t xml:space="preserve"> </w:t>
      </w:r>
      <w:r w:rsidRPr="00AE02C1">
        <w:rPr>
          <w:rFonts w:eastAsia="MS Mincho" w:cs="FrankRuehl" w:hint="cs"/>
          <w:rtl/>
        </w:rPr>
        <w:t>הרשימה מסודרת לפי סדר האימהו</w:t>
      </w:r>
      <w:r w:rsidRPr="00AE02C1">
        <w:rPr>
          <w:rFonts w:eastAsia="MS Mincho" w:cs="FrankRuehl"/>
          <w:rtl/>
        </w:rPr>
        <w:t>ת</w:t>
      </w:r>
      <w:r w:rsidRPr="00AE02C1">
        <w:rPr>
          <w:rFonts w:eastAsia="MS Mincho" w:cs="FrankRuehl" w:hint="cs"/>
          <w:rtl/>
        </w:rPr>
        <w:t>: תחילה ששת בניה של לאה לפי סדר הולדתם, לאחר מכן שני בניה של רחל, אחר כך בנה של בלהה שפחת רחל ולבסוף שני בניה של זלפה שפחת לאה. דן חורג מן הסדר; על אף שנולד לבלהה, הוא מובא בתווך בין בניה של לאה ורחל.</w:t>
      </w:r>
      <w:r w:rsidRPr="00AE02C1">
        <w:rPr>
          <w:rStyle w:val="a7"/>
          <w:rFonts w:eastAsia="MS Mincho" w:cs="FrankRuehl"/>
          <w:rtl/>
        </w:rPr>
        <w:footnoteReference w:id="7"/>
      </w:r>
      <w:r w:rsidRPr="00AE02C1">
        <w:rPr>
          <w:rFonts w:eastAsia="MS Mincho" w:cs="FrankRuehl" w:hint="cs"/>
          <w:rtl/>
        </w:rPr>
        <w:t xml:space="preserve"> בהמשך, בפרקים ב–ח, מובאות רשימות היחס של השבטים אך לפי סדר אחר, כלהלן:</w:t>
      </w:r>
    </w:p>
    <w:p w:rsidR="007E6555" w:rsidRPr="00AE02C1" w:rsidRDefault="007E6555" w:rsidP="007E6555">
      <w:pPr>
        <w:spacing w:line="360" w:lineRule="auto"/>
        <w:ind w:left="720"/>
        <w:rPr>
          <w:rFonts w:eastAsia="MS Mincho" w:cs="FrankRuehl"/>
          <w:rtl/>
        </w:rPr>
      </w:pPr>
      <w:r w:rsidRPr="00AE02C1">
        <w:rPr>
          <w:rFonts w:eastAsia="MS Mincho" w:cs="FrankRuehl" w:hint="cs"/>
          <w:rtl/>
        </w:rPr>
        <w:t xml:space="preserve">1) יהודה (דה"א ב </w:t>
      </w:r>
      <w:r>
        <w:rPr>
          <w:rFonts w:eastAsia="MS Mincho" w:cs="FrankRuehl" w:hint="cs"/>
          <w:rtl/>
        </w:rPr>
        <w:t>3</w:t>
      </w:r>
      <w:r w:rsidRPr="00AE02C1">
        <w:rPr>
          <w:rFonts w:eastAsia="MS Mincho" w:cs="FrankRuehl" w:hint="cs"/>
          <w:rtl/>
        </w:rPr>
        <w:t xml:space="preserve"> – ד</w:t>
      </w:r>
      <w:r>
        <w:rPr>
          <w:rFonts w:eastAsia="MS Mincho" w:cs="FrankRuehl" w:hint="cs"/>
          <w:rtl/>
        </w:rPr>
        <w:t xml:space="preserve"> 23</w:t>
      </w:r>
      <w:r w:rsidRPr="00AE02C1">
        <w:rPr>
          <w:rFonts w:eastAsia="MS Mincho" w:cs="FrankRuehl" w:hint="cs"/>
          <w:rtl/>
        </w:rPr>
        <w:t>)</w:t>
      </w:r>
      <w:r>
        <w:rPr>
          <w:rFonts w:eastAsia="MS Mincho" w:cs="FrankRuehl" w:hint="cs"/>
          <w:rtl/>
        </w:rPr>
        <w:t>;</w:t>
      </w:r>
      <w:r w:rsidRPr="00AE02C1">
        <w:rPr>
          <w:rFonts w:eastAsia="MS Mincho" w:cs="FrankRuehl" w:hint="cs"/>
          <w:rtl/>
        </w:rPr>
        <w:t xml:space="preserve"> 2) שמעון (ד </w:t>
      </w:r>
      <w:r>
        <w:rPr>
          <w:rFonts w:eastAsia="MS Mincho" w:cs="FrankRuehl" w:hint="cs"/>
          <w:rtl/>
        </w:rPr>
        <w:t>24</w:t>
      </w:r>
      <w:r w:rsidRPr="00AE02C1">
        <w:rPr>
          <w:rFonts w:eastAsia="MS Mincho" w:cs="FrankRuehl" w:hint="cs"/>
          <w:rtl/>
        </w:rPr>
        <w:t>–</w:t>
      </w:r>
      <w:r>
        <w:rPr>
          <w:rFonts w:eastAsia="MS Mincho" w:cs="FrankRuehl" w:hint="cs"/>
          <w:rtl/>
        </w:rPr>
        <w:t>43</w:t>
      </w:r>
      <w:r w:rsidRPr="00AE02C1">
        <w:rPr>
          <w:rFonts w:eastAsia="MS Mincho" w:cs="FrankRuehl" w:hint="cs"/>
          <w:rtl/>
        </w:rPr>
        <w:t>)</w:t>
      </w:r>
      <w:r>
        <w:rPr>
          <w:rFonts w:eastAsia="MS Mincho" w:cs="FrankRuehl" w:hint="cs"/>
          <w:rtl/>
        </w:rPr>
        <w:t>;</w:t>
      </w:r>
      <w:r w:rsidRPr="00AE02C1">
        <w:rPr>
          <w:rFonts w:eastAsia="MS Mincho" w:cs="FrankRuehl" w:hint="cs"/>
          <w:rtl/>
        </w:rPr>
        <w:t xml:space="preserve"> 3) ראובן (ה </w:t>
      </w:r>
      <w:r>
        <w:rPr>
          <w:rFonts w:eastAsia="MS Mincho" w:cs="FrankRuehl" w:hint="cs"/>
          <w:rtl/>
        </w:rPr>
        <w:t>1</w:t>
      </w:r>
      <w:r w:rsidRPr="00AE02C1">
        <w:rPr>
          <w:rFonts w:eastAsia="MS Mincho" w:cs="FrankRuehl" w:hint="cs"/>
          <w:rtl/>
        </w:rPr>
        <w:t>–</w:t>
      </w:r>
      <w:r>
        <w:rPr>
          <w:rFonts w:eastAsia="MS Mincho" w:cs="FrankRuehl" w:hint="cs"/>
          <w:rtl/>
        </w:rPr>
        <w:t>10</w:t>
      </w:r>
      <w:r w:rsidRPr="00AE02C1">
        <w:rPr>
          <w:rFonts w:eastAsia="MS Mincho" w:cs="FrankRuehl" w:hint="cs"/>
          <w:rtl/>
        </w:rPr>
        <w:t>)</w:t>
      </w:r>
      <w:r>
        <w:rPr>
          <w:rFonts w:eastAsia="MS Mincho" w:cs="FrankRuehl" w:hint="cs"/>
          <w:rtl/>
        </w:rPr>
        <w:t>;</w:t>
      </w:r>
      <w:r w:rsidRPr="00AE02C1">
        <w:rPr>
          <w:rFonts w:eastAsia="MS Mincho" w:cs="FrankRuehl" w:hint="cs"/>
          <w:rtl/>
        </w:rPr>
        <w:t xml:space="preserve"> 4) גד (ה </w:t>
      </w:r>
      <w:r>
        <w:rPr>
          <w:rFonts w:eastAsia="MS Mincho" w:cs="FrankRuehl" w:hint="cs"/>
          <w:rtl/>
        </w:rPr>
        <w:t>11</w:t>
      </w:r>
      <w:r w:rsidRPr="00AE02C1">
        <w:rPr>
          <w:rFonts w:eastAsia="MS Mincho" w:cs="FrankRuehl" w:hint="cs"/>
          <w:rtl/>
        </w:rPr>
        <w:t>–</w:t>
      </w:r>
      <w:r>
        <w:rPr>
          <w:rFonts w:eastAsia="MS Mincho" w:cs="FrankRuehl" w:hint="cs"/>
          <w:rtl/>
        </w:rPr>
        <w:t>17</w:t>
      </w:r>
      <w:r w:rsidRPr="00AE02C1">
        <w:rPr>
          <w:rFonts w:eastAsia="MS Mincho" w:cs="FrankRuehl" w:hint="cs"/>
          <w:rtl/>
        </w:rPr>
        <w:t>)</w:t>
      </w:r>
      <w:r>
        <w:rPr>
          <w:rFonts w:eastAsia="MS Mincho" w:cs="FrankRuehl" w:hint="cs"/>
          <w:rtl/>
        </w:rPr>
        <w:t>;</w:t>
      </w:r>
      <w:r w:rsidRPr="00AE02C1">
        <w:rPr>
          <w:rFonts w:eastAsia="MS Mincho" w:cs="FrankRuehl" w:hint="cs"/>
          <w:rtl/>
        </w:rPr>
        <w:t xml:space="preserve"> 5) חצי שבט מנשה (ה </w:t>
      </w:r>
      <w:r>
        <w:rPr>
          <w:rFonts w:eastAsia="MS Mincho" w:cs="FrankRuehl" w:hint="cs"/>
          <w:rtl/>
        </w:rPr>
        <w:t>23</w:t>
      </w:r>
      <w:r w:rsidRPr="00AE02C1">
        <w:rPr>
          <w:rFonts w:eastAsia="MS Mincho" w:cs="FrankRuehl" w:hint="cs"/>
          <w:rtl/>
        </w:rPr>
        <w:t>–</w:t>
      </w:r>
      <w:r>
        <w:rPr>
          <w:rFonts w:eastAsia="MS Mincho" w:cs="FrankRuehl" w:hint="cs"/>
          <w:rtl/>
        </w:rPr>
        <w:t>25</w:t>
      </w:r>
      <w:r w:rsidRPr="00AE02C1">
        <w:rPr>
          <w:rFonts w:eastAsia="MS Mincho" w:cs="FrankRuehl" w:hint="cs"/>
          <w:rtl/>
        </w:rPr>
        <w:t>)</w:t>
      </w:r>
      <w:r>
        <w:rPr>
          <w:rFonts w:eastAsia="MS Mincho" w:cs="FrankRuehl" w:hint="cs"/>
          <w:rtl/>
        </w:rPr>
        <w:t>;</w:t>
      </w:r>
      <w:r w:rsidRPr="00AE02C1">
        <w:rPr>
          <w:rFonts w:eastAsia="MS Mincho" w:cs="FrankRuehl" w:hint="cs"/>
          <w:rtl/>
        </w:rPr>
        <w:t xml:space="preserve"> 6) לוי (וצמוד לו רשימות ערי הלווים והכ</w:t>
      </w:r>
      <w:r>
        <w:rPr>
          <w:rFonts w:eastAsia="MS Mincho" w:cs="FrankRuehl" w:hint="cs"/>
          <w:rtl/>
        </w:rPr>
        <w:t>ו</w:t>
      </w:r>
      <w:r w:rsidRPr="00AE02C1">
        <w:rPr>
          <w:rFonts w:eastAsia="MS Mincho" w:cs="FrankRuehl" w:hint="cs"/>
          <w:rtl/>
        </w:rPr>
        <w:t xml:space="preserve">הנים, ה </w:t>
      </w:r>
      <w:r>
        <w:rPr>
          <w:rFonts w:eastAsia="MS Mincho" w:cs="FrankRuehl" w:hint="cs"/>
          <w:rtl/>
        </w:rPr>
        <w:t>27</w:t>
      </w:r>
      <w:r w:rsidRPr="00AE02C1">
        <w:rPr>
          <w:rFonts w:eastAsia="MS Mincho" w:cs="FrankRuehl" w:hint="cs"/>
          <w:rtl/>
        </w:rPr>
        <w:t xml:space="preserve"> – ו </w:t>
      </w:r>
      <w:r>
        <w:rPr>
          <w:rFonts w:eastAsia="MS Mincho" w:cs="FrankRuehl" w:hint="cs"/>
          <w:rtl/>
        </w:rPr>
        <w:t>66</w:t>
      </w:r>
      <w:r w:rsidRPr="00AE02C1">
        <w:rPr>
          <w:rFonts w:eastAsia="MS Mincho" w:cs="FrankRuehl" w:hint="cs"/>
          <w:rtl/>
        </w:rPr>
        <w:t>)</w:t>
      </w:r>
      <w:r>
        <w:rPr>
          <w:rFonts w:eastAsia="MS Mincho" w:cs="FrankRuehl" w:hint="cs"/>
          <w:rtl/>
        </w:rPr>
        <w:t>;</w:t>
      </w:r>
      <w:r w:rsidRPr="00AE02C1">
        <w:rPr>
          <w:rFonts w:eastAsia="MS Mincho" w:cs="FrankRuehl" w:hint="cs"/>
          <w:rtl/>
        </w:rPr>
        <w:t xml:space="preserve"> 7) יששכר (ז </w:t>
      </w:r>
      <w:r>
        <w:rPr>
          <w:rFonts w:eastAsia="MS Mincho" w:cs="FrankRuehl" w:hint="cs"/>
          <w:rtl/>
        </w:rPr>
        <w:t>1</w:t>
      </w:r>
      <w:r w:rsidRPr="00AE02C1">
        <w:rPr>
          <w:rFonts w:eastAsia="MS Mincho" w:cs="FrankRuehl" w:hint="cs"/>
          <w:rtl/>
        </w:rPr>
        <w:t>–</w:t>
      </w:r>
      <w:r>
        <w:rPr>
          <w:rFonts w:eastAsia="MS Mincho" w:cs="FrankRuehl" w:hint="cs"/>
          <w:rtl/>
        </w:rPr>
        <w:t>5</w:t>
      </w:r>
      <w:r w:rsidRPr="00AE02C1">
        <w:rPr>
          <w:rFonts w:eastAsia="MS Mincho" w:cs="FrankRuehl" w:hint="cs"/>
          <w:rtl/>
        </w:rPr>
        <w:t>)</w:t>
      </w:r>
      <w:r>
        <w:rPr>
          <w:rFonts w:eastAsia="MS Mincho" w:cs="FrankRuehl" w:hint="cs"/>
          <w:rtl/>
        </w:rPr>
        <w:t>;</w:t>
      </w:r>
      <w:r w:rsidRPr="00AE02C1">
        <w:rPr>
          <w:rFonts w:eastAsia="MS Mincho" w:cs="FrankRuehl" w:hint="cs"/>
          <w:rtl/>
        </w:rPr>
        <w:t xml:space="preserve"> 8) בנימין (ז </w:t>
      </w:r>
      <w:r>
        <w:rPr>
          <w:rFonts w:eastAsia="MS Mincho" w:cs="FrankRuehl" w:hint="cs"/>
          <w:rtl/>
        </w:rPr>
        <w:t>6</w:t>
      </w:r>
      <w:r w:rsidRPr="00AE02C1">
        <w:rPr>
          <w:rFonts w:eastAsia="MS Mincho" w:cs="FrankRuehl" w:hint="cs"/>
          <w:rtl/>
        </w:rPr>
        <w:t>–</w:t>
      </w:r>
      <w:r>
        <w:rPr>
          <w:rFonts w:eastAsia="MS Mincho" w:cs="FrankRuehl" w:hint="cs"/>
          <w:rtl/>
        </w:rPr>
        <w:t>12</w:t>
      </w:r>
      <w:r w:rsidRPr="00AE02C1">
        <w:rPr>
          <w:rFonts w:eastAsia="MS Mincho" w:cs="FrankRuehl" w:hint="cs"/>
          <w:rtl/>
        </w:rPr>
        <w:t>)</w:t>
      </w:r>
      <w:r>
        <w:rPr>
          <w:rFonts w:eastAsia="MS Mincho" w:cs="FrankRuehl" w:hint="cs"/>
          <w:rtl/>
        </w:rPr>
        <w:t>;</w:t>
      </w:r>
      <w:r w:rsidRPr="00AE02C1">
        <w:rPr>
          <w:rFonts w:eastAsia="MS Mincho" w:cs="FrankRuehl" w:hint="cs"/>
          <w:rtl/>
        </w:rPr>
        <w:t xml:space="preserve"> 9) </w:t>
      </w:r>
      <w:r>
        <w:rPr>
          <w:rFonts w:eastAsia="MS Mincho" w:cs="FrankRuehl" w:hint="cs"/>
          <w:rtl/>
        </w:rPr>
        <w:t>נפתלי (ז</w:t>
      </w:r>
      <w:r w:rsidRPr="00AE02C1">
        <w:rPr>
          <w:rFonts w:eastAsia="MS Mincho" w:cs="FrankRuehl" w:hint="cs"/>
          <w:rtl/>
        </w:rPr>
        <w:t xml:space="preserve"> </w:t>
      </w:r>
      <w:r>
        <w:rPr>
          <w:rFonts w:eastAsia="MS Mincho" w:cs="FrankRuehl" w:hint="cs"/>
          <w:rtl/>
        </w:rPr>
        <w:t>13</w:t>
      </w:r>
      <w:r w:rsidRPr="00AE02C1">
        <w:rPr>
          <w:rFonts w:eastAsia="MS Mincho" w:cs="FrankRuehl" w:hint="cs"/>
          <w:rtl/>
        </w:rPr>
        <w:t>)</w:t>
      </w:r>
      <w:r>
        <w:rPr>
          <w:rFonts w:eastAsia="MS Mincho" w:cs="FrankRuehl" w:hint="cs"/>
          <w:rtl/>
        </w:rPr>
        <w:t>;</w:t>
      </w:r>
      <w:r w:rsidRPr="00AE02C1">
        <w:rPr>
          <w:rFonts w:eastAsia="MS Mincho" w:cs="FrankRuehl" w:hint="cs"/>
          <w:rtl/>
        </w:rPr>
        <w:t xml:space="preserve"> 10–11) מנשה ואפרים (ז </w:t>
      </w:r>
      <w:r>
        <w:rPr>
          <w:rFonts w:eastAsia="MS Mincho" w:cs="FrankRuehl" w:hint="cs"/>
          <w:rtl/>
        </w:rPr>
        <w:t>14</w:t>
      </w:r>
      <w:r w:rsidRPr="00AE02C1">
        <w:rPr>
          <w:rFonts w:eastAsia="MS Mincho" w:cs="FrankRuehl" w:hint="cs"/>
          <w:rtl/>
        </w:rPr>
        <w:t>–</w:t>
      </w:r>
      <w:r>
        <w:rPr>
          <w:rFonts w:eastAsia="MS Mincho" w:cs="FrankRuehl" w:hint="cs"/>
          <w:rtl/>
        </w:rPr>
        <w:t>29</w:t>
      </w:r>
      <w:r w:rsidRPr="00AE02C1">
        <w:rPr>
          <w:rFonts w:eastAsia="MS Mincho" w:cs="FrankRuehl" w:hint="cs"/>
          <w:rtl/>
        </w:rPr>
        <w:t>)</w:t>
      </w:r>
      <w:r>
        <w:rPr>
          <w:rFonts w:eastAsia="MS Mincho" w:cs="FrankRuehl" w:hint="cs"/>
          <w:rtl/>
        </w:rPr>
        <w:t>;</w:t>
      </w:r>
      <w:r w:rsidRPr="00AE02C1">
        <w:rPr>
          <w:rFonts w:eastAsia="MS Mincho" w:cs="FrankRuehl" w:hint="cs"/>
          <w:rtl/>
        </w:rPr>
        <w:t xml:space="preserve"> 12) אשר (ז </w:t>
      </w:r>
      <w:r>
        <w:rPr>
          <w:rFonts w:eastAsia="MS Mincho" w:cs="FrankRuehl" w:hint="cs"/>
          <w:rtl/>
        </w:rPr>
        <w:t>30</w:t>
      </w:r>
      <w:r w:rsidRPr="00AE02C1">
        <w:rPr>
          <w:rFonts w:eastAsia="MS Mincho" w:cs="FrankRuehl" w:hint="cs"/>
          <w:rtl/>
        </w:rPr>
        <w:t>–</w:t>
      </w:r>
      <w:r>
        <w:rPr>
          <w:rFonts w:eastAsia="MS Mincho" w:cs="FrankRuehl" w:hint="cs"/>
          <w:rtl/>
        </w:rPr>
        <w:t>40);</w:t>
      </w:r>
      <w:r w:rsidRPr="00AE02C1">
        <w:rPr>
          <w:rFonts w:eastAsia="MS Mincho" w:cs="FrankRuehl" w:hint="cs"/>
          <w:rtl/>
        </w:rPr>
        <w:t xml:space="preserve"> 13) בנימין (ח </w:t>
      </w:r>
      <w:r>
        <w:rPr>
          <w:rFonts w:eastAsia="MS Mincho" w:cs="FrankRuehl" w:hint="cs"/>
          <w:rtl/>
        </w:rPr>
        <w:t>1</w:t>
      </w:r>
      <w:r w:rsidRPr="00AE02C1">
        <w:rPr>
          <w:rFonts w:eastAsia="MS Mincho" w:cs="FrankRuehl" w:hint="cs"/>
          <w:rtl/>
        </w:rPr>
        <w:t>–</w:t>
      </w:r>
      <w:r>
        <w:rPr>
          <w:rFonts w:eastAsia="MS Mincho" w:cs="FrankRuehl" w:hint="cs"/>
          <w:rtl/>
        </w:rPr>
        <w:t>40</w:t>
      </w:r>
      <w:r w:rsidRPr="00AE02C1">
        <w:rPr>
          <w:rFonts w:eastAsia="MS Mincho" w:cs="FrankRuehl" w:hint="cs"/>
          <w:rtl/>
        </w:rPr>
        <w:t xml:space="preserve">). </w:t>
      </w:r>
    </w:p>
    <w:p w:rsidR="007E6555" w:rsidRPr="00AE02C1" w:rsidRDefault="007E6555" w:rsidP="007E6555">
      <w:pPr>
        <w:spacing w:line="360" w:lineRule="auto"/>
        <w:rPr>
          <w:rFonts w:eastAsia="MS Mincho" w:cs="FrankRuehl"/>
          <w:rtl/>
        </w:rPr>
      </w:pPr>
      <w:r w:rsidRPr="00AE02C1">
        <w:rPr>
          <w:rFonts w:eastAsia="MS Mincho" w:cs="FrankRuehl" w:hint="cs"/>
          <w:rtl/>
        </w:rPr>
        <w:t xml:space="preserve">פרק ט הסוגר את חטיבת הפרקים </w:t>
      </w:r>
      <w:proofErr w:type="spellStart"/>
      <w:r w:rsidRPr="00AE02C1">
        <w:rPr>
          <w:rFonts w:eastAsia="MS Mincho" w:cs="FrankRuehl" w:hint="cs"/>
          <w:rtl/>
        </w:rPr>
        <w:t>הגנאולוגיים</w:t>
      </w:r>
      <w:proofErr w:type="spellEnd"/>
      <w:r w:rsidRPr="00AE02C1">
        <w:rPr>
          <w:rFonts w:eastAsia="MS Mincho" w:cs="FrankRuehl" w:hint="cs"/>
          <w:rtl/>
        </w:rPr>
        <w:t xml:space="preserve"> מורכב משלושה עניינים שונים: 1) פס' </w:t>
      </w:r>
      <w:r>
        <w:rPr>
          <w:rFonts w:eastAsia="MS Mincho" w:cs="FrankRuehl" w:hint="cs"/>
          <w:rtl/>
        </w:rPr>
        <w:t>1</w:t>
      </w:r>
      <w:r w:rsidRPr="00AE02C1">
        <w:rPr>
          <w:rFonts w:eastAsia="MS Mincho" w:cs="FrankRuehl" w:hint="cs"/>
          <w:rtl/>
        </w:rPr>
        <w:t>: דברי סיכום של רשימות היחס</w:t>
      </w:r>
      <w:r>
        <w:rPr>
          <w:rFonts w:eastAsia="MS Mincho" w:cs="FrankRuehl" w:hint="cs"/>
          <w:rtl/>
        </w:rPr>
        <w:t>;</w:t>
      </w:r>
      <w:r w:rsidRPr="00AE02C1">
        <w:rPr>
          <w:rStyle w:val="a7"/>
          <w:rFonts w:eastAsia="MS Mincho" w:cs="FrankRuehl"/>
          <w:rtl/>
        </w:rPr>
        <w:footnoteReference w:id="8"/>
      </w:r>
      <w:r w:rsidRPr="00AE02C1">
        <w:rPr>
          <w:rFonts w:eastAsia="MS Mincho" w:cs="FrankRuehl" w:hint="cs"/>
          <w:rtl/>
        </w:rPr>
        <w:t xml:space="preserve"> 2) </w:t>
      </w:r>
      <w:r w:rsidRPr="00AE02C1">
        <w:rPr>
          <w:rFonts w:cs="FrankRuehl" w:hint="cs"/>
          <w:rtl/>
        </w:rPr>
        <w:t>רשימת יושבי ירושלים הראשונים (</w:t>
      </w:r>
      <w:r>
        <w:rPr>
          <w:rFonts w:cs="FrankRuehl" w:hint="cs"/>
          <w:rtl/>
        </w:rPr>
        <w:t>2</w:t>
      </w:r>
      <w:r w:rsidRPr="00AE02C1">
        <w:rPr>
          <w:rFonts w:cs="FrankRuehl" w:hint="cs"/>
          <w:rtl/>
        </w:rPr>
        <w:t>–</w:t>
      </w:r>
      <w:r>
        <w:rPr>
          <w:rFonts w:cs="FrankRuehl" w:hint="cs"/>
          <w:rtl/>
        </w:rPr>
        <w:t>18</w:t>
      </w:r>
      <w:r w:rsidRPr="00AE02C1">
        <w:rPr>
          <w:rFonts w:cs="FrankRuehl" w:hint="cs"/>
          <w:rtl/>
        </w:rPr>
        <w:t>)</w:t>
      </w:r>
      <w:r w:rsidRPr="00AE02C1">
        <w:rPr>
          <w:rFonts w:eastAsia="MS Mincho" w:cs="FrankRuehl" w:hint="cs"/>
          <w:rtl/>
        </w:rPr>
        <w:t xml:space="preserve"> ועבודת הלווים (</w:t>
      </w:r>
      <w:r>
        <w:rPr>
          <w:rFonts w:eastAsia="MS Mincho" w:cs="FrankRuehl" w:hint="cs"/>
          <w:rtl/>
        </w:rPr>
        <w:t>19</w:t>
      </w:r>
      <w:r w:rsidRPr="00AE02C1">
        <w:rPr>
          <w:rFonts w:eastAsia="MS Mincho" w:cs="FrankRuehl" w:hint="cs"/>
          <w:rtl/>
        </w:rPr>
        <w:t>–</w:t>
      </w:r>
      <w:r>
        <w:rPr>
          <w:rFonts w:eastAsia="MS Mincho" w:cs="FrankRuehl" w:hint="cs"/>
          <w:rtl/>
        </w:rPr>
        <w:t>34</w:t>
      </w:r>
      <w:r w:rsidRPr="00AE02C1">
        <w:rPr>
          <w:rFonts w:eastAsia="MS Mincho" w:cs="FrankRuehl" w:hint="cs"/>
          <w:rtl/>
        </w:rPr>
        <w:t>)</w:t>
      </w:r>
      <w:r>
        <w:rPr>
          <w:rFonts w:eastAsia="MS Mincho" w:cs="FrankRuehl" w:hint="cs"/>
          <w:rtl/>
        </w:rPr>
        <w:t>;</w:t>
      </w:r>
      <w:r w:rsidRPr="00AE02C1">
        <w:rPr>
          <w:rFonts w:eastAsia="MS Mincho" w:cs="FrankRuehl" w:hint="cs"/>
          <w:rtl/>
        </w:rPr>
        <w:t xml:space="preserve"> 3) חזרה על חלק מרשימת בנימין שהובאה בפרק ח (</w:t>
      </w:r>
      <w:r>
        <w:rPr>
          <w:rFonts w:eastAsia="MS Mincho" w:cs="FrankRuehl" w:hint="cs"/>
          <w:rtl/>
        </w:rPr>
        <w:t>35</w:t>
      </w:r>
      <w:r w:rsidRPr="00AE02C1">
        <w:rPr>
          <w:rFonts w:eastAsia="MS Mincho" w:cs="FrankRuehl" w:hint="cs"/>
          <w:rtl/>
        </w:rPr>
        <w:t>–</w:t>
      </w:r>
      <w:r>
        <w:rPr>
          <w:rFonts w:eastAsia="MS Mincho" w:cs="FrankRuehl" w:hint="cs"/>
          <w:rtl/>
        </w:rPr>
        <w:t>44</w:t>
      </w:r>
      <w:r w:rsidRPr="00AE02C1">
        <w:rPr>
          <w:rFonts w:eastAsia="MS Mincho" w:cs="FrankRuehl" w:hint="cs"/>
          <w:rtl/>
        </w:rPr>
        <w:t>).</w:t>
      </w:r>
    </w:p>
    <w:p w:rsidR="007E6555" w:rsidRPr="00AE02C1" w:rsidRDefault="007E6555" w:rsidP="007E6555">
      <w:pPr>
        <w:spacing w:line="360" w:lineRule="auto"/>
        <w:ind w:firstLine="720"/>
        <w:rPr>
          <w:rFonts w:eastAsia="MS Mincho" w:cs="FrankRuehl"/>
          <w:rtl/>
        </w:rPr>
      </w:pPr>
      <w:r w:rsidRPr="00AE02C1">
        <w:rPr>
          <w:rFonts w:eastAsia="MS Mincho" w:cs="FrankRuehl" w:hint="cs"/>
          <w:rtl/>
        </w:rPr>
        <w:t xml:space="preserve">רשימת שבטי ישראל נזכרת מספר פעמים במקרא, אך לסדר </w:t>
      </w:r>
      <w:r>
        <w:rPr>
          <w:rFonts w:eastAsia="MS Mincho" w:cs="FrankRuehl" w:hint="cs"/>
          <w:rtl/>
        </w:rPr>
        <w:t>השבטים ש</w:t>
      </w:r>
      <w:r w:rsidRPr="00AE02C1">
        <w:rPr>
          <w:rFonts w:eastAsia="MS Mincho" w:cs="FrankRuehl" w:hint="cs"/>
          <w:rtl/>
        </w:rPr>
        <w:t>בדה"א ב–ח אין מקבילה.</w:t>
      </w:r>
      <w:r w:rsidRPr="00AE02C1">
        <w:rPr>
          <w:rStyle w:val="a7"/>
          <w:rFonts w:eastAsia="MS Mincho" w:cs="FrankRuehl"/>
          <w:rtl/>
        </w:rPr>
        <w:footnoteReference w:id="9"/>
      </w:r>
      <w:r w:rsidRPr="00AE02C1">
        <w:rPr>
          <w:rFonts w:eastAsia="MS Mincho" w:cs="FrankRuehl" w:hint="cs"/>
          <w:rtl/>
        </w:rPr>
        <w:t xml:space="preserve"> </w:t>
      </w:r>
      <w:r>
        <w:rPr>
          <w:rFonts w:eastAsia="MS Mincho" w:cs="FrankRuehl" w:hint="cs"/>
          <w:rtl/>
        </w:rPr>
        <w:t>רבים מבין חוקריו המודרניים של הספר הקדישו דיונים לשאלת סדרם השונה של השבטים.</w:t>
      </w:r>
      <w:r>
        <w:rPr>
          <w:rStyle w:val="a7"/>
          <w:rFonts w:eastAsia="MS Mincho" w:cs="FrankRuehl"/>
          <w:rtl/>
        </w:rPr>
        <w:footnoteReference w:id="10"/>
      </w:r>
      <w:r>
        <w:rPr>
          <w:rFonts w:eastAsia="MS Mincho" w:cs="FrankRuehl" w:hint="cs"/>
          <w:rtl/>
        </w:rPr>
        <w:t xml:space="preserve"> בדרך כלל </w:t>
      </w:r>
      <w:r>
        <w:rPr>
          <w:rFonts w:eastAsia="MS Mincho" w:cs="FrankRuehl" w:hint="cs"/>
          <w:rtl/>
        </w:rPr>
        <w:lastRenderedPageBreak/>
        <w:t xml:space="preserve">החוקרים קושרים את סדר השבטים לאוריינטציה </w:t>
      </w:r>
      <w:proofErr w:type="spellStart"/>
      <w:r>
        <w:rPr>
          <w:rFonts w:eastAsia="MS Mincho" w:cs="FrankRuehl" w:hint="cs"/>
          <w:rtl/>
        </w:rPr>
        <w:t>היהודאית</w:t>
      </w:r>
      <w:proofErr w:type="spellEnd"/>
      <w:r>
        <w:rPr>
          <w:rFonts w:eastAsia="MS Mincho" w:cs="FrankRuehl" w:hint="cs"/>
          <w:rtl/>
        </w:rPr>
        <w:t xml:space="preserve"> המובהקת של מחבר דברי הימים</w:t>
      </w:r>
      <w:r>
        <w:rPr>
          <w:rStyle w:val="a7"/>
          <w:rFonts w:eastAsia="MS Mincho" w:cs="FrankRuehl"/>
          <w:rtl/>
        </w:rPr>
        <w:footnoteReference w:id="11"/>
      </w:r>
      <w:r>
        <w:rPr>
          <w:rFonts w:eastAsia="MS Mincho" w:cs="FrankRuehl" w:hint="cs"/>
          <w:rtl/>
        </w:rPr>
        <w:t xml:space="preserve"> ולשאיפתו להדגיש את פועלם החשוב של הלווים.</w:t>
      </w:r>
      <w:r>
        <w:rPr>
          <w:rStyle w:val="a7"/>
          <w:rFonts w:eastAsia="MS Mincho" w:cs="FrankRuehl"/>
          <w:rtl/>
        </w:rPr>
        <w:footnoteReference w:id="12"/>
      </w:r>
      <w:r>
        <w:rPr>
          <w:rFonts w:eastAsia="MS Mincho" w:cs="FrankRuehl" w:hint="cs"/>
          <w:rtl/>
        </w:rPr>
        <w:t xml:space="preserve"> המחבר מיקם את השבטים החשובים בעיניו בנקודות רבות משמעות ברשימה </w:t>
      </w:r>
      <w:r>
        <w:rPr>
          <w:rFonts w:eastAsia="MS Mincho" w:cs="FrankRuehl"/>
          <w:rtl/>
        </w:rPr>
        <w:t>–</w:t>
      </w:r>
      <w:r>
        <w:rPr>
          <w:rFonts w:eastAsia="MS Mincho" w:cs="FrankRuehl" w:hint="cs"/>
          <w:rtl/>
        </w:rPr>
        <w:t xml:space="preserve"> יהודה בראש, לוי באמצע הרשימה, ובנימין (שנטמע בשבט יהודה) בסופה. לצד זאת רבים מהחוקרים מציעים </w:t>
      </w:r>
      <w:r w:rsidRPr="00AE02C1">
        <w:rPr>
          <w:rFonts w:eastAsia="MS Mincho" w:cs="FrankRuehl" w:hint="cs"/>
          <w:rtl/>
        </w:rPr>
        <w:t xml:space="preserve">שהעיקרון הבונה </w:t>
      </w:r>
      <w:r>
        <w:rPr>
          <w:rFonts w:eastAsia="MS Mincho" w:cs="FrankRuehl" w:hint="cs"/>
          <w:rtl/>
        </w:rPr>
        <w:t xml:space="preserve">את הרשימה </w:t>
      </w:r>
      <w:r w:rsidRPr="00AE02C1">
        <w:rPr>
          <w:rFonts w:eastAsia="MS Mincho" w:cs="FrankRuehl" w:hint="cs"/>
          <w:rtl/>
        </w:rPr>
        <w:t>היה גיאוגרפי, הצעה שחייבה מספר הבהרות ותיקוני נוסח: מיהודה במרכז הארץ דרומה לשמעון, משם מזרחה וצפונה לשבטי עבר הירדן המזרחי, משם מערבה לשבטי צפון הארץ, ומשם דרומה חזרה אל שבטי המרכז. שבט לוי חסר הנחלה נזכר באמצע הרשימות. שבט זבולון נשמט מן הרשימה או לחילופין רשימת בני בנימין הראשונה היתה במקורה רשימת בני זבולון.</w:t>
      </w:r>
      <w:r w:rsidRPr="00AE02C1">
        <w:rPr>
          <w:rStyle w:val="a7"/>
          <w:rFonts w:eastAsia="MS Mincho" w:cs="FrankRuehl"/>
          <w:rtl/>
        </w:rPr>
        <w:footnoteReference w:id="13"/>
      </w:r>
      <w:r w:rsidRPr="00AE02C1">
        <w:rPr>
          <w:rFonts w:eastAsia="MS Mincho" w:cs="FrankRuehl" w:hint="cs"/>
          <w:rtl/>
        </w:rPr>
        <w:t xml:space="preserve"> גם שבט דן נשמט מן הרשימה, ואפשר שדה"א ז</w:t>
      </w:r>
      <w:r>
        <w:rPr>
          <w:rFonts w:eastAsia="MS Mincho" w:cs="FrankRuehl" w:hint="cs"/>
          <w:rtl/>
        </w:rPr>
        <w:t xml:space="preserve"> 12</w:t>
      </w:r>
      <w:r w:rsidRPr="00AE02C1">
        <w:rPr>
          <w:rFonts w:eastAsia="MS Mincho" w:cs="FrankRuehl" w:hint="cs"/>
          <w:rtl/>
        </w:rPr>
        <w:t xml:space="preserve"> הוא שריד שלה.</w:t>
      </w:r>
      <w:r w:rsidRPr="00AE02C1">
        <w:rPr>
          <w:rStyle w:val="a7"/>
          <w:rFonts w:eastAsia="MS Mincho" w:cs="FrankRuehl"/>
          <w:rtl/>
        </w:rPr>
        <w:footnoteReference w:id="14"/>
      </w:r>
      <w:r w:rsidRPr="00AE02C1">
        <w:rPr>
          <w:rFonts w:eastAsia="MS Mincho" w:cs="FrankRuehl" w:hint="cs"/>
          <w:rtl/>
        </w:rPr>
        <w:t xml:space="preserve"> שבט אשר שהובא בין שבטי מרכז הארץ חורג מן העיקרון הגיאוגרפי המוצע, ויש לשקול שמקומו המקורי היה בין שבטי הצפון. לחילופין יתכן שמקומו זה משקף תקופה היסטורית שבה פלג ממשפחות שבט אשר הִדרים והתיישב במרכז הארץ.</w:t>
      </w:r>
      <w:r w:rsidRPr="00AE02C1">
        <w:rPr>
          <w:rStyle w:val="a7"/>
          <w:rFonts w:eastAsia="MS Mincho" w:cs="FrankRuehl"/>
          <w:rtl/>
        </w:rPr>
        <w:footnoteReference w:id="15"/>
      </w:r>
      <w:r>
        <w:rPr>
          <w:rFonts w:eastAsia="MS Mincho" w:cs="FrankRuehl" w:hint="cs"/>
          <w:rtl/>
        </w:rPr>
        <w:t xml:space="preserve"> לפי זאת סדר השבטים בדה"א ב</w:t>
      </w:r>
      <w:r>
        <w:rPr>
          <w:rFonts w:eastAsia="MS Mincho" w:cs="FrankRuehl"/>
          <w:rtl/>
        </w:rPr>
        <w:t>–</w:t>
      </w:r>
      <w:r>
        <w:rPr>
          <w:rFonts w:eastAsia="MS Mincho" w:cs="FrankRuehl" w:hint="cs"/>
          <w:rtl/>
        </w:rPr>
        <w:t xml:space="preserve">ח הוא תוצר של שני שיקולים </w:t>
      </w:r>
      <w:r>
        <w:rPr>
          <w:rFonts w:eastAsia="MS Mincho" w:cs="FrankRuehl"/>
          <w:rtl/>
        </w:rPr>
        <w:t>–</w:t>
      </w:r>
      <w:r>
        <w:rPr>
          <w:rFonts w:eastAsia="MS Mincho" w:cs="FrankRuehl" w:hint="cs"/>
          <w:rtl/>
        </w:rPr>
        <w:t xml:space="preserve"> הראשון והמכריע שבהם הוא הנחת השבטים החשובים במקום בולט ברשימה, ו</w:t>
      </w:r>
      <w:r w:rsidRPr="00005419">
        <w:rPr>
          <w:rFonts w:eastAsia="MS Mincho" w:cs="FrankRuehl" w:hint="cs"/>
          <w:rtl/>
        </w:rPr>
        <w:t>מ</w:t>
      </w:r>
      <w:r w:rsidRPr="00005419">
        <w:rPr>
          <w:rFonts w:ascii="Arial" w:hAnsi="Arial" w:cs="FrankRuehl"/>
          <w:rtl/>
        </w:rPr>
        <w:t>ִ</w:t>
      </w:r>
      <w:r w:rsidRPr="00005419">
        <w:rPr>
          <w:rFonts w:eastAsia="MS Mincho" w:cs="FrankRuehl" w:hint="cs"/>
          <w:rtl/>
        </w:rPr>
        <w:t>שני</w:t>
      </w:r>
      <w:r>
        <w:rPr>
          <w:rFonts w:eastAsia="MS Mincho" w:cs="FrankRuehl" w:hint="cs"/>
          <w:rtl/>
        </w:rPr>
        <w:t xml:space="preserve"> לו הוא השיקול הגיאוגרפי.</w:t>
      </w:r>
    </w:p>
    <w:p w:rsidR="007E6555" w:rsidRPr="00AE02C1" w:rsidRDefault="007E6555" w:rsidP="007E6555">
      <w:pPr>
        <w:spacing w:line="360" w:lineRule="auto"/>
        <w:ind w:firstLine="720"/>
        <w:rPr>
          <w:rFonts w:eastAsia="MS Mincho" w:cs="FrankRuehl"/>
          <w:rtl/>
        </w:rPr>
      </w:pPr>
      <w:r w:rsidRPr="00AE02C1">
        <w:rPr>
          <w:rFonts w:eastAsia="MS Mincho" w:cs="FrankRuehl" w:hint="cs"/>
          <w:rtl/>
        </w:rPr>
        <w:t>סדרם המשתנה של השבטים כפי שמופיע במקומות שונים במקרא הטריד כבר את חז"ל,</w:t>
      </w:r>
      <w:r w:rsidRPr="00AE02C1">
        <w:rPr>
          <w:rStyle w:val="a7"/>
          <w:rFonts w:eastAsia="MS Mincho" w:cs="FrankRuehl"/>
          <w:rtl/>
        </w:rPr>
        <w:footnoteReference w:id="16"/>
      </w:r>
      <w:r w:rsidRPr="00AE02C1">
        <w:rPr>
          <w:rFonts w:eastAsia="MS Mincho" w:cs="FrankRuehl" w:hint="cs"/>
          <w:rtl/>
        </w:rPr>
        <w:t xml:space="preserve"> ועוד יותר מכך את פרשני ימי הביניים שחלקם אף ניסה לחשוף את עקרונות הסידור השונים.</w:t>
      </w:r>
      <w:r w:rsidRPr="00AE02C1">
        <w:rPr>
          <w:rStyle w:val="a7"/>
          <w:rFonts w:eastAsia="MS Mincho" w:cs="FrankRuehl"/>
          <w:rtl/>
        </w:rPr>
        <w:footnoteReference w:id="17"/>
      </w:r>
      <w:r w:rsidRPr="00AE02C1">
        <w:rPr>
          <w:rFonts w:eastAsia="MS Mincho" w:cs="FrankRuehl" w:hint="cs"/>
          <w:rtl/>
        </w:rPr>
        <w:t xml:space="preserve"> אין פלא על כן שרוב פרשניו של ספר דברי הימים התייחסו לסדרם של השבטים בדה"א ב–ח.</w:t>
      </w:r>
      <w:r w:rsidRPr="00AE02C1">
        <w:rPr>
          <w:rStyle w:val="a7"/>
          <w:rFonts w:eastAsia="MS Mincho" w:cs="FrankRuehl"/>
          <w:rtl/>
        </w:rPr>
        <w:footnoteReference w:id="18"/>
      </w:r>
      <w:r w:rsidRPr="00AE02C1">
        <w:rPr>
          <w:rFonts w:eastAsia="MS Mincho" w:cs="FrankRuehl" w:hint="cs"/>
          <w:rtl/>
        </w:rPr>
        <w:t xml:space="preserve"> אולם איש מהם לא הציג תמונה שיטתית וכוללת, ולמעשה נראה שהפרשנים לא ניסו לפתור עד תום את שאלת סדרם של השבטים. </w:t>
      </w:r>
    </w:p>
    <w:p w:rsidR="007E6555" w:rsidRPr="00AE02C1" w:rsidRDefault="007E6555" w:rsidP="007E6555">
      <w:pPr>
        <w:spacing w:line="360" w:lineRule="auto"/>
        <w:ind w:firstLine="720"/>
        <w:rPr>
          <w:rFonts w:eastAsia="MS Mincho" w:cs="FrankRuehl"/>
          <w:rtl/>
        </w:rPr>
      </w:pPr>
      <w:r w:rsidRPr="00AE02C1">
        <w:rPr>
          <w:rFonts w:eastAsia="MS Mincho" w:cs="FrankRuehl" w:hint="cs"/>
          <w:rtl/>
        </w:rPr>
        <w:t xml:space="preserve">יוצא מכלל זה הוא הפרשן האנונימי לספר דברי הימים המיוחס לתלמיד של רס"ג שחיבורו הוא </w:t>
      </w:r>
      <w:r>
        <w:rPr>
          <w:rFonts w:eastAsia="MS Mincho" w:cs="FrankRuehl" w:hint="cs"/>
          <w:rtl/>
        </w:rPr>
        <w:t xml:space="preserve">מן </w:t>
      </w:r>
      <w:r w:rsidRPr="00AE02C1">
        <w:rPr>
          <w:rFonts w:eastAsia="MS Mincho" w:cs="FrankRuehl" w:hint="cs"/>
          <w:rtl/>
        </w:rPr>
        <w:t>הפירוש</w:t>
      </w:r>
      <w:r>
        <w:rPr>
          <w:rFonts w:eastAsia="MS Mincho" w:cs="FrankRuehl" w:hint="cs"/>
          <w:rtl/>
        </w:rPr>
        <w:t>ים המוקדמים</w:t>
      </w:r>
      <w:r w:rsidRPr="00AE02C1">
        <w:rPr>
          <w:rFonts w:eastAsia="MS Mincho" w:cs="FrankRuehl" w:hint="cs"/>
          <w:rtl/>
        </w:rPr>
        <w:t xml:space="preserve"> ביותר שיש בידינו לספר.</w:t>
      </w:r>
      <w:r w:rsidRPr="00AE02C1">
        <w:rPr>
          <w:rStyle w:val="a7"/>
          <w:rFonts w:ascii="Arial" w:hAnsi="Arial" w:cs="FrankRuehl"/>
          <w:rtl/>
        </w:rPr>
        <w:footnoteReference w:id="19"/>
      </w:r>
      <w:r w:rsidRPr="00AE02C1">
        <w:rPr>
          <w:rFonts w:ascii="Arial" w:hAnsi="Arial" w:cs="FrankRuehl"/>
          <w:rtl/>
        </w:rPr>
        <w:t xml:space="preserve"> </w:t>
      </w:r>
      <w:r w:rsidRPr="00AE02C1">
        <w:rPr>
          <w:rFonts w:eastAsia="MS Mincho" w:cs="FrankRuehl" w:hint="cs"/>
          <w:rtl/>
        </w:rPr>
        <w:t>מוצאו של מחבר הפירוש</w:t>
      </w:r>
      <w:r>
        <w:rPr>
          <w:rFonts w:eastAsia="MS Mincho" w:cs="FrankRuehl" w:hint="cs"/>
          <w:rtl/>
        </w:rPr>
        <w:t>, ככל הנראה,</w:t>
      </w:r>
      <w:r w:rsidRPr="00AE02C1">
        <w:rPr>
          <w:rFonts w:eastAsia="MS Mincho" w:cs="FrankRuehl" w:hint="cs"/>
          <w:rtl/>
        </w:rPr>
        <w:t xml:space="preserve"> מחוג תלמידיו של רס"ג והוא פעל במפנה המאות </w:t>
      </w:r>
      <w:r>
        <w:rPr>
          <w:rFonts w:eastAsia="MS Mincho" w:cs="FrankRuehl" w:hint="cs"/>
          <w:rtl/>
        </w:rPr>
        <w:t>העשירית והאחת עשרה</w:t>
      </w:r>
      <w:r w:rsidRPr="00AE02C1">
        <w:rPr>
          <w:rFonts w:eastAsia="MS Mincho" w:cs="FrankRuehl" w:hint="cs"/>
          <w:rtl/>
        </w:rPr>
        <w:t xml:space="preserve">. </w:t>
      </w:r>
      <w:r>
        <w:rPr>
          <w:rFonts w:eastAsia="MS Mincho" w:cs="FrankRuehl" w:hint="cs"/>
          <w:rtl/>
        </w:rPr>
        <w:t>הפירוש משקף תערובת של מאפיינים מזרחיים ואירופאים ו</w:t>
      </w:r>
      <w:r w:rsidRPr="00AE02C1">
        <w:rPr>
          <w:rFonts w:eastAsia="MS Mincho" w:cs="FrankRuehl" w:hint="cs"/>
          <w:rtl/>
        </w:rPr>
        <w:t>השפעתו ניכרת דווקא באירופה הלטינית</w:t>
      </w:r>
      <w:r>
        <w:rPr>
          <w:rFonts w:eastAsia="MS Mincho" w:cs="FrankRuehl" w:hint="cs"/>
          <w:rtl/>
        </w:rPr>
        <w:t>.</w:t>
      </w:r>
      <w:r w:rsidRPr="00AE02C1">
        <w:rPr>
          <w:rFonts w:eastAsia="MS Mincho" w:cs="FrankRuehl" w:hint="cs"/>
          <w:rtl/>
        </w:rPr>
        <w:t xml:space="preserve"> יש מקום לסברה </w:t>
      </w:r>
      <w:r>
        <w:rPr>
          <w:rFonts w:eastAsia="MS Mincho" w:cs="FrankRuehl" w:hint="cs"/>
          <w:rtl/>
        </w:rPr>
        <w:t xml:space="preserve">שהפרשן גדל בארץ הנתונה לשליטת האסלאם אך </w:t>
      </w:r>
      <w:r w:rsidRPr="00AE02C1">
        <w:rPr>
          <w:rFonts w:eastAsia="MS Mincho" w:cs="FrankRuehl" w:hint="cs"/>
          <w:rtl/>
        </w:rPr>
        <w:t>כתב את פירושו במרחב התרבות הצרפתית</w:t>
      </w:r>
      <w:r>
        <w:rPr>
          <w:rFonts w:eastAsia="MS Mincho" w:cs="FrankRuehl" w:hint="cs"/>
          <w:rtl/>
        </w:rPr>
        <w:t xml:space="preserve">, ככל הנראה </w:t>
      </w:r>
      <w:proofErr w:type="spellStart"/>
      <w:r>
        <w:rPr>
          <w:rFonts w:eastAsia="MS Mincho" w:cs="FrankRuehl" w:hint="cs"/>
          <w:rtl/>
        </w:rPr>
        <w:t>בפרובאנס</w:t>
      </w:r>
      <w:proofErr w:type="spellEnd"/>
      <w:r w:rsidRPr="00AE02C1">
        <w:rPr>
          <w:rFonts w:eastAsia="MS Mincho" w:cs="FrankRuehl" w:hint="cs"/>
          <w:rtl/>
        </w:rPr>
        <w:t>.</w:t>
      </w:r>
      <w:r w:rsidRPr="00AE02C1">
        <w:rPr>
          <w:rStyle w:val="a7"/>
          <w:rFonts w:eastAsia="MS Mincho" w:cs="FrankRuehl"/>
          <w:rtl/>
        </w:rPr>
        <w:footnoteReference w:id="20"/>
      </w:r>
      <w:r w:rsidRPr="00AE02C1">
        <w:rPr>
          <w:rFonts w:eastAsia="MS Mincho" w:cs="FrankRuehl" w:hint="cs"/>
          <w:rtl/>
        </w:rPr>
        <w:t xml:space="preserve"> פרשן זה הקדיש תשומת לב </w:t>
      </w:r>
      <w:r>
        <w:rPr>
          <w:rFonts w:eastAsia="MS Mincho" w:cs="FrankRuehl" w:hint="cs"/>
          <w:rtl/>
        </w:rPr>
        <w:t>מסוימת</w:t>
      </w:r>
      <w:r w:rsidRPr="00AE02C1">
        <w:rPr>
          <w:rFonts w:eastAsia="MS Mincho" w:cs="FrankRuehl" w:hint="cs"/>
          <w:rtl/>
        </w:rPr>
        <w:t xml:space="preserve"> לעניינים ספרותיים, ובתוך כך לשאלות של מבנה וקומפוזיציה, אולם בדרך כלל הוא אינו חושף את עמדותיו באופן שיטתי ומפורש. דפוס סגנוני זה מאפיין גם את דרך טיפולו בסוגיית </w:t>
      </w:r>
      <w:r>
        <w:rPr>
          <w:rFonts w:eastAsia="MS Mincho" w:cs="FrankRuehl" w:hint="cs"/>
          <w:rtl/>
        </w:rPr>
        <w:t>סדר</w:t>
      </w:r>
      <w:r w:rsidRPr="00AE02C1">
        <w:rPr>
          <w:rFonts w:eastAsia="MS Mincho" w:cs="FrankRuehl" w:hint="cs"/>
          <w:rtl/>
        </w:rPr>
        <w:t xml:space="preserve"> רשימות השבטים בפרקי היחס</w:t>
      </w:r>
      <w:r>
        <w:rPr>
          <w:rFonts w:eastAsia="MS Mincho" w:cs="FrankRuehl" w:hint="cs"/>
          <w:rtl/>
        </w:rPr>
        <w:t>.</w:t>
      </w:r>
      <w:r w:rsidRPr="00AE02C1">
        <w:rPr>
          <w:rFonts w:eastAsia="MS Mincho" w:cs="FrankRuehl" w:hint="cs"/>
          <w:rtl/>
        </w:rPr>
        <w:t xml:space="preserve"> כדי לעמוד על עמדתו בסוגיה יש לאסוף את היגדיו הרלוונטיים הפזורים לאורך הפירוש, ולחברם זה לזה לכדי תמונה כוללת. </w:t>
      </w:r>
      <w:r>
        <w:rPr>
          <w:rFonts w:eastAsia="MS Mincho" w:cs="FrankRuehl" w:hint="cs"/>
          <w:rtl/>
        </w:rPr>
        <w:t>בעמודים הבאים אציג ניתוח של ה</w:t>
      </w:r>
      <w:r w:rsidRPr="00AE02C1">
        <w:rPr>
          <w:rFonts w:eastAsia="MS Mincho" w:cs="FrankRuehl" w:hint="cs"/>
          <w:rtl/>
        </w:rPr>
        <w:t>יגדי</w:t>
      </w:r>
      <w:r>
        <w:rPr>
          <w:rFonts w:eastAsia="MS Mincho" w:cs="FrankRuehl" w:hint="cs"/>
          <w:rtl/>
        </w:rPr>
        <w:t>ו</w:t>
      </w:r>
      <w:r w:rsidRPr="00AE02C1">
        <w:rPr>
          <w:rFonts w:eastAsia="MS Mincho" w:cs="FrankRuehl" w:hint="cs"/>
          <w:rtl/>
        </w:rPr>
        <w:t xml:space="preserve"> </w:t>
      </w:r>
      <w:r>
        <w:rPr>
          <w:rFonts w:eastAsia="MS Mincho" w:cs="FrankRuehl" w:hint="cs"/>
          <w:rtl/>
        </w:rPr>
        <w:t>א</w:t>
      </w:r>
      <w:r w:rsidRPr="00AE02C1">
        <w:rPr>
          <w:rFonts w:eastAsia="MS Mincho" w:cs="FrankRuehl" w:hint="cs"/>
          <w:rtl/>
        </w:rPr>
        <w:t>לו.</w:t>
      </w:r>
      <w:r>
        <w:rPr>
          <w:rFonts w:eastAsia="MS Mincho" w:cs="FrankRuehl" w:hint="cs"/>
          <w:rtl/>
        </w:rPr>
        <w:t xml:space="preserve"> כפי שיתברר, כמה מהצעותיו של המיוחס לתלמיד רס"ג קרובות להצעות המקובלות במחקר המודרני ואילו כמה מהן שונות מאוד מרוח המחקר המודרני הפילולוגי-היסטורי. כך או כך הערותיו של פרשן אנונימי זה הן הניסיון המוקדם ביותר להציג הסבר </w:t>
      </w:r>
      <w:r>
        <w:rPr>
          <w:rFonts w:eastAsia="MS Mincho" w:cs="FrankRuehl" w:hint="cs"/>
          <w:rtl/>
        </w:rPr>
        <w:lastRenderedPageBreak/>
        <w:t>שיטתי לשאלת סדרם של השבטים בפרקי היחס שבדברי הימים, וככזה שמור לו מקום מיוחד בהיסטוריה של מחקר הספר.</w:t>
      </w:r>
    </w:p>
    <w:p w:rsidR="007E6555" w:rsidRPr="00AE02C1" w:rsidRDefault="007E6555" w:rsidP="007E6555">
      <w:pPr>
        <w:spacing w:line="360" w:lineRule="auto"/>
        <w:rPr>
          <w:rFonts w:eastAsia="MS Mincho" w:cs="FrankRuehl"/>
          <w:rtl/>
        </w:rPr>
      </w:pPr>
    </w:p>
    <w:p w:rsidR="007E6555" w:rsidRDefault="007E6555" w:rsidP="007E6555">
      <w:pPr>
        <w:spacing w:line="360" w:lineRule="auto"/>
        <w:rPr>
          <w:rFonts w:eastAsia="MS Mincho" w:cs="FrankRuehl"/>
          <w:rtl/>
        </w:rPr>
      </w:pPr>
      <w:r>
        <w:rPr>
          <w:rFonts w:eastAsia="MS Mincho" w:cs="FrankRuehl" w:hint="cs"/>
          <w:rtl/>
        </w:rPr>
        <w:t>[ב]</w:t>
      </w:r>
    </w:p>
    <w:p w:rsidR="007E6555" w:rsidRPr="00AE02C1" w:rsidRDefault="007E6555" w:rsidP="007E6555">
      <w:pPr>
        <w:spacing w:line="360" w:lineRule="auto"/>
        <w:rPr>
          <w:rFonts w:eastAsia="MS Mincho" w:cs="FrankRuehl"/>
          <w:rtl/>
        </w:rPr>
      </w:pPr>
      <w:r w:rsidRPr="00AE02C1">
        <w:rPr>
          <w:rFonts w:eastAsia="MS Mincho" w:cs="FrankRuehl" w:hint="cs"/>
          <w:rtl/>
        </w:rPr>
        <w:t>בפירוש לדה"א ב</w:t>
      </w:r>
      <w:r>
        <w:rPr>
          <w:rFonts w:eastAsia="MS Mincho" w:cs="FrankRuehl" w:hint="cs"/>
          <w:rtl/>
        </w:rPr>
        <w:t xml:space="preserve"> 1</w:t>
      </w:r>
      <w:r w:rsidRPr="00AE02C1">
        <w:rPr>
          <w:rFonts w:eastAsia="MS Mincho" w:cs="FrankRuehl" w:hint="cs"/>
          <w:rtl/>
        </w:rPr>
        <w:t xml:space="preserve"> הפרשן עומד על כך שמחבר הספר, הוא עזרא,</w:t>
      </w:r>
      <w:r w:rsidRPr="00AE02C1">
        <w:rPr>
          <w:rStyle w:val="a7"/>
          <w:rFonts w:eastAsia="MS Mincho" w:cs="FrankRuehl"/>
          <w:rtl/>
        </w:rPr>
        <w:footnoteReference w:id="21"/>
      </w:r>
      <w:r w:rsidRPr="00AE02C1">
        <w:rPr>
          <w:rFonts w:eastAsia="MS Mincho" w:cs="FrankRuehl" w:hint="cs"/>
          <w:rtl/>
        </w:rPr>
        <w:t xml:space="preserve"> לא בנה את סדר רשימות היחס בפרקים ב–ח לפי סדר הולדתם של אבות השבטים, אלא הוא מתחיל ביהודה, ממשיך בשמעון ורק אחריו מפרט את בני ראובן: </w:t>
      </w:r>
    </w:p>
    <w:p w:rsidR="007E6555" w:rsidRPr="00AE02C1" w:rsidRDefault="007E6555" w:rsidP="007E6555">
      <w:pPr>
        <w:spacing w:line="360" w:lineRule="auto"/>
        <w:ind w:left="720"/>
        <w:rPr>
          <w:rFonts w:eastAsia="MS Mincho" w:cs="FrankRuehl"/>
          <w:rtl/>
        </w:rPr>
      </w:pPr>
      <w:r w:rsidRPr="00351CA3">
        <w:rPr>
          <w:rFonts w:eastAsia="MS Mincho" w:cs="FrankRuehl"/>
          <w:sz w:val="20"/>
          <w:szCs w:val="20"/>
        </w:rPr>
        <w:t>These are the sons of Israel</w:t>
      </w:r>
      <w:r w:rsidRPr="006C514F">
        <w:rPr>
          <w:rFonts w:eastAsia="MS Mincho" w:cs="FrankRuehl" w:hint="cs"/>
          <w:color w:val="FF0000"/>
          <w:rtl/>
        </w:rPr>
        <w:t xml:space="preserve"> </w:t>
      </w:r>
      <w:r w:rsidRPr="00AE02C1">
        <w:rPr>
          <w:rFonts w:eastAsia="MS Mincho" w:cs="FrankRuehl"/>
          <w:rtl/>
        </w:rPr>
        <w:t>–</w:t>
      </w:r>
      <w:r w:rsidRPr="00AE02C1">
        <w:rPr>
          <w:rFonts w:eastAsia="MS Mincho" w:cs="FrankRuehl" w:hint="cs"/>
          <w:rtl/>
        </w:rPr>
        <w:t xml:space="preserve"> </w:t>
      </w:r>
      <w:r>
        <w:rPr>
          <w:rFonts w:eastAsia="MS Mincho" w:cs="FrankRuehl" w:hint="cs"/>
          <w:rtl/>
        </w:rPr>
        <w:t>'</w:t>
      </w:r>
      <w:r w:rsidRPr="00AE02C1">
        <w:rPr>
          <w:rFonts w:eastAsia="MS Mincho" w:cs="FrankRuehl" w:hint="cs"/>
          <w:rtl/>
        </w:rPr>
        <w:t>בני יהודה</w:t>
      </w:r>
      <w:r>
        <w:rPr>
          <w:rFonts w:eastAsia="MS Mincho" w:cs="FrankRuehl" w:hint="cs"/>
          <w:rtl/>
        </w:rPr>
        <w:t>'</w:t>
      </w:r>
      <w:r w:rsidRPr="00AE02C1">
        <w:rPr>
          <w:rFonts w:eastAsia="MS Mincho" w:cs="FrankRuehl" w:hint="cs"/>
          <w:rtl/>
        </w:rPr>
        <w:t xml:space="preserve"> [פס' </w:t>
      </w:r>
      <w:proofErr w:type="gramStart"/>
      <w:r>
        <w:rPr>
          <w:rFonts w:eastAsia="MS Mincho" w:cs="FrankRuehl" w:hint="cs"/>
          <w:rtl/>
        </w:rPr>
        <w:t>3</w:t>
      </w:r>
      <w:proofErr w:type="gramEnd"/>
      <w:r w:rsidRPr="00AE02C1">
        <w:rPr>
          <w:rFonts w:eastAsia="MS Mincho" w:cs="FrankRuehl" w:hint="cs"/>
          <w:rtl/>
        </w:rPr>
        <w:t xml:space="preserve">], והיה ליחס </w:t>
      </w:r>
      <w:proofErr w:type="spellStart"/>
      <w:r w:rsidRPr="00AE02C1">
        <w:rPr>
          <w:rFonts w:eastAsia="MS Mincho" w:cs="FrankRuehl" w:hint="cs"/>
          <w:rtl/>
        </w:rPr>
        <w:t>כתולדותם</w:t>
      </w:r>
      <w:proofErr w:type="spellEnd"/>
      <w:r>
        <w:rPr>
          <w:rFonts w:eastAsia="MS Mincho" w:cs="FrankRuehl" w:hint="cs"/>
          <w:rtl/>
        </w:rPr>
        <w:t xml:space="preserve"> [=לפי סדר הולדתם]</w:t>
      </w:r>
      <w:r w:rsidRPr="00AE02C1">
        <w:rPr>
          <w:rFonts w:eastAsia="MS Mincho" w:cs="FrankRuehl" w:hint="cs"/>
          <w:rtl/>
        </w:rPr>
        <w:t>, אבל ייחס יהודה להביא ענין המלכות</w:t>
      </w:r>
      <w:r>
        <w:rPr>
          <w:rFonts w:eastAsia="MS Mincho" w:cs="FrankRuehl" w:hint="cs"/>
          <w:rtl/>
        </w:rPr>
        <w:t>,</w:t>
      </w:r>
      <w:r w:rsidRPr="00AE02C1">
        <w:rPr>
          <w:rFonts w:eastAsia="MS Mincho" w:cs="FrankRuehl" w:hint="cs"/>
          <w:rtl/>
        </w:rPr>
        <w:t xml:space="preserve"> ואחר כך ייחס שמעון לפי שהיה מובלע בתוך נחלת יהודה. </w:t>
      </w:r>
    </w:p>
    <w:p w:rsidR="007E6555" w:rsidRPr="00AE02C1" w:rsidRDefault="007E6555" w:rsidP="007E6555">
      <w:pPr>
        <w:spacing w:line="360" w:lineRule="auto"/>
        <w:rPr>
          <w:rFonts w:eastAsia="MS Mincho" w:cs="FrankRuehl"/>
          <w:rtl/>
        </w:rPr>
      </w:pPr>
      <w:r w:rsidRPr="00AE02C1">
        <w:rPr>
          <w:rFonts w:eastAsia="MS Mincho" w:cs="FrankRuehl" w:hint="cs"/>
          <w:rtl/>
        </w:rPr>
        <w:t xml:space="preserve">לדבריו המחבר הקדים את יהודה לראובן מטעם ענייני: המלכות. משתמע מכך כי חשיבותו של שבט </w:t>
      </w:r>
      <w:r w:rsidRPr="00AE02C1">
        <w:rPr>
          <w:rFonts w:eastAsia="MS Mincho" w:cs="FrankRuehl"/>
          <w:rtl/>
        </w:rPr>
        <w:t xml:space="preserve">יהודה לאורך הדורות היא אשר </w:t>
      </w:r>
      <w:r w:rsidRPr="00AE02C1">
        <w:rPr>
          <w:rFonts w:eastAsia="MS Mincho" w:cs="FrankRuehl" w:hint="cs"/>
          <w:rtl/>
        </w:rPr>
        <w:t>הניעה אותו</w:t>
      </w:r>
      <w:r w:rsidRPr="00AE02C1">
        <w:rPr>
          <w:rFonts w:eastAsia="MS Mincho" w:cs="FrankRuehl"/>
          <w:rtl/>
        </w:rPr>
        <w:t xml:space="preserve"> להעמידו בראש השבטים. </w:t>
      </w:r>
      <w:r w:rsidRPr="00AE02C1">
        <w:rPr>
          <w:rFonts w:cs="FrankRuehl" w:hint="cs"/>
          <w:rtl/>
        </w:rPr>
        <w:t>במספר מקומות ציין הפרשן ששאיפתו של מחבר</w:t>
      </w:r>
      <w:r w:rsidRPr="00AE02C1">
        <w:rPr>
          <w:rFonts w:cs="FrankRuehl"/>
          <w:rtl/>
        </w:rPr>
        <w:t xml:space="preserve"> דברי הימים לרומם את ש</w:t>
      </w:r>
      <w:r w:rsidRPr="00AE02C1">
        <w:rPr>
          <w:rFonts w:cs="FrankRuehl" w:hint="cs"/>
          <w:rtl/>
        </w:rPr>
        <w:t>ְ</w:t>
      </w:r>
      <w:r w:rsidRPr="00AE02C1">
        <w:rPr>
          <w:rFonts w:cs="FrankRuehl"/>
          <w:rtl/>
        </w:rPr>
        <w:t>מ</w:t>
      </w:r>
      <w:r w:rsidRPr="00AE02C1">
        <w:rPr>
          <w:rFonts w:cs="FrankRuehl" w:hint="cs"/>
          <w:rtl/>
        </w:rPr>
        <w:t>ָן של דמויות מופת</w:t>
      </w:r>
      <w:r w:rsidRPr="00AE02C1">
        <w:rPr>
          <w:rFonts w:cs="FrankRuehl"/>
          <w:rtl/>
        </w:rPr>
        <w:t xml:space="preserve"> השפיע</w:t>
      </w:r>
      <w:r w:rsidRPr="00AE02C1">
        <w:rPr>
          <w:rFonts w:cs="FrankRuehl" w:hint="cs"/>
          <w:rtl/>
        </w:rPr>
        <w:t>ה</w:t>
      </w:r>
      <w:r w:rsidRPr="00AE02C1">
        <w:rPr>
          <w:rFonts w:cs="FrankRuehl"/>
          <w:rtl/>
        </w:rPr>
        <w:t xml:space="preserve"> על תוכנו </w:t>
      </w:r>
      <w:r w:rsidRPr="00AE02C1">
        <w:rPr>
          <w:rFonts w:cs="FrankRuehl" w:hint="cs"/>
          <w:rtl/>
        </w:rPr>
        <w:t>וסדר ענייניו</w:t>
      </w:r>
      <w:r w:rsidRPr="00AE02C1">
        <w:rPr>
          <w:rFonts w:cs="FrankRuehl"/>
          <w:rtl/>
        </w:rPr>
        <w:t xml:space="preserve"> של הספר</w:t>
      </w:r>
      <w:r w:rsidRPr="00AE02C1">
        <w:rPr>
          <w:rFonts w:cs="FrankRuehl" w:hint="cs"/>
          <w:rtl/>
        </w:rPr>
        <w:t>,</w:t>
      </w:r>
      <w:r w:rsidRPr="00AE02C1">
        <w:rPr>
          <w:rStyle w:val="a7"/>
          <w:rFonts w:cs="FrankRuehl"/>
          <w:rtl/>
        </w:rPr>
        <w:footnoteReference w:id="22"/>
      </w:r>
      <w:r w:rsidRPr="00AE02C1">
        <w:rPr>
          <w:rFonts w:cs="FrankRuehl" w:hint="cs"/>
          <w:rtl/>
        </w:rPr>
        <w:t xml:space="preserve"> ונראה </w:t>
      </w:r>
      <w:r>
        <w:rPr>
          <w:rFonts w:cs="FrankRuehl" w:hint="cs"/>
          <w:rtl/>
        </w:rPr>
        <w:t xml:space="preserve">כי </w:t>
      </w:r>
      <w:r w:rsidRPr="00AE02C1">
        <w:rPr>
          <w:rFonts w:cs="FrankRuehl" w:hint="cs"/>
          <w:rtl/>
        </w:rPr>
        <w:t>את הקדמת יחס יהודה לראובן יש לשייך</w:t>
      </w:r>
      <w:r>
        <w:rPr>
          <w:rFonts w:cs="FrankRuehl" w:hint="cs"/>
          <w:rtl/>
        </w:rPr>
        <w:t xml:space="preserve"> לתופע</w:t>
      </w:r>
      <w:r w:rsidRPr="00AE02C1">
        <w:rPr>
          <w:rFonts w:cs="FrankRuehl" w:hint="cs"/>
          <w:rtl/>
        </w:rPr>
        <w:t xml:space="preserve">ה זו. </w:t>
      </w:r>
      <w:r w:rsidRPr="00AE02C1">
        <w:rPr>
          <w:rFonts w:eastAsia="MS Mincho" w:cs="FrankRuehl"/>
          <w:rtl/>
        </w:rPr>
        <w:t>ליהודה הוא הצמיד את שמעון</w:t>
      </w:r>
      <w:r w:rsidRPr="00AE02C1">
        <w:rPr>
          <w:rFonts w:eastAsia="MS Mincho" w:cs="FrankRuehl" w:hint="cs"/>
          <w:rtl/>
        </w:rPr>
        <w:t xml:space="preserve"> מטעם גיאוגרפי – נחלת שמעון היא מובלעת בתוך נחלת יהודה.</w:t>
      </w:r>
      <w:r w:rsidRPr="00AE02C1">
        <w:rPr>
          <w:rStyle w:val="a7"/>
          <w:rFonts w:eastAsia="MS Mincho" w:cs="FrankRuehl"/>
          <w:rtl/>
        </w:rPr>
        <w:footnoteReference w:id="23"/>
      </w:r>
      <w:r w:rsidRPr="00AE02C1">
        <w:rPr>
          <w:rFonts w:eastAsia="MS Mincho" w:cs="FrankRuehl" w:hint="cs"/>
          <w:rtl/>
        </w:rPr>
        <w:t xml:space="preserve"> </w:t>
      </w:r>
      <w:r w:rsidRPr="00AE02C1">
        <w:rPr>
          <w:rFonts w:cs="FrankRuehl" w:hint="cs"/>
          <w:rtl/>
        </w:rPr>
        <w:t>מכלל דבריו ברור כי סדר ההולדה של אבות השבטים הוא העיקרון הבסיסי הבונה את סדרם של אילנות היחס. אך עיקרון סידור זה דומיננטי פחות משיקולים ענייניים וגיאוגרפיים המכתיבים סדר אחר.</w:t>
      </w:r>
    </w:p>
    <w:p w:rsidR="007E6555" w:rsidRPr="00AE02C1" w:rsidRDefault="007E6555" w:rsidP="007E6555">
      <w:pPr>
        <w:spacing w:line="360" w:lineRule="auto"/>
        <w:ind w:firstLine="720"/>
        <w:rPr>
          <w:rFonts w:eastAsia="MS Mincho" w:cs="FrankRuehl"/>
          <w:rtl/>
        </w:rPr>
      </w:pPr>
      <w:r w:rsidRPr="00AE02C1">
        <w:rPr>
          <w:rFonts w:eastAsia="MS Mincho" w:cs="FrankRuehl" w:hint="cs"/>
          <w:rtl/>
        </w:rPr>
        <w:t>שיקולי סידור אלה משתמעים גם בפירוש לדה"א ד</w:t>
      </w:r>
      <w:r>
        <w:rPr>
          <w:rFonts w:eastAsia="MS Mincho" w:cs="FrankRuehl" w:hint="cs"/>
          <w:rtl/>
        </w:rPr>
        <w:t xml:space="preserve"> 24</w:t>
      </w:r>
      <w:r w:rsidRPr="00AE02C1">
        <w:rPr>
          <w:rFonts w:eastAsia="MS Mincho" w:cs="FrankRuehl" w:hint="cs"/>
          <w:rtl/>
        </w:rPr>
        <w:t xml:space="preserve">: </w:t>
      </w:r>
    </w:p>
    <w:p w:rsidR="007E6555" w:rsidRPr="00AE02C1" w:rsidRDefault="007E6555" w:rsidP="00627258">
      <w:pPr>
        <w:spacing w:line="360" w:lineRule="auto"/>
        <w:ind w:left="720"/>
        <w:rPr>
          <w:rFonts w:eastAsia="MS Mincho" w:cs="FrankRuehl"/>
          <w:rtl/>
        </w:rPr>
      </w:pPr>
      <w:r w:rsidRPr="00AE02C1">
        <w:rPr>
          <w:rFonts w:eastAsia="MS Mincho" w:cs="FrankRuehl" w:hint="cs"/>
          <w:rtl/>
        </w:rPr>
        <w:t>ומפני כבוד המלכות ייחס יהודה בתח</w:t>
      </w:r>
      <w:r>
        <w:rPr>
          <w:rFonts w:eastAsia="MS Mincho" w:cs="FrankRuehl" w:hint="cs"/>
          <w:rtl/>
        </w:rPr>
        <w:t>י</w:t>
      </w:r>
      <w:r w:rsidRPr="00AE02C1">
        <w:rPr>
          <w:rFonts w:eastAsia="MS Mincho" w:cs="FrankRuehl" w:hint="cs"/>
          <w:rtl/>
        </w:rPr>
        <w:t>לה ולשמעון אחריו, כי היתה נחלת שמעון מובלעת בתוך בני יהודה ושניהם בחבל אחד כלולים</w:t>
      </w:r>
      <w:r w:rsidR="00627258">
        <w:rPr>
          <w:rFonts w:eastAsia="MS Mincho" w:cs="FrankRuehl" w:hint="cs"/>
          <w:rtl/>
        </w:rPr>
        <w:t>.</w:t>
      </w:r>
      <w:r w:rsidRPr="00351CA3">
        <w:rPr>
          <w:rStyle w:val="a7"/>
          <w:rFonts w:eastAsia="MS Mincho" w:cs="FrankRuehl"/>
          <w:sz w:val="20"/>
          <w:szCs w:val="20"/>
        </w:rPr>
        <w:footnoteReference w:id="24"/>
      </w:r>
      <w:r w:rsidRPr="00AE02C1">
        <w:rPr>
          <w:rFonts w:eastAsia="MS Mincho" w:cs="FrankRuehl" w:hint="cs"/>
          <w:rtl/>
        </w:rPr>
        <w:t xml:space="preserve"> </w:t>
      </w:r>
    </w:p>
    <w:p w:rsidR="007E6555" w:rsidRPr="00AE02C1" w:rsidRDefault="007E6555" w:rsidP="007E6555">
      <w:pPr>
        <w:spacing w:line="360" w:lineRule="auto"/>
        <w:rPr>
          <w:rFonts w:eastAsia="MS Mincho" w:cs="FrankRuehl"/>
          <w:rtl/>
        </w:rPr>
      </w:pPr>
      <w:r w:rsidRPr="00AE02C1">
        <w:rPr>
          <w:rFonts w:eastAsia="MS Mincho" w:cs="FrankRuehl" w:hint="cs"/>
          <w:rtl/>
        </w:rPr>
        <w:t>לעומת זאת, בפירוש לדה"א ה</w:t>
      </w:r>
      <w:r>
        <w:rPr>
          <w:rFonts w:eastAsia="MS Mincho" w:cs="FrankRuehl" w:hint="cs"/>
          <w:rtl/>
        </w:rPr>
        <w:t xml:space="preserve"> 1</w:t>
      </w:r>
      <w:r w:rsidRPr="00AE02C1">
        <w:rPr>
          <w:rFonts w:eastAsia="MS Mincho" w:cs="FrankRuehl" w:hint="cs"/>
          <w:rtl/>
        </w:rPr>
        <w:t xml:space="preserve"> הפרשן כותב: </w:t>
      </w:r>
    </w:p>
    <w:p w:rsidR="007E6555" w:rsidRPr="00AE02C1" w:rsidRDefault="007E6555" w:rsidP="00136565">
      <w:pPr>
        <w:spacing w:line="360" w:lineRule="auto"/>
        <w:ind w:left="720"/>
        <w:rPr>
          <w:rFonts w:eastAsia="MS Mincho" w:cs="FrankRuehl"/>
          <w:rtl/>
        </w:rPr>
      </w:pPr>
      <w:r w:rsidRPr="00B34E53">
        <w:rPr>
          <w:rFonts w:eastAsia="MS Mincho" w:cs="FrankRuehl"/>
          <w:sz w:val="20"/>
          <w:szCs w:val="20"/>
        </w:rPr>
        <w:t>The sons of Reuben the first-born of Israel</w:t>
      </w:r>
      <w:r>
        <w:rPr>
          <w:rFonts w:eastAsia="MS Mincho" w:cs="FrankRuehl" w:hint="cs"/>
          <w:color w:val="FF0000"/>
          <w:rtl/>
        </w:rPr>
        <w:t xml:space="preserve"> </w:t>
      </w:r>
      <w:r w:rsidRPr="00AE02C1">
        <w:rPr>
          <w:rFonts w:eastAsia="MS Mincho" w:cs="FrankRuehl"/>
          <w:rtl/>
        </w:rPr>
        <w:t>–</w:t>
      </w:r>
      <w:r w:rsidRPr="00AE02C1">
        <w:rPr>
          <w:rFonts w:eastAsia="MS Mincho" w:cs="FrankRuehl" w:hint="cs"/>
          <w:rtl/>
        </w:rPr>
        <w:t xml:space="preserve"> היה לו להתחיל הייחוס מראובן, אמנם:</w:t>
      </w:r>
      <w:r>
        <w:rPr>
          <w:rFonts w:eastAsia="MS Mincho" w:cs="FrankRuehl" w:hint="cs"/>
          <w:rtl/>
        </w:rPr>
        <w:t xml:space="preserve"> </w:t>
      </w:r>
      <w:r w:rsidRPr="00B34E53">
        <w:rPr>
          <w:rFonts w:eastAsia="MS Mincho" w:cs="FrankRuehl"/>
          <w:sz w:val="20"/>
          <w:szCs w:val="20"/>
        </w:rPr>
        <w:t>“When he defiled” etc</w:t>
      </w:r>
      <w:r w:rsidR="00136565">
        <w:rPr>
          <w:rFonts w:eastAsia="MS Mincho" w:cs="FrankRuehl"/>
          <w:sz w:val="20"/>
          <w:szCs w:val="20"/>
        </w:rPr>
        <w:t>.</w:t>
      </w:r>
      <w:r w:rsidRPr="00AE02C1">
        <w:rPr>
          <w:rFonts w:eastAsia="MS Mincho" w:cs="FrankRuehl" w:hint="cs"/>
          <w:rtl/>
        </w:rPr>
        <w:t xml:space="preserve"> </w:t>
      </w:r>
    </w:p>
    <w:p w:rsidR="007E6555" w:rsidRPr="00AE02C1" w:rsidRDefault="007E6555" w:rsidP="007E6555">
      <w:pPr>
        <w:spacing w:line="360" w:lineRule="auto"/>
        <w:rPr>
          <w:rFonts w:eastAsia="MS Mincho" w:cs="FrankRuehl"/>
          <w:rtl/>
        </w:rPr>
      </w:pPr>
      <w:r w:rsidRPr="00AE02C1">
        <w:rPr>
          <w:rFonts w:eastAsia="MS Mincho" w:cs="FrankRuehl" w:hint="cs"/>
          <w:rtl/>
        </w:rPr>
        <w:t xml:space="preserve">משתמע אפוא שלא רק גדולת שבט יהודה לאורך הדורות ומקומה של נחלת שמעון דחקו את </w:t>
      </w:r>
      <w:r>
        <w:rPr>
          <w:rFonts w:eastAsia="MS Mincho" w:cs="FrankRuehl" w:hint="cs"/>
          <w:rtl/>
        </w:rPr>
        <w:t xml:space="preserve">שבט </w:t>
      </w:r>
      <w:r w:rsidRPr="00AE02C1">
        <w:rPr>
          <w:rFonts w:eastAsia="MS Mincho" w:cs="FrankRuehl" w:hint="cs"/>
          <w:rtl/>
        </w:rPr>
        <w:t xml:space="preserve">ראובן אל המקום השלישי, אלא גם התנהגותו הבלתי מוסרית של </w:t>
      </w:r>
      <w:r>
        <w:rPr>
          <w:rFonts w:eastAsia="MS Mincho" w:cs="FrankRuehl" w:hint="cs"/>
          <w:rtl/>
        </w:rPr>
        <w:t>ראובן, אבי השבט, כמסופר בספר בראשית (</w:t>
      </w:r>
      <w:r w:rsidRPr="003E013A">
        <w:rPr>
          <w:rFonts w:eastAsia="MS Mincho" w:cs="FrankRuehl"/>
          <w:sz w:val="20"/>
          <w:szCs w:val="20"/>
        </w:rPr>
        <w:t>Gen 35:22; 49:4</w:t>
      </w:r>
      <w:r>
        <w:rPr>
          <w:rFonts w:eastAsia="MS Mincho" w:cs="FrankRuehl" w:hint="cs"/>
          <w:rtl/>
        </w:rPr>
        <w:t>)</w:t>
      </w:r>
      <w:r w:rsidRPr="00AE02C1">
        <w:rPr>
          <w:rFonts w:eastAsia="MS Mincho" w:cs="FrankRuehl" w:hint="cs"/>
          <w:rtl/>
        </w:rPr>
        <w:t xml:space="preserve">. </w:t>
      </w:r>
    </w:p>
    <w:p w:rsidR="007E6555" w:rsidRPr="00AE02C1" w:rsidRDefault="007E6555" w:rsidP="007E6555">
      <w:pPr>
        <w:spacing w:line="360" w:lineRule="auto"/>
        <w:ind w:firstLine="720"/>
        <w:rPr>
          <w:rFonts w:cs="FrankRuehl"/>
          <w:rtl/>
        </w:rPr>
      </w:pPr>
      <w:r w:rsidRPr="00AE02C1">
        <w:rPr>
          <w:rFonts w:cs="FrankRuehl" w:hint="cs"/>
          <w:rtl/>
        </w:rPr>
        <w:t>השיקול הגיאוגרפי חוזר גם בפירוש לדה"א ה</w:t>
      </w:r>
      <w:r>
        <w:rPr>
          <w:rFonts w:cs="FrankRuehl" w:hint="cs"/>
          <w:rtl/>
        </w:rPr>
        <w:t xml:space="preserve"> 13</w:t>
      </w:r>
      <w:r w:rsidRPr="00AE02C1">
        <w:rPr>
          <w:rFonts w:cs="FrankRuehl" w:hint="cs"/>
          <w:rtl/>
        </w:rPr>
        <w:t xml:space="preserve"> באשר למקומם של גד וחצי שבט מנשה במקומות הרביעי והחמישי: </w:t>
      </w:r>
    </w:p>
    <w:p w:rsidR="007E6555" w:rsidRPr="00AE02C1" w:rsidRDefault="007E6555" w:rsidP="007E6555">
      <w:pPr>
        <w:spacing w:line="360" w:lineRule="auto"/>
        <w:ind w:left="720"/>
        <w:rPr>
          <w:rFonts w:cs="FrankRuehl"/>
          <w:rtl/>
        </w:rPr>
      </w:pPr>
      <w:r w:rsidRPr="00AE02C1">
        <w:rPr>
          <w:rFonts w:cs="FrankRuehl" w:hint="cs"/>
          <w:rtl/>
        </w:rPr>
        <w:t>וייחס ראובן וגד וחצי שבט מנשה לפי שנחלתם היתה ביחד מעבר לירדן.</w:t>
      </w:r>
    </w:p>
    <w:p w:rsidR="007E6555" w:rsidRPr="00AE02C1" w:rsidRDefault="007E6555" w:rsidP="007E6555">
      <w:pPr>
        <w:spacing w:line="360" w:lineRule="auto"/>
        <w:rPr>
          <w:rFonts w:cs="FrankRuehl"/>
          <w:rtl/>
        </w:rPr>
      </w:pPr>
      <w:r w:rsidRPr="00AE02C1">
        <w:rPr>
          <w:rFonts w:cs="FrankRuehl" w:hint="cs"/>
          <w:rtl/>
        </w:rPr>
        <w:t>השבטים גד וחצי שבט מנשה נסמכו זה לזה ונסמכו לשבט ראובן משיקול גיאוגרפי: השלושה התנחלו באזור אחד. הפרשן חוזר על עמדתו זו בפירוש לדה"א ז</w:t>
      </w:r>
      <w:r>
        <w:rPr>
          <w:rFonts w:cs="FrankRuehl" w:hint="cs"/>
          <w:rtl/>
        </w:rPr>
        <w:t xml:space="preserve"> 1</w:t>
      </w:r>
      <w:r w:rsidRPr="00AE02C1">
        <w:rPr>
          <w:rFonts w:cs="FrankRuehl" w:hint="cs"/>
          <w:rtl/>
        </w:rPr>
        <w:t xml:space="preserve"> והוא מתייחס גם למקומו של יששכר:</w:t>
      </w:r>
    </w:p>
    <w:p w:rsidR="007E6555" w:rsidRPr="00AE02C1" w:rsidRDefault="007E6555" w:rsidP="007E6555">
      <w:pPr>
        <w:spacing w:line="360" w:lineRule="auto"/>
        <w:ind w:left="720"/>
        <w:rPr>
          <w:rFonts w:cs="FrankRuehl"/>
          <w:rtl/>
        </w:rPr>
      </w:pPr>
      <w:proofErr w:type="gramStart"/>
      <w:r w:rsidRPr="0068205B">
        <w:rPr>
          <w:rFonts w:cs="FrankRuehl"/>
          <w:sz w:val="20"/>
          <w:szCs w:val="20"/>
        </w:rPr>
        <w:lastRenderedPageBreak/>
        <w:t>And the sons of Issachar</w:t>
      </w:r>
      <w:r>
        <w:rPr>
          <w:rFonts w:cs="FrankRuehl" w:hint="cs"/>
          <w:rtl/>
        </w:rPr>
        <w:t xml:space="preserve"> </w:t>
      </w:r>
      <w:r w:rsidRPr="00AE02C1">
        <w:rPr>
          <w:rFonts w:cs="FrankRuehl"/>
          <w:rtl/>
        </w:rPr>
        <w:t>–</w:t>
      </w:r>
      <w:r w:rsidRPr="00AE02C1">
        <w:rPr>
          <w:rFonts w:cs="FrankRuehl" w:hint="cs"/>
          <w:rtl/>
        </w:rPr>
        <w:t xml:space="preserve"> עכשיו שב </w:t>
      </w:r>
      <w:proofErr w:type="spellStart"/>
      <w:r w:rsidRPr="00AE02C1">
        <w:rPr>
          <w:rFonts w:cs="FrankRuehl" w:hint="cs"/>
          <w:rtl/>
        </w:rPr>
        <w:t>לתולדותם</w:t>
      </w:r>
      <w:proofErr w:type="spellEnd"/>
      <w:r>
        <w:rPr>
          <w:rFonts w:cs="FrankRuehl" w:hint="cs"/>
          <w:rtl/>
        </w:rPr>
        <w:t xml:space="preserve"> [=כלומר לפי סדר הולדתם]</w:t>
      </w:r>
      <w:r w:rsidRPr="00AE02C1">
        <w:rPr>
          <w:rFonts w:cs="FrankRuehl" w:hint="cs"/>
          <w:rtl/>
        </w:rPr>
        <w:t xml:space="preserve">, כי יששכר נולד ללאה אחר יהודה, לולי שברחו התולדות מן הנחלות </w:t>
      </w:r>
      <w:r>
        <w:rPr>
          <w:rFonts w:cs="FrankRuehl" w:hint="cs"/>
          <w:rtl/>
        </w:rPr>
        <w:t xml:space="preserve">[=השיקול הגיאוגרפי גבר על סדר ההולדה] </w:t>
      </w:r>
      <w:r w:rsidRPr="00AE02C1">
        <w:rPr>
          <w:rFonts w:cs="FrankRuehl" w:hint="cs"/>
          <w:rtl/>
        </w:rPr>
        <w:t xml:space="preserve">היה לו ליחס יששכר אחר יהודה, אמנם שמעון </w:t>
      </w:r>
      <w:proofErr w:type="spellStart"/>
      <w:r w:rsidRPr="00AE02C1">
        <w:rPr>
          <w:rFonts w:cs="FrankRuehl" w:hint="cs"/>
          <w:rtl/>
        </w:rPr>
        <w:t>הדחהו</w:t>
      </w:r>
      <w:proofErr w:type="spellEnd"/>
      <w:r w:rsidRPr="00AE02C1">
        <w:rPr>
          <w:rFonts w:cs="FrankRuehl" w:hint="cs"/>
          <w:rtl/>
        </w:rPr>
        <w:t xml:space="preserve"> </w:t>
      </w:r>
      <w:r>
        <w:rPr>
          <w:rFonts w:cs="FrankRuehl" w:hint="cs"/>
          <w:rtl/>
        </w:rPr>
        <w:t xml:space="preserve">[=בא לפניו] </w:t>
      </w:r>
      <w:r w:rsidRPr="00AE02C1">
        <w:rPr>
          <w:rFonts w:cs="FrankRuehl" w:hint="cs"/>
          <w:rtl/>
        </w:rPr>
        <w:t xml:space="preserve">מפני נחלתו </w:t>
      </w:r>
      <w:r>
        <w:rPr>
          <w:rFonts w:cs="FrankRuehl" w:hint="cs"/>
          <w:rtl/>
        </w:rPr>
        <w:t xml:space="preserve">[=מפני שנחלתו כלולה בנחלת שבט יהודה] </w:t>
      </w:r>
      <w:r w:rsidRPr="00AE02C1">
        <w:rPr>
          <w:rFonts w:cs="FrankRuehl" w:hint="cs"/>
          <w:rtl/>
        </w:rPr>
        <w:t xml:space="preserve">וחזר לראובן מפני הבכורה, </w:t>
      </w:r>
      <w:proofErr w:type="spellStart"/>
      <w:r w:rsidRPr="00AE02C1">
        <w:rPr>
          <w:rFonts w:cs="FrankRuehl" w:hint="cs"/>
          <w:rtl/>
        </w:rPr>
        <w:t>והדחוהו</w:t>
      </w:r>
      <w:proofErr w:type="spellEnd"/>
      <w:r w:rsidRPr="00AE02C1">
        <w:rPr>
          <w:rFonts w:cs="FrankRuehl" w:hint="cs"/>
          <w:rtl/>
        </w:rPr>
        <w:t xml:space="preserve"> </w:t>
      </w:r>
      <w:r>
        <w:rPr>
          <w:rFonts w:cs="FrankRuehl" w:hint="cs"/>
          <w:rtl/>
        </w:rPr>
        <w:t xml:space="preserve">[=באו לפני יששכר] </w:t>
      </w:r>
      <w:r w:rsidRPr="00AE02C1">
        <w:rPr>
          <w:rFonts w:cs="FrankRuehl" w:hint="cs"/>
          <w:rtl/>
        </w:rPr>
        <w:t xml:space="preserve">תולדות גד וחצי שבט </w:t>
      </w:r>
      <w:proofErr w:type="spellStart"/>
      <w:r w:rsidRPr="00AE02C1">
        <w:rPr>
          <w:rFonts w:cs="FrankRuehl" w:hint="cs"/>
          <w:rtl/>
        </w:rPr>
        <w:t>המנשה</w:t>
      </w:r>
      <w:proofErr w:type="spellEnd"/>
      <w:r w:rsidRPr="00AE02C1">
        <w:rPr>
          <w:rFonts w:cs="FrankRuehl" w:hint="cs"/>
          <w:rtl/>
        </w:rPr>
        <w:t xml:space="preserve"> מפני שלקחו נחלתם עם ראובן בעבר הירדן, ואחרי אלו ייחס ליששכר.</w:t>
      </w:r>
      <w:proofErr w:type="gramEnd"/>
    </w:p>
    <w:p w:rsidR="007E6555" w:rsidRPr="00AE02C1" w:rsidRDefault="007E6555" w:rsidP="007E6555">
      <w:pPr>
        <w:spacing w:line="360" w:lineRule="auto"/>
        <w:rPr>
          <w:rFonts w:cs="FrankRuehl"/>
          <w:rtl/>
        </w:rPr>
      </w:pPr>
      <w:r w:rsidRPr="00AE02C1">
        <w:rPr>
          <w:rFonts w:cs="FrankRuehl" w:hint="cs"/>
          <w:rtl/>
        </w:rPr>
        <w:t xml:space="preserve">הפרשן מסכם את שיקוליו של מחבר הספר בסידור השבטים עד לנקודה זו. אשר למקומו של יששכר הוא מציין שנולד ללאה לאחר הולדת יהודה, ולולא השיקול הגיאוגרפי והענייני הוא היה בא מיד לאחר יהודה. הואיל ובין הולדת יהודה (בר' </w:t>
      </w:r>
      <w:proofErr w:type="spellStart"/>
      <w:r w:rsidRPr="00AE02C1">
        <w:rPr>
          <w:rFonts w:cs="FrankRuehl" w:hint="cs"/>
          <w:rtl/>
        </w:rPr>
        <w:t>כט</w:t>
      </w:r>
      <w:proofErr w:type="spellEnd"/>
      <w:r>
        <w:rPr>
          <w:rFonts w:cs="FrankRuehl" w:hint="cs"/>
          <w:rtl/>
        </w:rPr>
        <w:t xml:space="preserve"> 35</w:t>
      </w:r>
      <w:r w:rsidRPr="00AE02C1">
        <w:rPr>
          <w:rFonts w:cs="FrankRuehl" w:hint="cs"/>
          <w:rtl/>
        </w:rPr>
        <w:t xml:space="preserve">) להולדת יששכר (בר' ל </w:t>
      </w:r>
      <w:r>
        <w:rPr>
          <w:rFonts w:cs="FrankRuehl" w:hint="cs"/>
          <w:rtl/>
        </w:rPr>
        <w:t>18</w:t>
      </w:r>
      <w:r w:rsidRPr="00AE02C1">
        <w:rPr>
          <w:rFonts w:cs="FrankRuehl" w:hint="cs"/>
          <w:rtl/>
        </w:rPr>
        <w:t xml:space="preserve">) הוליד יעקב את דן ונפתלי מבלהה (בר' ל </w:t>
      </w:r>
      <w:r>
        <w:rPr>
          <w:rFonts w:cs="FrankRuehl" w:hint="cs"/>
          <w:rtl/>
        </w:rPr>
        <w:t>5</w:t>
      </w:r>
      <w:r w:rsidRPr="00AE02C1">
        <w:rPr>
          <w:rFonts w:cs="FrankRuehl" w:hint="cs"/>
          <w:rtl/>
        </w:rPr>
        <w:t>–</w:t>
      </w:r>
      <w:r>
        <w:rPr>
          <w:rFonts w:cs="FrankRuehl" w:hint="cs"/>
          <w:rtl/>
        </w:rPr>
        <w:t>8</w:t>
      </w:r>
      <w:r w:rsidRPr="00AE02C1">
        <w:rPr>
          <w:rFonts w:cs="FrankRuehl" w:hint="cs"/>
          <w:rtl/>
        </w:rPr>
        <w:t xml:space="preserve">) ואת גד ואשר מזלפה (בר' ל </w:t>
      </w:r>
      <w:r>
        <w:rPr>
          <w:rFonts w:cs="FrankRuehl" w:hint="cs"/>
          <w:rtl/>
        </w:rPr>
        <w:t>9</w:t>
      </w:r>
      <w:r w:rsidRPr="00AE02C1">
        <w:rPr>
          <w:rFonts w:cs="FrankRuehl" w:hint="cs"/>
          <w:rtl/>
        </w:rPr>
        <w:t>–</w:t>
      </w:r>
      <w:r>
        <w:rPr>
          <w:rFonts w:cs="FrankRuehl" w:hint="cs"/>
          <w:rtl/>
        </w:rPr>
        <w:t>13</w:t>
      </w:r>
      <w:r w:rsidRPr="00AE02C1">
        <w:rPr>
          <w:rFonts w:cs="FrankRuehl" w:hint="cs"/>
          <w:rtl/>
        </w:rPr>
        <w:t>), הרי שעקרון הסידור הבסיסי ביותר, המופעל במקרה שבו אין עקרונות סידור כבדי משקל ממנו, הוא סדר הולדתם של הבנים לפי הא</w:t>
      </w:r>
      <w:r>
        <w:rPr>
          <w:rFonts w:cs="FrankRuehl" w:hint="cs"/>
          <w:rtl/>
        </w:rPr>
        <w:t>י</w:t>
      </w:r>
      <w:r w:rsidRPr="00AE02C1">
        <w:rPr>
          <w:rFonts w:cs="FrankRuehl" w:hint="cs"/>
          <w:rtl/>
        </w:rPr>
        <w:t xml:space="preserve">מהות. עמדתו זו מבהירה בעקיפין גם מדוע קדם לוי, בנה השלישי של לאה, ליששכר, בנה החמישי, והיא משתמעת במקומות נוספים בפירוש כפי שיפורט בהמשך. </w:t>
      </w:r>
    </w:p>
    <w:p w:rsidR="007E6555" w:rsidRPr="00AE02C1" w:rsidRDefault="007E6555" w:rsidP="007E6555">
      <w:pPr>
        <w:spacing w:line="360" w:lineRule="auto"/>
        <w:ind w:firstLine="720"/>
        <w:rPr>
          <w:rFonts w:cs="FrankRuehl"/>
          <w:rtl/>
        </w:rPr>
      </w:pPr>
      <w:r w:rsidRPr="00AE02C1">
        <w:rPr>
          <w:rFonts w:cs="FrankRuehl" w:hint="cs"/>
          <w:rtl/>
        </w:rPr>
        <w:t xml:space="preserve">היגד משמעותי נוסף הנוגע לעקרונות הסידור </w:t>
      </w:r>
      <w:r>
        <w:rPr>
          <w:rFonts w:cs="FrankRuehl" w:hint="cs"/>
          <w:rtl/>
        </w:rPr>
        <w:t xml:space="preserve">של השבטים </w:t>
      </w:r>
      <w:r w:rsidRPr="00AE02C1">
        <w:rPr>
          <w:rFonts w:cs="FrankRuehl" w:hint="cs"/>
          <w:rtl/>
        </w:rPr>
        <w:t>מובא בפירוש לדה"א ז</w:t>
      </w:r>
      <w:r>
        <w:rPr>
          <w:rFonts w:cs="FrankRuehl" w:hint="cs"/>
          <w:rtl/>
        </w:rPr>
        <w:t xml:space="preserve"> 12</w:t>
      </w:r>
      <w:r w:rsidRPr="00AE02C1">
        <w:rPr>
          <w:rFonts w:cs="FrankRuehl" w:hint="cs"/>
          <w:rtl/>
        </w:rPr>
        <w:t xml:space="preserve">: </w:t>
      </w:r>
    </w:p>
    <w:p w:rsidR="007E6555" w:rsidRPr="00AE02C1" w:rsidRDefault="007E6555" w:rsidP="007E6555">
      <w:pPr>
        <w:spacing w:line="360" w:lineRule="auto"/>
        <w:ind w:left="720"/>
        <w:rPr>
          <w:rFonts w:cs="FrankRuehl"/>
          <w:rtl/>
        </w:rPr>
      </w:pPr>
      <w:r w:rsidRPr="00AE02C1">
        <w:rPr>
          <w:rFonts w:cs="FrankRuehl" w:hint="cs"/>
          <w:rtl/>
        </w:rPr>
        <w:t>ואחרי בנימין ייחס דן אחיו, ו</w:t>
      </w:r>
      <w:r>
        <w:rPr>
          <w:rFonts w:cs="FrankRuehl" w:hint="cs"/>
          <w:rtl/>
        </w:rPr>
        <w:t>-</w:t>
      </w:r>
      <w:r w:rsidRPr="00E90CC8">
        <w:rPr>
          <w:rFonts w:asciiTheme="majorBidi" w:hAnsiTheme="majorBidi" w:cstheme="majorBidi"/>
          <w:sz w:val="20"/>
          <w:szCs w:val="20"/>
        </w:rPr>
        <w:t xml:space="preserve"> </w:t>
      </w:r>
      <w:proofErr w:type="spellStart"/>
      <w:r w:rsidRPr="004E220D">
        <w:rPr>
          <w:rFonts w:asciiTheme="majorBidi" w:hAnsiTheme="majorBidi" w:cstheme="majorBidi"/>
          <w:sz w:val="20"/>
          <w:szCs w:val="20"/>
        </w:rPr>
        <w:t>Hushim</w:t>
      </w:r>
      <w:proofErr w:type="spellEnd"/>
      <w:r w:rsidRPr="00AE02C1">
        <w:rPr>
          <w:rFonts w:cs="FrankRuehl" w:hint="cs"/>
          <w:rtl/>
        </w:rPr>
        <w:t xml:space="preserve">בן דן, והוא נקרא </w:t>
      </w:r>
      <w:proofErr w:type="spellStart"/>
      <w:r w:rsidRPr="004E220D">
        <w:rPr>
          <w:rFonts w:asciiTheme="majorBidi" w:hAnsiTheme="majorBidi" w:cstheme="majorBidi"/>
          <w:sz w:val="20"/>
          <w:szCs w:val="20"/>
        </w:rPr>
        <w:t>Aher</w:t>
      </w:r>
      <w:proofErr w:type="spellEnd"/>
      <w:r w:rsidRPr="00AE02C1">
        <w:rPr>
          <w:rFonts w:cs="FrankRuehl" w:hint="cs"/>
          <w:rtl/>
        </w:rPr>
        <w:t>, כמו שנאמר:</w:t>
      </w:r>
      <w:r>
        <w:rPr>
          <w:rFonts w:cs="FrankRuehl" w:hint="cs"/>
          <w:rtl/>
        </w:rPr>
        <w:t xml:space="preserve"> </w:t>
      </w:r>
      <w:r w:rsidRPr="00E90CC8">
        <w:rPr>
          <w:rFonts w:cs="FrankRuehl"/>
          <w:sz w:val="20"/>
          <w:szCs w:val="20"/>
        </w:rPr>
        <w:t>“</w:t>
      </w:r>
      <w:r>
        <w:rPr>
          <w:rFonts w:cs="FrankRuehl"/>
          <w:sz w:val="20"/>
          <w:szCs w:val="20"/>
        </w:rPr>
        <w:t>So that his rider is thrown backward [</w:t>
      </w:r>
      <w:proofErr w:type="spellStart"/>
      <w:r w:rsidRPr="00E90CC8">
        <w:rPr>
          <w:rFonts w:cs="FrankRuehl"/>
          <w:i/>
          <w:iCs/>
          <w:sz w:val="20"/>
          <w:szCs w:val="20"/>
        </w:rPr>
        <w:t>ahor</w:t>
      </w:r>
      <w:proofErr w:type="spellEnd"/>
      <w:r>
        <w:rPr>
          <w:rFonts w:cs="FrankRuehl"/>
          <w:sz w:val="20"/>
          <w:szCs w:val="20"/>
        </w:rPr>
        <w:t>]</w:t>
      </w:r>
      <w:r w:rsidRPr="00E90CC8">
        <w:rPr>
          <w:rFonts w:cs="FrankRuehl"/>
          <w:sz w:val="20"/>
          <w:szCs w:val="20"/>
        </w:rPr>
        <w:t>” (Gen 49:17)</w:t>
      </w:r>
      <w:r w:rsidRPr="00AE02C1">
        <w:rPr>
          <w:rFonts w:cs="FrankRuehl" w:hint="cs"/>
          <w:rtl/>
        </w:rPr>
        <w:t>; ואח"כ ייחס נפתלי, ולפי שהם בני בלהה שפחת רחל, ייחסם אחר בני רחל, וכן המנהג בחומש הפקודים</w:t>
      </w:r>
      <w:r>
        <w:rPr>
          <w:rFonts w:cs="FrankRuehl" w:hint="cs"/>
          <w:rtl/>
        </w:rPr>
        <w:t xml:space="preserve"> [=ספר במדבר]</w:t>
      </w:r>
      <w:r w:rsidRPr="00AE02C1">
        <w:rPr>
          <w:rFonts w:cs="FrankRuehl" w:hint="cs"/>
          <w:rtl/>
        </w:rPr>
        <w:t xml:space="preserve">, וחצי שבט מנשה עם </w:t>
      </w:r>
      <w:proofErr w:type="spellStart"/>
      <w:r w:rsidRPr="00AE02C1">
        <w:rPr>
          <w:rFonts w:cs="FrankRuehl" w:hint="cs"/>
          <w:rtl/>
        </w:rPr>
        <w:t>הראובני</w:t>
      </w:r>
      <w:proofErr w:type="spellEnd"/>
      <w:r w:rsidRPr="00AE02C1">
        <w:rPr>
          <w:rFonts w:cs="FrankRuehl" w:hint="cs"/>
          <w:rtl/>
        </w:rPr>
        <w:t xml:space="preserve"> והגדי</w:t>
      </w:r>
      <w:r>
        <w:rPr>
          <w:rFonts w:cs="FrankRuehl" w:hint="cs"/>
          <w:rtl/>
        </w:rPr>
        <w:t xml:space="preserve"> [=ראובן וגד]</w:t>
      </w:r>
      <w:r w:rsidRPr="00AE02C1">
        <w:rPr>
          <w:rFonts w:cs="FrankRuehl" w:hint="cs"/>
          <w:rtl/>
        </w:rPr>
        <w:t>, ועכשיו משלים הייחוס של חצי שבט האחר</w:t>
      </w:r>
      <w:r>
        <w:rPr>
          <w:rFonts w:cs="FrankRuehl" w:hint="cs"/>
          <w:rtl/>
        </w:rPr>
        <w:t xml:space="preserve"> [=החצי השני של מנשה]</w:t>
      </w:r>
      <w:r w:rsidRPr="00AE02C1">
        <w:rPr>
          <w:rFonts w:cs="FrankRuehl" w:hint="cs"/>
          <w:rtl/>
        </w:rPr>
        <w:t xml:space="preserve">. </w:t>
      </w:r>
    </w:p>
    <w:p w:rsidR="007E6555" w:rsidRPr="00AE02C1" w:rsidRDefault="007E6555" w:rsidP="007E6555">
      <w:pPr>
        <w:pStyle w:val="a3"/>
        <w:spacing w:line="360" w:lineRule="auto"/>
        <w:rPr>
          <w:rFonts w:cs="FrankRuehl"/>
          <w:sz w:val="24"/>
          <w:szCs w:val="24"/>
          <w:rtl/>
        </w:rPr>
      </w:pPr>
      <w:r w:rsidRPr="00AE02C1">
        <w:rPr>
          <w:rFonts w:cs="FrankRuehl" w:hint="cs"/>
          <w:sz w:val="24"/>
          <w:szCs w:val="24"/>
          <w:rtl/>
        </w:rPr>
        <w:t>לאחר ש</w:t>
      </w:r>
      <w:r>
        <w:rPr>
          <w:rFonts w:cs="FrankRuehl" w:hint="cs"/>
          <w:sz w:val="24"/>
          <w:szCs w:val="24"/>
          <w:rtl/>
        </w:rPr>
        <w:t xml:space="preserve">המחבר </w:t>
      </w:r>
      <w:r w:rsidRPr="00AE02C1">
        <w:rPr>
          <w:rFonts w:cs="FrankRuehl" w:hint="cs"/>
          <w:sz w:val="24"/>
          <w:szCs w:val="24"/>
          <w:rtl/>
        </w:rPr>
        <w:t xml:space="preserve">ייחס את שבט בנימין, </w:t>
      </w:r>
      <w:r>
        <w:rPr>
          <w:rFonts w:cs="FrankRuehl" w:hint="cs"/>
          <w:sz w:val="24"/>
          <w:szCs w:val="24"/>
          <w:rtl/>
        </w:rPr>
        <w:t xml:space="preserve">הוא </w:t>
      </w:r>
      <w:r w:rsidRPr="00AE02C1">
        <w:rPr>
          <w:rFonts w:cs="FrankRuehl" w:hint="cs"/>
          <w:sz w:val="24"/>
          <w:szCs w:val="24"/>
          <w:rtl/>
        </w:rPr>
        <w:t>ייחס את שבט דן, וכוונת הפרשן היא ל</w:t>
      </w:r>
      <w:r w:rsidRPr="004E220D">
        <w:rPr>
          <w:rFonts w:asciiTheme="majorBidi" w:hAnsiTheme="majorBidi" w:cstheme="majorBidi"/>
          <w:rtl/>
        </w:rPr>
        <w:t>-</w:t>
      </w:r>
      <w:r w:rsidRPr="004E220D">
        <w:rPr>
          <w:rFonts w:asciiTheme="majorBidi" w:hAnsiTheme="majorBidi" w:cstheme="majorBidi"/>
        </w:rPr>
        <w:t>“</w:t>
      </w:r>
      <w:proofErr w:type="spellStart"/>
      <w:r w:rsidRPr="004E220D">
        <w:rPr>
          <w:rFonts w:asciiTheme="majorBidi" w:hAnsiTheme="majorBidi" w:cstheme="majorBidi"/>
        </w:rPr>
        <w:t>Hushim</w:t>
      </w:r>
      <w:proofErr w:type="spellEnd"/>
      <w:r w:rsidRPr="004E220D">
        <w:rPr>
          <w:rFonts w:asciiTheme="majorBidi" w:hAnsiTheme="majorBidi" w:cstheme="majorBidi"/>
        </w:rPr>
        <w:t xml:space="preserve"> the sons of </w:t>
      </w:r>
      <w:proofErr w:type="spellStart"/>
      <w:r w:rsidRPr="004E220D">
        <w:rPr>
          <w:rFonts w:asciiTheme="majorBidi" w:hAnsiTheme="majorBidi" w:cstheme="majorBidi"/>
        </w:rPr>
        <w:t>Aher</w:t>
      </w:r>
      <w:proofErr w:type="spellEnd"/>
      <w:r w:rsidRPr="004E220D">
        <w:rPr>
          <w:rFonts w:asciiTheme="majorBidi" w:hAnsiTheme="majorBidi" w:cstheme="majorBidi"/>
        </w:rPr>
        <w:t xml:space="preserve">” (1 </w:t>
      </w:r>
      <w:proofErr w:type="spellStart"/>
      <w:r w:rsidRPr="004E220D">
        <w:rPr>
          <w:rFonts w:asciiTheme="majorBidi" w:hAnsiTheme="majorBidi" w:cstheme="majorBidi"/>
        </w:rPr>
        <w:t>Chron</w:t>
      </w:r>
      <w:proofErr w:type="spellEnd"/>
      <w:r w:rsidRPr="004E220D">
        <w:rPr>
          <w:rFonts w:asciiTheme="majorBidi" w:hAnsiTheme="majorBidi" w:cstheme="majorBidi"/>
        </w:rPr>
        <w:t xml:space="preserve"> 7:12</w:t>
      </w:r>
      <w:r>
        <w:rPr>
          <w:rFonts w:asciiTheme="majorBidi" w:hAnsiTheme="majorBidi" w:cstheme="majorBidi"/>
        </w:rPr>
        <w:t>)</w:t>
      </w:r>
      <w:r w:rsidRPr="00AE02C1">
        <w:rPr>
          <w:rFonts w:cs="FrankRuehl" w:hint="cs"/>
          <w:sz w:val="24"/>
          <w:szCs w:val="24"/>
          <w:rtl/>
        </w:rPr>
        <w:t>. לדעתו לרבים משמות האנשים והערים הנזכרים במקרא יש יותר משם אחד, והוא עומד על תופעה זו בעשרות מקומות בפירוש.</w:t>
      </w:r>
      <w:r w:rsidRPr="00AE02C1">
        <w:rPr>
          <w:rStyle w:val="a7"/>
          <w:rFonts w:cs="FrankRuehl"/>
          <w:sz w:val="24"/>
          <w:szCs w:val="24"/>
          <w:rtl/>
        </w:rPr>
        <w:footnoteReference w:id="25"/>
      </w:r>
      <w:r w:rsidRPr="00AE02C1">
        <w:rPr>
          <w:rFonts w:cs="FrankRuehl" w:hint="cs"/>
          <w:sz w:val="24"/>
          <w:szCs w:val="24"/>
          <w:rtl/>
        </w:rPr>
        <w:t xml:space="preserve"> השמות האלטרנטיביים בדרך כלל דומים זה לזה, אך אין הכרח בדבר. תופעת ריבוי השמות חוזרת גם במקרה הנידון: </w:t>
      </w:r>
      <w:proofErr w:type="spellStart"/>
      <w:r w:rsidRPr="004E220D">
        <w:rPr>
          <w:rFonts w:asciiTheme="majorBidi" w:hAnsiTheme="majorBidi" w:cstheme="majorBidi"/>
        </w:rPr>
        <w:t>Hushim</w:t>
      </w:r>
      <w:proofErr w:type="spellEnd"/>
      <w:r w:rsidRPr="00AE02C1">
        <w:rPr>
          <w:rFonts w:cs="FrankRuehl" w:hint="cs"/>
          <w:sz w:val="24"/>
          <w:szCs w:val="24"/>
          <w:rtl/>
        </w:rPr>
        <w:t xml:space="preserve"> הוא שמו השני של </w:t>
      </w:r>
      <w:proofErr w:type="spellStart"/>
      <w:r>
        <w:rPr>
          <w:rFonts w:asciiTheme="majorBidi" w:hAnsiTheme="majorBidi" w:cstheme="majorBidi"/>
        </w:rPr>
        <w:t>Sh</w:t>
      </w:r>
      <w:r w:rsidRPr="004E220D">
        <w:rPr>
          <w:rFonts w:asciiTheme="majorBidi" w:hAnsiTheme="majorBidi" w:cstheme="majorBidi"/>
        </w:rPr>
        <w:t>uh</w:t>
      </w:r>
      <w:r>
        <w:rPr>
          <w:rFonts w:asciiTheme="majorBidi" w:hAnsiTheme="majorBidi" w:cstheme="majorBidi"/>
        </w:rPr>
        <w:t>a</w:t>
      </w:r>
      <w:r w:rsidRPr="004E220D">
        <w:rPr>
          <w:rFonts w:asciiTheme="majorBidi" w:hAnsiTheme="majorBidi" w:cstheme="majorBidi"/>
        </w:rPr>
        <w:t>m</w:t>
      </w:r>
      <w:proofErr w:type="spellEnd"/>
      <w:r>
        <w:rPr>
          <w:rFonts w:cs="FrankRuehl" w:hint="cs"/>
          <w:sz w:val="24"/>
          <w:szCs w:val="24"/>
          <w:rtl/>
        </w:rPr>
        <w:t>.</w:t>
      </w:r>
      <w:r w:rsidRPr="00AE02C1">
        <w:rPr>
          <w:rStyle w:val="a7"/>
          <w:rFonts w:cs="FrankRuehl"/>
          <w:sz w:val="24"/>
          <w:szCs w:val="24"/>
          <w:rtl/>
        </w:rPr>
        <w:footnoteReference w:id="26"/>
      </w:r>
      <w:r w:rsidRPr="00AE02C1">
        <w:rPr>
          <w:rFonts w:cs="FrankRuehl" w:hint="cs"/>
          <w:sz w:val="24"/>
          <w:szCs w:val="24"/>
          <w:rtl/>
        </w:rPr>
        <w:t xml:space="preserve"> </w:t>
      </w:r>
      <w:r>
        <w:rPr>
          <w:rFonts w:cs="FrankRuehl" w:hint="cs"/>
          <w:sz w:val="24"/>
          <w:szCs w:val="24"/>
          <w:rtl/>
        </w:rPr>
        <w:t xml:space="preserve">משתמע </w:t>
      </w:r>
      <w:r w:rsidRPr="00AE02C1">
        <w:rPr>
          <w:rFonts w:cs="FrankRuehl" w:hint="cs"/>
          <w:sz w:val="24"/>
          <w:szCs w:val="24"/>
          <w:rtl/>
        </w:rPr>
        <w:t>מכאן ש</w:t>
      </w:r>
      <w:r>
        <w:rPr>
          <w:rFonts w:cs="FrankRuehl" w:hint="cs"/>
          <w:sz w:val="24"/>
          <w:szCs w:val="24"/>
          <w:rtl/>
        </w:rPr>
        <w:t>-</w:t>
      </w:r>
      <w:r w:rsidRPr="007071BF">
        <w:rPr>
          <w:rFonts w:asciiTheme="majorBidi" w:hAnsiTheme="majorBidi" w:cstheme="majorBidi"/>
        </w:rPr>
        <w:t xml:space="preserve"> </w:t>
      </w:r>
      <w:proofErr w:type="spellStart"/>
      <w:r w:rsidRPr="004E220D">
        <w:rPr>
          <w:rFonts w:asciiTheme="majorBidi" w:hAnsiTheme="majorBidi" w:cstheme="majorBidi"/>
        </w:rPr>
        <w:t>Aher</w:t>
      </w:r>
      <w:proofErr w:type="spellEnd"/>
      <w:r w:rsidRPr="00AE02C1">
        <w:rPr>
          <w:rFonts w:cs="FrankRuehl" w:hint="cs"/>
          <w:sz w:val="24"/>
          <w:szCs w:val="24"/>
          <w:rtl/>
        </w:rPr>
        <w:t xml:space="preserve"> הוא שמו השני של דן</w:t>
      </w:r>
      <w:r>
        <w:rPr>
          <w:rFonts w:cs="FrankRuehl" w:hint="cs"/>
          <w:sz w:val="24"/>
          <w:szCs w:val="24"/>
          <w:rtl/>
        </w:rPr>
        <w:t xml:space="preserve"> אביו של </w:t>
      </w:r>
      <w:proofErr w:type="spellStart"/>
      <w:r w:rsidRPr="004E220D">
        <w:rPr>
          <w:rFonts w:asciiTheme="majorBidi" w:hAnsiTheme="majorBidi" w:cstheme="majorBidi"/>
        </w:rPr>
        <w:t>Hushim</w:t>
      </w:r>
      <w:proofErr w:type="spellEnd"/>
      <w:r>
        <w:rPr>
          <w:rFonts w:asciiTheme="majorBidi" w:hAnsiTheme="majorBidi" w:cstheme="majorBidi"/>
        </w:rPr>
        <w:t>/</w:t>
      </w:r>
      <w:proofErr w:type="spellStart"/>
      <w:r>
        <w:rPr>
          <w:rFonts w:asciiTheme="majorBidi" w:hAnsiTheme="majorBidi" w:cstheme="majorBidi"/>
        </w:rPr>
        <w:t>Sh</w:t>
      </w:r>
      <w:r w:rsidRPr="004E220D">
        <w:rPr>
          <w:rFonts w:asciiTheme="majorBidi" w:hAnsiTheme="majorBidi" w:cstheme="majorBidi"/>
        </w:rPr>
        <w:t>uh</w:t>
      </w:r>
      <w:r>
        <w:rPr>
          <w:rFonts w:asciiTheme="majorBidi" w:hAnsiTheme="majorBidi" w:cstheme="majorBidi"/>
        </w:rPr>
        <w:t>a</w:t>
      </w:r>
      <w:r w:rsidRPr="004E220D">
        <w:rPr>
          <w:rFonts w:asciiTheme="majorBidi" w:hAnsiTheme="majorBidi" w:cstheme="majorBidi"/>
        </w:rPr>
        <w:t>m</w:t>
      </w:r>
      <w:proofErr w:type="spellEnd"/>
      <w:r>
        <w:rPr>
          <w:rFonts w:cs="FrankRuehl" w:hint="cs"/>
          <w:sz w:val="24"/>
          <w:szCs w:val="24"/>
          <w:rtl/>
        </w:rPr>
        <w:t>, ולדעת הפרשן הדבר נרמז בברכת יעקב לשבט דן בבר' מט 17</w:t>
      </w:r>
      <w:r w:rsidRPr="00AE02C1">
        <w:rPr>
          <w:rFonts w:cs="FrankRuehl" w:hint="cs"/>
          <w:sz w:val="24"/>
          <w:szCs w:val="24"/>
          <w:rtl/>
        </w:rPr>
        <w:t>.</w:t>
      </w:r>
      <w:r w:rsidRPr="00AE02C1">
        <w:rPr>
          <w:rStyle w:val="a7"/>
          <w:rFonts w:cs="FrankRuehl"/>
          <w:sz w:val="24"/>
          <w:szCs w:val="24"/>
          <w:rtl/>
        </w:rPr>
        <w:footnoteReference w:id="27"/>
      </w:r>
      <w:r w:rsidRPr="00AE02C1">
        <w:rPr>
          <w:rFonts w:cs="FrankRuehl" w:hint="cs"/>
          <w:sz w:val="24"/>
          <w:szCs w:val="24"/>
          <w:rtl/>
        </w:rPr>
        <w:t xml:space="preserve"> לדבריו המחבר ייחס את דן ונפתלי לאחר בנימין</w:t>
      </w:r>
      <w:r>
        <w:rPr>
          <w:rFonts w:cs="FrankRuehl" w:hint="cs"/>
          <w:sz w:val="24"/>
          <w:szCs w:val="24"/>
          <w:rtl/>
        </w:rPr>
        <w:t>,</w:t>
      </w:r>
      <w:r w:rsidRPr="00F677D9">
        <w:rPr>
          <w:rFonts w:cs="FrankRuehl" w:hint="cs"/>
          <w:sz w:val="24"/>
          <w:szCs w:val="24"/>
          <w:rtl/>
        </w:rPr>
        <w:t xml:space="preserve"> </w:t>
      </w:r>
      <w:r w:rsidRPr="00AE02C1">
        <w:rPr>
          <w:rFonts w:cs="FrankRuehl" w:hint="cs"/>
          <w:sz w:val="24"/>
          <w:szCs w:val="24"/>
          <w:rtl/>
        </w:rPr>
        <w:t>במקומות התשיעי והעשירי</w:t>
      </w:r>
      <w:r>
        <w:rPr>
          <w:rFonts w:cs="FrankRuehl" w:hint="cs"/>
          <w:sz w:val="24"/>
          <w:szCs w:val="24"/>
          <w:rtl/>
        </w:rPr>
        <w:t>,</w:t>
      </w:r>
      <w:r w:rsidRPr="00AE02C1">
        <w:rPr>
          <w:rFonts w:cs="FrankRuehl" w:hint="cs"/>
          <w:sz w:val="24"/>
          <w:szCs w:val="24"/>
          <w:rtl/>
        </w:rPr>
        <w:t xml:space="preserve"> משום שהם בני בלהה שפחתהּ של רחל.</w:t>
      </w:r>
      <w:r w:rsidRPr="00AE02C1">
        <w:rPr>
          <w:rStyle w:val="a7"/>
          <w:rFonts w:cs="FrankRuehl"/>
          <w:sz w:val="24"/>
          <w:szCs w:val="24"/>
          <w:rtl/>
        </w:rPr>
        <w:footnoteReference w:id="28"/>
      </w:r>
      <w:r w:rsidRPr="00AE02C1">
        <w:rPr>
          <w:rFonts w:cs="FrankRuehl" w:hint="cs"/>
          <w:sz w:val="24"/>
          <w:szCs w:val="24"/>
          <w:rtl/>
        </w:rPr>
        <w:t xml:space="preserve"> </w:t>
      </w:r>
      <w:r>
        <w:rPr>
          <w:rFonts w:cs="FrankRuehl" w:hint="cs"/>
          <w:sz w:val="24"/>
          <w:szCs w:val="24"/>
          <w:rtl/>
        </w:rPr>
        <w:t>לפנינו עיקרון סידור נוסף: המחבר הקדים את בני הגבירה לבני השפחה. אולם</w:t>
      </w:r>
      <w:r w:rsidRPr="00AE02C1">
        <w:rPr>
          <w:rFonts w:cs="FrankRuehl" w:hint="cs"/>
          <w:sz w:val="24"/>
          <w:szCs w:val="24"/>
          <w:rtl/>
        </w:rPr>
        <w:t xml:space="preserve"> לפי היגיון זה אמורים היו מנשה ואפרים, נכדיה של רחל, לבוא לאחר </w:t>
      </w:r>
      <w:r w:rsidRPr="00304AC4">
        <w:rPr>
          <w:rFonts w:cs="FrankRuehl" w:hint="cs"/>
          <w:sz w:val="24"/>
          <w:szCs w:val="24"/>
          <w:rtl/>
        </w:rPr>
        <w:t>שבט בנימין, כלומר לפני דן ונפתלי בני בלהה. על כך כותב הפרשן כי המחבר, 'לפי שהם בני בלהה שפחת רחל, ייחסם אחר</w:t>
      </w:r>
      <w:r w:rsidRPr="00AE02C1">
        <w:rPr>
          <w:rFonts w:cs="FrankRuehl" w:hint="cs"/>
          <w:sz w:val="24"/>
          <w:szCs w:val="24"/>
          <w:rtl/>
        </w:rPr>
        <w:t xml:space="preserve"> בני רחל</w:t>
      </w:r>
      <w:r>
        <w:rPr>
          <w:rFonts w:cs="FrankRuehl" w:hint="cs"/>
          <w:sz w:val="24"/>
          <w:szCs w:val="24"/>
          <w:rtl/>
        </w:rPr>
        <w:t xml:space="preserve">'. </w:t>
      </w:r>
      <w:r w:rsidRPr="00AE02C1">
        <w:rPr>
          <w:rFonts w:cs="FrankRuehl" w:hint="cs"/>
          <w:sz w:val="24"/>
          <w:szCs w:val="24"/>
          <w:rtl/>
        </w:rPr>
        <w:t>כוונתו היא כי בניה של השפחה נחשבו כבני הגבירה,</w:t>
      </w:r>
      <w:r w:rsidRPr="00AE02C1">
        <w:rPr>
          <w:rStyle w:val="a7"/>
          <w:rFonts w:cs="FrankRuehl"/>
          <w:sz w:val="24"/>
          <w:szCs w:val="24"/>
          <w:rtl/>
        </w:rPr>
        <w:footnoteReference w:id="29"/>
      </w:r>
      <w:r w:rsidRPr="00AE02C1">
        <w:rPr>
          <w:rFonts w:cs="FrankRuehl" w:hint="cs"/>
          <w:sz w:val="24"/>
          <w:szCs w:val="24"/>
          <w:rtl/>
        </w:rPr>
        <w:t xml:space="preserve"> ולפיכך הוא הביאם יחד. הפרשן אינו מבהיר מה ביקש המחבר להשיג </w:t>
      </w:r>
      <w:r w:rsidRPr="00AE02C1">
        <w:rPr>
          <w:rFonts w:cs="FrankRuehl" w:hint="cs"/>
          <w:sz w:val="24"/>
          <w:szCs w:val="24"/>
          <w:rtl/>
        </w:rPr>
        <w:lastRenderedPageBreak/>
        <w:t>בהכללתם של בני השפחה עם בניה של רחל.</w:t>
      </w:r>
      <w:r w:rsidRPr="00AE02C1">
        <w:rPr>
          <w:rStyle w:val="a7"/>
          <w:rFonts w:cs="FrankRuehl"/>
          <w:sz w:val="24"/>
          <w:szCs w:val="24"/>
          <w:rtl/>
        </w:rPr>
        <w:footnoteReference w:id="30"/>
      </w:r>
      <w:r w:rsidRPr="00AE02C1">
        <w:rPr>
          <w:rFonts w:cs="FrankRuehl" w:hint="cs"/>
          <w:sz w:val="24"/>
          <w:szCs w:val="24"/>
          <w:rtl/>
        </w:rPr>
        <w:t xml:space="preserve"> מכול מקום זהו שיקול ענייני, וכפי שנלמד ממקרהו של יהודה, השיקול הענייני חזק יותר מכול עקרונות הסידור האחרים – חזק מסדר הולדת הבנים לפי אמותיהם, וחזק יותר מן העיקרון הגיאוגרפי</w:t>
      </w:r>
      <w:r>
        <w:rPr>
          <w:rFonts w:cs="FrankRuehl" w:hint="cs"/>
          <w:sz w:val="24"/>
          <w:szCs w:val="24"/>
          <w:rtl/>
        </w:rPr>
        <w:t>. העדפת השיקול הענייני</w:t>
      </w:r>
      <w:r w:rsidRPr="00AE02C1">
        <w:rPr>
          <w:rFonts w:cs="FrankRuehl" w:hint="cs"/>
          <w:sz w:val="24"/>
          <w:szCs w:val="24"/>
          <w:rtl/>
        </w:rPr>
        <w:t xml:space="preserve"> </w:t>
      </w:r>
      <w:r>
        <w:rPr>
          <w:rFonts w:cs="FrankRuehl" w:hint="cs"/>
          <w:sz w:val="24"/>
          <w:szCs w:val="24"/>
          <w:rtl/>
        </w:rPr>
        <w:t xml:space="preserve">על פני השיקול הגיאוגרפי </w:t>
      </w:r>
      <w:r w:rsidRPr="00AE02C1">
        <w:rPr>
          <w:rFonts w:cs="FrankRuehl" w:hint="cs"/>
          <w:sz w:val="24"/>
          <w:szCs w:val="24"/>
          <w:rtl/>
        </w:rPr>
        <w:t>משתמע</w:t>
      </w:r>
      <w:r>
        <w:rPr>
          <w:rFonts w:cs="FrankRuehl" w:hint="cs"/>
          <w:sz w:val="24"/>
          <w:szCs w:val="24"/>
          <w:rtl/>
        </w:rPr>
        <w:t>ת</w:t>
      </w:r>
      <w:r w:rsidRPr="00AE02C1">
        <w:rPr>
          <w:rFonts w:cs="FrankRuehl" w:hint="cs"/>
          <w:sz w:val="24"/>
          <w:szCs w:val="24"/>
          <w:rtl/>
        </w:rPr>
        <w:t xml:space="preserve"> בעקיפין </w:t>
      </w:r>
      <w:r>
        <w:rPr>
          <w:rFonts w:cs="FrankRuehl" w:hint="cs"/>
          <w:sz w:val="24"/>
          <w:szCs w:val="24"/>
          <w:rtl/>
        </w:rPr>
        <w:t>מ</w:t>
      </w:r>
      <w:r w:rsidRPr="00AE02C1">
        <w:rPr>
          <w:rFonts w:cs="FrankRuehl" w:hint="cs"/>
          <w:sz w:val="24"/>
          <w:szCs w:val="24"/>
          <w:rtl/>
        </w:rPr>
        <w:t>פירושו לדה"א ח</w:t>
      </w:r>
      <w:r>
        <w:rPr>
          <w:rFonts w:cs="FrankRuehl" w:hint="cs"/>
          <w:sz w:val="24"/>
          <w:szCs w:val="24"/>
          <w:rtl/>
        </w:rPr>
        <w:t xml:space="preserve"> 7</w:t>
      </w:r>
      <w:r w:rsidRPr="00AE02C1">
        <w:rPr>
          <w:rFonts w:cs="FrankRuehl" w:hint="cs"/>
          <w:sz w:val="24"/>
          <w:szCs w:val="24"/>
          <w:rtl/>
        </w:rPr>
        <w:t xml:space="preserve">: </w:t>
      </w:r>
    </w:p>
    <w:p w:rsidR="007E6555" w:rsidRPr="00AE02C1" w:rsidRDefault="007E6555" w:rsidP="00136565">
      <w:pPr>
        <w:spacing w:line="360" w:lineRule="auto"/>
        <w:ind w:left="720"/>
        <w:rPr>
          <w:rFonts w:cs="FrankRuehl"/>
          <w:rtl/>
        </w:rPr>
      </w:pPr>
      <w:r w:rsidRPr="00AE02C1">
        <w:rPr>
          <w:rFonts w:cs="FrankRuehl" w:hint="cs"/>
          <w:rtl/>
        </w:rPr>
        <w:t>נחלת בני בנימן בנחלת בני אפרים הובלעה</w:t>
      </w:r>
      <w:r w:rsidR="00136565">
        <w:rPr>
          <w:rFonts w:cs="FrankRuehl" w:hint="cs"/>
          <w:rtl/>
        </w:rPr>
        <w:t>.</w:t>
      </w:r>
    </w:p>
    <w:p w:rsidR="007E6555" w:rsidRPr="00AE02C1" w:rsidRDefault="007E6555" w:rsidP="007E6555">
      <w:pPr>
        <w:spacing w:line="360" w:lineRule="auto"/>
        <w:rPr>
          <w:rFonts w:cs="FrankRuehl"/>
          <w:rtl/>
        </w:rPr>
      </w:pPr>
      <w:r>
        <w:rPr>
          <w:rFonts w:cs="FrankRuehl" w:hint="cs"/>
          <w:rtl/>
        </w:rPr>
        <w:t xml:space="preserve">נראה אפוא כי </w:t>
      </w:r>
      <w:r w:rsidRPr="00AE02C1">
        <w:rPr>
          <w:rFonts w:cs="FrankRuehl" w:hint="cs"/>
          <w:rtl/>
        </w:rPr>
        <w:t>לולא מגמתו של מחבר</w:t>
      </w:r>
      <w:r>
        <w:rPr>
          <w:rFonts w:cs="FrankRuehl" w:hint="cs"/>
          <w:rtl/>
        </w:rPr>
        <w:t xml:space="preserve"> דברי הימים</w:t>
      </w:r>
      <w:r w:rsidRPr="00AE02C1">
        <w:rPr>
          <w:rFonts w:cs="FrankRuehl" w:hint="cs"/>
          <w:rtl/>
        </w:rPr>
        <w:t xml:space="preserve"> להציב את בני השפחה בין בניה של הגבירה, היה שבט בנימין </w:t>
      </w:r>
      <w:r>
        <w:rPr>
          <w:rFonts w:cs="FrankRuehl" w:hint="cs"/>
          <w:rtl/>
        </w:rPr>
        <w:t>צמוד</w:t>
      </w:r>
      <w:r w:rsidRPr="00AE02C1">
        <w:rPr>
          <w:rFonts w:cs="FrankRuehl" w:hint="cs"/>
          <w:rtl/>
        </w:rPr>
        <w:t xml:space="preserve"> לשבט אפרים משיקולים גיאוגרפיים.</w:t>
      </w:r>
      <w:r w:rsidRPr="00AE02C1">
        <w:rPr>
          <w:rStyle w:val="a7"/>
          <w:rFonts w:cs="FrankRuehl"/>
          <w:rtl/>
        </w:rPr>
        <w:footnoteReference w:id="31"/>
      </w:r>
    </w:p>
    <w:p w:rsidR="007E6555" w:rsidRPr="00AE02C1" w:rsidRDefault="007E6555" w:rsidP="007E6555">
      <w:pPr>
        <w:spacing w:line="360" w:lineRule="auto"/>
        <w:ind w:firstLine="720"/>
        <w:rPr>
          <w:rFonts w:cs="FrankRuehl"/>
          <w:rtl/>
        </w:rPr>
      </w:pPr>
      <w:r>
        <w:rPr>
          <w:rFonts w:cs="FrankRuehl" w:hint="cs"/>
          <w:rtl/>
        </w:rPr>
        <w:t xml:space="preserve">שבט אשר נזכר במקום </w:t>
      </w:r>
      <w:proofErr w:type="spellStart"/>
      <w:r>
        <w:rPr>
          <w:rFonts w:cs="FrankRuehl" w:hint="cs"/>
          <w:rtl/>
        </w:rPr>
        <w:t>השתים</w:t>
      </w:r>
      <w:proofErr w:type="spellEnd"/>
      <w:r>
        <w:rPr>
          <w:rFonts w:cs="FrankRuehl" w:hint="cs"/>
          <w:rtl/>
        </w:rPr>
        <w:t xml:space="preserve"> עשרה ומכאן ש</w:t>
      </w:r>
      <w:r w:rsidRPr="00AE02C1">
        <w:rPr>
          <w:rFonts w:cs="FrankRuehl" w:hint="cs"/>
          <w:rtl/>
        </w:rPr>
        <w:t xml:space="preserve">לאה לא זכתה לכבוד דומה </w:t>
      </w:r>
      <w:r>
        <w:rPr>
          <w:rFonts w:cs="FrankRuehl" w:hint="cs"/>
          <w:rtl/>
        </w:rPr>
        <w:t xml:space="preserve">לרחל </w:t>
      </w:r>
      <w:r w:rsidRPr="00AE02C1">
        <w:rPr>
          <w:rFonts w:cs="FrankRuehl" w:hint="cs"/>
          <w:rtl/>
        </w:rPr>
        <w:t>ובניה של שפחתהּ אינם נחשבים לצאצאיה.</w:t>
      </w:r>
      <w:r w:rsidRPr="00AE02C1">
        <w:rPr>
          <w:rStyle w:val="a7"/>
          <w:rFonts w:cs="FrankRuehl"/>
          <w:rtl/>
        </w:rPr>
        <w:footnoteReference w:id="32"/>
      </w:r>
      <w:r w:rsidRPr="00AE02C1">
        <w:rPr>
          <w:rFonts w:cs="FrankRuehl" w:hint="cs"/>
          <w:rtl/>
        </w:rPr>
        <w:t xml:space="preserve"> הפרשן מציין כי 'כן המנהג בחומש הפקודים', ונראה כי כוונתו לסדר השבטים שבבמדבר </w:t>
      </w:r>
      <w:proofErr w:type="spellStart"/>
      <w:r w:rsidRPr="00AE02C1">
        <w:rPr>
          <w:rFonts w:cs="FrankRuehl" w:hint="cs"/>
          <w:rtl/>
        </w:rPr>
        <w:t>כו</w:t>
      </w:r>
      <w:proofErr w:type="spellEnd"/>
      <w:r w:rsidRPr="00AE02C1">
        <w:rPr>
          <w:rFonts w:cs="FrankRuehl" w:hint="cs"/>
          <w:rtl/>
        </w:rPr>
        <w:t>, אך לא ברור מהי נקודת הדמיון שאליה כיוון. האם זו ההבחנה שבין בני לאה ובין בני</w:t>
      </w:r>
      <w:r>
        <w:rPr>
          <w:rFonts w:cs="FrankRuehl" w:hint="cs"/>
          <w:rtl/>
        </w:rPr>
        <w:t>ה</w:t>
      </w:r>
      <w:r w:rsidRPr="00AE02C1">
        <w:rPr>
          <w:rFonts w:cs="FrankRuehl" w:hint="cs"/>
          <w:rtl/>
        </w:rPr>
        <w:t>-נכדי</w:t>
      </w:r>
      <w:r>
        <w:rPr>
          <w:rFonts w:cs="FrankRuehl" w:hint="cs"/>
          <w:rtl/>
        </w:rPr>
        <w:t>ה של</w:t>
      </w:r>
      <w:r w:rsidRPr="00AE02C1">
        <w:rPr>
          <w:rFonts w:cs="FrankRuehl" w:hint="cs"/>
          <w:rtl/>
        </w:rPr>
        <w:t xml:space="preserve"> רחל, האם זו ההבחנה המסוימת שבין בני הגבירות ובין בני השפחות,</w:t>
      </w:r>
      <w:r w:rsidRPr="00AE02C1">
        <w:rPr>
          <w:rStyle w:val="a7"/>
          <w:rFonts w:cs="FrankRuehl"/>
          <w:rtl/>
        </w:rPr>
        <w:footnoteReference w:id="33"/>
      </w:r>
      <w:r w:rsidRPr="00AE02C1">
        <w:rPr>
          <w:rFonts w:cs="FrankRuehl" w:hint="cs"/>
          <w:rtl/>
        </w:rPr>
        <w:t xml:space="preserve"> או שנקודת הדמיון נוגעת לשאלת אזכורו של שבט דן כמפורט לעיל.</w:t>
      </w:r>
    </w:p>
    <w:p w:rsidR="007E6555" w:rsidRPr="00AE02C1" w:rsidRDefault="007E6555" w:rsidP="007E6555">
      <w:pPr>
        <w:spacing w:line="360" w:lineRule="auto"/>
        <w:ind w:firstLine="720"/>
        <w:rPr>
          <w:rFonts w:cs="FrankRuehl"/>
          <w:rtl/>
        </w:rPr>
      </w:pPr>
      <w:r w:rsidRPr="00AE02C1">
        <w:rPr>
          <w:rFonts w:cs="FrankRuehl" w:hint="cs"/>
          <w:rtl/>
        </w:rPr>
        <w:t>נוסף לרשימת ייחוסי</w:t>
      </w:r>
      <w:r w:rsidRPr="00AE02C1">
        <w:rPr>
          <w:rFonts w:cs="FrankRuehl" w:hint="eastAsia"/>
          <w:rtl/>
        </w:rPr>
        <w:t>ו</w:t>
      </w:r>
      <w:r w:rsidRPr="00AE02C1">
        <w:rPr>
          <w:rFonts w:cs="FrankRuehl" w:hint="cs"/>
          <w:rtl/>
        </w:rPr>
        <w:t xml:space="preserve"> של בנימין בדה"א ז </w:t>
      </w:r>
      <w:r>
        <w:rPr>
          <w:rFonts w:cs="FrankRuehl" w:hint="cs"/>
          <w:rtl/>
        </w:rPr>
        <w:t>6</w:t>
      </w:r>
      <w:r w:rsidRPr="00AE02C1">
        <w:rPr>
          <w:rFonts w:cs="FrankRuehl" w:hint="cs"/>
          <w:rtl/>
        </w:rPr>
        <w:t>–</w:t>
      </w:r>
      <w:r>
        <w:rPr>
          <w:rFonts w:cs="FrankRuehl" w:hint="cs"/>
          <w:rtl/>
        </w:rPr>
        <w:t>12</w:t>
      </w:r>
      <w:r w:rsidRPr="00AE02C1">
        <w:rPr>
          <w:rFonts w:cs="FrankRuehl" w:hint="cs"/>
          <w:rtl/>
        </w:rPr>
        <w:t xml:space="preserve"> באה בדה"א ח רשימה נוספת של בני בנימין, חופפת בחלקה לרשימה הראשונה אך מפורטת הרבה יותר המגיעה עד לבני בניו של שאול. בפירוש לדה"א ח </w:t>
      </w:r>
      <w:r>
        <w:rPr>
          <w:rFonts w:cs="FrankRuehl" w:hint="cs"/>
          <w:rtl/>
        </w:rPr>
        <w:t>1</w:t>
      </w:r>
      <w:r w:rsidRPr="00AE02C1">
        <w:rPr>
          <w:rFonts w:cs="FrankRuehl" w:hint="cs"/>
          <w:rtl/>
        </w:rPr>
        <w:t xml:space="preserve"> הפרשן מבהיר פיצול זה באופן הבא: </w:t>
      </w:r>
    </w:p>
    <w:p w:rsidR="007E6555" w:rsidRPr="00AE02C1" w:rsidRDefault="007E6555" w:rsidP="007E6555">
      <w:pPr>
        <w:spacing w:line="360" w:lineRule="auto"/>
        <w:ind w:left="720"/>
        <w:rPr>
          <w:rFonts w:cs="FrankRuehl"/>
          <w:rtl/>
        </w:rPr>
      </w:pPr>
      <w:proofErr w:type="gramStart"/>
      <w:r>
        <w:rPr>
          <w:rFonts w:cs="FrankRuehl"/>
          <w:sz w:val="20"/>
          <w:szCs w:val="20"/>
        </w:rPr>
        <w:t>And</w:t>
      </w:r>
      <w:proofErr w:type="gramEnd"/>
      <w:r>
        <w:rPr>
          <w:rFonts w:cs="FrankRuehl"/>
          <w:sz w:val="20"/>
          <w:szCs w:val="20"/>
        </w:rPr>
        <w:t xml:space="preserve"> Benjamin begot Bela his first-born</w:t>
      </w:r>
      <w:r>
        <w:rPr>
          <w:rFonts w:cs="FrankRuehl" w:hint="cs"/>
          <w:rtl/>
        </w:rPr>
        <w:t xml:space="preserve"> </w:t>
      </w:r>
      <w:r w:rsidRPr="00AE02C1">
        <w:rPr>
          <w:rFonts w:cs="FrankRuehl"/>
          <w:rtl/>
        </w:rPr>
        <w:t>–</w:t>
      </w:r>
      <w:r>
        <w:rPr>
          <w:rFonts w:cs="FrankRuehl" w:hint="cs"/>
          <w:rtl/>
        </w:rPr>
        <w:t xml:space="preserve"> ייחסו למעלה עם שלושת בניו [דה"א ז 6</w:t>
      </w:r>
      <w:r w:rsidRPr="00AE02C1">
        <w:rPr>
          <w:rFonts w:cs="FrankRuehl" w:hint="cs"/>
          <w:rtl/>
        </w:rPr>
        <w:t>] ולא הזכיר השני</w:t>
      </w:r>
      <w:r>
        <w:rPr>
          <w:rFonts w:cs="FrankRuehl" w:hint="cs"/>
          <w:rtl/>
        </w:rPr>
        <w:t>י</w:t>
      </w:r>
      <w:r w:rsidRPr="00AE02C1">
        <w:rPr>
          <w:rFonts w:cs="FrankRuehl" w:hint="cs"/>
          <w:rtl/>
        </w:rPr>
        <w:t>ם לפי שהשל</w:t>
      </w:r>
      <w:r>
        <w:rPr>
          <w:rFonts w:cs="FrankRuehl" w:hint="cs"/>
          <w:rtl/>
        </w:rPr>
        <w:t>ו</w:t>
      </w:r>
      <w:r w:rsidRPr="00AE02C1">
        <w:rPr>
          <w:rFonts w:cs="FrankRuehl" w:hint="cs"/>
          <w:rtl/>
        </w:rPr>
        <w:t>שה שהזכיר למעלה הרבו בנים הרבה והשני</w:t>
      </w:r>
      <w:r>
        <w:rPr>
          <w:rFonts w:cs="FrankRuehl" w:hint="cs"/>
          <w:rtl/>
        </w:rPr>
        <w:t>י</w:t>
      </w:r>
      <w:r w:rsidRPr="00AE02C1">
        <w:rPr>
          <w:rFonts w:cs="FrankRuehl" w:hint="cs"/>
          <w:rtl/>
        </w:rPr>
        <w:t xml:space="preserve">ם לא הרבו, ושנה היחס </w:t>
      </w:r>
      <w:r>
        <w:rPr>
          <w:rFonts w:cs="FrankRuehl" w:hint="cs"/>
          <w:rtl/>
        </w:rPr>
        <w:t xml:space="preserve">[=חזר על היחס] </w:t>
      </w:r>
      <w:r w:rsidRPr="00AE02C1">
        <w:rPr>
          <w:rFonts w:cs="FrankRuehl" w:hint="cs"/>
          <w:rtl/>
        </w:rPr>
        <w:t xml:space="preserve">לכאן עבור להביא יחוסו של שאול שהוא </w:t>
      </w:r>
      <w:proofErr w:type="spellStart"/>
      <w:r w:rsidRPr="00AE02C1">
        <w:rPr>
          <w:rFonts w:cs="FrankRuehl" w:hint="cs"/>
          <w:rtl/>
        </w:rPr>
        <w:t>מבנימן</w:t>
      </w:r>
      <w:proofErr w:type="spellEnd"/>
      <w:r w:rsidRPr="00AE02C1">
        <w:rPr>
          <w:rFonts w:cs="FrankRuehl" w:hint="cs"/>
          <w:rtl/>
        </w:rPr>
        <w:t>.</w:t>
      </w:r>
    </w:p>
    <w:p w:rsidR="007E6555" w:rsidRPr="00AE02C1" w:rsidRDefault="007E6555" w:rsidP="007E6555">
      <w:pPr>
        <w:spacing w:line="360" w:lineRule="auto"/>
        <w:rPr>
          <w:rFonts w:cs="FrankRuehl"/>
          <w:rtl/>
        </w:rPr>
      </w:pPr>
      <w:r w:rsidRPr="00AE02C1">
        <w:rPr>
          <w:rFonts w:cs="FrankRuehl" w:hint="cs"/>
          <w:rtl/>
        </w:rPr>
        <w:t>ובפירושו לדה"א ח</w:t>
      </w:r>
      <w:r>
        <w:rPr>
          <w:rFonts w:cs="FrankRuehl" w:hint="cs"/>
          <w:rtl/>
        </w:rPr>
        <w:t xml:space="preserve"> 7</w:t>
      </w:r>
      <w:r w:rsidRPr="00AE02C1">
        <w:rPr>
          <w:rFonts w:cs="FrankRuehl" w:hint="cs"/>
          <w:rtl/>
        </w:rPr>
        <w:t xml:space="preserve"> הוא כותב: </w:t>
      </w:r>
      <w:r>
        <w:rPr>
          <w:rFonts w:cs="FrankRuehl" w:hint="cs"/>
          <w:rtl/>
        </w:rPr>
        <w:t>'</w:t>
      </w:r>
      <w:r w:rsidRPr="00AE02C1">
        <w:rPr>
          <w:rFonts w:cs="FrankRuehl" w:hint="cs"/>
          <w:rtl/>
        </w:rPr>
        <w:t xml:space="preserve">שנה לו </w:t>
      </w:r>
      <w:r>
        <w:rPr>
          <w:rFonts w:cs="FrankRuehl" w:hint="cs"/>
          <w:rtl/>
        </w:rPr>
        <w:t xml:space="preserve">[=חזר על] </w:t>
      </w:r>
      <w:r w:rsidRPr="00AE02C1">
        <w:rPr>
          <w:rFonts w:cs="FrankRuehl" w:hint="cs"/>
          <w:rtl/>
        </w:rPr>
        <w:t>לייחוס בנימן מפני שאול כאשר אמרתי</w:t>
      </w:r>
      <w:r>
        <w:rPr>
          <w:rFonts w:cs="FrankRuehl" w:hint="cs"/>
          <w:rtl/>
        </w:rPr>
        <w:t>'</w:t>
      </w:r>
      <w:r w:rsidRPr="00AE02C1">
        <w:rPr>
          <w:rFonts w:cs="FrankRuehl" w:hint="cs"/>
          <w:rtl/>
        </w:rPr>
        <w:t>.</w:t>
      </w:r>
      <w:r>
        <w:rPr>
          <w:rFonts w:cs="FrankRuehl" w:hint="cs"/>
          <w:rtl/>
        </w:rPr>
        <w:t xml:space="preserve"> </w:t>
      </w:r>
      <w:r w:rsidRPr="00AE02C1">
        <w:rPr>
          <w:rFonts w:cs="FrankRuehl" w:hint="cs"/>
          <w:rtl/>
        </w:rPr>
        <w:t>מדבריו משתמע שמחבר דברי הימים פיצל את הרשימה משום רצונו לפרט במקום זה את ייחוסיו של שאול.</w:t>
      </w:r>
      <w:r w:rsidRPr="00AE02C1">
        <w:rPr>
          <w:rStyle w:val="a7"/>
          <w:rFonts w:cs="FrankRuehl"/>
          <w:rtl/>
        </w:rPr>
        <w:footnoteReference w:id="34"/>
      </w:r>
      <w:r w:rsidRPr="00AE02C1">
        <w:rPr>
          <w:rFonts w:cs="FrankRuehl" w:hint="cs"/>
          <w:rtl/>
        </w:rPr>
        <w:t xml:space="preserve"> הפרשן אינו מבהיר נקודה זו אך קרוב לו</w:t>
      </w:r>
      <w:r>
        <w:rPr>
          <w:rFonts w:cs="FrankRuehl" w:hint="cs"/>
          <w:rtl/>
        </w:rPr>
        <w:t>ו</w:t>
      </w:r>
      <w:r w:rsidRPr="00AE02C1">
        <w:rPr>
          <w:rFonts w:cs="FrankRuehl" w:hint="cs"/>
          <w:rtl/>
        </w:rPr>
        <w:t>דאי שלדעתו המחבר עשה כן משום שרשימת היחס מהווה פתיחה הולמת לפרק י המתאר בקיצור נמרץ את חטאיו ומותו של שאול בן השבט. הבנה זו משתמעת בעקיפין גם מן הפירוש לדה"א ט</w:t>
      </w:r>
      <w:r>
        <w:rPr>
          <w:rFonts w:cs="FrankRuehl" w:hint="cs"/>
          <w:rtl/>
        </w:rPr>
        <w:t xml:space="preserve"> 35</w:t>
      </w:r>
      <w:r w:rsidRPr="00AE02C1">
        <w:rPr>
          <w:rFonts w:cs="FrankRuehl" w:hint="cs"/>
          <w:rtl/>
        </w:rPr>
        <w:t>:</w:t>
      </w:r>
    </w:p>
    <w:p w:rsidR="007E6555" w:rsidRPr="00AE02C1" w:rsidRDefault="007E6555" w:rsidP="007E6555">
      <w:pPr>
        <w:spacing w:line="360" w:lineRule="auto"/>
        <w:ind w:left="720"/>
        <w:rPr>
          <w:rFonts w:cs="FrankRuehl"/>
          <w:rtl/>
        </w:rPr>
      </w:pPr>
      <w:r>
        <w:rPr>
          <w:rFonts w:cs="FrankRuehl"/>
          <w:sz w:val="20"/>
          <w:szCs w:val="20"/>
        </w:rPr>
        <w:t>The father of Gibeon lived in Gibeon</w:t>
      </w:r>
      <w:r>
        <w:rPr>
          <w:rFonts w:cs="FrankRuehl" w:hint="cs"/>
          <w:rtl/>
        </w:rPr>
        <w:t xml:space="preserve"> </w:t>
      </w:r>
      <w:r w:rsidRPr="00AE02C1">
        <w:rPr>
          <w:rFonts w:cs="FrankRuehl"/>
          <w:rtl/>
        </w:rPr>
        <w:t>–</w:t>
      </w:r>
      <w:r w:rsidRPr="00AE02C1">
        <w:rPr>
          <w:rFonts w:cs="FrankRuehl" w:hint="cs"/>
          <w:rtl/>
        </w:rPr>
        <w:t xml:space="preserve"> לפי שדילג ופסק מעשה שאול על כל מעשה השבטים הראשונים וגלות בבל ו</w:t>
      </w:r>
      <w:r w:rsidRPr="002C2FD2">
        <w:rPr>
          <w:rFonts w:cs="FrankRuehl" w:hint="cs"/>
          <w:rtl/>
        </w:rPr>
        <w:t>ס</w:t>
      </w:r>
      <w:r>
        <w:rPr>
          <w:rFonts w:ascii="Arial" w:hAnsi="Arial" w:cs="FrankRuehl" w:hint="cs"/>
          <w:rtl/>
        </w:rPr>
        <w:t>י</w:t>
      </w:r>
      <w:r w:rsidRPr="002C2FD2">
        <w:rPr>
          <w:rFonts w:cs="FrankRuehl" w:hint="cs"/>
          <w:rtl/>
        </w:rPr>
        <w:t>פר</w:t>
      </w:r>
      <w:r w:rsidRPr="00AE02C1">
        <w:rPr>
          <w:rFonts w:cs="FrankRuehl" w:hint="cs"/>
          <w:rtl/>
        </w:rPr>
        <w:t xml:space="preserve"> ענין היושבים ראשונים ופסק בדבריו, לכן מתחיל עתה הפרשה ומספר ענינו של שאול ותולדתו ומיתתו כדי להסמיך </w:t>
      </w:r>
      <w:r>
        <w:rPr>
          <w:rFonts w:cs="FrankRuehl" w:hint="cs"/>
          <w:rtl/>
        </w:rPr>
        <w:t xml:space="preserve">[=להצמיד] </w:t>
      </w:r>
      <w:r w:rsidRPr="00AE02C1">
        <w:rPr>
          <w:rFonts w:cs="FrankRuehl" w:hint="cs"/>
          <w:rtl/>
        </w:rPr>
        <w:t>מיתתו ועני</w:t>
      </w:r>
      <w:r>
        <w:rPr>
          <w:rFonts w:cs="FrankRuehl" w:hint="cs"/>
          <w:rtl/>
        </w:rPr>
        <w:t>י</w:t>
      </w:r>
      <w:r w:rsidRPr="00AE02C1">
        <w:rPr>
          <w:rFonts w:cs="FrankRuehl" w:hint="cs"/>
          <w:rtl/>
        </w:rPr>
        <w:t>נו למלכות בית דוד אשר מלך אחריו.</w:t>
      </w:r>
    </w:p>
    <w:p w:rsidR="007E6555" w:rsidRPr="00AE02C1" w:rsidRDefault="007E6555" w:rsidP="007E6555">
      <w:pPr>
        <w:spacing w:line="360" w:lineRule="auto"/>
        <w:rPr>
          <w:rFonts w:cs="FrankRuehl"/>
          <w:rtl/>
        </w:rPr>
      </w:pPr>
      <w:r w:rsidRPr="00AE02C1">
        <w:rPr>
          <w:rFonts w:cs="FrankRuehl" w:hint="cs"/>
          <w:rtl/>
        </w:rPr>
        <w:lastRenderedPageBreak/>
        <w:t>בין הרשימה השני</w:t>
      </w:r>
      <w:r>
        <w:rPr>
          <w:rFonts w:cs="FrankRuehl" w:hint="cs"/>
          <w:rtl/>
        </w:rPr>
        <w:t>י</w:t>
      </w:r>
      <w:r w:rsidRPr="00AE02C1">
        <w:rPr>
          <w:rFonts w:cs="FrankRuehl" w:hint="cs"/>
          <w:rtl/>
        </w:rPr>
        <w:t xml:space="preserve">ה של בנימין שבדה"א ח ובין סיפורו של שאול בפרק י מובא דבר גלות השבטים (דה"א ט </w:t>
      </w:r>
      <w:r>
        <w:rPr>
          <w:rFonts w:cs="FrankRuehl" w:hint="cs"/>
          <w:rtl/>
        </w:rPr>
        <w:t>1</w:t>
      </w:r>
      <w:r w:rsidRPr="00AE02C1">
        <w:rPr>
          <w:rFonts w:cs="FrankRuehl" w:hint="cs"/>
          <w:rtl/>
        </w:rPr>
        <w:t xml:space="preserve">) ורשימת יושבי ירושלים הראשונים (שם </w:t>
      </w:r>
      <w:r>
        <w:rPr>
          <w:rFonts w:cs="FrankRuehl" w:hint="cs"/>
          <w:rtl/>
        </w:rPr>
        <w:t>2</w:t>
      </w:r>
      <w:r w:rsidRPr="00AE02C1">
        <w:rPr>
          <w:rFonts w:cs="FrankRuehl" w:hint="cs"/>
          <w:rtl/>
        </w:rPr>
        <w:t>–</w:t>
      </w:r>
      <w:r>
        <w:rPr>
          <w:rFonts w:cs="FrankRuehl" w:hint="cs"/>
          <w:rtl/>
        </w:rPr>
        <w:t>34</w:t>
      </w:r>
      <w:r w:rsidRPr="00AE02C1">
        <w:rPr>
          <w:rFonts w:cs="FrankRuehl" w:hint="cs"/>
          <w:rtl/>
        </w:rPr>
        <w:t xml:space="preserve">). לדבריו, שאיפתו של מחבר </w:t>
      </w:r>
      <w:r>
        <w:rPr>
          <w:rFonts w:cs="FrankRuehl" w:hint="cs"/>
          <w:rtl/>
        </w:rPr>
        <w:t xml:space="preserve">דברי הימים </w:t>
      </w:r>
      <w:r w:rsidRPr="00AE02C1">
        <w:rPr>
          <w:rFonts w:cs="FrankRuehl" w:hint="cs"/>
          <w:rtl/>
        </w:rPr>
        <w:t>להצמיד את ייחוסי שאול לסיפור מותו גרם לו לחזור ולהביא שנית את סופה של רשימת בנימין השני</w:t>
      </w:r>
      <w:r>
        <w:rPr>
          <w:rFonts w:cs="FrankRuehl" w:hint="cs"/>
          <w:rtl/>
        </w:rPr>
        <w:t>י</w:t>
      </w:r>
      <w:r w:rsidRPr="00AE02C1">
        <w:rPr>
          <w:rFonts w:cs="FrankRuehl" w:hint="cs"/>
          <w:rtl/>
        </w:rPr>
        <w:t xml:space="preserve">ה. </w:t>
      </w:r>
    </w:p>
    <w:p w:rsidR="007E6555" w:rsidRDefault="007E6555" w:rsidP="007E6555">
      <w:pPr>
        <w:spacing w:line="360" w:lineRule="auto"/>
        <w:rPr>
          <w:rFonts w:cs="FrankRuehl"/>
          <w:rtl/>
        </w:rPr>
      </w:pPr>
    </w:p>
    <w:p w:rsidR="007E6555" w:rsidRPr="00AE02C1" w:rsidRDefault="007E6555" w:rsidP="007E6555">
      <w:pPr>
        <w:spacing w:line="360" w:lineRule="auto"/>
        <w:rPr>
          <w:rFonts w:cs="FrankRuehl"/>
          <w:rtl/>
        </w:rPr>
      </w:pPr>
      <w:r>
        <w:rPr>
          <w:rFonts w:cs="FrankRuehl" w:hint="cs"/>
          <w:rtl/>
        </w:rPr>
        <w:t>[ג]</w:t>
      </w:r>
    </w:p>
    <w:p w:rsidR="007E6555" w:rsidRPr="00AE02C1" w:rsidRDefault="007E6555" w:rsidP="007E6555">
      <w:pPr>
        <w:spacing w:line="360" w:lineRule="auto"/>
        <w:rPr>
          <w:rFonts w:cs="FrankRuehl"/>
          <w:rtl/>
        </w:rPr>
      </w:pPr>
      <w:r w:rsidRPr="00AE02C1">
        <w:rPr>
          <w:rFonts w:cs="FrankRuehl" w:hint="cs"/>
          <w:rtl/>
        </w:rPr>
        <w:t>מכלל דבריו של הפרשן משתמע שהעיקרון הבונה הטבעי ביותר הוא סדר הולדת הבנים לפי אמותיהם</w:t>
      </w:r>
      <w:r>
        <w:rPr>
          <w:rFonts w:cs="FrankRuehl" w:hint="cs"/>
          <w:rtl/>
        </w:rPr>
        <w:t xml:space="preserve"> כשבני הגברות קודמים לבני השפחות</w:t>
      </w:r>
      <w:r w:rsidRPr="00AE02C1">
        <w:rPr>
          <w:rFonts w:cs="FrankRuehl" w:hint="cs"/>
          <w:rtl/>
        </w:rPr>
        <w:t>.</w:t>
      </w:r>
      <w:r>
        <w:rPr>
          <w:rStyle w:val="a7"/>
          <w:rFonts w:cs="FrankRuehl"/>
          <w:rtl/>
        </w:rPr>
        <w:footnoteReference w:id="35"/>
      </w:r>
      <w:r w:rsidRPr="00AE02C1">
        <w:rPr>
          <w:rFonts w:cs="FrankRuehl" w:hint="cs"/>
          <w:rtl/>
        </w:rPr>
        <w:t xml:space="preserve"> אלא שיש מספר עקרונות כבדי משקל ממנו. העיקרון הענייני הוא כבד המשקל ביותר, ובעטיו תפס יהודה את מקומו של ראובן בראש </w:t>
      </w:r>
      <w:r>
        <w:rPr>
          <w:rFonts w:cs="FrankRuehl" w:hint="cs"/>
          <w:rtl/>
        </w:rPr>
        <w:t>הרשימה</w:t>
      </w:r>
      <w:r w:rsidRPr="00AE02C1">
        <w:rPr>
          <w:rFonts w:cs="FrankRuehl" w:hint="cs"/>
          <w:rtl/>
        </w:rPr>
        <w:t>. אחריו העיקרון הגיאוגרפי, בעטיו הוצמד שמעון ליהודה, וגד וחצי שבט מנשה נסמכו זה לזה ונסמכו לראובן. בהתאם לסדר הולדתם של בני לאה, נזכרו לוי ויששכר במקומות השישי והשביעי, ולאחר מכן צאצאיה של רחל – בנימין בנה, דן ונפתלי בני שפחתהּ הנחשבים כבניה, ושני נכדיה מנשה ואפרים. אחריהם, במקום השלוש</w:t>
      </w:r>
      <w:r>
        <w:rPr>
          <w:rFonts w:cs="FrankRuehl" w:hint="cs"/>
          <w:rtl/>
        </w:rPr>
        <w:t>ה</w:t>
      </w:r>
      <w:r w:rsidRPr="00AE02C1">
        <w:rPr>
          <w:rFonts w:cs="FrankRuehl" w:hint="cs"/>
          <w:rtl/>
        </w:rPr>
        <w:t xml:space="preserve"> עשר, בא אשר. סדר </w:t>
      </w:r>
      <w:r>
        <w:rPr>
          <w:rFonts w:cs="FrankRuehl" w:hint="cs"/>
          <w:rtl/>
        </w:rPr>
        <w:t>הבנים מלוי ואילך</w:t>
      </w:r>
      <w:r w:rsidRPr="00AE02C1">
        <w:rPr>
          <w:rFonts w:cs="FrankRuehl" w:hint="cs"/>
          <w:rtl/>
        </w:rPr>
        <w:t xml:space="preserve"> הוא תוצאה של שני שיקולים שבמידת מה מנוגדים זה לזה: מחד גיסא מחבר </w:t>
      </w:r>
      <w:r>
        <w:rPr>
          <w:rFonts w:cs="FrankRuehl" w:hint="cs"/>
          <w:rtl/>
        </w:rPr>
        <w:t xml:space="preserve">דברי הימים </w:t>
      </w:r>
      <w:r w:rsidRPr="00AE02C1">
        <w:rPr>
          <w:rFonts w:cs="FrankRuehl" w:hint="cs"/>
          <w:rtl/>
        </w:rPr>
        <w:t>קבע את סדר</w:t>
      </w:r>
      <w:r>
        <w:rPr>
          <w:rFonts w:cs="FrankRuehl" w:hint="cs"/>
          <w:rtl/>
        </w:rPr>
        <w:t>ם</w:t>
      </w:r>
      <w:r w:rsidRPr="00AE02C1">
        <w:rPr>
          <w:rFonts w:cs="FrankRuehl" w:hint="cs"/>
          <w:rtl/>
        </w:rPr>
        <w:t xml:space="preserve"> לפי מעמדן של הא</w:t>
      </w:r>
      <w:r>
        <w:rPr>
          <w:rFonts w:cs="FrankRuehl" w:hint="cs"/>
          <w:rtl/>
        </w:rPr>
        <w:t>י</w:t>
      </w:r>
      <w:r w:rsidRPr="00AE02C1">
        <w:rPr>
          <w:rFonts w:cs="FrankRuehl" w:hint="cs"/>
          <w:rtl/>
        </w:rPr>
        <w:t xml:space="preserve">מהות – קודם בני הגבירות ואחר כך בני השפחות. אך מאידך גיסא הוא הציב את בניה של בלהה בין בניה של רחל, ככל הנראה כחלק ממגמתו לרומם את כבודן של דמויות מופת. כלומר שבדומה למקרהו של יהודה גם שיקול אחרון זה גובר </w:t>
      </w:r>
      <w:r>
        <w:rPr>
          <w:rFonts w:cs="FrankRuehl" w:hint="cs"/>
          <w:rtl/>
        </w:rPr>
        <w:t xml:space="preserve">הן </w:t>
      </w:r>
      <w:r w:rsidRPr="00AE02C1">
        <w:rPr>
          <w:rFonts w:cs="FrankRuehl" w:hint="cs"/>
          <w:rtl/>
        </w:rPr>
        <w:t>על עיקרון הסידור לפי הא</w:t>
      </w:r>
      <w:r>
        <w:rPr>
          <w:rFonts w:cs="FrankRuehl" w:hint="cs"/>
          <w:rtl/>
        </w:rPr>
        <w:t>י</w:t>
      </w:r>
      <w:r w:rsidRPr="00AE02C1">
        <w:rPr>
          <w:rFonts w:cs="FrankRuehl" w:hint="cs"/>
          <w:rtl/>
        </w:rPr>
        <w:t xml:space="preserve">מהות </w:t>
      </w:r>
      <w:r>
        <w:rPr>
          <w:rFonts w:cs="FrankRuehl" w:hint="cs"/>
          <w:rtl/>
        </w:rPr>
        <w:t>הן על</w:t>
      </w:r>
      <w:r w:rsidRPr="00AE02C1">
        <w:rPr>
          <w:rFonts w:cs="FrankRuehl" w:hint="cs"/>
          <w:rtl/>
        </w:rPr>
        <w:t xml:space="preserve"> עיקרון הסידור הגיאוגרפי. את הרשימה סוגרת רשימת בנימין השני</w:t>
      </w:r>
      <w:r>
        <w:rPr>
          <w:rFonts w:cs="FrankRuehl" w:hint="cs"/>
          <w:rtl/>
        </w:rPr>
        <w:t>י</w:t>
      </w:r>
      <w:r w:rsidRPr="00AE02C1">
        <w:rPr>
          <w:rFonts w:cs="FrankRuehl" w:hint="cs"/>
          <w:rtl/>
        </w:rPr>
        <w:t>ה המתפקדת כמעין מבוא לסיפור שאול.</w:t>
      </w:r>
    </w:p>
    <w:p w:rsidR="007E6555" w:rsidRPr="00AE02C1" w:rsidRDefault="007E6555" w:rsidP="007E6555">
      <w:pPr>
        <w:spacing w:line="360" w:lineRule="auto"/>
        <w:ind w:firstLine="720"/>
        <w:rPr>
          <w:rFonts w:cs="FrankRuehl"/>
          <w:rtl/>
        </w:rPr>
      </w:pPr>
      <w:r w:rsidRPr="00AE02C1">
        <w:rPr>
          <w:rFonts w:cs="FrankRuehl" w:hint="cs"/>
          <w:rtl/>
        </w:rPr>
        <w:t>הפרשן אינו מבהיר מדוע זבולון נפקד מרשימות היחס, אך הוא מתייחס לכך בפירושו לדה"א ח</w:t>
      </w:r>
      <w:r>
        <w:rPr>
          <w:rFonts w:cs="FrankRuehl" w:hint="cs"/>
          <w:rtl/>
        </w:rPr>
        <w:t xml:space="preserve"> 7</w:t>
      </w:r>
      <w:r w:rsidRPr="00AE02C1">
        <w:rPr>
          <w:rFonts w:cs="FrankRuehl" w:hint="cs"/>
          <w:rtl/>
        </w:rPr>
        <w:t xml:space="preserve">: </w:t>
      </w:r>
    </w:p>
    <w:p w:rsidR="007E6555" w:rsidRPr="00AE02C1" w:rsidRDefault="007E6555" w:rsidP="007E6555">
      <w:pPr>
        <w:spacing w:line="360" w:lineRule="auto"/>
        <w:ind w:left="720"/>
        <w:rPr>
          <w:rFonts w:cs="FrankRuehl"/>
          <w:rtl/>
        </w:rPr>
      </w:pPr>
      <w:r w:rsidRPr="00AE02C1">
        <w:rPr>
          <w:rFonts w:cs="FrankRuehl" w:hint="cs"/>
          <w:rtl/>
        </w:rPr>
        <w:t xml:space="preserve">הזכיר כל השבטים </w:t>
      </w:r>
      <w:proofErr w:type="spellStart"/>
      <w:r w:rsidRPr="00AE02C1">
        <w:rPr>
          <w:rFonts w:cs="FrankRuehl" w:hint="cs"/>
          <w:rtl/>
        </w:rPr>
        <w:t>יחוסם</w:t>
      </w:r>
      <w:proofErr w:type="spellEnd"/>
      <w:r w:rsidRPr="00AE02C1">
        <w:rPr>
          <w:rFonts w:cs="FrankRuehl" w:hint="cs"/>
          <w:rtl/>
        </w:rPr>
        <w:t xml:space="preserve"> </w:t>
      </w:r>
      <w:proofErr w:type="spellStart"/>
      <w:r w:rsidRPr="00AE02C1">
        <w:rPr>
          <w:rFonts w:cs="FrankRuehl" w:hint="cs"/>
          <w:rtl/>
        </w:rPr>
        <w:t>ותולדותם</w:t>
      </w:r>
      <w:proofErr w:type="spellEnd"/>
      <w:r w:rsidRPr="00AE02C1">
        <w:rPr>
          <w:rFonts w:cs="FrankRuehl" w:hint="cs"/>
          <w:rtl/>
        </w:rPr>
        <w:t xml:space="preserve"> לבד משבט זבולון שלא הזכיר לא ייחוסו ולא גלותו</w:t>
      </w:r>
      <w:r w:rsidRPr="00AE02C1">
        <w:rPr>
          <w:rStyle w:val="a7"/>
          <w:rFonts w:cs="FrankRuehl"/>
          <w:rtl/>
        </w:rPr>
        <w:footnoteReference w:id="36"/>
      </w:r>
      <w:r w:rsidRPr="00AE02C1">
        <w:rPr>
          <w:rFonts w:cs="FrankRuehl" w:hint="cs"/>
          <w:rtl/>
        </w:rPr>
        <w:t xml:space="preserve"> [...] ואע"פ ששבט זבולון לא נתייחס כאן</w:t>
      </w:r>
      <w:r>
        <w:rPr>
          <w:rFonts w:cs="FrankRuehl" w:hint="cs"/>
          <w:rtl/>
        </w:rPr>
        <w:t>,</w:t>
      </w:r>
      <w:r w:rsidRPr="00AE02C1">
        <w:rPr>
          <w:rFonts w:cs="FrankRuehl" w:hint="cs"/>
          <w:rtl/>
        </w:rPr>
        <w:t xml:space="preserve"> מיוחס הוא עם שאר השבטים בשמונה נביאים.</w:t>
      </w:r>
    </w:p>
    <w:p w:rsidR="007E6555" w:rsidRDefault="007E6555" w:rsidP="007E6555">
      <w:pPr>
        <w:spacing w:line="360" w:lineRule="auto"/>
        <w:rPr>
          <w:rFonts w:cs="FrankRuehl"/>
          <w:rtl/>
        </w:rPr>
      </w:pPr>
      <w:r w:rsidRPr="00AE02C1">
        <w:rPr>
          <w:rFonts w:cs="FrankRuehl" w:hint="cs"/>
          <w:rtl/>
        </w:rPr>
        <w:t>בפירושו לדה"א ו</w:t>
      </w:r>
      <w:r>
        <w:rPr>
          <w:rFonts w:cs="FrankRuehl" w:hint="cs"/>
          <w:rtl/>
        </w:rPr>
        <w:t xml:space="preserve"> 62</w:t>
      </w:r>
      <w:r w:rsidRPr="00AE02C1">
        <w:rPr>
          <w:rFonts w:cs="FrankRuehl" w:hint="cs"/>
          <w:rtl/>
        </w:rPr>
        <w:t xml:space="preserve"> </w:t>
      </w:r>
      <w:r>
        <w:rPr>
          <w:rFonts w:cs="FrankRuehl" w:hint="cs"/>
          <w:rtl/>
        </w:rPr>
        <w:t xml:space="preserve">הפרשן </w:t>
      </w:r>
      <w:r w:rsidRPr="00AE02C1">
        <w:rPr>
          <w:rFonts w:cs="FrankRuehl" w:hint="cs"/>
          <w:rtl/>
        </w:rPr>
        <w:t xml:space="preserve">מבהיר כי </w:t>
      </w:r>
      <w:r w:rsidRPr="001F4E17">
        <w:rPr>
          <w:rFonts w:cs="FrankRuehl"/>
          <w:sz w:val="20"/>
          <w:szCs w:val="20"/>
        </w:rPr>
        <w:t>“</w:t>
      </w:r>
      <w:r w:rsidRPr="001F4E17">
        <w:rPr>
          <w:sz w:val="20"/>
          <w:szCs w:val="20"/>
        </w:rPr>
        <w:t xml:space="preserve">that which is not explicit here [in 1 </w:t>
      </w:r>
      <w:proofErr w:type="spellStart"/>
      <w:r w:rsidRPr="001F4E17">
        <w:rPr>
          <w:sz w:val="20"/>
          <w:szCs w:val="20"/>
        </w:rPr>
        <w:t>Chron</w:t>
      </w:r>
      <w:proofErr w:type="spellEnd"/>
      <w:r w:rsidRPr="001F4E17">
        <w:rPr>
          <w:sz w:val="20"/>
          <w:szCs w:val="20"/>
        </w:rPr>
        <w:t xml:space="preserve"> 6], he lets us know there [Josh 21], and what is missing there, he lets us know here, and this is what is regularly done</w:t>
      </w:r>
      <w:r>
        <w:rPr>
          <w:sz w:val="20"/>
          <w:szCs w:val="20"/>
        </w:rPr>
        <w:t xml:space="preserve"> [</w:t>
      </w:r>
      <w:r w:rsidRPr="001F4E17">
        <w:rPr>
          <w:i/>
          <w:iCs/>
          <w:sz w:val="20"/>
          <w:szCs w:val="20"/>
        </w:rPr>
        <w:t>ha-</w:t>
      </w:r>
      <w:proofErr w:type="spellStart"/>
      <w:r w:rsidRPr="001F4E17">
        <w:rPr>
          <w:i/>
          <w:iCs/>
          <w:sz w:val="20"/>
          <w:szCs w:val="20"/>
        </w:rPr>
        <w:t>minhag</w:t>
      </w:r>
      <w:proofErr w:type="spellEnd"/>
      <w:r>
        <w:rPr>
          <w:sz w:val="20"/>
          <w:szCs w:val="20"/>
        </w:rPr>
        <w:t>].”</w:t>
      </w:r>
      <w:r w:rsidRPr="00F22D09">
        <w:t xml:space="preserve"> </w:t>
      </w:r>
      <w:r>
        <w:rPr>
          <w:rFonts w:cs="FrankRuehl" w:hint="cs"/>
          <w:rtl/>
        </w:rPr>
        <w:t xml:space="preserve"> </w:t>
      </w:r>
      <w:r w:rsidRPr="00AE02C1">
        <w:rPr>
          <w:rFonts w:cs="FrankRuehl" w:hint="cs"/>
          <w:rtl/>
        </w:rPr>
        <w:t xml:space="preserve">דפוס פעולה זה של מחבר </w:t>
      </w:r>
      <w:r>
        <w:rPr>
          <w:rFonts w:cs="FrankRuehl" w:hint="cs"/>
          <w:rtl/>
        </w:rPr>
        <w:t>דברי הימים</w:t>
      </w:r>
      <w:r w:rsidRPr="00AE02C1">
        <w:rPr>
          <w:rFonts w:cs="FrankRuehl" w:hint="cs"/>
          <w:rtl/>
        </w:rPr>
        <w:t xml:space="preserve"> חוזר גם במקרהו של שבט זבולון שאמנם אינו נזכר בדברי הימים אך נזכר באחת מרשימות השבטים הבאות בספרי נביאים</w:t>
      </w:r>
      <w:r>
        <w:rPr>
          <w:rFonts w:cs="FrankRuehl" w:hint="cs"/>
          <w:rtl/>
        </w:rPr>
        <w:t xml:space="preserve"> ('שמונה נביאים'</w:t>
      </w:r>
      <w:r w:rsidRPr="00AE02C1">
        <w:rPr>
          <w:rStyle w:val="a7"/>
          <w:rFonts w:cs="FrankRuehl"/>
          <w:rtl/>
        </w:rPr>
        <w:footnoteReference w:id="37"/>
      </w:r>
      <w:r>
        <w:rPr>
          <w:rFonts w:cs="FrankRuehl" w:hint="cs"/>
          <w:rtl/>
        </w:rPr>
        <w:t>),</w:t>
      </w:r>
      <w:r w:rsidRPr="00AE02C1">
        <w:rPr>
          <w:rFonts w:cs="FrankRuehl" w:hint="cs"/>
          <w:rtl/>
        </w:rPr>
        <w:t xml:space="preserve"> ואפשר שכוונתו לחלוקת הארץ לשבטים </w:t>
      </w:r>
      <w:proofErr w:type="spellStart"/>
      <w:r w:rsidRPr="00AE02C1">
        <w:rPr>
          <w:rFonts w:cs="FrankRuehl" w:hint="cs"/>
          <w:rtl/>
        </w:rPr>
        <w:t>ביה</w:t>
      </w:r>
      <w:r>
        <w:rPr>
          <w:rFonts w:cs="FrankRuehl" w:hint="cs"/>
          <w:rtl/>
        </w:rPr>
        <w:t>ו</w:t>
      </w:r>
      <w:proofErr w:type="spellEnd"/>
      <w:r w:rsidRPr="00AE02C1">
        <w:rPr>
          <w:rFonts w:cs="FrankRuehl" w:hint="cs"/>
          <w:rtl/>
        </w:rPr>
        <w:t xml:space="preserve">' </w:t>
      </w:r>
      <w:proofErr w:type="spellStart"/>
      <w:r w:rsidRPr="00AE02C1">
        <w:rPr>
          <w:rFonts w:cs="FrankRuehl" w:hint="cs"/>
          <w:rtl/>
        </w:rPr>
        <w:t>יג</w:t>
      </w:r>
      <w:proofErr w:type="spellEnd"/>
      <w:r w:rsidRPr="00AE02C1">
        <w:rPr>
          <w:rFonts w:cs="FrankRuehl" w:hint="cs"/>
          <w:rtl/>
        </w:rPr>
        <w:t>–</w:t>
      </w:r>
      <w:proofErr w:type="spellStart"/>
      <w:r w:rsidRPr="00AE02C1">
        <w:rPr>
          <w:rFonts w:cs="FrankRuehl" w:hint="cs"/>
          <w:rtl/>
        </w:rPr>
        <w:t>יט</w:t>
      </w:r>
      <w:proofErr w:type="spellEnd"/>
      <w:r w:rsidRPr="00AE02C1">
        <w:rPr>
          <w:rFonts w:cs="FrankRuehl" w:hint="cs"/>
          <w:rtl/>
        </w:rPr>
        <w:t xml:space="preserve"> (</w:t>
      </w:r>
      <w:r>
        <w:rPr>
          <w:rFonts w:cs="FrankRuehl" w:hint="cs"/>
          <w:rtl/>
        </w:rPr>
        <w:t>ו</w:t>
      </w:r>
      <w:r w:rsidRPr="00AE02C1">
        <w:rPr>
          <w:rFonts w:cs="FrankRuehl" w:hint="cs"/>
          <w:rtl/>
        </w:rPr>
        <w:t xml:space="preserve">ראו </w:t>
      </w:r>
      <w:proofErr w:type="spellStart"/>
      <w:r>
        <w:rPr>
          <w:rFonts w:cs="FrankRuehl" w:hint="cs"/>
          <w:rtl/>
        </w:rPr>
        <w:t>יהו</w:t>
      </w:r>
      <w:proofErr w:type="spellEnd"/>
      <w:r>
        <w:rPr>
          <w:rFonts w:cs="FrankRuehl" w:hint="cs"/>
          <w:rtl/>
        </w:rPr>
        <w:t>'</w:t>
      </w:r>
      <w:r w:rsidRPr="00AE02C1">
        <w:rPr>
          <w:rFonts w:cs="FrankRuehl" w:hint="cs"/>
          <w:rtl/>
        </w:rPr>
        <w:t xml:space="preserve"> </w:t>
      </w:r>
      <w:proofErr w:type="spellStart"/>
      <w:r w:rsidRPr="00AE02C1">
        <w:rPr>
          <w:rFonts w:cs="FrankRuehl" w:hint="cs"/>
          <w:rtl/>
        </w:rPr>
        <w:t>יט</w:t>
      </w:r>
      <w:proofErr w:type="spellEnd"/>
      <w:r w:rsidRPr="00AE02C1">
        <w:rPr>
          <w:rFonts w:cs="FrankRuehl" w:hint="cs"/>
          <w:rtl/>
        </w:rPr>
        <w:t xml:space="preserve"> </w:t>
      </w:r>
      <w:r>
        <w:rPr>
          <w:rFonts w:cs="FrankRuehl" w:hint="cs"/>
          <w:rtl/>
        </w:rPr>
        <w:t>10</w:t>
      </w:r>
      <w:r w:rsidRPr="00AE02C1">
        <w:rPr>
          <w:rFonts w:cs="FrankRuehl" w:hint="cs"/>
          <w:rtl/>
        </w:rPr>
        <w:t>–</w:t>
      </w:r>
      <w:r>
        <w:rPr>
          <w:rFonts w:cs="FrankRuehl" w:hint="cs"/>
          <w:rtl/>
        </w:rPr>
        <w:t>16</w:t>
      </w:r>
      <w:r w:rsidRPr="00AE02C1">
        <w:rPr>
          <w:rFonts w:cs="FrankRuehl" w:hint="cs"/>
          <w:rtl/>
        </w:rPr>
        <w:t>). יחד עם זאת, הפרשן אינו מבהיר מדוע 'מנהג' זה של המחבר חל דווקא על שבט זבולון ולא על שבטים אחרים.</w:t>
      </w:r>
    </w:p>
    <w:p w:rsidR="007E6555" w:rsidRPr="0006101A" w:rsidRDefault="007E6555" w:rsidP="007E6555">
      <w:pPr>
        <w:spacing w:line="360" w:lineRule="auto"/>
        <w:ind w:firstLine="720"/>
        <w:rPr>
          <w:rFonts w:ascii="FrankRuehl" w:hAnsi="FrankRuehl" w:cs="FrankRuehl"/>
          <w:rtl/>
        </w:rPr>
      </w:pPr>
      <w:r>
        <w:rPr>
          <w:rFonts w:cs="FrankRuehl" w:hint="cs"/>
          <w:rtl/>
        </w:rPr>
        <w:t xml:space="preserve">כפי שציינתי בראשית דבריי, חוקריו המודרניים של ספר דברי הימים מרבים לעסוק במקומם של פרקי היחס הפותחים את הספר ובכלל זה בשאלת סדרם של השבטים בפרקים אלו. כמקובל, החוקרים מרבים להציג את ההיסטוריה של המחקר ולהזכיר את עמדותיהם של חוקרים שקדמו להם. היגדיו הנזכרים של מחבר הפירוש המיוחס לתלמיד של רס"ג הם העיסוק השיטתי הקדום ביותר בסוגיה ויש לראות בו נקודת ציון בהיסטוריה של מחקר ספר דברי הימים ופרשנותו. עמדתו, ולפיה מחבר דברי הימים הונחה ממספר עקרונות סידור בעלי משקל שונה, נבדלת ברוחה מהעמדה השכיחה במחקר ולפיה סדר הרשימות נקבע משילוב של שני עקרונות בלבד </w:t>
      </w:r>
      <w:r>
        <w:rPr>
          <w:rFonts w:cs="FrankRuehl"/>
          <w:rtl/>
        </w:rPr>
        <w:t>–</w:t>
      </w:r>
      <w:r>
        <w:rPr>
          <w:rFonts w:cs="FrankRuehl" w:hint="cs"/>
          <w:rtl/>
        </w:rPr>
        <w:t xml:space="preserve"> קביעת מקומם של יהודה לוי ובנימין במקומות בולטים ברשימה והעיקרון הגיאוגרפי. מובן שגם המתודולוגיה הפרשנית שבה נקט אינה תואמת את עקרונות המחקר הפילולוגי-היסטורי המודרני. ועם זאת עצם הניסיון </w:t>
      </w:r>
      <w:r>
        <w:rPr>
          <w:rFonts w:cs="FrankRuehl" w:hint="cs"/>
          <w:rtl/>
        </w:rPr>
        <w:lastRenderedPageBreak/>
        <w:t xml:space="preserve">לפתור באופן שיטתי את שאלת המבנה של הפרקים הגנאלוגיים, ומתוך הנחה כי ניתן לחשוף את השיקולים שהנחו את מחבר הספר, ראויה </w:t>
      </w:r>
      <w:r w:rsidRPr="0006101A">
        <w:rPr>
          <w:rFonts w:ascii="FrankRuehl" w:hAnsi="FrankRuehl" w:cs="FrankRuehl"/>
          <w:rtl/>
        </w:rPr>
        <w:t>לציון.</w:t>
      </w:r>
    </w:p>
    <w:p w:rsidR="007E6555" w:rsidRPr="0006101A" w:rsidRDefault="007E6555" w:rsidP="007E6555">
      <w:pPr>
        <w:pStyle w:val="ad"/>
        <w:rPr>
          <w:rFonts w:ascii="FrankRuehl" w:hAnsi="FrankRuehl" w:cs="FrankRuehl"/>
          <w:sz w:val="24"/>
          <w:szCs w:val="24"/>
          <w:rtl/>
          <w:lang w:eastAsia="he-IL"/>
        </w:rPr>
      </w:pPr>
    </w:p>
    <w:p w:rsidR="007E6555" w:rsidRPr="0006101A" w:rsidRDefault="007E6555" w:rsidP="007E6555">
      <w:pPr>
        <w:rPr>
          <w:rFonts w:ascii="FrankRuehl" w:hAnsi="FrankRuehl" w:cs="FrankRuehl"/>
          <w:rtl/>
          <w:lang w:eastAsia="he-IL"/>
        </w:rPr>
      </w:pPr>
    </w:p>
    <w:p w:rsidR="007E6555" w:rsidRPr="003A7133" w:rsidRDefault="007E6555" w:rsidP="007E6555">
      <w:pPr>
        <w:bidi w:val="0"/>
        <w:spacing w:line="360" w:lineRule="auto"/>
        <w:rPr>
          <w:rFonts w:cs="FrankRuehl"/>
          <w:sz w:val="20"/>
          <w:szCs w:val="20"/>
        </w:rPr>
      </w:pPr>
    </w:p>
    <w:p w:rsidR="008254B9" w:rsidRPr="007E6555" w:rsidRDefault="008254B9"/>
    <w:sectPr w:rsidR="008254B9" w:rsidRPr="007E6555" w:rsidSect="004462C3">
      <w:footerReference w:type="even" r:id="rI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AEB" w:rsidRDefault="00CD7AEB" w:rsidP="007E6555">
      <w:r>
        <w:separator/>
      </w:r>
    </w:p>
  </w:endnote>
  <w:endnote w:type="continuationSeparator" w:id="0">
    <w:p w:rsidR="00CD7AEB" w:rsidRDefault="00CD7AEB" w:rsidP="007E6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MS Mincho">
    <w:altName w:val="ＭＳ 明朝"/>
    <w:panose1 w:val="02020609040205080304"/>
    <w:charset w:val="80"/>
    <w:family w:val="roman"/>
    <w:notTrueType/>
    <w:pitch w:val="fixed"/>
    <w:sig w:usb0="00000001" w:usb1="08070000" w:usb2="00000010" w:usb3="00000000" w:csb0="00020000" w:csb1="00000000"/>
  </w:font>
  <w:font w:name="DavidD">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2C3" w:rsidRDefault="00CD7AEB" w:rsidP="004462C3">
    <w:pPr>
      <w:pStyle w:val="aa"/>
      <w:framePr w:wrap="around" w:vAnchor="text" w:hAnchor="text" w:y="1"/>
      <w:rPr>
        <w:rStyle w:val="ac"/>
      </w:rPr>
    </w:pPr>
    <w:r>
      <w:rPr>
        <w:rStyle w:val="ac"/>
        <w:rtl/>
      </w:rPr>
      <w:fldChar w:fldCharType="begin"/>
    </w:r>
    <w:r>
      <w:rPr>
        <w:rStyle w:val="ac"/>
      </w:rPr>
      <w:instrText xml:space="preserve">PAGE  </w:instrText>
    </w:r>
    <w:r>
      <w:rPr>
        <w:rStyle w:val="ac"/>
        <w:rtl/>
      </w:rPr>
      <w:fldChar w:fldCharType="end"/>
    </w:r>
  </w:p>
  <w:p w:rsidR="004462C3" w:rsidRDefault="00CD7AEB" w:rsidP="004462C3">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2C3" w:rsidRPr="00A252CB" w:rsidRDefault="00CD7AEB">
    <w:pPr>
      <w:pStyle w:val="aa"/>
      <w:jc w:val="center"/>
      <w:rPr>
        <w:rFonts w:ascii="FrankRuehl" w:hAnsi="FrankRuehl" w:cs="FrankRuehl"/>
      </w:rPr>
    </w:pPr>
    <w:r w:rsidRPr="00A252CB">
      <w:rPr>
        <w:rFonts w:ascii="FrankRuehl" w:hAnsi="FrankRuehl" w:cs="FrankRuehl"/>
      </w:rPr>
      <w:fldChar w:fldCharType="begin"/>
    </w:r>
    <w:r w:rsidRPr="00A252CB">
      <w:rPr>
        <w:rFonts w:ascii="FrankRuehl" w:hAnsi="FrankRuehl" w:cs="FrankRuehl"/>
      </w:rPr>
      <w:instrText xml:space="preserve"> PAGE   \* MERGEFORMAT </w:instrText>
    </w:r>
    <w:r w:rsidRPr="00A252CB">
      <w:rPr>
        <w:rFonts w:ascii="FrankRuehl" w:hAnsi="FrankRuehl" w:cs="FrankRuehl"/>
      </w:rPr>
      <w:fldChar w:fldCharType="separate"/>
    </w:r>
    <w:r w:rsidR="00175455">
      <w:rPr>
        <w:rFonts w:ascii="FrankRuehl" w:hAnsi="FrankRuehl" w:cs="FrankRuehl"/>
        <w:noProof/>
        <w:rtl/>
      </w:rPr>
      <w:t>8</w:t>
    </w:r>
    <w:r w:rsidRPr="00A252CB">
      <w:rPr>
        <w:rFonts w:ascii="FrankRuehl" w:hAnsi="FrankRuehl" w:cs="FrankRuehl"/>
        <w:noProof/>
      </w:rPr>
      <w:fldChar w:fldCharType="end"/>
    </w:r>
  </w:p>
  <w:p w:rsidR="004462C3" w:rsidRPr="00A252CB" w:rsidRDefault="00CD7AEB" w:rsidP="004462C3">
    <w:pPr>
      <w:pStyle w:val="aa"/>
      <w:ind w:right="360"/>
      <w:jc w:val="center"/>
      <w:rPr>
        <w:rFonts w:ascii="FrankRuehl" w:hAnsi="FrankRuehl" w:cs="FrankRueh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AEB" w:rsidRDefault="00CD7AEB" w:rsidP="007E6555">
      <w:r>
        <w:separator/>
      </w:r>
    </w:p>
  </w:footnote>
  <w:footnote w:type="continuationSeparator" w:id="0">
    <w:p w:rsidR="00CD7AEB" w:rsidRDefault="00CD7AEB" w:rsidP="007E6555">
      <w:r>
        <w:continuationSeparator/>
      </w:r>
    </w:p>
  </w:footnote>
  <w:footnote w:id="1">
    <w:p w:rsidR="007E6555" w:rsidRPr="00EC5F91" w:rsidRDefault="007E6555" w:rsidP="007E6555">
      <w:pPr>
        <w:rPr>
          <w:rFonts w:cs="FrankRuehl"/>
          <w:rtl/>
        </w:rPr>
      </w:pPr>
      <w:r w:rsidRPr="00EC5F91">
        <w:rPr>
          <w:rFonts w:cs="FrankRuehl"/>
          <w:vertAlign w:val="superscript"/>
        </w:rPr>
        <w:footnoteRef/>
      </w:r>
      <w:r w:rsidRPr="00EC5F91">
        <w:rPr>
          <w:rFonts w:cs="FrankRuehl"/>
        </w:rPr>
        <w:t xml:space="preserve"> </w:t>
      </w:r>
      <w:r w:rsidRPr="00EC5F91">
        <w:rPr>
          <w:rFonts w:cs="FrankRuehl" w:hint="cs"/>
          <w:rtl/>
        </w:rPr>
        <w:t xml:space="preserve"> חלוקה זו חוזרת ברבים מספרי הפירוש המודרניים לספר דברי הימים, ובסקירות המדעיות על הספר באנציקלופדיות ובספרי מבוא למקרא; לפירוט ביבליוגרפי עיינו:</w:t>
      </w:r>
      <w:r>
        <w:rPr>
          <w:rFonts w:cs="FrankRuehl" w:hint="cs"/>
          <w:rtl/>
        </w:rPr>
        <w:t xml:space="preserve"> </w:t>
      </w:r>
      <w:proofErr w:type="spellStart"/>
      <w:r w:rsidRPr="00BC5F47">
        <w:rPr>
          <w:rFonts w:cs="Narkisim"/>
          <w:sz w:val="20"/>
          <w:szCs w:val="20"/>
        </w:rPr>
        <w:t>Kalimi</w:t>
      </w:r>
      <w:proofErr w:type="spellEnd"/>
      <w:r w:rsidRPr="00BC5F47">
        <w:rPr>
          <w:rFonts w:cs="Narkisim"/>
          <w:sz w:val="20"/>
          <w:szCs w:val="20"/>
        </w:rPr>
        <w:t>, Classified Bibliography, 34-40, 45-52</w:t>
      </w:r>
      <w:r w:rsidRPr="00EC5F91">
        <w:rPr>
          <w:rFonts w:cs="FrankRuehl" w:hint="eastAsia"/>
          <w:rtl/>
        </w:rPr>
        <w:t xml:space="preserve">, </w:t>
      </w:r>
      <w:r w:rsidRPr="00EC5F91">
        <w:rPr>
          <w:rFonts w:cs="FrankRuehl" w:hint="cs"/>
          <w:rtl/>
        </w:rPr>
        <w:t>ולמחקרים המוקדשים להרכב הספר עיינו שם, עמ' 78</w:t>
      </w:r>
      <w:r>
        <w:rPr>
          <w:rFonts w:cs="FrankRuehl" w:hint="cs"/>
          <w:rtl/>
        </w:rPr>
        <w:t>-</w:t>
      </w:r>
      <w:r w:rsidRPr="00EC5F91">
        <w:rPr>
          <w:rFonts w:cs="FrankRuehl" w:hint="eastAsia"/>
          <w:rtl/>
        </w:rPr>
        <w:t>79</w:t>
      </w:r>
      <w:r w:rsidRPr="00EC5F91">
        <w:rPr>
          <w:rFonts w:cs="FrankRuehl" w:hint="cs"/>
          <w:rtl/>
        </w:rPr>
        <w:t>.</w:t>
      </w:r>
      <w:r>
        <w:rPr>
          <w:rFonts w:cs="FrankRuehl" w:hint="cs"/>
          <w:rtl/>
        </w:rPr>
        <w:t xml:space="preserve"> לרשימת מחקרים מן השנים האחרונות המוקדשים לפרקים הגנאלוגיים הפותחים את הספר ראו </w:t>
      </w:r>
      <w:r>
        <w:rPr>
          <w:rFonts w:cs="FrankRuehl"/>
          <w:sz w:val="20"/>
          <w:szCs w:val="20"/>
        </w:rPr>
        <w:t>Klein,</w:t>
      </w:r>
      <w:r w:rsidRPr="00032BAB">
        <w:rPr>
          <w:rFonts w:cs="FrankRuehl"/>
          <w:sz w:val="20"/>
          <w:szCs w:val="20"/>
        </w:rPr>
        <w:t xml:space="preserve"> </w:t>
      </w:r>
      <w:r w:rsidRPr="00BC5F47">
        <w:rPr>
          <w:rFonts w:cs="FrankRuehl"/>
          <w:sz w:val="20"/>
          <w:szCs w:val="20"/>
        </w:rPr>
        <w:t>Chronicles</w:t>
      </w:r>
      <w:r w:rsidRPr="00032BAB">
        <w:rPr>
          <w:rFonts w:cs="FrankRuehl"/>
          <w:sz w:val="20"/>
          <w:szCs w:val="20"/>
        </w:rPr>
        <w:t xml:space="preserve">, </w:t>
      </w:r>
      <w:r>
        <w:rPr>
          <w:rFonts w:cs="FrankRuehl"/>
          <w:sz w:val="20"/>
          <w:szCs w:val="20"/>
        </w:rPr>
        <w:t>20</w:t>
      </w:r>
      <w:r w:rsidRPr="00032BAB">
        <w:rPr>
          <w:rFonts w:cs="FrankRuehl"/>
          <w:sz w:val="20"/>
          <w:szCs w:val="20"/>
        </w:rPr>
        <w:t>–</w:t>
      </w:r>
      <w:r>
        <w:rPr>
          <w:rFonts w:cs="FrankRuehl"/>
          <w:sz w:val="20"/>
          <w:szCs w:val="20"/>
        </w:rPr>
        <w:t xml:space="preserve">21, n. </w:t>
      </w:r>
      <w:proofErr w:type="gramStart"/>
      <w:r>
        <w:rPr>
          <w:rFonts w:cs="FrankRuehl"/>
          <w:sz w:val="20"/>
          <w:szCs w:val="20"/>
        </w:rPr>
        <w:t>172</w:t>
      </w:r>
      <w:proofErr w:type="gramEnd"/>
      <w:r>
        <w:rPr>
          <w:rFonts w:cs="FrankRuehl" w:hint="cs"/>
          <w:rtl/>
        </w:rPr>
        <w:t xml:space="preserve">, ולהלן בהערות. </w:t>
      </w:r>
    </w:p>
  </w:footnote>
  <w:footnote w:id="2">
    <w:p w:rsidR="007E6555" w:rsidRPr="00EC5F91" w:rsidRDefault="007E6555" w:rsidP="00136565">
      <w:pPr>
        <w:pStyle w:val="a5"/>
        <w:rPr>
          <w:rFonts w:cs="FrankRuehl"/>
          <w:sz w:val="24"/>
          <w:szCs w:val="24"/>
          <w:rtl/>
        </w:rPr>
      </w:pPr>
      <w:r w:rsidRPr="00EC5F91">
        <w:rPr>
          <w:rStyle w:val="a7"/>
          <w:rFonts w:cs="FrankRuehl"/>
          <w:sz w:val="24"/>
          <w:szCs w:val="24"/>
        </w:rPr>
        <w:footnoteRef/>
      </w:r>
      <w:r w:rsidRPr="00EC5F91">
        <w:rPr>
          <w:rFonts w:cs="FrankRuehl"/>
          <w:sz w:val="24"/>
          <w:szCs w:val="24"/>
          <w:rtl/>
        </w:rPr>
        <w:t xml:space="preserve"> </w:t>
      </w:r>
    </w:p>
  </w:footnote>
  <w:footnote w:id="3">
    <w:p w:rsidR="007E6555" w:rsidRPr="005C6C1C" w:rsidRDefault="007E6555" w:rsidP="007E6555">
      <w:pPr>
        <w:pStyle w:val="a8"/>
        <w:tabs>
          <w:tab w:val="clear" w:pos="4153"/>
          <w:tab w:val="clear" w:pos="8306"/>
        </w:tabs>
        <w:rPr>
          <w:rFonts w:cs="FrankRuehl"/>
          <w:color w:val="FF6600"/>
        </w:rPr>
      </w:pPr>
      <w:r w:rsidRPr="00EC5F91">
        <w:rPr>
          <w:rStyle w:val="a7"/>
          <w:rFonts w:cs="FrankRuehl"/>
        </w:rPr>
        <w:footnoteRef/>
      </w:r>
      <w:r w:rsidRPr="00EC5F91">
        <w:rPr>
          <w:rFonts w:cs="FrankRuehl"/>
          <w:rtl/>
        </w:rPr>
        <w:t xml:space="preserve"> </w:t>
      </w:r>
      <w:r w:rsidRPr="00EC5F91">
        <w:rPr>
          <w:rFonts w:cs="FrankRuehl" w:hint="cs"/>
          <w:rtl/>
        </w:rPr>
        <w:t xml:space="preserve">כך, למשל, טען </w:t>
      </w:r>
      <w:r w:rsidRPr="00EC5F91">
        <w:rPr>
          <w:rFonts w:cs="FrankRuehl"/>
          <w:sz w:val="20"/>
          <w:szCs w:val="20"/>
        </w:rPr>
        <w:t>Welch</w:t>
      </w:r>
      <w:r w:rsidRPr="00EC5F91">
        <w:rPr>
          <w:rFonts w:cs="FrankRuehl" w:hint="cs"/>
          <w:rtl/>
        </w:rPr>
        <w:t xml:space="preserve"> כי שני החלקים אינם קשורים זה לזה </w:t>
      </w:r>
      <w:r>
        <w:rPr>
          <w:rFonts w:cs="FrankRuehl" w:hint="cs"/>
          <w:rtl/>
        </w:rPr>
        <w:t>ו</w:t>
      </w:r>
      <w:r w:rsidRPr="00EC5F91">
        <w:rPr>
          <w:rFonts w:cs="FrankRuehl" w:hint="cs"/>
          <w:rtl/>
        </w:rPr>
        <w:t xml:space="preserve">פרקי היחס </w:t>
      </w:r>
      <w:r>
        <w:rPr>
          <w:rFonts w:cs="FrankRuehl" w:hint="cs"/>
          <w:rtl/>
        </w:rPr>
        <w:t>נוספו לספר</w:t>
      </w:r>
      <w:r w:rsidRPr="00EC5F91">
        <w:rPr>
          <w:rFonts w:cs="FrankRuehl" w:hint="cs"/>
          <w:rtl/>
        </w:rPr>
        <w:t xml:space="preserve"> בשלב מאוחר</w:t>
      </w:r>
      <w:r>
        <w:rPr>
          <w:rFonts w:cs="FrankRuehl" w:hint="cs"/>
          <w:rtl/>
        </w:rPr>
        <w:t>;</w:t>
      </w:r>
      <w:r w:rsidRPr="00EC5F91">
        <w:rPr>
          <w:rFonts w:cs="FrankRuehl" w:hint="cs"/>
          <w:rtl/>
        </w:rPr>
        <w:t xml:space="preserve"> ראו: </w:t>
      </w:r>
      <w:r w:rsidRPr="00EC5F91">
        <w:rPr>
          <w:rFonts w:cs="FrankRuehl"/>
          <w:sz w:val="20"/>
          <w:szCs w:val="20"/>
        </w:rPr>
        <w:t>Welch,</w:t>
      </w:r>
      <w:r w:rsidRPr="00004424">
        <w:rPr>
          <w:rFonts w:cs="FrankRuehl"/>
          <w:sz w:val="20"/>
          <w:szCs w:val="20"/>
        </w:rPr>
        <w:t xml:space="preserve"> </w:t>
      </w:r>
      <w:r>
        <w:rPr>
          <w:rFonts w:cs="FrankRuehl"/>
          <w:sz w:val="20"/>
          <w:szCs w:val="20"/>
        </w:rPr>
        <w:t xml:space="preserve">Work, </w:t>
      </w:r>
      <w:r w:rsidRPr="00EC5F91">
        <w:rPr>
          <w:rFonts w:cs="FrankRuehl"/>
          <w:sz w:val="20"/>
          <w:szCs w:val="20"/>
        </w:rPr>
        <w:t>185</w:t>
      </w:r>
      <w:r>
        <w:rPr>
          <w:rFonts w:cs="FrankRuehl"/>
          <w:sz w:val="20"/>
          <w:szCs w:val="20"/>
        </w:rPr>
        <w:t>-</w:t>
      </w:r>
      <w:r w:rsidRPr="00EC5F91">
        <w:rPr>
          <w:rFonts w:cs="FrankRuehl"/>
          <w:sz w:val="20"/>
          <w:szCs w:val="20"/>
        </w:rPr>
        <w:t>186</w:t>
      </w:r>
      <w:r w:rsidRPr="00EC5F91">
        <w:rPr>
          <w:rFonts w:cs="FrankRuehl" w:hint="cs"/>
          <w:rtl/>
        </w:rPr>
        <w:t xml:space="preserve">. לעמדה קיצונית פחות ראו: </w:t>
      </w:r>
      <w:proofErr w:type="spellStart"/>
      <w:r w:rsidRPr="00EC5F91">
        <w:rPr>
          <w:rFonts w:cs="FrankRuehl"/>
          <w:sz w:val="20"/>
          <w:szCs w:val="20"/>
        </w:rPr>
        <w:t>Noth</w:t>
      </w:r>
      <w:proofErr w:type="spellEnd"/>
      <w:r w:rsidRPr="00EC5F91">
        <w:rPr>
          <w:rFonts w:cs="FrankRuehl"/>
          <w:sz w:val="20"/>
          <w:szCs w:val="20"/>
        </w:rPr>
        <w:t>,</w:t>
      </w:r>
      <w:r w:rsidRPr="00004424">
        <w:rPr>
          <w:rFonts w:cs="FrankRuehl"/>
          <w:sz w:val="20"/>
          <w:szCs w:val="20"/>
        </w:rPr>
        <w:t xml:space="preserve"> </w:t>
      </w:r>
      <w:proofErr w:type="spellStart"/>
      <w:r>
        <w:rPr>
          <w:rFonts w:cs="FrankRuehl"/>
          <w:sz w:val="20"/>
          <w:szCs w:val="20"/>
        </w:rPr>
        <w:t>Überlieferungsgeschichtliche</w:t>
      </w:r>
      <w:proofErr w:type="spellEnd"/>
      <w:r>
        <w:rPr>
          <w:rFonts w:cs="FrankRuehl"/>
          <w:sz w:val="20"/>
          <w:szCs w:val="20"/>
        </w:rPr>
        <w:t xml:space="preserve">, </w:t>
      </w:r>
      <w:r w:rsidRPr="00EC5F91">
        <w:rPr>
          <w:rFonts w:cs="FrankRuehl"/>
          <w:sz w:val="20"/>
          <w:szCs w:val="20"/>
        </w:rPr>
        <w:t>122</w:t>
      </w:r>
      <w:r w:rsidRPr="005C6C1C">
        <w:rPr>
          <w:rFonts w:cs="FrankRuehl" w:hint="cs"/>
          <w:rtl/>
        </w:rPr>
        <w:t xml:space="preserve">. לביבליוגרפיה </w:t>
      </w:r>
      <w:r>
        <w:rPr>
          <w:rFonts w:cs="FrankRuehl" w:hint="cs"/>
          <w:rtl/>
        </w:rPr>
        <w:t>מקיפה</w:t>
      </w:r>
      <w:r w:rsidRPr="005C6C1C">
        <w:rPr>
          <w:rFonts w:cs="FrankRuehl" w:hint="cs"/>
          <w:rtl/>
        </w:rPr>
        <w:t xml:space="preserve"> של הדעות השונות ראו</w:t>
      </w:r>
      <w:r>
        <w:rPr>
          <w:rFonts w:cs="FrankRuehl" w:hint="cs"/>
          <w:rtl/>
        </w:rPr>
        <w:t xml:space="preserve"> </w:t>
      </w:r>
      <w:proofErr w:type="spellStart"/>
      <w:r w:rsidRPr="004C6DFC">
        <w:rPr>
          <w:rFonts w:cs="FrankRuehl"/>
          <w:sz w:val="20"/>
          <w:szCs w:val="20"/>
        </w:rPr>
        <w:t>Kalimi</w:t>
      </w:r>
      <w:proofErr w:type="spellEnd"/>
      <w:r w:rsidRPr="004C6DFC">
        <w:rPr>
          <w:rFonts w:cs="FrankRuehl"/>
          <w:sz w:val="20"/>
          <w:szCs w:val="20"/>
        </w:rPr>
        <w:t>, Book, 388</w:t>
      </w:r>
      <w:r>
        <w:rPr>
          <w:rFonts w:cs="FrankRuehl"/>
          <w:sz w:val="20"/>
          <w:szCs w:val="20"/>
        </w:rPr>
        <w:t>; Klein, Chronicles, 11-13</w:t>
      </w:r>
    </w:p>
  </w:footnote>
  <w:footnote w:id="4">
    <w:p w:rsidR="007E6555" w:rsidRDefault="007E6555" w:rsidP="007E6555">
      <w:pPr>
        <w:pStyle w:val="a5"/>
      </w:pPr>
      <w:r w:rsidRPr="005C6C1C">
        <w:rPr>
          <w:rStyle w:val="a7"/>
          <w:rFonts w:ascii="FrankRuehl" w:hAnsi="FrankRuehl" w:cs="FrankRuehl"/>
          <w:sz w:val="24"/>
          <w:szCs w:val="24"/>
        </w:rPr>
        <w:footnoteRef/>
      </w:r>
      <w:r w:rsidRPr="005C6C1C">
        <w:rPr>
          <w:rFonts w:ascii="FrankRuehl" w:hAnsi="FrankRuehl" w:cs="FrankRuehl"/>
          <w:sz w:val="24"/>
          <w:szCs w:val="24"/>
          <w:rtl/>
        </w:rPr>
        <w:t xml:space="preserve"> </w:t>
      </w:r>
      <w:r w:rsidRPr="005C6C1C">
        <w:rPr>
          <w:rFonts w:ascii="FrankRuehl" w:hAnsi="FrankRuehl" w:cs="FrankRuehl"/>
          <w:sz w:val="24"/>
          <w:szCs w:val="24"/>
          <w:rtl/>
        </w:rPr>
        <w:t xml:space="preserve">דומה </w:t>
      </w:r>
      <w:r>
        <w:rPr>
          <w:rFonts w:ascii="FrankRuehl" w:hAnsi="FrankRuehl" w:cs="FrankRuehl" w:hint="cs"/>
          <w:sz w:val="24"/>
          <w:szCs w:val="24"/>
          <w:rtl/>
        </w:rPr>
        <w:t>ש</w:t>
      </w:r>
      <w:r w:rsidRPr="005C6C1C">
        <w:rPr>
          <w:rFonts w:ascii="FrankRuehl" w:hAnsi="FrankRuehl" w:cs="FrankRuehl"/>
          <w:sz w:val="24"/>
          <w:szCs w:val="24"/>
          <w:rtl/>
        </w:rPr>
        <w:t>רוב החוקרים המודרני</w:t>
      </w:r>
      <w:r>
        <w:rPr>
          <w:rFonts w:ascii="FrankRuehl" w:hAnsi="FrankRuehl" w:cs="FrankRuehl" w:hint="cs"/>
          <w:sz w:val="24"/>
          <w:szCs w:val="24"/>
          <w:rtl/>
        </w:rPr>
        <w:t>י</w:t>
      </w:r>
      <w:r w:rsidRPr="005C6C1C">
        <w:rPr>
          <w:rFonts w:ascii="FrankRuehl" w:hAnsi="FrankRuehl" w:cs="FrankRuehl"/>
          <w:sz w:val="24"/>
          <w:szCs w:val="24"/>
          <w:rtl/>
        </w:rPr>
        <w:t>ם שותפים לדעה שרשימות היחס בספר דברי הימים מבוססות גם על חומרים חוץ-מקראיים, וזאת על אף ש</w:t>
      </w:r>
      <w:r>
        <w:rPr>
          <w:rFonts w:ascii="FrankRuehl" w:hAnsi="FrankRuehl" w:cs="FrankRuehl" w:hint="cs"/>
          <w:sz w:val="24"/>
          <w:szCs w:val="24"/>
          <w:rtl/>
        </w:rPr>
        <w:t>-</w:t>
      </w:r>
      <w:r w:rsidRPr="00C555BF">
        <w:t xml:space="preserve"> </w:t>
      </w:r>
      <w:proofErr w:type="spellStart"/>
      <w:r w:rsidRPr="00994BE7">
        <w:t>Wellhausen</w:t>
      </w:r>
      <w:proofErr w:type="spellEnd"/>
      <w:r w:rsidRPr="005C6C1C">
        <w:rPr>
          <w:rFonts w:ascii="FrankRuehl" w:hAnsi="FrankRuehl" w:cs="FrankRuehl"/>
          <w:sz w:val="24"/>
          <w:szCs w:val="24"/>
          <w:rtl/>
        </w:rPr>
        <w:t>בחיבורו רב ההשפעה סבר אחרת;</w:t>
      </w:r>
      <w:r>
        <w:rPr>
          <w:rFonts w:hint="cs"/>
          <w:rtl/>
        </w:rPr>
        <w:t xml:space="preserve"> </w:t>
      </w:r>
      <w:proofErr w:type="spellStart"/>
      <w:r w:rsidRPr="00994BE7">
        <w:t>Wellhausen</w:t>
      </w:r>
      <w:proofErr w:type="spellEnd"/>
      <w:r w:rsidRPr="00994BE7">
        <w:t>,</w:t>
      </w:r>
      <w:r>
        <w:t xml:space="preserve"> </w:t>
      </w:r>
      <w:r w:rsidRPr="00BF424A">
        <w:t>Prolegomena</w:t>
      </w:r>
      <w:r>
        <w:t>, 222</w:t>
      </w:r>
    </w:p>
  </w:footnote>
  <w:footnote w:id="5">
    <w:p w:rsidR="007E6555" w:rsidRPr="00954460" w:rsidRDefault="007E6555" w:rsidP="004F454F">
      <w:pPr>
        <w:pStyle w:val="a5"/>
        <w:rPr>
          <w:rFonts w:cs="FrankRuehl"/>
        </w:rPr>
      </w:pPr>
      <w:r w:rsidRPr="00EC5F91">
        <w:rPr>
          <w:rStyle w:val="a7"/>
          <w:rFonts w:cs="FrankRuehl"/>
          <w:sz w:val="24"/>
          <w:szCs w:val="24"/>
        </w:rPr>
        <w:footnoteRef/>
      </w:r>
      <w:r w:rsidRPr="00EC5F91">
        <w:rPr>
          <w:rFonts w:cs="FrankRuehl"/>
          <w:sz w:val="24"/>
          <w:szCs w:val="24"/>
          <w:rtl/>
        </w:rPr>
        <w:t xml:space="preserve"> </w:t>
      </w:r>
    </w:p>
  </w:footnote>
  <w:footnote w:id="6">
    <w:p w:rsidR="007E6555" w:rsidRDefault="007E6555" w:rsidP="007E6555">
      <w:pPr>
        <w:pStyle w:val="a5"/>
        <w:rPr>
          <w:rtl/>
        </w:rPr>
      </w:pPr>
      <w:r w:rsidRPr="00136565">
        <w:rPr>
          <w:rStyle w:val="a7"/>
          <w:rFonts w:ascii="FrankRuehl" w:hAnsi="FrankRuehl" w:cs="FrankRuehl"/>
          <w:sz w:val="24"/>
          <w:szCs w:val="24"/>
        </w:rPr>
        <w:footnoteRef/>
      </w:r>
      <w:r w:rsidRPr="00136565">
        <w:rPr>
          <w:rFonts w:ascii="FrankRuehl" w:hAnsi="FrankRuehl" w:cs="FrankRuehl"/>
          <w:sz w:val="24"/>
          <w:szCs w:val="24"/>
          <w:rtl/>
        </w:rPr>
        <w:t xml:space="preserve"> </w:t>
      </w:r>
      <w:r w:rsidRPr="00136565">
        <w:rPr>
          <w:rFonts w:ascii="FrankRuehl" w:hAnsi="FrankRuehl" w:cs="FrankRuehl"/>
          <w:sz w:val="24"/>
          <w:szCs w:val="24"/>
          <w:rtl/>
        </w:rPr>
        <w:t>דברי הימים מקפיד לכנות את יעקב בשם ישראל; ראו:</w:t>
      </w:r>
      <w:r w:rsidRPr="00EC5F91">
        <w:rPr>
          <w:rFonts w:cs="FrankRuehl" w:hint="cs"/>
          <w:rtl/>
        </w:rPr>
        <w:t xml:space="preserve"> </w:t>
      </w:r>
      <w:r w:rsidRPr="00EC5F91">
        <w:rPr>
          <w:rFonts w:cs="FrankRuehl"/>
        </w:rPr>
        <w:t>Williamson,</w:t>
      </w:r>
      <w:r w:rsidRPr="00C555BF">
        <w:rPr>
          <w:rFonts w:cs="FrankRuehl"/>
        </w:rPr>
        <w:t xml:space="preserve"> </w:t>
      </w:r>
      <w:r w:rsidRPr="00130B21">
        <w:rPr>
          <w:rFonts w:cs="FrankRuehl"/>
        </w:rPr>
        <w:t>Israel</w:t>
      </w:r>
      <w:r w:rsidRPr="00EC5F91">
        <w:rPr>
          <w:rFonts w:cs="FrankRuehl"/>
        </w:rPr>
        <w:t>, 62, 102</w:t>
      </w:r>
      <w:r>
        <w:rPr>
          <w:rFonts w:cs="FrankRuehl"/>
        </w:rPr>
        <w:t>-</w:t>
      </w:r>
      <w:r w:rsidRPr="00EC5F91">
        <w:rPr>
          <w:rFonts w:cs="FrankRuehl"/>
        </w:rPr>
        <w:t>110</w:t>
      </w:r>
    </w:p>
  </w:footnote>
  <w:footnote w:id="7">
    <w:p w:rsidR="007E6555" w:rsidRPr="00EC5F91" w:rsidRDefault="007E6555" w:rsidP="004F454F">
      <w:pPr>
        <w:pStyle w:val="a5"/>
        <w:rPr>
          <w:rFonts w:cs="FrankRuehl"/>
          <w:sz w:val="24"/>
          <w:szCs w:val="24"/>
          <w:rtl/>
        </w:rPr>
      </w:pPr>
      <w:r w:rsidRPr="00EC5F91">
        <w:rPr>
          <w:rStyle w:val="a7"/>
          <w:rFonts w:cs="FrankRuehl"/>
          <w:sz w:val="24"/>
          <w:szCs w:val="24"/>
        </w:rPr>
        <w:footnoteRef/>
      </w:r>
      <w:r w:rsidRPr="00EC5F91">
        <w:rPr>
          <w:rFonts w:cs="FrankRuehl"/>
          <w:sz w:val="24"/>
          <w:szCs w:val="24"/>
          <w:rtl/>
        </w:rPr>
        <w:t xml:space="preserve"> </w:t>
      </w:r>
    </w:p>
  </w:footnote>
  <w:footnote w:id="8">
    <w:p w:rsidR="007E6555" w:rsidRPr="00EC5F91" w:rsidRDefault="007E6555" w:rsidP="004F454F">
      <w:pPr>
        <w:pStyle w:val="a5"/>
        <w:rPr>
          <w:rFonts w:cs="FrankRuehl"/>
          <w:sz w:val="24"/>
          <w:szCs w:val="24"/>
        </w:rPr>
      </w:pPr>
      <w:r w:rsidRPr="00EC5F91">
        <w:rPr>
          <w:rStyle w:val="a7"/>
          <w:rFonts w:cs="FrankRuehl"/>
          <w:sz w:val="24"/>
          <w:szCs w:val="24"/>
        </w:rPr>
        <w:footnoteRef/>
      </w:r>
      <w:r w:rsidRPr="00EC5F91">
        <w:rPr>
          <w:rFonts w:cs="FrankRuehl"/>
          <w:sz w:val="24"/>
          <w:szCs w:val="24"/>
          <w:rtl/>
        </w:rPr>
        <w:t xml:space="preserve"> </w:t>
      </w:r>
    </w:p>
  </w:footnote>
  <w:footnote w:id="9">
    <w:p w:rsidR="007E6555" w:rsidRPr="00EC5F91" w:rsidRDefault="007E6555" w:rsidP="0086358E">
      <w:pPr>
        <w:pStyle w:val="a5"/>
        <w:rPr>
          <w:rFonts w:cs="FrankRuehl"/>
          <w:sz w:val="24"/>
          <w:szCs w:val="24"/>
        </w:rPr>
      </w:pPr>
      <w:r w:rsidRPr="00EC5F91">
        <w:rPr>
          <w:rStyle w:val="a7"/>
          <w:rFonts w:cs="FrankRuehl"/>
          <w:sz w:val="24"/>
          <w:szCs w:val="24"/>
        </w:rPr>
        <w:footnoteRef/>
      </w:r>
      <w:r w:rsidRPr="00EC5F91">
        <w:rPr>
          <w:rFonts w:cs="FrankRuehl"/>
          <w:sz w:val="24"/>
          <w:szCs w:val="24"/>
          <w:rtl/>
        </w:rPr>
        <w:t xml:space="preserve"> </w:t>
      </w:r>
    </w:p>
  </w:footnote>
  <w:footnote w:id="10">
    <w:p w:rsidR="007E6555" w:rsidRDefault="007E6555" w:rsidP="0086358E">
      <w:pPr>
        <w:pStyle w:val="a5"/>
        <w:rPr>
          <w:rFonts w:hint="cs"/>
          <w:rtl/>
        </w:rPr>
      </w:pPr>
      <w:r w:rsidRPr="00941AA5">
        <w:rPr>
          <w:rStyle w:val="a7"/>
          <w:rFonts w:ascii="FrankRuehl" w:hAnsi="FrankRuehl" w:cs="FrankRuehl"/>
          <w:sz w:val="24"/>
          <w:szCs w:val="24"/>
        </w:rPr>
        <w:footnoteRef/>
      </w:r>
      <w:r w:rsidRPr="00941AA5">
        <w:rPr>
          <w:rFonts w:ascii="FrankRuehl" w:hAnsi="FrankRuehl" w:cs="FrankRuehl"/>
          <w:sz w:val="24"/>
          <w:szCs w:val="24"/>
          <w:rtl/>
        </w:rPr>
        <w:t xml:space="preserve"> </w:t>
      </w:r>
      <w:r>
        <w:rPr>
          <w:rFonts w:ascii="FrankRuehl" w:hAnsi="FrankRuehl" w:cs="FrankRuehl" w:hint="cs"/>
          <w:sz w:val="24"/>
          <w:szCs w:val="24"/>
          <w:rtl/>
        </w:rPr>
        <w:t xml:space="preserve">כך, </w:t>
      </w:r>
      <w:r w:rsidRPr="00941AA5">
        <w:rPr>
          <w:rFonts w:ascii="FrankRuehl" w:hAnsi="FrankRuehl" w:cs="FrankRuehl"/>
          <w:sz w:val="24"/>
          <w:szCs w:val="24"/>
          <w:rtl/>
        </w:rPr>
        <w:t>בין היתר</w:t>
      </w:r>
      <w:r>
        <w:rPr>
          <w:rFonts w:ascii="FrankRuehl" w:hAnsi="FrankRuehl" w:cs="FrankRuehl" w:hint="cs"/>
          <w:sz w:val="24"/>
          <w:szCs w:val="24"/>
          <w:rtl/>
        </w:rPr>
        <w:t xml:space="preserve">, שניים עשר </w:t>
      </w:r>
      <w:r w:rsidR="0086358E">
        <w:rPr>
          <w:rFonts w:ascii="FrankRuehl" w:hAnsi="FrankRuehl" w:cs="FrankRuehl" w:hint="cs"/>
          <w:sz w:val="24"/>
          <w:szCs w:val="24"/>
          <w:rtl/>
        </w:rPr>
        <w:t>המחקרים הבאים (לפי סדר פרסומם) ...</w:t>
      </w:r>
    </w:p>
  </w:footnote>
  <w:footnote w:id="11">
    <w:p w:rsidR="007E6555" w:rsidRPr="005953C2" w:rsidRDefault="007E6555" w:rsidP="00175455">
      <w:pPr>
        <w:pStyle w:val="a5"/>
        <w:rPr>
          <w:rFonts w:ascii="FrankRuehl" w:hAnsi="FrankRuehl" w:cs="FrankRuehl"/>
          <w:sz w:val="24"/>
          <w:szCs w:val="24"/>
        </w:rPr>
      </w:pPr>
      <w:r w:rsidRPr="005953C2">
        <w:rPr>
          <w:rStyle w:val="a7"/>
          <w:rFonts w:ascii="FrankRuehl" w:hAnsi="FrankRuehl" w:cs="FrankRuehl"/>
          <w:sz w:val="24"/>
          <w:szCs w:val="24"/>
        </w:rPr>
        <w:footnoteRef/>
      </w:r>
      <w:r w:rsidRPr="005953C2">
        <w:rPr>
          <w:rFonts w:ascii="FrankRuehl" w:hAnsi="FrankRuehl" w:cs="FrankRuehl"/>
          <w:sz w:val="24"/>
          <w:szCs w:val="24"/>
          <w:rtl/>
        </w:rPr>
        <w:t xml:space="preserve"> </w:t>
      </w:r>
      <w:bookmarkStart w:id="0" w:name="_GoBack"/>
      <w:bookmarkEnd w:id="0"/>
    </w:p>
  </w:footnote>
  <w:footnote w:id="12">
    <w:p w:rsidR="007E6555" w:rsidRPr="005953C2" w:rsidRDefault="007E6555" w:rsidP="007E6555">
      <w:pPr>
        <w:pStyle w:val="a5"/>
        <w:rPr>
          <w:rFonts w:ascii="FrankRuehl" w:hAnsi="FrankRuehl" w:cs="FrankRuehl"/>
          <w:sz w:val="22"/>
          <w:szCs w:val="22"/>
        </w:rPr>
      </w:pPr>
      <w:r w:rsidRPr="005953C2">
        <w:rPr>
          <w:rStyle w:val="a7"/>
          <w:rFonts w:ascii="FrankRuehl" w:hAnsi="FrankRuehl" w:cs="FrankRuehl"/>
          <w:sz w:val="24"/>
          <w:szCs w:val="24"/>
        </w:rPr>
        <w:footnoteRef/>
      </w:r>
      <w:r w:rsidRPr="005953C2">
        <w:rPr>
          <w:rFonts w:ascii="FrankRuehl" w:hAnsi="FrankRuehl" w:cs="FrankRuehl"/>
          <w:sz w:val="24"/>
          <w:szCs w:val="24"/>
          <w:rtl/>
        </w:rPr>
        <w:t xml:space="preserve"> </w:t>
      </w:r>
      <w:r w:rsidRPr="005953C2">
        <w:rPr>
          <w:rFonts w:ascii="FrankRuehl" w:hAnsi="FrankRuehl" w:cs="FrankRuehl"/>
          <w:sz w:val="24"/>
          <w:szCs w:val="24"/>
          <w:rtl/>
        </w:rPr>
        <w:t xml:space="preserve">לביבליוגרפיה </w:t>
      </w:r>
      <w:r>
        <w:rPr>
          <w:rFonts w:ascii="FrankRuehl" w:hAnsi="FrankRuehl" w:cs="FrankRuehl" w:hint="cs"/>
          <w:sz w:val="24"/>
          <w:szCs w:val="24"/>
          <w:rtl/>
        </w:rPr>
        <w:t xml:space="preserve">מקיפה </w:t>
      </w:r>
      <w:r w:rsidRPr="005953C2">
        <w:rPr>
          <w:rFonts w:ascii="FrankRuehl" w:hAnsi="FrankRuehl" w:cs="FrankRuehl"/>
          <w:sz w:val="24"/>
          <w:szCs w:val="24"/>
          <w:rtl/>
        </w:rPr>
        <w:t xml:space="preserve">ראו </w:t>
      </w:r>
      <w:proofErr w:type="spellStart"/>
      <w:r w:rsidRPr="00551C4E">
        <w:rPr>
          <w:rFonts w:asciiTheme="majorBidi" w:hAnsiTheme="majorBidi" w:cstheme="majorBidi"/>
        </w:rPr>
        <w:t>Kalimi</w:t>
      </w:r>
      <w:proofErr w:type="spellEnd"/>
      <w:r w:rsidRPr="00551C4E">
        <w:rPr>
          <w:rFonts w:asciiTheme="majorBidi" w:hAnsiTheme="majorBidi" w:cstheme="majorBidi"/>
        </w:rPr>
        <w:t xml:space="preserve">, </w:t>
      </w:r>
      <w:r w:rsidRPr="00BC5F47">
        <w:t>Classified Bibliography</w:t>
      </w:r>
      <w:r w:rsidRPr="00551C4E">
        <w:rPr>
          <w:rFonts w:asciiTheme="majorBidi" w:hAnsiTheme="majorBidi" w:cstheme="majorBidi"/>
        </w:rPr>
        <w:t>, 97-100</w:t>
      </w:r>
    </w:p>
  </w:footnote>
  <w:footnote w:id="13">
    <w:p w:rsidR="007E6555" w:rsidRPr="00EC5F91" w:rsidRDefault="007E6555" w:rsidP="0086358E">
      <w:pPr>
        <w:pStyle w:val="a5"/>
        <w:rPr>
          <w:rFonts w:cs="FrankRuehl"/>
          <w:sz w:val="24"/>
          <w:szCs w:val="24"/>
          <w:rtl/>
        </w:rPr>
      </w:pPr>
      <w:r w:rsidRPr="00EC5F91">
        <w:rPr>
          <w:rStyle w:val="a7"/>
          <w:rFonts w:cs="FrankRuehl"/>
          <w:sz w:val="24"/>
          <w:szCs w:val="24"/>
        </w:rPr>
        <w:footnoteRef/>
      </w:r>
      <w:r w:rsidRPr="00EC5F91">
        <w:rPr>
          <w:rFonts w:cs="FrankRuehl"/>
          <w:sz w:val="24"/>
          <w:szCs w:val="24"/>
          <w:rtl/>
        </w:rPr>
        <w:t xml:space="preserve"> </w:t>
      </w:r>
    </w:p>
  </w:footnote>
  <w:footnote w:id="14">
    <w:p w:rsidR="007E6555" w:rsidRPr="00EC5F91" w:rsidRDefault="007E6555" w:rsidP="0086358E">
      <w:pPr>
        <w:pStyle w:val="a5"/>
        <w:rPr>
          <w:rFonts w:cs="FrankRuehl"/>
          <w:sz w:val="24"/>
          <w:szCs w:val="24"/>
          <w:rtl/>
        </w:rPr>
      </w:pPr>
      <w:r w:rsidRPr="00EC5F91">
        <w:rPr>
          <w:rStyle w:val="a7"/>
          <w:rFonts w:cs="FrankRuehl"/>
          <w:sz w:val="24"/>
          <w:szCs w:val="24"/>
        </w:rPr>
        <w:footnoteRef/>
      </w:r>
      <w:r w:rsidRPr="00EC5F91">
        <w:rPr>
          <w:rFonts w:cs="FrankRuehl"/>
          <w:sz w:val="24"/>
          <w:szCs w:val="24"/>
          <w:rtl/>
        </w:rPr>
        <w:t xml:space="preserve"> </w:t>
      </w:r>
    </w:p>
  </w:footnote>
  <w:footnote w:id="15">
    <w:p w:rsidR="007E6555" w:rsidRPr="00EC5F91" w:rsidRDefault="007E6555" w:rsidP="007E6555">
      <w:pPr>
        <w:pStyle w:val="a5"/>
        <w:rPr>
          <w:rFonts w:cs="FrankRuehl"/>
          <w:sz w:val="24"/>
          <w:szCs w:val="24"/>
        </w:rPr>
      </w:pPr>
      <w:r w:rsidRPr="00EC5F91">
        <w:rPr>
          <w:rStyle w:val="a7"/>
          <w:rFonts w:cs="FrankRuehl"/>
          <w:sz w:val="24"/>
          <w:szCs w:val="24"/>
        </w:rPr>
        <w:footnoteRef/>
      </w:r>
      <w:r w:rsidRPr="00EC5F91">
        <w:rPr>
          <w:rFonts w:cs="FrankRuehl"/>
          <w:sz w:val="24"/>
          <w:szCs w:val="24"/>
          <w:rtl/>
        </w:rPr>
        <w:t xml:space="preserve"> </w:t>
      </w:r>
      <w:r w:rsidRPr="00346BB0">
        <w:rPr>
          <w:rFonts w:cs="FrankRuehl"/>
        </w:rPr>
        <w:t>See Levin,</w:t>
      </w:r>
      <w:r>
        <w:rPr>
          <w:rFonts w:cs="FrankRuehl"/>
        </w:rPr>
        <w:t xml:space="preserve"> Galilee, 122-125</w:t>
      </w:r>
      <w:r w:rsidRPr="00EC5F91">
        <w:rPr>
          <w:rFonts w:cs="FrankRuehl" w:hint="cs"/>
          <w:sz w:val="24"/>
          <w:szCs w:val="24"/>
          <w:rtl/>
        </w:rPr>
        <w:t>, ושם ביבליוגרפיה קודמת.</w:t>
      </w:r>
    </w:p>
  </w:footnote>
  <w:footnote w:id="16">
    <w:p w:rsidR="007E6555" w:rsidRPr="00EC5F91" w:rsidRDefault="007E6555" w:rsidP="0086358E">
      <w:pPr>
        <w:pStyle w:val="a5"/>
        <w:rPr>
          <w:rFonts w:cs="FrankRuehl"/>
          <w:sz w:val="24"/>
          <w:szCs w:val="24"/>
          <w:rtl/>
        </w:rPr>
      </w:pPr>
      <w:r w:rsidRPr="00EC5F91">
        <w:rPr>
          <w:rStyle w:val="a7"/>
          <w:rFonts w:cs="FrankRuehl"/>
          <w:sz w:val="24"/>
          <w:szCs w:val="24"/>
        </w:rPr>
        <w:footnoteRef/>
      </w:r>
      <w:r w:rsidRPr="00EC5F91">
        <w:rPr>
          <w:rFonts w:cs="FrankRuehl"/>
          <w:sz w:val="24"/>
          <w:szCs w:val="24"/>
          <w:rtl/>
        </w:rPr>
        <w:t xml:space="preserve"> </w:t>
      </w:r>
    </w:p>
  </w:footnote>
  <w:footnote w:id="17">
    <w:p w:rsidR="007E6555" w:rsidRPr="004F454F" w:rsidRDefault="007E6555" w:rsidP="0086358E">
      <w:pPr>
        <w:pStyle w:val="a5"/>
        <w:rPr>
          <w:rFonts w:cs="FrankRuehl"/>
          <w:sz w:val="24"/>
          <w:szCs w:val="24"/>
          <w:highlight w:val="yellow"/>
          <w:rtl/>
        </w:rPr>
      </w:pPr>
      <w:r w:rsidRPr="00EC5F91">
        <w:rPr>
          <w:rStyle w:val="a7"/>
          <w:rFonts w:cs="FrankRuehl"/>
          <w:sz w:val="24"/>
          <w:szCs w:val="24"/>
        </w:rPr>
        <w:footnoteRef/>
      </w:r>
      <w:r w:rsidRPr="00EC5F91">
        <w:rPr>
          <w:rFonts w:cs="FrankRuehl"/>
          <w:sz w:val="24"/>
          <w:szCs w:val="24"/>
          <w:rtl/>
        </w:rPr>
        <w:t xml:space="preserve"> </w:t>
      </w:r>
    </w:p>
  </w:footnote>
  <w:footnote w:id="18">
    <w:p w:rsidR="007E6555" w:rsidRPr="00E6689A" w:rsidRDefault="007E6555" w:rsidP="0086358E">
      <w:pPr>
        <w:rPr>
          <w:rFonts w:cs="FrankRuehl"/>
          <w:rtl/>
        </w:rPr>
      </w:pPr>
      <w:r w:rsidRPr="0086358E">
        <w:rPr>
          <w:rStyle w:val="a7"/>
          <w:rFonts w:cs="FrankRuehl"/>
        </w:rPr>
        <w:footnoteRef/>
      </w:r>
      <w:r w:rsidRPr="004F454F">
        <w:rPr>
          <w:rFonts w:cs="FrankRuehl"/>
          <w:highlight w:val="yellow"/>
          <w:rtl/>
        </w:rPr>
        <w:t xml:space="preserve"> </w:t>
      </w:r>
    </w:p>
  </w:footnote>
  <w:footnote w:id="19">
    <w:p w:rsidR="007E6555" w:rsidRPr="00FA2380" w:rsidRDefault="007E6555" w:rsidP="007E6555">
      <w:pPr>
        <w:rPr>
          <w:rFonts w:ascii="FrankRuehl" w:hAnsi="FrankRuehl" w:cs="FrankRuehl"/>
          <w:rtl/>
        </w:rPr>
      </w:pPr>
      <w:r w:rsidRPr="00EC5F91">
        <w:rPr>
          <w:rStyle w:val="a7"/>
          <w:rFonts w:cs="FrankRuehl"/>
        </w:rPr>
        <w:footnoteRef/>
      </w:r>
      <w:r w:rsidRPr="00EC5F91">
        <w:rPr>
          <w:rFonts w:cs="FrankRuehl" w:hint="cs"/>
          <w:rtl/>
        </w:rPr>
        <w:t xml:space="preserve"> </w:t>
      </w:r>
      <w:proofErr w:type="spellStart"/>
      <w:r w:rsidRPr="00863461">
        <w:rPr>
          <w:sz w:val="20"/>
          <w:szCs w:val="20"/>
        </w:rPr>
        <w:t>Kirchheim</w:t>
      </w:r>
      <w:proofErr w:type="spellEnd"/>
      <w:r w:rsidRPr="00863461">
        <w:rPr>
          <w:sz w:val="20"/>
          <w:szCs w:val="20"/>
        </w:rPr>
        <w:t xml:space="preserve">, </w:t>
      </w:r>
      <w:proofErr w:type="spellStart"/>
      <w:r w:rsidRPr="00863461">
        <w:rPr>
          <w:sz w:val="20"/>
          <w:szCs w:val="20"/>
        </w:rPr>
        <w:t>Commentar</w:t>
      </w:r>
      <w:proofErr w:type="spellEnd"/>
      <w:r>
        <w:rPr>
          <w:rFonts w:cs="FrankRuehl" w:hint="cs"/>
          <w:rtl/>
        </w:rPr>
        <w:t>,</w:t>
      </w:r>
      <w:r w:rsidRPr="00EC5F91">
        <w:rPr>
          <w:rFonts w:cs="FrankRuehl" w:hint="cs"/>
          <w:rtl/>
        </w:rPr>
        <w:t xml:space="preserve"> כל הציטוטים מן הפירוש שיובאו להלן הועתקו ממהדורה זו. </w:t>
      </w:r>
      <w:proofErr w:type="spellStart"/>
      <w:r w:rsidRPr="00863461">
        <w:rPr>
          <w:rFonts w:cs="FrankRuehl"/>
          <w:sz w:val="20"/>
          <w:szCs w:val="20"/>
        </w:rPr>
        <w:t>Kirchheim</w:t>
      </w:r>
      <w:proofErr w:type="spellEnd"/>
      <w:r w:rsidRPr="00EC5F91">
        <w:rPr>
          <w:rFonts w:cs="FrankRuehl" w:hint="cs"/>
          <w:rtl/>
        </w:rPr>
        <w:t xml:space="preserve"> השתמש בכתב יד </w:t>
      </w:r>
      <w:proofErr w:type="spellStart"/>
      <w:r w:rsidRPr="00EC5F91">
        <w:rPr>
          <w:rFonts w:cs="FrankRuehl" w:hint="cs"/>
          <w:rtl/>
        </w:rPr>
        <w:t>רוסטוק</w:t>
      </w:r>
      <w:proofErr w:type="spellEnd"/>
      <w:r w:rsidRPr="00EC5F91">
        <w:rPr>
          <w:rFonts w:cs="FrankRuehl" w:hint="cs"/>
          <w:rtl/>
        </w:rPr>
        <w:t xml:space="preserve"> 32 (</w:t>
      </w:r>
      <w:proofErr w:type="spellStart"/>
      <w:r w:rsidRPr="00EC5F91">
        <w:rPr>
          <w:rFonts w:cs="FrankRuehl"/>
          <w:sz w:val="20"/>
          <w:szCs w:val="20"/>
        </w:rPr>
        <w:t>Universitaetsbibliothek</w:t>
      </w:r>
      <w:proofErr w:type="spellEnd"/>
      <w:r w:rsidRPr="00EC5F91">
        <w:rPr>
          <w:rFonts w:cs="FrankRuehl" w:hint="cs"/>
          <w:rtl/>
        </w:rPr>
        <w:t xml:space="preserve">, </w:t>
      </w:r>
      <w:r w:rsidRPr="00083859">
        <w:rPr>
          <w:rFonts w:cs="FrankRuehl"/>
          <w:sz w:val="20"/>
          <w:szCs w:val="20"/>
        </w:rPr>
        <w:t>Or. 32</w:t>
      </w:r>
      <w:r w:rsidRPr="00EC5F91">
        <w:rPr>
          <w:rFonts w:cs="FrankRuehl" w:hint="cs"/>
          <w:rtl/>
        </w:rPr>
        <w:t>) כמהדורת הפנים ובגוף הפירוש ובהערות שיבץ השלמות מכתבי היד מינכן 5 (</w:t>
      </w:r>
      <w:proofErr w:type="spellStart"/>
      <w:r w:rsidRPr="00EC5F91">
        <w:rPr>
          <w:rFonts w:cs="FrankRuehl"/>
          <w:sz w:val="20"/>
          <w:szCs w:val="20"/>
        </w:rPr>
        <w:t>Bayerische</w:t>
      </w:r>
      <w:proofErr w:type="spellEnd"/>
      <w:r w:rsidRPr="00EC5F91">
        <w:rPr>
          <w:rFonts w:cs="FrankRuehl"/>
        </w:rPr>
        <w:t xml:space="preserve"> </w:t>
      </w:r>
      <w:proofErr w:type="spellStart"/>
      <w:r w:rsidRPr="00EC5F91">
        <w:rPr>
          <w:rFonts w:cs="FrankRuehl"/>
          <w:sz w:val="20"/>
          <w:szCs w:val="20"/>
        </w:rPr>
        <w:t>Staatsbibliothek</w:t>
      </w:r>
      <w:proofErr w:type="spellEnd"/>
      <w:r>
        <w:rPr>
          <w:rFonts w:cs="FrankRuehl"/>
          <w:sz w:val="20"/>
          <w:szCs w:val="20"/>
        </w:rPr>
        <w:t xml:space="preserve">, col. </w:t>
      </w:r>
      <w:proofErr w:type="gramStart"/>
      <w:r>
        <w:rPr>
          <w:rFonts w:cs="FrankRuehl"/>
          <w:sz w:val="20"/>
          <w:szCs w:val="20"/>
        </w:rPr>
        <w:t>165f.</w:t>
      </w:r>
      <w:r w:rsidRPr="00EC5F91">
        <w:rPr>
          <w:rFonts w:cs="FrankRuehl" w:hint="cs"/>
          <w:rtl/>
        </w:rPr>
        <w:t>,</w:t>
      </w:r>
      <w:proofErr w:type="gramEnd"/>
      <w:r w:rsidRPr="00EC5F91">
        <w:rPr>
          <w:rFonts w:cs="FrankRuehl" w:hint="cs"/>
          <w:rtl/>
        </w:rPr>
        <w:t xml:space="preserve"> </w:t>
      </w:r>
      <w:r w:rsidRPr="00EC5F91">
        <w:rPr>
          <w:rFonts w:cs="FrankRuehl"/>
          <w:sz w:val="20"/>
          <w:szCs w:val="20"/>
        </w:rPr>
        <w:t>Cod. Hebr. 5</w:t>
      </w:r>
      <w:r w:rsidRPr="00FA2380">
        <w:rPr>
          <w:rFonts w:ascii="FrankRuehl" w:hAnsi="FrankRuehl" w:cs="FrankRuehl"/>
          <w:rtl/>
        </w:rPr>
        <w:t xml:space="preserve">) וטורינו 124 (ניזוק בשריפה בשנת 1904). לקטעים חדשים שנתגלו לאחרונה מפירוש זה ראו </w:t>
      </w:r>
      <w:r w:rsidRPr="009B30A6">
        <w:rPr>
          <w:rFonts w:asciiTheme="majorBidi" w:hAnsiTheme="majorBidi" w:cstheme="majorBidi"/>
          <w:sz w:val="20"/>
          <w:szCs w:val="20"/>
        </w:rPr>
        <w:t>Emanuel,</w:t>
      </w:r>
      <w:r>
        <w:rPr>
          <w:rFonts w:asciiTheme="majorBidi" w:hAnsiTheme="majorBidi" w:cstheme="majorBidi"/>
          <w:sz w:val="20"/>
          <w:szCs w:val="20"/>
        </w:rPr>
        <w:t xml:space="preserve"> Fragments</w:t>
      </w:r>
      <w:r w:rsidRPr="009B30A6">
        <w:rPr>
          <w:rFonts w:asciiTheme="majorBidi" w:hAnsiTheme="majorBidi" w:cstheme="majorBidi"/>
          <w:sz w:val="20"/>
          <w:szCs w:val="20"/>
        </w:rPr>
        <w:t>, 131</w:t>
      </w:r>
    </w:p>
  </w:footnote>
  <w:footnote w:id="20">
    <w:p w:rsidR="007E6555" w:rsidRPr="00EC5F91" w:rsidRDefault="007E6555" w:rsidP="007E6555">
      <w:pPr>
        <w:rPr>
          <w:rFonts w:cs="FrankRuehl"/>
          <w:rtl/>
        </w:rPr>
      </w:pPr>
      <w:r w:rsidRPr="00FA2380">
        <w:rPr>
          <w:rStyle w:val="a7"/>
          <w:rFonts w:ascii="FrankRuehl" w:hAnsi="FrankRuehl" w:cs="FrankRuehl"/>
        </w:rPr>
        <w:footnoteRef/>
      </w:r>
      <w:r w:rsidRPr="00FA2380">
        <w:rPr>
          <w:rFonts w:ascii="FrankRuehl" w:hAnsi="FrankRuehl" w:cs="FrankRuehl"/>
          <w:rtl/>
        </w:rPr>
        <w:t xml:space="preserve"> </w:t>
      </w:r>
      <w:r w:rsidRPr="00FA2380">
        <w:rPr>
          <w:rFonts w:ascii="FrankRuehl" w:hAnsi="FrankRuehl" w:cs="FrankRuehl"/>
          <w:rtl/>
        </w:rPr>
        <w:t>לשאלת זמנו ומקומו</w:t>
      </w:r>
      <w:r w:rsidRPr="00EC5F91">
        <w:rPr>
          <w:rFonts w:cs="FrankRuehl" w:hint="cs"/>
          <w:rtl/>
        </w:rPr>
        <w:t xml:space="preserve"> של הפרשן והשפעתו על פרשנות הפשט בצפון צרפת ואשכנז, ראו:</w:t>
      </w:r>
      <w:r>
        <w:rPr>
          <w:rFonts w:cs="FrankRuehl" w:hint="cs"/>
          <w:rtl/>
        </w:rPr>
        <w:t xml:space="preserve"> </w:t>
      </w:r>
      <w:r w:rsidRPr="00C34831">
        <w:rPr>
          <w:rFonts w:cs="FrankRuehl"/>
          <w:sz w:val="20"/>
          <w:szCs w:val="20"/>
        </w:rPr>
        <w:t>Viezel,</w:t>
      </w:r>
      <w:r w:rsidRPr="00C34831">
        <w:rPr>
          <w:sz w:val="20"/>
          <w:szCs w:val="20"/>
        </w:rPr>
        <w:t xml:space="preserve"> </w:t>
      </w:r>
      <w:r w:rsidRPr="00C34831">
        <w:rPr>
          <w:rFonts w:cs="Narkisim"/>
          <w:sz w:val="20"/>
          <w:szCs w:val="20"/>
        </w:rPr>
        <w:t>Anonymous</w:t>
      </w:r>
      <w:r w:rsidRPr="00C34831">
        <w:rPr>
          <w:sz w:val="20"/>
          <w:szCs w:val="20"/>
        </w:rPr>
        <w:t xml:space="preserve"> </w:t>
      </w:r>
      <w:r w:rsidRPr="00EC5F91">
        <w:rPr>
          <w:rFonts w:cs="FrankRuehl" w:hint="cs"/>
          <w:rtl/>
        </w:rPr>
        <w:t>, ושם פירוט של מעט הביבליוגרפיה שנכתבה בעניינו.</w:t>
      </w:r>
    </w:p>
  </w:footnote>
  <w:footnote w:id="21">
    <w:p w:rsidR="007E6555" w:rsidRPr="00EC5F91" w:rsidRDefault="007E6555" w:rsidP="007E6555">
      <w:pPr>
        <w:pStyle w:val="a5"/>
        <w:rPr>
          <w:rFonts w:cs="FrankRuehl"/>
          <w:sz w:val="24"/>
          <w:szCs w:val="24"/>
        </w:rPr>
      </w:pPr>
      <w:r w:rsidRPr="00EC5F91">
        <w:rPr>
          <w:rStyle w:val="a7"/>
          <w:rFonts w:cs="FrankRuehl"/>
          <w:sz w:val="24"/>
          <w:szCs w:val="24"/>
        </w:rPr>
        <w:footnoteRef/>
      </w:r>
      <w:r w:rsidRPr="00EC5F91">
        <w:rPr>
          <w:rFonts w:cs="FrankRuehl"/>
          <w:sz w:val="24"/>
          <w:szCs w:val="24"/>
          <w:rtl/>
        </w:rPr>
        <w:t xml:space="preserve"> </w:t>
      </w:r>
      <w:r w:rsidRPr="00EC5F91">
        <w:rPr>
          <w:rFonts w:cs="FrankRuehl" w:hint="cs"/>
          <w:sz w:val="24"/>
          <w:szCs w:val="24"/>
          <w:rtl/>
        </w:rPr>
        <w:t xml:space="preserve">לעמדת הפרשן בשאלת מחבר ספר דברי הימים, ראו: </w:t>
      </w:r>
      <w:r w:rsidRPr="00365C5F">
        <w:rPr>
          <w:rFonts w:cs="FrankRuehl"/>
        </w:rPr>
        <w:t>Viezel, Haggai</w:t>
      </w:r>
    </w:p>
  </w:footnote>
  <w:footnote w:id="22">
    <w:p w:rsidR="007E6555" w:rsidRPr="00EC5F91" w:rsidRDefault="007E6555" w:rsidP="007E6555">
      <w:pPr>
        <w:pStyle w:val="a5"/>
        <w:rPr>
          <w:rFonts w:cs="FrankRuehl"/>
          <w:sz w:val="24"/>
          <w:szCs w:val="24"/>
        </w:rPr>
      </w:pPr>
      <w:r w:rsidRPr="00EC5F91">
        <w:rPr>
          <w:rStyle w:val="a7"/>
          <w:rFonts w:cs="FrankRuehl"/>
          <w:sz w:val="24"/>
          <w:szCs w:val="24"/>
        </w:rPr>
        <w:footnoteRef/>
      </w:r>
      <w:r w:rsidRPr="00EC5F91">
        <w:rPr>
          <w:rFonts w:cs="FrankRuehl"/>
          <w:sz w:val="24"/>
          <w:szCs w:val="24"/>
          <w:rtl/>
        </w:rPr>
        <w:t xml:space="preserve"> </w:t>
      </w:r>
      <w:r w:rsidRPr="00EC5F91">
        <w:rPr>
          <w:rFonts w:cs="FrankRuehl" w:hint="cs"/>
          <w:sz w:val="24"/>
          <w:szCs w:val="24"/>
          <w:rtl/>
        </w:rPr>
        <w:t>השוו בין היתר: 'מפני כבודו של שם שהיה חסיד הקדים [אותו] לפני אחיו' (פירושו לדה"א א</w:t>
      </w:r>
      <w:r>
        <w:rPr>
          <w:rFonts w:cs="FrankRuehl" w:hint="cs"/>
          <w:sz w:val="24"/>
          <w:szCs w:val="24"/>
          <w:rtl/>
        </w:rPr>
        <w:t xml:space="preserve"> 4</w:t>
      </w:r>
      <w:r w:rsidRPr="00EC5F91">
        <w:rPr>
          <w:rFonts w:cs="FrankRuehl" w:hint="cs"/>
          <w:sz w:val="24"/>
          <w:szCs w:val="24"/>
          <w:rtl/>
        </w:rPr>
        <w:t xml:space="preserve">); 'והקדים יצחק [לישמעאל] [...] מפני כבודו וחישובו' (שם, שם, </w:t>
      </w:r>
      <w:r>
        <w:rPr>
          <w:rFonts w:cs="FrankRuehl" w:hint="cs"/>
          <w:sz w:val="24"/>
          <w:szCs w:val="24"/>
          <w:rtl/>
        </w:rPr>
        <w:t>24</w:t>
      </w:r>
      <w:r w:rsidRPr="00EC5F91">
        <w:rPr>
          <w:rFonts w:cs="FrankRuehl" w:hint="cs"/>
          <w:sz w:val="24"/>
          <w:szCs w:val="24"/>
          <w:rtl/>
        </w:rPr>
        <w:t>); 'התחיל ליחס רם בשביל כבודו של דוד' (שם ב</w:t>
      </w:r>
      <w:r>
        <w:rPr>
          <w:rFonts w:cs="FrankRuehl" w:hint="cs"/>
          <w:sz w:val="24"/>
          <w:szCs w:val="24"/>
          <w:rtl/>
        </w:rPr>
        <w:t xml:space="preserve"> 9</w:t>
      </w:r>
      <w:r w:rsidRPr="00EC5F91">
        <w:rPr>
          <w:rFonts w:cs="FrankRuehl" w:hint="cs"/>
          <w:sz w:val="24"/>
          <w:szCs w:val="24"/>
          <w:rtl/>
        </w:rPr>
        <w:t xml:space="preserve">, וחוזר גם בפירושו לפס' </w:t>
      </w:r>
      <w:r>
        <w:rPr>
          <w:rFonts w:cs="FrankRuehl" w:hint="cs"/>
          <w:sz w:val="24"/>
          <w:szCs w:val="24"/>
          <w:rtl/>
        </w:rPr>
        <w:t>26</w:t>
      </w:r>
      <w:r w:rsidRPr="00EC5F91">
        <w:rPr>
          <w:rFonts w:cs="FrankRuehl" w:hint="cs"/>
          <w:sz w:val="24"/>
          <w:szCs w:val="24"/>
          <w:rtl/>
        </w:rPr>
        <w:t>)</w:t>
      </w:r>
      <w:r w:rsidRPr="00EC5F91">
        <w:rPr>
          <w:rFonts w:cs="FrankRuehl" w:hint="cs"/>
          <w:sz w:val="24"/>
          <w:szCs w:val="24"/>
          <w:rtl/>
          <w:lang w:eastAsia="en-US"/>
        </w:rPr>
        <w:t>.</w:t>
      </w:r>
    </w:p>
  </w:footnote>
  <w:footnote w:id="23">
    <w:p w:rsidR="007E6555" w:rsidRPr="00EC5F91" w:rsidRDefault="007E6555" w:rsidP="00136565">
      <w:pPr>
        <w:pStyle w:val="a5"/>
        <w:rPr>
          <w:rFonts w:cs="FrankRuehl"/>
          <w:sz w:val="24"/>
          <w:szCs w:val="24"/>
          <w:rtl/>
        </w:rPr>
      </w:pPr>
      <w:r w:rsidRPr="00EC5F91">
        <w:rPr>
          <w:rStyle w:val="a7"/>
          <w:rFonts w:cs="FrankRuehl"/>
          <w:sz w:val="24"/>
          <w:szCs w:val="24"/>
        </w:rPr>
        <w:footnoteRef/>
      </w:r>
      <w:r w:rsidRPr="00EC5F91">
        <w:rPr>
          <w:rFonts w:cs="FrankRuehl"/>
          <w:sz w:val="24"/>
          <w:szCs w:val="24"/>
          <w:rtl/>
        </w:rPr>
        <w:t xml:space="preserve"> </w:t>
      </w:r>
    </w:p>
  </w:footnote>
  <w:footnote w:id="24">
    <w:p w:rsidR="007E6555" w:rsidRDefault="007E6555" w:rsidP="007E6555">
      <w:pPr>
        <w:pStyle w:val="a5"/>
      </w:pPr>
      <w:r w:rsidRPr="00351CA3">
        <w:rPr>
          <w:rStyle w:val="a7"/>
          <w:rFonts w:ascii="FrankRuehl" w:hAnsi="FrankRuehl" w:cs="FrankRuehl"/>
          <w:sz w:val="24"/>
          <w:szCs w:val="24"/>
        </w:rPr>
        <w:footnoteRef/>
      </w:r>
      <w:r w:rsidRPr="00351CA3">
        <w:rPr>
          <w:rFonts w:ascii="FrankRuehl" w:hAnsi="FrankRuehl" w:cs="FrankRuehl"/>
          <w:sz w:val="24"/>
          <w:szCs w:val="24"/>
          <w:rtl/>
        </w:rPr>
        <w:t xml:space="preserve"> </w:t>
      </w:r>
      <w:r w:rsidRPr="00351CA3">
        <w:rPr>
          <w:rFonts w:ascii="FrankRuehl" w:hAnsi="FrankRuehl" w:cs="FrankRuehl"/>
          <w:sz w:val="24"/>
          <w:szCs w:val="24"/>
          <w:rtl/>
        </w:rPr>
        <w:t>עמדתו לגבי</w:t>
      </w:r>
      <w:r w:rsidRPr="00351CA3">
        <w:rPr>
          <w:rFonts w:cs="FrankRuehl" w:hint="cs"/>
          <w:sz w:val="24"/>
          <w:szCs w:val="24"/>
          <w:rtl/>
        </w:rPr>
        <w:t xml:space="preserve"> מקומו של שמעון ככל</w:t>
      </w:r>
      <w:r w:rsidRPr="00EC5F91">
        <w:rPr>
          <w:rFonts w:cs="FrankRuehl" w:hint="cs"/>
          <w:sz w:val="24"/>
          <w:szCs w:val="24"/>
          <w:rtl/>
        </w:rPr>
        <w:t xml:space="preserve"> הנראה השפיעה על מחבר הפירוש המיוחס לרש"י לדה"א ד</w:t>
      </w:r>
      <w:r>
        <w:rPr>
          <w:rFonts w:cs="FrankRuehl" w:hint="cs"/>
          <w:sz w:val="24"/>
          <w:szCs w:val="24"/>
          <w:rtl/>
        </w:rPr>
        <w:t xml:space="preserve"> 24</w:t>
      </w:r>
      <w:r w:rsidRPr="00EC5F91">
        <w:rPr>
          <w:rFonts w:cs="FrankRuehl" w:hint="cs"/>
          <w:sz w:val="24"/>
          <w:szCs w:val="24"/>
          <w:rtl/>
        </w:rPr>
        <w:t>:</w:t>
      </w:r>
      <w:r w:rsidRPr="00EC5F91">
        <w:rPr>
          <w:rFonts w:eastAsia="MS Mincho" w:cs="FrankRuehl"/>
          <w:color w:val="000000"/>
          <w:sz w:val="24"/>
          <w:szCs w:val="24"/>
          <w:rtl/>
          <w:lang w:eastAsia="en-US"/>
        </w:rPr>
        <w:t xml:space="preserve"> </w:t>
      </w:r>
      <w:r w:rsidRPr="00351CA3">
        <w:rPr>
          <w:rFonts w:asciiTheme="majorBidi" w:eastAsia="MS Mincho" w:hAnsiTheme="majorBidi" w:cstheme="majorBidi"/>
          <w:color w:val="000000"/>
          <w:rtl/>
          <w:lang w:eastAsia="en-US"/>
        </w:rPr>
        <w:t>'</w:t>
      </w:r>
      <w:r w:rsidRPr="00351CA3">
        <w:rPr>
          <w:rFonts w:asciiTheme="majorBidi" w:eastAsia="MS Mincho" w:hAnsiTheme="majorBidi" w:cstheme="majorBidi"/>
          <w:color w:val="000000"/>
          <w:lang w:eastAsia="en-US"/>
        </w:rPr>
        <w:t>The Sons of Simeon</w:t>
      </w:r>
      <w:r w:rsidRPr="006C514F">
        <w:rPr>
          <w:rFonts w:eastAsia="MS Mincho" w:cs="FrankRuehl"/>
          <w:color w:val="FF0000"/>
          <w:sz w:val="24"/>
          <w:szCs w:val="24"/>
          <w:rtl/>
          <w:lang w:eastAsia="en-US"/>
        </w:rPr>
        <w:t xml:space="preserve"> </w:t>
      </w:r>
      <w:r w:rsidRPr="00EC5F91">
        <w:rPr>
          <w:rFonts w:eastAsia="MS Mincho" w:cs="FrankRuehl" w:hint="cs"/>
          <w:color w:val="000000"/>
          <w:sz w:val="24"/>
          <w:szCs w:val="24"/>
          <w:rtl/>
          <w:lang w:eastAsia="en-US"/>
        </w:rPr>
        <w:t>–</w:t>
      </w:r>
      <w:r w:rsidRPr="00EC5F91">
        <w:rPr>
          <w:rFonts w:eastAsia="MS Mincho" w:cs="FrankRuehl"/>
          <w:color w:val="000000"/>
          <w:sz w:val="24"/>
          <w:szCs w:val="24"/>
          <w:rtl/>
          <w:lang w:eastAsia="en-US"/>
        </w:rPr>
        <w:t xml:space="preserve"> לפי ששמעון יושב בחלק יהודה הוא מקדימו </w:t>
      </w:r>
      <w:proofErr w:type="spellStart"/>
      <w:r w:rsidRPr="00EC5F91">
        <w:rPr>
          <w:rFonts w:eastAsia="MS Mincho" w:cs="FrankRuehl"/>
          <w:color w:val="000000"/>
          <w:sz w:val="24"/>
          <w:szCs w:val="24"/>
          <w:rtl/>
          <w:lang w:eastAsia="en-US"/>
        </w:rPr>
        <w:t>לי</w:t>
      </w:r>
      <w:r w:rsidRPr="00EC5F91">
        <w:rPr>
          <w:rFonts w:eastAsia="MS Mincho" w:cs="FrankRuehl" w:hint="cs"/>
          <w:color w:val="000000"/>
          <w:sz w:val="24"/>
          <w:szCs w:val="24"/>
          <w:rtl/>
          <w:lang w:eastAsia="en-US"/>
        </w:rPr>
        <w:t>י</w:t>
      </w:r>
      <w:r w:rsidRPr="00EC5F91">
        <w:rPr>
          <w:rFonts w:eastAsia="MS Mincho" w:cs="FrankRuehl"/>
          <w:color w:val="000000"/>
          <w:sz w:val="24"/>
          <w:szCs w:val="24"/>
          <w:rtl/>
          <w:lang w:eastAsia="en-US"/>
        </w:rPr>
        <w:t>חסו</w:t>
      </w:r>
      <w:proofErr w:type="spellEnd"/>
      <w:r w:rsidRPr="00EC5F91">
        <w:rPr>
          <w:rFonts w:eastAsia="MS Mincho" w:cs="FrankRuehl"/>
          <w:color w:val="000000"/>
          <w:sz w:val="24"/>
          <w:szCs w:val="24"/>
          <w:rtl/>
          <w:lang w:eastAsia="en-US"/>
        </w:rPr>
        <w:t xml:space="preserve"> ולדבר בעיירותיו קודם לראובן</w:t>
      </w:r>
      <w:r w:rsidRPr="00EC5F91">
        <w:rPr>
          <w:rFonts w:eastAsia="MS Mincho" w:cs="FrankRuehl" w:hint="cs"/>
          <w:color w:val="000000"/>
          <w:sz w:val="24"/>
          <w:szCs w:val="24"/>
          <w:rtl/>
          <w:lang w:eastAsia="en-US"/>
        </w:rPr>
        <w:t>'</w:t>
      </w:r>
      <w:r>
        <w:rPr>
          <w:rFonts w:cs="FrankRuehl" w:hint="cs"/>
          <w:sz w:val="24"/>
          <w:szCs w:val="24"/>
          <w:rtl/>
        </w:rPr>
        <w:t>;</w:t>
      </w:r>
      <w:r w:rsidRPr="00EC5F91">
        <w:rPr>
          <w:rFonts w:cs="FrankRuehl" w:hint="cs"/>
          <w:sz w:val="24"/>
          <w:szCs w:val="24"/>
          <w:rtl/>
        </w:rPr>
        <w:t xml:space="preserve"> וראו גם פירוש </w:t>
      </w:r>
      <w:proofErr w:type="spellStart"/>
      <w:r w:rsidRPr="00EC5F91">
        <w:rPr>
          <w:rFonts w:cs="FrankRuehl" w:hint="cs"/>
          <w:sz w:val="24"/>
          <w:szCs w:val="24"/>
          <w:rtl/>
        </w:rPr>
        <w:t>רד"ק</w:t>
      </w:r>
      <w:proofErr w:type="spellEnd"/>
      <w:r w:rsidRPr="00EC5F91">
        <w:rPr>
          <w:rFonts w:cs="FrankRuehl" w:hint="cs"/>
          <w:sz w:val="24"/>
          <w:szCs w:val="24"/>
          <w:rtl/>
        </w:rPr>
        <w:t xml:space="preserve"> לפסוק.</w:t>
      </w:r>
      <w:r>
        <w:rPr>
          <w:rFonts w:cs="FrankRuehl" w:hint="cs"/>
          <w:sz w:val="24"/>
          <w:szCs w:val="24"/>
          <w:rtl/>
        </w:rPr>
        <w:t xml:space="preserve"> על השפעת המיוחס לתלמיד רס"ג על המיוחס לרש"י ראו </w:t>
      </w:r>
      <w:r w:rsidRPr="000B70A8">
        <w:rPr>
          <w:rFonts w:cs="FrankRuehl"/>
        </w:rPr>
        <w:t xml:space="preserve">Viezel, </w:t>
      </w:r>
      <w:r>
        <w:rPr>
          <w:rFonts w:cs="FrankRuehl"/>
        </w:rPr>
        <w:t>Commentary</w:t>
      </w:r>
      <w:r w:rsidRPr="000B70A8">
        <w:rPr>
          <w:rFonts w:cs="FrankRuehl"/>
        </w:rPr>
        <w:t>, 44-47</w:t>
      </w:r>
      <w:r>
        <w:rPr>
          <w:rFonts w:cs="FrankRuehl" w:hint="cs"/>
          <w:sz w:val="24"/>
          <w:szCs w:val="24"/>
          <w:rtl/>
        </w:rPr>
        <w:t>.</w:t>
      </w:r>
    </w:p>
  </w:footnote>
  <w:footnote w:id="25">
    <w:p w:rsidR="007E6555" w:rsidRPr="00EC5F91" w:rsidRDefault="007E6555" w:rsidP="00136565">
      <w:pPr>
        <w:pStyle w:val="a5"/>
        <w:rPr>
          <w:rFonts w:cs="FrankRuehl"/>
          <w:color w:val="FF6600"/>
          <w:sz w:val="24"/>
          <w:szCs w:val="24"/>
        </w:rPr>
      </w:pPr>
      <w:r w:rsidRPr="00EC5F91">
        <w:rPr>
          <w:rStyle w:val="a7"/>
          <w:rFonts w:cs="FrankRuehl"/>
          <w:sz w:val="24"/>
          <w:szCs w:val="24"/>
        </w:rPr>
        <w:footnoteRef/>
      </w:r>
      <w:r w:rsidRPr="00EC5F91">
        <w:rPr>
          <w:rFonts w:cs="FrankRuehl"/>
          <w:sz w:val="24"/>
          <w:szCs w:val="24"/>
          <w:rtl/>
        </w:rPr>
        <w:t xml:space="preserve"> </w:t>
      </w:r>
      <w:r w:rsidRPr="00EC5F91">
        <w:rPr>
          <w:rFonts w:cs="FrankRuehl" w:hint="cs"/>
          <w:sz w:val="24"/>
          <w:szCs w:val="24"/>
          <w:rtl/>
        </w:rPr>
        <w:t>ראו הערתו המתודולוגית בפירוש לדה"א ז</w:t>
      </w:r>
      <w:r>
        <w:rPr>
          <w:rFonts w:cs="FrankRuehl" w:hint="cs"/>
          <w:sz w:val="24"/>
          <w:szCs w:val="24"/>
          <w:rtl/>
        </w:rPr>
        <w:t xml:space="preserve"> 19</w:t>
      </w:r>
      <w:r w:rsidRPr="00EC5F91">
        <w:rPr>
          <w:rFonts w:cs="FrankRuehl" w:hint="cs"/>
          <w:sz w:val="24"/>
          <w:szCs w:val="24"/>
          <w:rtl/>
        </w:rPr>
        <w:t>, ולעיון מפורט ראו</w:t>
      </w:r>
      <w:r>
        <w:rPr>
          <w:rFonts w:cs="FrankRuehl" w:hint="cs"/>
          <w:sz w:val="24"/>
          <w:szCs w:val="24"/>
          <w:rtl/>
        </w:rPr>
        <w:t xml:space="preserve"> </w:t>
      </w:r>
      <w:r w:rsidRPr="000B70A8">
        <w:rPr>
          <w:rFonts w:cs="FrankRuehl"/>
        </w:rPr>
        <w:t xml:space="preserve">Viezel, </w:t>
      </w:r>
      <w:proofErr w:type="spellStart"/>
      <w:r w:rsidRPr="000B70A8">
        <w:rPr>
          <w:rFonts w:cs="FrankRuehl"/>
        </w:rPr>
        <w:t>Ksharim</w:t>
      </w:r>
      <w:proofErr w:type="spellEnd"/>
      <w:r w:rsidRPr="00813026">
        <w:t xml:space="preserve"> </w:t>
      </w:r>
      <w:r>
        <w:rPr>
          <w:rFonts w:cs="FrankRuehl" w:hint="cs"/>
          <w:sz w:val="24"/>
          <w:szCs w:val="24"/>
          <w:rtl/>
        </w:rPr>
        <w:t xml:space="preserve"> </w:t>
      </w:r>
    </w:p>
  </w:footnote>
  <w:footnote w:id="26">
    <w:p w:rsidR="007E6555" w:rsidRPr="00EC5F91" w:rsidRDefault="007E6555" w:rsidP="00136565">
      <w:pPr>
        <w:pStyle w:val="a5"/>
        <w:rPr>
          <w:rFonts w:cs="FrankRuehl"/>
          <w:sz w:val="24"/>
          <w:szCs w:val="24"/>
        </w:rPr>
      </w:pPr>
      <w:r w:rsidRPr="00EC5F91">
        <w:rPr>
          <w:rStyle w:val="a7"/>
          <w:rFonts w:cs="FrankRuehl"/>
          <w:sz w:val="24"/>
          <w:szCs w:val="24"/>
        </w:rPr>
        <w:footnoteRef/>
      </w:r>
      <w:r w:rsidRPr="00EC5F91">
        <w:rPr>
          <w:rFonts w:cs="FrankRuehl"/>
          <w:sz w:val="24"/>
          <w:szCs w:val="24"/>
          <w:rtl/>
        </w:rPr>
        <w:t xml:space="preserve"> </w:t>
      </w:r>
    </w:p>
  </w:footnote>
  <w:footnote w:id="27">
    <w:p w:rsidR="007E6555" w:rsidRPr="00EC5F91" w:rsidRDefault="007E6555" w:rsidP="00136565">
      <w:pPr>
        <w:pStyle w:val="a5"/>
        <w:rPr>
          <w:rFonts w:cs="FrankRuehl"/>
          <w:sz w:val="24"/>
          <w:szCs w:val="24"/>
        </w:rPr>
      </w:pPr>
      <w:r w:rsidRPr="00EC5F91">
        <w:rPr>
          <w:rStyle w:val="a7"/>
          <w:rFonts w:cs="FrankRuehl"/>
          <w:sz w:val="24"/>
          <w:szCs w:val="24"/>
        </w:rPr>
        <w:footnoteRef/>
      </w:r>
      <w:r w:rsidRPr="00EC5F91">
        <w:rPr>
          <w:rFonts w:cs="FrankRuehl"/>
          <w:sz w:val="24"/>
          <w:szCs w:val="24"/>
          <w:rtl/>
        </w:rPr>
        <w:t xml:space="preserve"> </w:t>
      </w:r>
      <w:r>
        <w:rPr>
          <w:rFonts w:ascii="DavidD" w:hAnsi="DavidD" w:cs="FrankRuehl" w:hint="cs"/>
          <w:color w:val="000000"/>
          <w:sz w:val="24"/>
          <w:szCs w:val="24"/>
          <w:rtl/>
        </w:rPr>
        <w:t>ראו גם פירושו לדה"א ח 7</w:t>
      </w:r>
      <w:r w:rsidRPr="00EC5F91">
        <w:rPr>
          <w:rFonts w:ascii="DavidD" w:hAnsi="DavidD" w:cs="FrankRuehl" w:hint="cs"/>
          <w:color w:val="000000"/>
          <w:sz w:val="24"/>
          <w:szCs w:val="24"/>
          <w:rtl/>
        </w:rPr>
        <w:t xml:space="preserve">: </w:t>
      </w:r>
      <w:r w:rsidRPr="00EC5F91">
        <w:rPr>
          <w:rFonts w:cs="FrankRuehl" w:hint="cs"/>
          <w:sz w:val="24"/>
          <w:szCs w:val="24"/>
          <w:rtl/>
        </w:rPr>
        <w:t xml:space="preserve">'ועכשיו הזכיר שבט דן למעלה כאשר אמרנו: </w:t>
      </w:r>
      <w:r w:rsidRPr="004E220D">
        <w:rPr>
          <w:rFonts w:asciiTheme="majorBidi" w:hAnsiTheme="majorBidi" w:cstheme="majorBidi"/>
        </w:rPr>
        <w:t>“</w:t>
      </w:r>
      <w:proofErr w:type="spellStart"/>
      <w:r w:rsidRPr="004E220D">
        <w:rPr>
          <w:rFonts w:asciiTheme="majorBidi" w:hAnsiTheme="majorBidi" w:cstheme="majorBidi"/>
        </w:rPr>
        <w:t>Hushim</w:t>
      </w:r>
      <w:proofErr w:type="spellEnd"/>
      <w:r w:rsidRPr="004E220D">
        <w:rPr>
          <w:rFonts w:asciiTheme="majorBidi" w:hAnsiTheme="majorBidi" w:cstheme="majorBidi"/>
        </w:rPr>
        <w:t xml:space="preserve"> the sons of </w:t>
      </w:r>
      <w:proofErr w:type="spellStart"/>
      <w:r w:rsidRPr="004E220D">
        <w:rPr>
          <w:rFonts w:asciiTheme="majorBidi" w:hAnsiTheme="majorBidi" w:cstheme="majorBidi"/>
        </w:rPr>
        <w:t>Aher</w:t>
      </w:r>
      <w:proofErr w:type="spellEnd"/>
      <w:r w:rsidRPr="004E220D">
        <w:rPr>
          <w:rFonts w:asciiTheme="majorBidi" w:hAnsiTheme="majorBidi" w:cstheme="majorBidi"/>
        </w:rPr>
        <w:t xml:space="preserve">” </w:t>
      </w:r>
      <w:r w:rsidRPr="00EC5F91">
        <w:rPr>
          <w:rFonts w:cs="FrankRuehl" w:hint="cs"/>
          <w:sz w:val="24"/>
          <w:szCs w:val="24"/>
          <w:rtl/>
        </w:rPr>
        <w:t>'</w:t>
      </w:r>
      <w:r w:rsidRPr="00EC5F91">
        <w:rPr>
          <w:rFonts w:ascii="DavidD" w:hAnsi="DavidD" w:cs="FrankRuehl" w:hint="cs"/>
          <w:color w:val="000000"/>
          <w:sz w:val="24"/>
          <w:szCs w:val="24"/>
          <w:rtl/>
        </w:rPr>
        <w:t xml:space="preserve">. עמדה מעין זו נזכרת בפירוש </w:t>
      </w:r>
      <w:proofErr w:type="spellStart"/>
      <w:r w:rsidRPr="00EC5F91">
        <w:rPr>
          <w:rFonts w:ascii="DavidD" w:hAnsi="DavidD" w:cs="FrankRuehl" w:hint="cs"/>
          <w:color w:val="000000"/>
          <w:sz w:val="24"/>
          <w:szCs w:val="24"/>
          <w:rtl/>
        </w:rPr>
        <w:t>רד"ק</w:t>
      </w:r>
      <w:proofErr w:type="spellEnd"/>
      <w:r w:rsidRPr="00EC5F91">
        <w:rPr>
          <w:rFonts w:ascii="DavidD" w:hAnsi="DavidD" w:cs="FrankRuehl" w:hint="cs"/>
          <w:color w:val="000000"/>
          <w:sz w:val="24"/>
          <w:szCs w:val="24"/>
          <w:rtl/>
        </w:rPr>
        <w:t xml:space="preserve"> לדה"א ז</w:t>
      </w:r>
      <w:r>
        <w:rPr>
          <w:rFonts w:ascii="DavidD" w:hAnsi="DavidD" w:cs="FrankRuehl" w:hint="cs"/>
          <w:color w:val="000000"/>
          <w:sz w:val="24"/>
          <w:szCs w:val="24"/>
          <w:rtl/>
        </w:rPr>
        <w:t xml:space="preserve"> 1</w:t>
      </w:r>
      <w:r w:rsidRPr="00136565">
        <w:rPr>
          <w:rFonts w:ascii="DavidD" w:hAnsi="DavidD" w:cs="FrankRuehl" w:hint="cs"/>
          <w:color w:val="000000"/>
          <w:sz w:val="24"/>
          <w:szCs w:val="24"/>
          <w:rtl/>
        </w:rPr>
        <w:t xml:space="preserve">, ובפירושו לפס' 12 </w:t>
      </w:r>
      <w:proofErr w:type="spellStart"/>
      <w:r w:rsidR="00136565" w:rsidRPr="00136565">
        <w:rPr>
          <w:rFonts w:ascii="DavidD" w:hAnsi="DavidD" w:cs="FrankRuehl" w:hint="cs"/>
          <w:color w:val="000000"/>
          <w:sz w:val="24"/>
          <w:szCs w:val="24"/>
          <w:rtl/>
        </w:rPr>
        <w:t>רד"ק</w:t>
      </w:r>
      <w:proofErr w:type="spellEnd"/>
      <w:r w:rsidRPr="00136565">
        <w:rPr>
          <w:rFonts w:ascii="DavidD" w:hAnsi="DavidD" w:cs="FrankRuehl" w:hint="cs"/>
          <w:color w:val="000000"/>
          <w:sz w:val="24"/>
          <w:szCs w:val="24"/>
          <w:rtl/>
        </w:rPr>
        <w:t xml:space="preserve"> מתנגד להצעה זו באופן מפורש</w:t>
      </w:r>
      <w:r w:rsidR="00136565">
        <w:rPr>
          <w:rFonts w:cs="FrankRuehl" w:hint="cs"/>
          <w:sz w:val="24"/>
          <w:szCs w:val="24"/>
          <w:rtl/>
        </w:rPr>
        <w:t>.</w:t>
      </w:r>
      <w:r w:rsidRPr="00EC5F91">
        <w:rPr>
          <w:rFonts w:cs="FrankRuehl"/>
          <w:sz w:val="24"/>
          <w:szCs w:val="24"/>
        </w:rPr>
        <w:t xml:space="preserve"> </w:t>
      </w:r>
    </w:p>
  </w:footnote>
  <w:footnote w:id="28">
    <w:p w:rsidR="007E6555" w:rsidRPr="00EC5F91" w:rsidRDefault="007E6555" w:rsidP="007E6555">
      <w:pPr>
        <w:pStyle w:val="a5"/>
        <w:rPr>
          <w:rFonts w:cs="FrankRuehl"/>
          <w:sz w:val="24"/>
          <w:szCs w:val="24"/>
        </w:rPr>
      </w:pPr>
      <w:r w:rsidRPr="00EC5F91">
        <w:rPr>
          <w:rStyle w:val="a7"/>
          <w:rFonts w:cs="FrankRuehl"/>
          <w:sz w:val="24"/>
          <w:szCs w:val="24"/>
        </w:rPr>
        <w:footnoteRef/>
      </w:r>
      <w:r w:rsidRPr="00EC5F91">
        <w:rPr>
          <w:rFonts w:cs="FrankRuehl"/>
          <w:sz w:val="24"/>
          <w:szCs w:val="24"/>
          <w:rtl/>
        </w:rPr>
        <w:t xml:space="preserve"> </w:t>
      </w:r>
      <w:r w:rsidRPr="00EC5F91">
        <w:rPr>
          <w:rFonts w:cs="FrankRuehl" w:hint="cs"/>
          <w:sz w:val="24"/>
          <w:szCs w:val="24"/>
          <w:rtl/>
        </w:rPr>
        <w:t>השוו ל</w:t>
      </w:r>
      <w:r>
        <w:rPr>
          <w:rFonts w:cs="FrankRuehl" w:hint="cs"/>
          <w:sz w:val="24"/>
          <w:szCs w:val="24"/>
          <w:rtl/>
        </w:rPr>
        <w:t xml:space="preserve">פירושו לדה"א </w:t>
      </w:r>
      <w:proofErr w:type="spellStart"/>
      <w:r>
        <w:rPr>
          <w:rFonts w:cs="FrankRuehl" w:hint="cs"/>
          <w:sz w:val="24"/>
          <w:szCs w:val="24"/>
          <w:rtl/>
        </w:rPr>
        <w:t>כז</w:t>
      </w:r>
      <w:proofErr w:type="spellEnd"/>
      <w:r>
        <w:rPr>
          <w:rFonts w:cs="FrankRuehl" w:hint="cs"/>
          <w:sz w:val="24"/>
          <w:szCs w:val="24"/>
          <w:rtl/>
        </w:rPr>
        <w:t xml:space="preserve"> 24</w:t>
      </w:r>
      <w:r w:rsidRPr="00EC5F91">
        <w:rPr>
          <w:rFonts w:cs="FrankRuehl" w:hint="cs"/>
          <w:sz w:val="24"/>
          <w:szCs w:val="24"/>
          <w:rtl/>
        </w:rPr>
        <w:t xml:space="preserve"> באשר למקומם של נפתלי ודן בין בני רחל ברשימת שרי שבטי ישראל: 'והכניס נפתלי בין בני יוסף כאשר פירשתי בתח</w:t>
      </w:r>
      <w:r>
        <w:rPr>
          <w:rFonts w:cs="FrankRuehl" w:hint="cs"/>
          <w:sz w:val="24"/>
          <w:szCs w:val="24"/>
          <w:rtl/>
        </w:rPr>
        <w:t>י</w:t>
      </w:r>
      <w:r w:rsidRPr="00EC5F91">
        <w:rPr>
          <w:rFonts w:cs="FrankRuehl" w:hint="cs"/>
          <w:sz w:val="24"/>
          <w:szCs w:val="24"/>
          <w:rtl/>
        </w:rPr>
        <w:t>לת הספר, לפי שהוא ראשו</w:t>
      </w:r>
      <w:r>
        <w:rPr>
          <w:rFonts w:cs="FrankRuehl" w:hint="cs"/>
          <w:sz w:val="24"/>
          <w:szCs w:val="24"/>
          <w:rtl/>
        </w:rPr>
        <w:t>ן ללידת בלהה שפחת רחל'</w:t>
      </w:r>
      <w:r w:rsidRPr="00EC5F91">
        <w:rPr>
          <w:rFonts w:cs="FrankRuehl" w:hint="cs"/>
          <w:sz w:val="24"/>
          <w:szCs w:val="24"/>
          <w:rtl/>
        </w:rPr>
        <w:t>. הפרשן טעה בנקודה זו שהרי דן נולד לפני נפתלי (בר' ל</w:t>
      </w:r>
      <w:r>
        <w:rPr>
          <w:rFonts w:cs="FrankRuehl" w:hint="cs"/>
          <w:sz w:val="24"/>
          <w:szCs w:val="24"/>
          <w:rtl/>
        </w:rPr>
        <w:t xml:space="preserve"> 6, 8</w:t>
      </w:r>
      <w:r w:rsidRPr="00EC5F91">
        <w:rPr>
          <w:rFonts w:cs="FrankRuehl" w:hint="cs"/>
          <w:sz w:val="24"/>
          <w:szCs w:val="24"/>
          <w:rtl/>
        </w:rPr>
        <w:t>), אך לענייננו יש בה להצביע על עמדתו כי מחבר הספר דבק בשיטתיות רבה בעקרונות הסידור שלו.</w:t>
      </w:r>
    </w:p>
  </w:footnote>
  <w:footnote w:id="29">
    <w:p w:rsidR="007E6555" w:rsidRDefault="007E6555" w:rsidP="007E6555">
      <w:pPr>
        <w:pStyle w:val="a5"/>
        <w:rPr>
          <w:rFonts w:cs="FrankRuehl"/>
          <w:sz w:val="24"/>
          <w:szCs w:val="24"/>
          <w:rtl/>
        </w:rPr>
      </w:pPr>
      <w:r w:rsidRPr="00EC5F91">
        <w:rPr>
          <w:rStyle w:val="a7"/>
          <w:rFonts w:cs="FrankRuehl"/>
          <w:sz w:val="24"/>
          <w:szCs w:val="24"/>
        </w:rPr>
        <w:footnoteRef/>
      </w:r>
      <w:r w:rsidRPr="00EC5F91">
        <w:rPr>
          <w:rFonts w:cs="FrankRuehl"/>
          <w:sz w:val="24"/>
          <w:szCs w:val="24"/>
          <w:rtl/>
        </w:rPr>
        <w:t xml:space="preserve"> </w:t>
      </w:r>
      <w:r w:rsidRPr="00EC5F91">
        <w:rPr>
          <w:rFonts w:cs="FrankRuehl" w:hint="cs"/>
          <w:sz w:val="24"/>
          <w:szCs w:val="24"/>
          <w:rtl/>
        </w:rPr>
        <w:t>כלומר: 'מיוחס אחר-' = 'נחשב ל-'</w:t>
      </w:r>
      <w:r>
        <w:rPr>
          <w:rFonts w:cs="FrankRuehl" w:hint="cs"/>
          <w:sz w:val="24"/>
          <w:szCs w:val="24"/>
          <w:rtl/>
        </w:rPr>
        <w:t>,</w:t>
      </w:r>
      <w:r w:rsidRPr="00EC5F91">
        <w:rPr>
          <w:rFonts w:cs="FrankRuehl" w:hint="cs"/>
          <w:sz w:val="24"/>
          <w:szCs w:val="24"/>
          <w:rtl/>
        </w:rPr>
        <w:t xml:space="preserve"> </w:t>
      </w:r>
      <w:r>
        <w:rPr>
          <w:rFonts w:cs="FrankRuehl" w:hint="cs"/>
          <w:sz w:val="24"/>
          <w:szCs w:val="24"/>
          <w:rtl/>
        </w:rPr>
        <w:t xml:space="preserve">וראו </w:t>
      </w:r>
      <w:r w:rsidRPr="007D2F35">
        <w:rPr>
          <w:rFonts w:cs="FrankRuehl"/>
        </w:rPr>
        <w:t>Even-</w:t>
      </w:r>
      <w:proofErr w:type="spellStart"/>
      <w:r w:rsidRPr="007D2F35">
        <w:rPr>
          <w:rFonts w:cs="FrankRuehl"/>
        </w:rPr>
        <w:t>Shoshan’s</w:t>
      </w:r>
      <w:proofErr w:type="spellEnd"/>
      <w:r w:rsidRPr="007D2F35">
        <w:rPr>
          <w:rFonts w:cs="FrankRuehl"/>
        </w:rPr>
        <w:t xml:space="preserve"> dictionary, </w:t>
      </w:r>
      <w:proofErr w:type="spellStart"/>
      <w:r w:rsidRPr="007D2F35">
        <w:rPr>
          <w:rFonts w:cs="FrankRuehl"/>
        </w:rPr>
        <w:t>v.s</w:t>
      </w:r>
      <w:proofErr w:type="spellEnd"/>
      <w:r w:rsidRPr="007D2F35">
        <w:rPr>
          <w:rFonts w:cs="FrankRuehl"/>
        </w:rPr>
        <w:t xml:space="preserve">. </w:t>
      </w:r>
      <w:proofErr w:type="spellStart"/>
      <w:r w:rsidRPr="007D2F35">
        <w:rPr>
          <w:rFonts w:cs="FrankRuehl"/>
        </w:rPr>
        <w:t>y.h.s</w:t>
      </w:r>
      <w:proofErr w:type="spellEnd"/>
      <w:r w:rsidRPr="007D2F35">
        <w:rPr>
          <w:rFonts w:cs="FrankRuehl"/>
        </w:rPr>
        <w:t>.</w:t>
      </w:r>
      <w:r>
        <w:rPr>
          <w:rFonts w:cs="FrankRuehl"/>
        </w:rPr>
        <w:t>,</w:t>
      </w:r>
      <w:r w:rsidRPr="007D2F35">
        <w:rPr>
          <w:rFonts w:cs="FrankRuehl"/>
        </w:rPr>
        <w:t xml:space="preserve"> and Ben</w:t>
      </w:r>
      <w:r>
        <w:rPr>
          <w:rFonts w:cs="FrankRuehl"/>
        </w:rPr>
        <w:t xml:space="preserve"> </w:t>
      </w:r>
      <w:r w:rsidRPr="007D2F35">
        <w:rPr>
          <w:rFonts w:cs="FrankRuehl"/>
        </w:rPr>
        <w:t>Yehuda’s dictionary, 4:2026</w:t>
      </w:r>
      <w:r w:rsidRPr="00EC5F91">
        <w:rPr>
          <w:rFonts w:cs="FrankRuehl" w:hint="cs"/>
          <w:sz w:val="24"/>
          <w:szCs w:val="24"/>
          <w:rtl/>
        </w:rPr>
        <w:t>, והשוו:</w:t>
      </w:r>
    </w:p>
    <w:p w:rsidR="007E6555" w:rsidRPr="00EC5F91" w:rsidRDefault="007E6555" w:rsidP="00136565">
      <w:pPr>
        <w:pStyle w:val="a5"/>
        <w:rPr>
          <w:rFonts w:cs="FrankRuehl"/>
          <w:sz w:val="24"/>
          <w:szCs w:val="24"/>
          <w:rtl/>
        </w:rPr>
      </w:pPr>
      <w:r>
        <w:rPr>
          <w:rFonts w:cs="FrankRuehl" w:hint="cs"/>
          <w:sz w:val="24"/>
          <w:szCs w:val="24"/>
          <w:rtl/>
        </w:rPr>
        <w:t xml:space="preserve"> </w:t>
      </w:r>
      <w:r w:rsidRPr="00D26ABD">
        <w:rPr>
          <w:rFonts w:cs="FrankRuehl"/>
        </w:rPr>
        <w:t>“One whose seed is legitimately</w:t>
      </w:r>
      <w:r>
        <w:rPr>
          <w:rFonts w:cs="FrankRuehl"/>
        </w:rPr>
        <w:t xml:space="preserve"> </w:t>
      </w:r>
      <w:r w:rsidRPr="00D26ABD">
        <w:rPr>
          <w:rFonts w:cs="FrankRuehl"/>
        </w:rPr>
        <w:t>descending from him</w:t>
      </w:r>
      <w:r>
        <w:rPr>
          <w:rFonts w:cs="FrankRuehl"/>
        </w:rPr>
        <w:t xml:space="preserve"> [</w:t>
      </w:r>
      <w:proofErr w:type="spellStart"/>
      <w:r w:rsidRPr="00D836E2">
        <w:rPr>
          <w:rFonts w:cs="FrankRuehl"/>
          <w:i/>
          <w:iCs/>
        </w:rPr>
        <w:t>meyuhas</w:t>
      </w:r>
      <w:proofErr w:type="spellEnd"/>
      <w:r w:rsidRPr="00D836E2">
        <w:rPr>
          <w:rFonts w:cs="FrankRuehl"/>
          <w:i/>
          <w:iCs/>
        </w:rPr>
        <w:t xml:space="preserve"> ’</w:t>
      </w:r>
      <w:proofErr w:type="spellStart"/>
      <w:r w:rsidRPr="00D836E2">
        <w:rPr>
          <w:rFonts w:cs="FrankRuehl"/>
          <w:i/>
          <w:iCs/>
        </w:rPr>
        <w:t>aharayv</w:t>
      </w:r>
      <w:proofErr w:type="spellEnd"/>
      <w:r>
        <w:rPr>
          <w:rFonts w:cs="FrankRuehl"/>
        </w:rPr>
        <w:t>]”</w:t>
      </w:r>
      <w:r w:rsidRPr="00D26ABD">
        <w:rPr>
          <w:rFonts w:cs="FrankRuehl"/>
        </w:rPr>
        <w:t xml:space="preserve"> </w:t>
      </w:r>
      <w:r>
        <w:rPr>
          <w:rFonts w:cs="FrankRuehl"/>
          <w:sz w:val="24"/>
          <w:szCs w:val="24"/>
          <w:rtl/>
        </w:rPr>
        <w:t>–</w:t>
      </w:r>
      <w:r>
        <w:rPr>
          <w:rFonts w:cs="FrankRuehl" w:hint="cs"/>
          <w:sz w:val="24"/>
          <w:szCs w:val="24"/>
          <w:rtl/>
        </w:rPr>
        <w:t xml:space="preserve"> הרי הוא נחשב לכהן כאביו</w:t>
      </w:r>
      <w:r w:rsidRPr="00EC5F91">
        <w:rPr>
          <w:rFonts w:cs="FrankRuehl" w:hint="cs"/>
          <w:sz w:val="24"/>
          <w:szCs w:val="24"/>
          <w:rtl/>
        </w:rPr>
        <w:t xml:space="preserve">, </w:t>
      </w:r>
      <w:r>
        <w:rPr>
          <w:rFonts w:cs="FrankRuehl"/>
        </w:rPr>
        <w:t>and if “</w:t>
      </w:r>
      <w:r w:rsidRPr="00D26ABD">
        <w:rPr>
          <w:rFonts w:cs="FrankRuehl"/>
        </w:rPr>
        <w:t>excluding this one, whose seed is not legitimately descending from him</w:t>
      </w:r>
      <w:r>
        <w:rPr>
          <w:rFonts w:cs="FrankRuehl"/>
        </w:rPr>
        <w:t xml:space="preserve"> [</w:t>
      </w:r>
      <w:proofErr w:type="spellStart"/>
      <w:r w:rsidRPr="00D836E2">
        <w:rPr>
          <w:rFonts w:cs="FrankRuehl"/>
          <w:i/>
          <w:iCs/>
        </w:rPr>
        <w:t>meyuhas</w:t>
      </w:r>
      <w:proofErr w:type="spellEnd"/>
      <w:r w:rsidRPr="00D836E2">
        <w:rPr>
          <w:rFonts w:cs="FrankRuehl"/>
          <w:i/>
          <w:iCs/>
        </w:rPr>
        <w:t xml:space="preserve"> ’</w:t>
      </w:r>
      <w:proofErr w:type="spellStart"/>
      <w:r w:rsidRPr="00D836E2">
        <w:rPr>
          <w:rFonts w:cs="FrankRuehl"/>
          <w:i/>
          <w:iCs/>
        </w:rPr>
        <w:t>aharayv</w:t>
      </w:r>
      <w:proofErr w:type="spellEnd"/>
      <w:r>
        <w:rPr>
          <w:rFonts w:cs="FrankRuehl"/>
        </w:rPr>
        <w:t>]</w:t>
      </w:r>
      <w:r w:rsidRPr="00D26ABD">
        <w:rPr>
          <w:rFonts w:cs="FrankRuehl"/>
        </w:rPr>
        <w:t>”</w:t>
      </w:r>
      <w:r>
        <w:rPr>
          <w:rFonts w:cs="FrankRuehl" w:hint="cs"/>
          <w:rtl/>
        </w:rPr>
        <w:t xml:space="preserve"> </w:t>
      </w:r>
      <w:r>
        <w:rPr>
          <w:rFonts w:cs="FrankRuehl"/>
          <w:sz w:val="24"/>
          <w:szCs w:val="24"/>
          <w:rtl/>
        </w:rPr>
        <w:t>–</w:t>
      </w:r>
      <w:r>
        <w:rPr>
          <w:rFonts w:cs="FrankRuehl" w:hint="cs"/>
          <w:sz w:val="24"/>
          <w:szCs w:val="24"/>
          <w:rtl/>
        </w:rPr>
        <w:t xml:space="preserve"> אינו נחשב לכהן</w:t>
      </w:r>
      <w:r w:rsidRPr="00EC5F91">
        <w:rPr>
          <w:rFonts w:cs="FrankRuehl" w:hint="cs"/>
          <w:sz w:val="24"/>
          <w:szCs w:val="24"/>
          <w:rtl/>
        </w:rPr>
        <w:t xml:space="preserve"> (</w:t>
      </w:r>
      <w:proofErr w:type="spellStart"/>
      <w:r w:rsidRPr="00D836E2">
        <w:rPr>
          <w:rFonts w:cs="FrankRuehl"/>
        </w:rPr>
        <w:t>Bavli</w:t>
      </w:r>
      <w:proofErr w:type="spellEnd"/>
      <w:r w:rsidRPr="00D836E2">
        <w:rPr>
          <w:rFonts w:cs="FrankRuehl"/>
        </w:rPr>
        <w:t xml:space="preserve">, </w:t>
      </w:r>
      <w:proofErr w:type="spellStart"/>
      <w:r w:rsidRPr="00D836E2">
        <w:rPr>
          <w:rFonts w:cs="FrankRuehl"/>
        </w:rPr>
        <w:t>Kethuboth</w:t>
      </w:r>
      <w:proofErr w:type="spellEnd"/>
      <w:r w:rsidRPr="00D836E2">
        <w:rPr>
          <w:rFonts w:cs="FrankRuehl"/>
        </w:rPr>
        <w:t xml:space="preserve"> 13b</w:t>
      </w:r>
      <w:r>
        <w:rPr>
          <w:rFonts w:cs="FrankRuehl" w:hint="cs"/>
          <w:sz w:val="24"/>
          <w:szCs w:val="24"/>
          <w:rtl/>
        </w:rPr>
        <w:t>).</w:t>
      </w:r>
      <w:r w:rsidRPr="00EC5F91">
        <w:rPr>
          <w:rFonts w:cs="FrankRuehl" w:hint="cs"/>
          <w:sz w:val="24"/>
          <w:szCs w:val="24"/>
          <w:rtl/>
        </w:rPr>
        <w:t xml:space="preserve"> לחילופין יש מקום לשקול את האפשרות שבמקרה זה משמעה של המילה 'אחר' הוא 'ביחד עם'</w:t>
      </w:r>
      <w:r>
        <w:rPr>
          <w:rFonts w:cs="FrankRuehl" w:hint="cs"/>
          <w:sz w:val="24"/>
          <w:szCs w:val="24"/>
          <w:rtl/>
        </w:rPr>
        <w:t>;</w:t>
      </w:r>
      <w:r w:rsidRPr="00EC5F91">
        <w:rPr>
          <w:rFonts w:cs="FrankRuehl" w:hint="cs"/>
          <w:sz w:val="24"/>
          <w:szCs w:val="24"/>
          <w:rtl/>
        </w:rPr>
        <w:t xml:space="preserve"> ראו: </w:t>
      </w:r>
      <w:r w:rsidRPr="00EC5F91">
        <w:rPr>
          <w:rFonts w:cs="FrankRuehl"/>
        </w:rPr>
        <w:t xml:space="preserve">Scott, </w:t>
      </w:r>
      <w:r>
        <w:rPr>
          <w:rFonts w:cs="FrankRuehl"/>
        </w:rPr>
        <w:t xml:space="preserve">Secondary, </w:t>
      </w:r>
      <w:r w:rsidRPr="00EC5F91">
        <w:rPr>
          <w:rFonts w:cs="FrankRuehl"/>
        </w:rPr>
        <w:t>178–179</w:t>
      </w:r>
      <w:r w:rsidRPr="00EC5F91">
        <w:rPr>
          <w:rFonts w:cs="FrankRuehl" w:hint="cs"/>
          <w:sz w:val="24"/>
          <w:szCs w:val="24"/>
          <w:rtl/>
        </w:rPr>
        <w:t>, אך איני מכיר דוגמה לכך בעברית של ימי הביניים.</w:t>
      </w:r>
    </w:p>
  </w:footnote>
  <w:footnote w:id="30">
    <w:p w:rsidR="007E6555" w:rsidRPr="00EC5F91" w:rsidRDefault="007E6555" w:rsidP="007E6555">
      <w:pPr>
        <w:pStyle w:val="a5"/>
        <w:rPr>
          <w:rFonts w:cs="FrankRuehl"/>
          <w:sz w:val="24"/>
          <w:szCs w:val="24"/>
          <w:rtl/>
        </w:rPr>
      </w:pPr>
      <w:r w:rsidRPr="00EC5F91">
        <w:rPr>
          <w:rStyle w:val="a7"/>
          <w:rFonts w:cs="FrankRuehl"/>
          <w:sz w:val="24"/>
          <w:szCs w:val="24"/>
        </w:rPr>
        <w:footnoteRef/>
      </w:r>
      <w:r w:rsidRPr="00EC5F91">
        <w:rPr>
          <w:rFonts w:cs="FrankRuehl"/>
          <w:sz w:val="24"/>
          <w:szCs w:val="24"/>
          <w:rtl/>
        </w:rPr>
        <w:t xml:space="preserve"> </w:t>
      </w:r>
      <w:r>
        <w:rPr>
          <w:rFonts w:cs="FrankRuehl" w:hint="cs"/>
          <w:sz w:val="24"/>
          <w:szCs w:val="24"/>
          <w:rtl/>
        </w:rPr>
        <w:t>מן הסתם הניח כי</w:t>
      </w:r>
      <w:r w:rsidRPr="00AE02C1">
        <w:rPr>
          <w:rFonts w:cs="FrankRuehl" w:hint="cs"/>
          <w:sz w:val="24"/>
          <w:szCs w:val="24"/>
          <w:rtl/>
        </w:rPr>
        <w:t xml:space="preserve"> הדבר נעשה לכבודה של רחל שזכתה להעמיד צאצאים מרובים</w:t>
      </w:r>
      <w:r>
        <w:rPr>
          <w:rFonts w:cs="FrankRuehl" w:hint="cs"/>
          <w:sz w:val="24"/>
          <w:szCs w:val="24"/>
          <w:rtl/>
        </w:rPr>
        <w:t>, והשוו לפירושיו לדה"א ב</w:t>
      </w:r>
      <w:r w:rsidRPr="00EC5F91">
        <w:rPr>
          <w:rFonts w:cs="FrankRuehl" w:hint="cs"/>
          <w:sz w:val="24"/>
          <w:szCs w:val="24"/>
          <w:rtl/>
        </w:rPr>
        <w:t xml:space="preserve"> </w:t>
      </w:r>
      <w:r>
        <w:rPr>
          <w:rFonts w:cs="FrankRuehl" w:hint="cs"/>
          <w:sz w:val="24"/>
          <w:szCs w:val="24"/>
          <w:rtl/>
        </w:rPr>
        <w:t>9</w:t>
      </w:r>
      <w:r w:rsidRPr="00EC5F91">
        <w:rPr>
          <w:rFonts w:cs="FrankRuehl" w:hint="cs"/>
          <w:sz w:val="24"/>
          <w:szCs w:val="24"/>
          <w:rtl/>
        </w:rPr>
        <w:t xml:space="preserve">, </w:t>
      </w:r>
      <w:r>
        <w:rPr>
          <w:rFonts w:cs="FrankRuehl" w:hint="cs"/>
          <w:sz w:val="24"/>
          <w:szCs w:val="24"/>
          <w:rtl/>
        </w:rPr>
        <w:t>26</w:t>
      </w:r>
      <w:r w:rsidRPr="00EC5F91">
        <w:rPr>
          <w:rFonts w:cs="FrankRuehl" w:hint="cs"/>
          <w:sz w:val="24"/>
          <w:szCs w:val="24"/>
          <w:rtl/>
        </w:rPr>
        <w:t xml:space="preserve"> (צוטט לעיל, בהערה </w:t>
      </w:r>
      <w:r>
        <w:rPr>
          <w:rFonts w:cs="FrankRuehl" w:hint="cs"/>
          <w:sz w:val="24"/>
          <w:szCs w:val="24"/>
          <w:rtl/>
        </w:rPr>
        <w:t>22</w:t>
      </w:r>
      <w:r w:rsidRPr="00EC5F91">
        <w:rPr>
          <w:rFonts w:cs="FrankRuehl" w:hint="cs"/>
          <w:sz w:val="24"/>
          <w:szCs w:val="24"/>
          <w:rtl/>
        </w:rPr>
        <w:t xml:space="preserve">). העמדה </w:t>
      </w:r>
      <w:r>
        <w:rPr>
          <w:rFonts w:cs="FrankRuehl" w:hint="cs"/>
          <w:sz w:val="24"/>
          <w:szCs w:val="24"/>
          <w:rtl/>
        </w:rPr>
        <w:t>ש</w:t>
      </w:r>
      <w:r w:rsidRPr="00EC5F91">
        <w:rPr>
          <w:rFonts w:cs="FrankRuehl" w:hint="cs"/>
          <w:sz w:val="24"/>
          <w:szCs w:val="24"/>
          <w:rtl/>
        </w:rPr>
        <w:t xml:space="preserve">מחבר דברי הימים בנה את הפרקים הגנאלוגיים באופן שידגיש כי דמויות מופת זכו להעמיד צאצאים רבים חוזרת הרבה בפירוש המיוחס לרש"י לדברי הימים שהושפע עד מאוד מן המיוחס לתלמיד של רס"ג, וראו בפרט </w:t>
      </w:r>
      <w:r>
        <w:rPr>
          <w:rFonts w:cs="FrankRuehl" w:hint="cs"/>
          <w:sz w:val="24"/>
          <w:szCs w:val="24"/>
          <w:rtl/>
        </w:rPr>
        <w:t>בהקדמה לפירוש ובפירושו לדה"א יד 3</w:t>
      </w:r>
      <w:r w:rsidRPr="00EC5F91">
        <w:rPr>
          <w:rFonts w:cs="FrankRuehl" w:hint="cs"/>
          <w:sz w:val="24"/>
          <w:szCs w:val="24"/>
          <w:rtl/>
        </w:rPr>
        <w:t xml:space="preserve"> (וחוזר גם בדה"א ג</w:t>
      </w:r>
      <w:r>
        <w:rPr>
          <w:rFonts w:cs="FrankRuehl" w:hint="cs"/>
          <w:sz w:val="24"/>
          <w:szCs w:val="24"/>
          <w:rtl/>
        </w:rPr>
        <w:t xml:space="preserve"> 6</w:t>
      </w:r>
      <w:r w:rsidRPr="00EC5F91">
        <w:rPr>
          <w:rFonts w:cs="FrankRuehl" w:hint="cs"/>
          <w:sz w:val="24"/>
          <w:szCs w:val="24"/>
          <w:rtl/>
        </w:rPr>
        <w:t>, אך זו תוספת שנוספה בידי תלמיד)</w:t>
      </w:r>
      <w:r>
        <w:rPr>
          <w:rFonts w:cs="FrankRuehl" w:hint="cs"/>
          <w:sz w:val="24"/>
          <w:szCs w:val="24"/>
          <w:rtl/>
        </w:rPr>
        <w:t xml:space="preserve">, וראו </w:t>
      </w:r>
      <w:r w:rsidRPr="000B70A8">
        <w:rPr>
          <w:rFonts w:cs="FrankRuehl"/>
        </w:rPr>
        <w:t>Viezel, Commentary, 245-255</w:t>
      </w:r>
    </w:p>
  </w:footnote>
  <w:footnote w:id="31">
    <w:p w:rsidR="007E6555" w:rsidRPr="00EC5F91" w:rsidRDefault="007E6555" w:rsidP="007E6555">
      <w:pPr>
        <w:pStyle w:val="a5"/>
        <w:rPr>
          <w:rFonts w:cs="FrankRuehl"/>
          <w:sz w:val="24"/>
          <w:szCs w:val="24"/>
        </w:rPr>
      </w:pPr>
      <w:r w:rsidRPr="00EC5F91">
        <w:rPr>
          <w:rStyle w:val="a7"/>
          <w:rFonts w:cs="FrankRuehl"/>
          <w:sz w:val="24"/>
          <w:szCs w:val="24"/>
        </w:rPr>
        <w:footnoteRef/>
      </w:r>
      <w:r w:rsidRPr="00EC5F91">
        <w:rPr>
          <w:rFonts w:cs="FrankRuehl"/>
          <w:sz w:val="24"/>
          <w:szCs w:val="24"/>
          <w:rtl/>
        </w:rPr>
        <w:t xml:space="preserve"> </w:t>
      </w:r>
      <w:r w:rsidRPr="00EC5F91">
        <w:rPr>
          <w:rFonts w:cs="FrankRuehl" w:hint="cs"/>
          <w:sz w:val="24"/>
          <w:szCs w:val="24"/>
          <w:rtl/>
        </w:rPr>
        <w:t>בפירושו לדה"ב</w:t>
      </w:r>
      <w:r w:rsidRPr="00EC5F91">
        <w:rPr>
          <w:rFonts w:eastAsia="MS Mincho" w:cs="FrankRuehl" w:hint="cs"/>
          <w:sz w:val="24"/>
          <w:szCs w:val="24"/>
          <w:rtl/>
        </w:rPr>
        <w:t xml:space="preserve"> י</w:t>
      </w:r>
      <w:r>
        <w:rPr>
          <w:rFonts w:eastAsia="MS Mincho" w:cs="FrankRuehl" w:hint="cs"/>
          <w:sz w:val="24"/>
          <w:szCs w:val="24"/>
          <w:rtl/>
        </w:rPr>
        <w:t xml:space="preserve"> 17</w:t>
      </w:r>
      <w:r w:rsidRPr="00EC5F91">
        <w:rPr>
          <w:rFonts w:eastAsia="MS Mincho" w:cs="FrankRuehl" w:hint="cs"/>
          <w:sz w:val="24"/>
          <w:szCs w:val="24"/>
          <w:rtl/>
        </w:rPr>
        <w:t xml:space="preserve"> </w:t>
      </w:r>
      <w:r>
        <w:rPr>
          <w:rFonts w:eastAsia="MS Mincho" w:cs="FrankRuehl" w:hint="cs"/>
          <w:sz w:val="24"/>
          <w:szCs w:val="24"/>
          <w:rtl/>
        </w:rPr>
        <w:t>הפרשן</w:t>
      </w:r>
      <w:r w:rsidRPr="00EC5F91">
        <w:rPr>
          <w:rFonts w:eastAsia="MS Mincho" w:cs="FrankRuehl" w:hint="cs"/>
          <w:sz w:val="24"/>
          <w:szCs w:val="24"/>
          <w:rtl/>
        </w:rPr>
        <w:t xml:space="preserve"> כותב:</w:t>
      </w:r>
      <w:r>
        <w:rPr>
          <w:rFonts w:eastAsia="MS Mincho" w:cs="FrankRuehl" w:hint="cs"/>
          <w:sz w:val="24"/>
          <w:szCs w:val="24"/>
          <w:rtl/>
        </w:rPr>
        <w:t xml:space="preserve"> '</w:t>
      </w:r>
      <w:r w:rsidRPr="00BF2B02">
        <w:rPr>
          <w:rFonts w:eastAsia="MS Mincho" w:cs="FrankRuehl"/>
        </w:rPr>
        <w:t>The Israelites who lived in the towns of Judah</w:t>
      </w:r>
      <w:r w:rsidRPr="00BF2B02">
        <w:rPr>
          <w:rFonts w:eastAsia="MS Mincho" w:cs="FrankRuehl" w:hint="cs"/>
          <w:rtl/>
        </w:rPr>
        <w:t xml:space="preserve"> </w:t>
      </w:r>
      <w:r w:rsidRPr="00EC5F91">
        <w:rPr>
          <w:rFonts w:eastAsia="MS Mincho" w:cs="FrankRuehl" w:hint="cs"/>
          <w:sz w:val="24"/>
          <w:szCs w:val="24"/>
          <w:rtl/>
        </w:rPr>
        <w:t xml:space="preserve">– כי הרבה היו מהם שהיתה נחלתן מבולעת בתוך יהודה ובנימן, כאשר פרשנו בזבולון ונפתלי'. לפי זה אפשר לומר כי נפתלי נסמך לבנימין </w:t>
      </w:r>
      <w:r w:rsidRPr="00185DB8">
        <w:rPr>
          <w:rFonts w:eastAsia="MS Mincho" w:cs="FrankRuehl" w:hint="cs"/>
          <w:b/>
          <w:bCs/>
          <w:sz w:val="24"/>
          <w:szCs w:val="24"/>
          <w:rtl/>
        </w:rPr>
        <w:t>גם</w:t>
      </w:r>
      <w:r w:rsidRPr="00EC5F91">
        <w:rPr>
          <w:rFonts w:eastAsia="MS Mincho" w:cs="FrankRuehl" w:hint="cs"/>
          <w:sz w:val="24"/>
          <w:szCs w:val="24"/>
          <w:rtl/>
        </w:rPr>
        <w:t xml:space="preserve"> משיקול גיאוגרפי, והפרשן מדקדק ב</w:t>
      </w:r>
      <w:r>
        <w:rPr>
          <w:rFonts w:eastAsia="MS Mincho" w:cs="FrankRuehl" w:hint="cs"/>
          <w:sz w:val="24"/>
          <w:szCs w:val="24"/>
          <w:rtl/>
        </w:rPr>
        <w:t>קרבתן של הנחלות בפירושו לדה"א ח 7</w:t>
      </w:r>
      <w:r w:rsidRPr="00EC5F91">
        <w:rPr>
          <w:rFonts w:eastAsia="MS Mincho" w:cs="FrankRuehl" w:hint="cs"/>
          <w:sz w:val="24"/>
          <w:szCs w:val="24"/>
          <w:rtl/>
        </w:rPr>
        <w:t>.</w:t>
      </w:r>
    </w:p>
  </w:footnote>
  <w:footnote w:id="32">
    <w:p w:rsidR="007E6555" w:rsidRPr="00EC5F91" w:rsidRDefault="007E6555" w:rsidP="007E6555">
      <w:pPr>
        <w:pStyle w:val="a5"/>
        <w:rPr>
          <w:rFonts w:cs="FrankRuehl"/>
          <w:sz w:val="24"/>
          <w:szCs w:val="24"/>
        </w:rPr>
      </w:pPr>
      <w:r w:rsidRPr="00EC5F91">
        <w:rPr>
          <w:rStyle w:val="a7"/>
          <w:rFonts w:cs="FrankRuehl"/>
          <w:sz w:val="24"/>
          <w:szCs w:val="24"/>
        </w:rPr>
        <w:footnoteRef/>
      </w:r>
      <w:r w:rsidRPr="00EC5F91">
        <w:rPr>
          <w:rFonts w:cs="FrankRuehl"/>
          <w:sz w:val="24"/>
          <w:szCs w:val="24"/>
          <w:rtl/>
        </w:rPr>
        <w:t xml:space="preserve"> </w:t>
      </w:r>
      <w:r w:rsidRPr="00EC5F91">
        <w:rPr>
          <w:rFonts w:cs="FrankRuehl" w:hint="cs"/>
          <w:sz w:val="24"/>
          <w:szCs w:val="24"/>
          <w:rtl/>
        </w:rPr>
        <w:t>כאמור גד, בנה הנוסף של זלפה, הוצב לצד ראובן וחצי שבט מנשה משיקול גיאוגרפי.</w:t>
      </w:r>
    </w:p>
  </w:footnote>
  <w:footnote w:id="33">
    <w:p w:rsidR="007E6555" w:rsidRPr="00EC5F91" w:rsidRDefault="007E6555" w:rsidP="00136565">
      <w:pPr>
        <w:pStyle w:val="a5"/>
        <w:rPr>
          <w:rFonts w:cs="FrankRuehl"/>
          <w:sz w:val="24"/>
          <w:szCs w:val="24"/>
        </w:rPr>
      </w:pPr>
      <w:r w:rsidRPr="00EC5F91">
        <w:rPr>
          <w:rStyle w:val="a7"/>
          <w:rFonts w:cs="FrankRuehl"/>
          <w:sz w:val="24"/>
          <w:szCs w:val="24"/>
        </w:rPr>
        <w:footnoteRef/>
      </w:r>
      <w:r w:rsidRPr="00EC5F91">
        <w:rPr>
          <w:rFonts w:cs="FrankRuehl"/>
          <w:sz w:val="24"/>
          <w:szCs w:val="24"/>
          <w:rtl/>
        </w:rPr>
        <w:t xml:space="preserve"> </w:t>
      </w:r>
      <w:r w:rsidRPr="00EC5F91">
        <w:rPr>
          <w:rFonts w:cs="FrankRuehl" w:hint="cs"/>
          <w:sz w:val="24"/>
          <w:szCs w:val="24"/>
          <w:rtl/>
        </w:rPr>
        <w:t>יש לציין שאין כאן אנלוגיה מושלמת, וכפי שבדברי הימים בני בלהה באים בין בניה-נכדיה של רחל, כך בבמ</w:t>
      </w:r>
      <w:r>
        <w:rPr>
          <w:rFonts w:cs="FrankRuehl" w:hint="cs"/>
          <w:sz w:val="24"/>
          <w:szCs w:val="24"/>
          <w:rtl/>
        </w:rPr>
        <w:t>דבר</w:t>
      </w:r>
      <w:r w:rsidRPr="00EC5F91">
        <w:rPr>
          <w:rFonts w:cs="FrankRuehl" w:hint="cs"/>
          <w:sz w:val="24"/>
          <w:szCs w:val="24"/>
          <w:rtl/>
        </w:rPr>
        <w:t xml:space="preserve"> </w:t>
      </w:r>
      <w:proofErr w:type="spellStart"/>
      <w:r w:rsidRPr="00EC5F91">
        <w:rPr>
          <w:rFonts w:cs="FrankRuehl" w:hint="cs"/>
          <w:sz w:val="24"/>
          <w:szCs w:val="24"/>
          <w:rtl/>
        </w:rPr>
        <w:t>כו</w:t>
      </w:r>
      <w:proofErr w:type="spellEnd"/>
      <w:r w:rsidRPr="00EC5F91">
        <w:rPr>
          <w:rFonts w:cs="FrankRuehl" w:hint="cs"/>
          <w:sz w:val="24"/>
          <w:szCs w:val="24"/>
          <w:rtl/>
        </w:rPr>
        <w:t xml:space="preserve"> בי</w:t>
      </w:r>
      <w:r w:rsidR="00136565">
        <w:rPr>
          <w:rFonts w:cs="FrankRuehl" w:hint="cs"/>
          <w:sz w:val="24"/>
          <w:szCs w:val="24"/>
          <w:rtl/>
        </w:rPr>
        <w:t>ן בניה של בלהה נזכר אשר בן זלפה.</w:t>
      </w:r>
    </w:p>
  </w:footnote>
  <w:footnote w:id="34">
    <w:p w:rsidR="007E6555" w:rsidRPr="001A56A3" w:rsidRDefault="007E6555" w:rsidP="007E6555">
      <w:pPr>
        <w:rPr>
          <w:rFonts w:ascii="FrankRuehl" w:hAnsi="FrankRuehl" w:cs="FrankRuehl"/>
          <w:rtl/>
        </w:rPr>
      </w:pPr>
      <w:r w:rsidRPr="00EC5F91">
        <w:rPr>
          <w:rStyle w:val="a7"/>
          <w:rFonts w:cs="FrankRuehl"/>
        </w:rPr>
        <w:footnoteRef/>
      </w:r>
      <w:r w:rsidRPr="00EC5F91">
        <w:rPr>
          <w:rFonts w:cs="FrankRuehl"/>
          <w:rtl/>
        </w:rPr>
        <w:t xml:space="preserve"> </w:t>
      </w:r>
      <w:r w:rsidRPr="00EC5F91">
        <w:rPr>
          <w:rFonts w:cs="FrankRuehl" w:hint="cs"/>
          <w:rtl/>
        </w:rPr>
        <w:t xml:space="preserve">לדבריו, ההבדלים שבין שתי הרשימות נובעים אף הם משיקולים עקרוניים: שניים מבניו של בנימין הנזכרים בדה"א ח </w:t>
      </w:r>
      <w:r>
        <w:rPr>
          <w:rFonts w:cs="FrankRuehl" w:hint="cs"/>
          <w:rtl/>
        </w:rPr>
        <w:t>1</w:t>
      </w:r>
      <w:r w:rsidRPr="00EC5F91">
        <w:rPr>
          <w:rFonts w:cs="FrankRuehl" w:hint="eastAsia"/>
          <w:rtl/>
        </w:rPr>
        <w:t>–</w:t>
      </w:r>
      <w:r>
        <w:rPr>
          <w:rFonts w:cs="FrankRuehl" w:hint="cs"/>
          <w:rtl/>
        </w:rPr>
        <w:t>2</w:t>
      </w:r>
      <w:r w:rsidRPr="00EC5F91">
        <w:rPr>
          <w:rFonts w:cs="FrankRuehl" w:hint="cs"/>
          <w:rtl/>
        </w:rPr>
        <w:t xml:space="preserve"> לא נזכרו בדה"א ז</w:t>
      </w:r>
      <w:r>
        <w:rPr>
          <w:rFonts w:cs="FrankRuehl" w:hint="cs"/>
          <w:rtl/>
        </w:rPr>
        <w:t xml:space="preserve"> 6</w:t>
      </w:r>
      <w:r w:rsidRPr="00EC5F91">
        <w:rPr>
          <w:rFonts w:cs="FrankRuehl" w:hint="cs"/>
          <w:rtl/>
        </w:rPr>
        <w:t xml:space="preserve"> משום שלא הרבו בצאצאים, והוא נדרש לסוגיה זו גם בהמשך, וראו גם פירושו </w:t>
      </w:r>
      <w:r w:rsidRPr="00EC5F91">
        <w:rPr>
          <w:rFonts w:eastAsia="MS Mincho" w:cs="FrankRuehl" w:hint="cs"/>
          <w:rtl/>
        </w:rPr>
        <w:t xml:space="preserve">לדה"א </w:t>
      </w:r>
      <w:r w:rsidRPr="00EC5F91">
        <w:rPr>
          <w:rFonts w:cs="FrankRuehl" w:hint="cs"/>
          <w:rtl/>
        </w:rPr>
        <w:t>ז</w:t>
      </w:r>
      <w:r>
        <w:rPr>
          <w:rFonts w:cs="FrankRuehl" w:hint="cs"/>
          <w:rtl/>
        </w:rPr>
        <w:t xml:space="preserve"> 6</w:t>
      </w:r>
      <w:r w:rsidRPr="00EC5F91">
        <w:rPr>
          <w:rFonts w:cs="FrankRuehl" w:hint="cs"/>
          <w:rtl/>
        </w:rPr>
        <w:t xml:space="preserve"> וכן </w:t>
      </w:r>
      <w:r w:rsidRPr="00EC5F91">
        <w:rPr>
          <w:rFonts w:eastAsia="MS Mincho" w:cs="FrankRuehl" w:hint="cs"/>
          <w:rtl/>
        </w:rPr>
        <w:t>לדה"א ב</w:t>
      </w:r>
      <w:r>
        <w:rPr>
          <w:rFonts w:eastAsia="MS Mincho" w:cs="FrankRuehl" w:hint="cs"/>
          <w:rtl/>
        </w:rPr>
        <w:t xml:space="preserve"> 6</w:t>
      </w:r>
      <w:r w:rsidRPr="00EC5F91">
        <w:rPr>
          <w:rFonts w:cs="FrankRuehl" w:hint="cs"/>
          <w:rtl/>
        </w:rPr>
        <w:t>, ועקרונות דומים לכך מוכרים בפרשנות התקופה, השוו</w:t>
      </w:r>
      <w:r w:rsidRPr="00EC5F91">
        <w:rPr>
          <w:rFonts w:eastAsia="MS Mincho" w:cs="FrankRuehl" w:hint="cs"/>
          <w:rtl/>
        </w:rPr>
        <w:t xml:space="preserve"> למשל </w:t>
      </w:r>
      <w:r w:rsidRPr="00EC5F91">
        <w:rPr>
          <w:rFonts w:cs="FrankRuehl" w:hint="cs"/>
          <w:rtl/>
        </w:rPr>
        <w:t xml:space="preserve">הפירוש המיוחס לרש"י </w:t>
      </w:r>
      <w:proofErr w:type="spellStart"/>
      <w:r w:rsidRPr="001A56A3">
        <w:rPr>
          <w:rFonts w:ascii="FrankRuehl" w:hAnsi="FrankRuehl" w:cs="FrankRuehl"/>
          <w:rtl/>
        </w:rPr>
        <w:t>לנחמ</w:t>
      </w:r>
      <w:proofErr w:type="spellEnd"/>
      <w:r w:rsidRPr="001A56A3">
        <w:rPr>
          <w:rFonts w:ascii="FrankRuehl" w:hAnsi="FrankRuehl" w:cs="FrankRuehl"/>
          <w:rtl/>
        </w:rPr>
        <w:t xml:space="preserve">' </w:t>
      </w:r>
      <w:r w:rsidRPr="001A56A3">
        <w:rPr>
          <w:rFonts w:ascii="FrankRuehl" w:eastAsia="MS Mincho" w:hAnsi="FrankRuehl" w:cs="FrankRuehl"/>
          <w:rtl/>
        </w:rPr>
        <w:t>יא 4</w:t>
      </w:r>
      <w:r w:rsidRPr="001A56A3">
        <w:rPr>
          <w:rFonts w:ascii="FrankRuehl" w:hAnsi="FrankRuehl" w:cs="FrankRuehl"/>
          <w:rtl/>
        </w:rPr>
        <w:t>.</w:t>
      </w:r>
    </w:p>
  </w:footnote>
  <w:footnote w:id="35">
    <w:p w:rsidR="007E6555" w:rsidRDefault="007E6555" w:rsidP="007E6555">
      <w:pPr>
        <w:pStyle w:val="a5"/>
      </w:pPr>
      <w:r w:rsidRPr="001A56A3">
        <w:rPr>
          <w:rStyle w:val="a7"/>
          <w:rFonts w:ascii="FrankRuehl" w:hAnsi="FrankRuehl" w:cs="FrankRuehl"/>
          <w:sz w:val="24"/>
          <w:szCs w:val="24"/>
        </w:rPr>
        <w:footnoteRef/>
      </w:r>
      <w:r w:rsidRPr="001A56A3">
        <w:rPr>
          <w:rFonts w:ascii="FrankRuehl" w:hAnsi="FrankRuehl" w:cs="FrankRuehl"/>
          <w:sz w:val="24"/>
          <w:szCs w:val="24"/>
          <w:rtl/>
        </w:rPr>
        <w:t xml:space="preserve"> </w:t>
      </w:r>
      <w:r w:rsidRPr="001A56A3">
        <w:rPr>
          <w:rFonts w:ascii="FrankRuehl" w:hAnsi="FrankRuehl" w:cs="FrankRuehl"/>
          <w:sz w:val="24"/>
          <w:szCs w:val="24"/>
          <w:rtl/>
        </w:rPr>
        <w:t xml:space="preserve">בדומה לסדר השבטים </w:t>
      </w:r>
      <w:r w:rsidRPr="001A56A3">
        <w:rPr>
          <w:rFonts w:ascii="FrankRuehl" w:eastAsia="MS Mincho" w:hAnsi="FrankRuehl" w:cs="FrankRuehl"/>
          <w:sz w:val="24"/>
          <w:szCs w:val="24"/>
          <w:rtl/>
          <w:lang w:eastAsia="en-US"/>
        </w:rPr>
        <w:t>בדה"א ב 1–2.</w:t>
      </w:r>
    </w:p>
  </w:footnote>
  <w:footnote w:id="36">
    <w:p w:rsidR="007E6555" w:rsidRPr="00EC5F91" w:rsidRDefault="007E6555" w:rsidP="007E6555">
      <w:pPr>
        <w:pStyle w:val="a5"/>
        <w:rPr>
          <w:rFonts w:cs="FrankRuehl"/>
          <w:sz w:val="24"/>
          <w:szCs w:val="24"/>
          <w:rtl/>
        </w:rPr>
      </w:pPr>
      <w:r w:rsidRPr="00EC5F91">
        <w:rPr>
          <w:rStyle w:val="a7"/>
          <w:rFonts w:cs="FrankRuehl"/>
          <w:sz w:val="24"/>
          <w:szCs w:val="24"/>
        </w:rPr>
        <w:footnoteRef/>
      </w:r>
      <w:r w:rsidRPr="00EC5F91">
        <w:rPr>
          <w:rFonts w:cs="FrankRuehl"/>
          <w:sz w:val="24"/>
          <w:szCs w:val="24"/>
          <w:rtl/>
        </w:rPr>
        <w:t xml:space="preserve"> </w:t>
      </w:r>
      <w:r w:rsidRPr="00EC5F91">
        <w:rPr>
          <w:rFonts w:cs="FrankRuehl" w:hint="cs"/>
          <w:sz w:val="24"/>
          <w:szCs w:val="24"/>
          <w:rtl/>
        </w:rPr>
        <w:t>כמסתבר מהמשך הפירוש, לדעתו זבולון ונפתלי הוגלו על ידי נבוכדנצר עם יהודה ובנימין, והוא חוזר ומציין זאת גם בפירושו לדה"א ט</w:t>
      </w:r>
      <w:r>
        <w:rPr>
          <w:rFonts w:cs="FrankRuehl" w:hint="cs"/>
          <w:sz w:val="24"/>
          <w:szCs w:val="24"/>
          <w:rtl/>
        </w:rPr>
        <w:t xml:space="preserve"> 1</w:t>
      </w:r>
      <w:r w:rsidRPr="00EC5F91">
        <w:rPr>
          <w:rFonts w:cs="FrankRuehl" w:hint="cs"/>
          <w:sz w:val="24"/>
          <w:szCs w:val="24"/>
          <w:rtl/>
        </w:rPr>
        <w:t>.</w:t>
      </w:r>
    </w:p>
  </w:footnote>
  <w:footnote w:id="37">
    <w:p w:rsidR="007E6555" w:rsidRPr="00C7195B" w:rsidRDefault="007E6555" w:rsidP="007E6555">
      <w:pPr>
        <w:pStyle w:val="a5"/>
        <w:rPr>
          <w:rFonts w:ascii="FrankRuehl" w:hAnsi="FrankRuehl" w:cs="FrankRuehl"/>
          <w:sz w:val="22"/>
          <w:szCs w:val="22"/>
        </w:rPr>
      </w:pPr>
      <w:r w:rsidRPr="00185DB8">
        <w:rPr>
          <w:rStyle w:val="a7"/>
          <w:rFonts w:ascii="FrankRuehl" w:hAnsi="FrankRuehl" w:cs="FrankRuehl"/>
          <w:sz w:val="24"/>
          <w:szCs w:val="24"/>
        </w:rPr>
        <w:footnoteRef/>
      </w:r>
      <w:r w:rsidRPr="00185DB8">
        <w:rPr>
          <w:rFonts w:ascii="FrankRuehl" w:hAnsi="FrankRuehl" w:cs="FrankRuehl"/>
          <w:sz w:val="24"/>
          <w:szCs w:val="24"/>
          <w:rtl/>
        </w:rPr>
        <w:t xml:space="preserve"> </w:t>
      </w:r>
      <w:r w:rsidRPr="00185DB8">
        <w:rPr>
          <w:rFonts w:ascii="FrankRuehl" w:hAnsi="FrankRuehl" w:cs="FrankRuehl"/>
          <w:sz w:val="24"/>
          <w:szCs w:val="24"/>
          <w:rtl/>
        </w:rPr>
        <w:t xml:space="preserve">שמונה </w:t>
      </w:r>
      <w:r>
        <w:rPr>
          <w:rFonts w:ascii="FrankRuehl" w:hAnsi="FrankRuehl" w:cs="FrankRuehl" w:hint="cs"/>
          <w:sz w:val="24"/>
          <w:szCs w:val="24"/>
          <w:rtl/>
        </w:rPr>
        <w:t>(</w:t>
      </w:r>
      <w:r w:rsidRPr="00185DB8">
        <w:rPr>
          <w:rFonts w:ascii="FrankRuehl" w:hAnsi="FrankRuehl" w:cs="FrankRuehl"/>
          <w:sz w:val="24"/>
          <w:szCs w:val="24"/>
          <w:rtl/>
        </w:rPr>
        <w:t>ספרי</w:t>
      </w:r>
      <w:r>
        <w:rPr>
          <w:rFonts w:ascii="FrankRuehl" w:hAnsi="FrankRuehl" w:cs="FrankRuehl" w:hint="cs"/>
          <w:sz w:val="24"/>
          <w:szCs w:val="24"/>
          <w:rtl/>
        </w:rPr>
        <w:t>)</w:t>
      </w:r>
      <w:r w:rsidRPr="00185DB8">
        <w:rPr>
          <w:rFonts w:ascii="FrankRuehl" w:hAnsi="FrankRuehl" w:cs="FrankRuehl"/>
          <w:sz w:val="24"/>
          <w:szCs w:val="24"/>
          <w:rtl/>
        </w:rPr>
        <w:t xml:space="preserve"> נביאים</w:t>
      </w:r>
      <w:r>
        <w:rPr>
          <w:rFonts w:ascii="FrankRuehl" w:hAnsi="FrankRuehl" w:cs="FrankRuehl" w:hint="cs"/>
          <w:sz w:val="24"/>
          <w:szCs w:val="24"/>
          <w:rtl/>
        </w:rPr>
        <w:t xml:space="preserve"> הם רצף הספרים</w:t>
      </w:r>
      <w:r w:rsidRPr="00185DB8">
        <w:rPr>
          <w:rFonts w:ascii="FrankRuehl" w:hAnsi="FrankRuehl" w:cs="FrankRuehl"/>
          <w:sz w:val="24"/>
          <w:szCs w:val="24"/>
          <w:rtl/>
        </w:rPr>
        <w:t xml:space="preserve"> </w:t>
      </w:r>
      <w:r>
        <w:rPr>
          <w:rFonts w:ascii="FrankRuehl" w:hAnsi="FrankRuehl" w:cs="FrankRuehl" w:hint="cs"/>
          <w:sz w:val="24"/>
          <w:szCs w:val="24"/>
          <w:rtl/>
        </w:rPr>
        <w:t>מ</w:t>
      </w:r>
      <w:r w:rsidRPr="00185DB8">
        <w:rPr>
          <w:rFonts w:ascii="FrankRuehl" w:hAnsi="FrankRuehl" w:cs="FrankRuehl"/>
          <w:sz w:val="24"/>
          <w:szCs w:val="24"/>
          <w:rtl/>
        </w:rPr>
        <w:t>יהושע</w:t>
      </w:r>
      <w:r>
        <w:rPr>
          <w:rFonts w:ascii="FrankRuehl" w:hAnsi="FrankRuehl" w:cs="FrankRuehl" w:hint="cs"/>
          <w:sz w:val="24"/>
          <w:szCs w:val="24"/>
          <w:rtl/>
        </w:rPr>
        <w:t xml:space="preserve"> עד ל</w:t>
      </w:r>
      <w:r w:rsidRPr="00185DB8">
        <w:rPr>
          <w:rFonts w:ascii="FrankRuehl" w:hAnsi="FrankRuehl" w:cs="FrankRuehl"/>
          <w:sz w:val="24"/>
          <w:szCs w:val="24"/>
          <w:rtl/>
        </w:rPr>
        <w:t>תרי עשר</w:t>
      </w:r>
      <w:r>
        <w:rPr>
          <w:rFonts w:ascii="FrankRuehl" w:hAnsi="FrankRuehl" w:cs="FrankRuehl" w:hint="cs"/>
          <w:sz w:val="24"/>
          <w:szCs w:val="24"/>
          <w:rtl/>
        </w:rPr>
        <w:t>;</w:t>
      </w:r>
      <w:r w:rsidRPr="00185DB8">
        <w:rPr>
          <w:rFonts w:ascii="FrankRuehl" w:hAnsi="FrankRuehl" w:cs="FrankRuehl"/>
          <w:sz w:val="24"/>
          <w:szCs w:val="24"/>
          <w:rtl/>
        </w:rPr>
        <w:t xml:space="preserve"> לביטוי זה</w:t>
      </w:r>
      <w:r w:rsidRPr="00EC5F91">
        <w:rPr>
          <w:rFonts w:cs="FrankRuehl" w:hint="cs"/>
          <w:sz w:val="24"/>
          <w:szCs w:val="24"/>
          <w:rtl/>
        </w:rPr>
        <w:t xml:space="preserve"> השוו בין היתר רש"י </w:t>
      </w:r>
      <w:proofErr w:type="spellStart"/>
      <w:r w:rsidRPr="00EC5F91">
        <w:rPr>
          <w:rFonts w:cs="FrankRuehl" w:hint="cs"/>
          <w:sz w:val="24"/>
          <w:szCs w:val="24"/>
          <w:rtl/>
        </w:rPr>
        <w:t>לבבא</w:t>
      </w:r>
      <w:proofErr w:type="spellEnd"/>
      <w:r w:rsidRPr="00EC5F91">
        <w:rPr>
          <w:rFonts w:cs="FrankRuehl" w:hint="cs"/>
          <w:sz w:val="24"/>
          <w:szCs w:val="24"/>
          <w:rtl/>
        </w:rPr>
        <w:t xml:space="preserve"> </w:t>
      </w:r>
      <w:proofErr w:type="spellStart"/>
      <w:r w:rsidRPr="00EC5F91">
        <w:rPr>
          <w:rFonts w:cs="FrankRuehl" w:hint="cs"/>
          <w:sz w:val="24"/>
          <w:szCs w:val="24"/>
          <w:rtl/>
        </w:rPr>
        <w:t>בתרא</w:t>
      </w:r>
      <w:proofErr w:type="spellEnd"/>
      <w:r w:rsidRPr="00EC5F91">
        <w:rPr>
          <w:rFonts w:cs="FrankRuehl" w:hint="cs"/>
          <w:sz w:val="24"/>
          <w:szCs w:val="24"/>
          <w:rtl/>
        </w:rPr>
        <w:t xml:space="preserve"> </w:t>
      </w:r>
      <w:proofErr w:type="spellStart"/>
      <w:r w:rsidRPr="00EC5F91">
        <w:rPr>
          <w:rFonts w:cs="FrankRuehl" w:hint="cs"/>
          <w:sz w:val="24"/>
          <w:szCs w:val="24"/>
          <w:rtl/>
        </w:rPr>
        <w:t>יג</w:t>
      </w:r>
      <w:proofErr w:type="spellEnd"/>
      <w:r w:rsidRPr="00EC5F91">
        <w:rPr>
          <w:rFonts w:cs="FrankRuehl" w:hint="cs"/>
          <w:sz w:val="24"/>
          <w:szCs w:val="24"/>
          <w:rtl/>
        </w:rPr>
        <w:t xml:space="preserve"> ע"ב </w:t>
      </w:r>
      <w:r>
        <w:rPr>
          <w:rFonts w:cs="FrankRuehl" w:hint="cs"/>
          <w:sz w:val="24"/>
          <w:szCs w:val="24"/>
          <w:rtl/>
        </w:rPr>
        <w:t>(ד"ה '</w:t>
      </w:r>
      <w:proofErr w:type="spellStart"/>
      <w:r>
        <w:rPr>
          <w:rFonts w:cs="FrankRuehl" w:hint="cs"/>
          <w:sz w:val="24"/>
          <w:szCs w:val="24"/>
          <w:rtl/>
        </w:rPr>
        <w:t>בבייתוס</w:t>
      </w:r>
      <w:proofErr w:type="spellEnd"/>
      <w:r>
        <w:rPr>
          <w:rFonts w:cs="FrankRuehl" w:hint="cs"/>
          <w:sz w:val="24"/>
          <w:szCs w:val="24"/>
          <w:rtl/>
        </w:rPr>
        <w:t xml:space="preserve"> שמֹנה נביאים'),</w:t>
      </w:r>
      <w:r w:rsidRPr="00EC5F91">
        <w:rPr>
          <w:rFonts w:cs="FrankRuehl" w:hint="cs"/>
          <w:sz w:val="24"/>
          <w:szCs w:val="24"/>
          <w:rtl/>
        </w:rPr>
        <w:t xml:space="preserve"> והוא משמש בשם החליפי לספרו של ר' יהודה חיוג'</w:t>
      </w:r>
      <w:r>
        <w:rPr>
          <w:rFonts w:cs="FrankRuehl" w:hint="cs"/>
          <w:sz w:val="24"/>
          <w:szCs w:val="24"/>
          <w:rtl/>
        </w:rPr>
        <w:t xml:space="preserve"> </w:t>
      </w:r>
      <w:proofErr w:type="spellStart"/>
      <w:r w:rsidRPr="00282E00">
        <w:rPr>
          <w:rFonts w:cs="FrankRuehl"/>
        </w:rPr>
        <w:t>Kit</w:t>
      </w:r>
      <w:r w:rsidRPr="00282E00">
        <w:rPr>
          <w:rFonts w:cs="Times New Roman"/>
        </w:rPr>
        <w:t>ā</w:t>
      </w:r>
      <w:r w:rsidRPr="00282E00">
        <w:rPr>
          <w:rFonts w:cs="FrankRuehl"/>
        </w:rPr>
        <w:t>b</w:t>
      </w:r>
      <w:proofErr w:type="spellEnd"/>
      <w:r w:rsidRPr="00282E00">
        <w:rPr>
          <w:rFonts w:cs="FrankRuehl"/>
        </w:rPr>
        <w:t xml:space="preserve"> </w:t>
      </w:r>
      <w:r>
        <w:rPr>
          <w:rFonts w:cs="FrankRuehl"/>
        </w:rPr>
        <w:t>a</w:t>
      </w:r>
      <w:r w:rsidRPr="00282E00">
        <w:rPr>
          <w:rFonts w:cs="FrankRuehl"/>
        </w:rPr>
        <w:t>l-</w:t>
      </w:r>
      <w:proofErr w:type="spellStart"/>
      <w:r w:rsidRPr="00282E00">
        <w:rPr>
          <w:rFonts w:cs="FrankRuehl"/>
        </w:rPr>
        <w:t>Nutaf</w:t>
      </w:r>
      <w:proofErr w:type="spellEnd"/>
      <w:r>
        <w:rPr>
          <w:rFonts w:cs="FrankRuehl"/>
          <w:sz w:val="24"/>
          <w:szCs w:val="24"/>
          <w:rtl/>
        </w:rPr>
        <w:t xml:space="preserve"> –</w:t>
      </w:r>
      <w:r>
        <w:rPr>
          <w:rFonts w:cs="FrankRuehl" w:hint="cs"/>
          <w:sz w:val="24"/>
          <w:szCs w:val="24"/>
          <w:rtl/>
        </w:rPr>
        <w:t xml:space="preserve"> </w:t>
      </w:r>
      <w:r w:rsidRPr="00EC5F91">
        <w:rPr>
          <w:rFonts w:cs="FrankRuehl" w:hint="cs"/>
          <w:sz w:val="24"/>
          <w:szCs w:val="24"/>
          <w:rtl/>
        </w:rPr>
        <w:t xml:space="preserve"> </w:t>
      </w:r>
      <w:proofErr w:type="spellStart"/>
      <w:r w:rsidRPr="00282E00">
        <w:rPr>
          <w:rFonts w:cs="FrankRuehl"/>
        </w:rPr>
        <w:t>Kit</w:t>
      </w:r>
      <w:r w:rsidRPr="00282E00">
        <w:rPr>
          <w:rFonts w:cs="Times New Roman"/>
        </w:rPr>
        <w:t>ā</w:t>
      </w:r>
      <w:r w:rsidRPr="00282E00">
        <w:rPr>
          <w:rFonts w:cs="FrankRuehl"/>
        </w:rPr>
        <w:t>b</w:t>
      </w:r>
      <w:proofErr w:type="spellEnd"/>
      <w:r w:rsidRPr="00282E00">
        <w:rPr>
          <w:rFonts w:cs="FrankRuehl"/>
        </w:rPr>
        <w:t xml:space="preserve"> </w:t>
      </w:r>
      <w:proofErr w:type="spellStart"/>
      <w:r>
        <w:rPr>
          <w:rFonts w:cs="FrankRuehl"/>
        </w:rPr>
        <w:t>Nukat</w:t>
      </w:r>
      <w:proofErr w:type="spellEnd"/>
      <w:r>
        <w:rPr>
          <w:rFonts w:cs="FrankRuehl"/>
        </w:rPr>
        <w:t xml:space="preserve"> al-</w:t>
      </w:r>
      <w:proofErr w:type="spellStart"/>
      <w:r>
        <w:rPr>
          <w:rFonts w:cs="FrankRuehl"/>
        </w:rPr>
        <w:t>Tam</w:t>
      </w:r>
      <w:r>
        <w:rPr>
          <w:rFonts w:cs="Times New Roman"/>
        </w:rPr>
        <w:t>ā</w:t>
      </w:r>
      <w:r>
        <w:rPr>
          <w:rFonts w:cs="FrankRuehl"/>
        </w:rPr>
        <w:t>niya</w:t>
      </w:r>
      <w:proofErr w:type="spellEnd"/>
      <w:r>
        <w:rPr>
          <w:rFonts w:cs="FrankRuehl" w:hint="cs"/>
          <w:sz w:val="24"/>
          <w:szCs w:val="24"/>
          <w:rtl/>
        </w:rPr>
        <w:t xml:space="preserve">, כלומר: </w:t>
      </w:r>
      <w:r w:rsidRPr="00EC5F91">
        <w:rPr>
          <w:rFonts w:cs="FrankRuehl" w:hint="cs"/>
          <w:sz w:val="24"/>
          <w:szCs w:val="24"/>
          <w:rtl/>
        </w:rPr>
        <w:t xml:space="preserve">חיבור העיונים בשמונת </w:t>
      </w:r>
      <w:r>
        <w:rPr>
          <w:rFonts w:cs="FrankRuehl" w:hint="cs"/>
          <w:sz w:val="24"/>
          <w:szCs w:val="24"/>
          <w:rtl/>
        </w:rPr>
        <w:t>(</w:t>
      </w:r>
      <w:r w:rsidRPr="00EC5F91">
        <w:rPr>
          <w:rFonts w:cs="FrankRuehl" w:hint="cs"/>
          <w:sz w:val="24"/>
          <w:szCs w:val="24"/>
          <w:rtl/>
        </w:rPr>
        <w:t>הנביאים</w:t>
      </w:r>
      <w:r>
        <w:rPr>
          <w:rFonts w:cs="FrankRuehl" w:hint="cs"/>
          <w:sz w:val="24"/>
          <w:szCs w:val="24"/>
          <w:rtl/>
        </w:rPr>
        <w:t>);</w:t>
      </w:r>
      <w:r w:rsidRPr="00EC5F91">
        <w:rPr>
          <w:rFonts w:cs="FrankRuehl" w:hint="cs"/>
          <w:sz w:val="24"/>
          <w:szCs w:val="24"/>
          <w:rtl/>
        </w:rPr>
        <w:t xml:space="preserve"> ראו:</w:t>
      </w:r>
      <w:r>
        <w:rPr>
          <w:rFonts w:cs="FrankRuehl" w:hint="cs"/>
          <w:sz w:val="24"/>
          <w:szCs w:val="24"/>
          <w:rtl/>
        </w:rPr>
        <w:t xml:space="preserve"> </w:t>
      </w:r>
      <w:r w:rsidRPr="00282E00">
        <w:rPr>
          <w:rFonts w:cs="FrankRuehl"/>
        </w:rPr>
        <w:t xml:space="preserve">Basal, </w:t>
      </w:r>
      <w:proofErr w:type="spellStart"/>
      <w:r w:rsidRPr="00282E00">
        <w:rPr>
          <w:rFonts w:cs="FrankRuehl"/>
        </w:rPr>
        <w:t>Kit</w:t>
      </w:r>
      <w:r w:rsidRPr="00282E00">
        <w:rPr>
          <w:rFonts w:cs="Times New Roman"/>
        </w:rPr>
        <w:t>ā</w:t>
      </w:r>
      <w:r w:rsidRPr="00282E00">
        <w:rPr>
          <w:rFonts w:cs="FrankRuehl"/>
        </w:rPr>
        <w:t>b</w:t>
      </w:r>
      <w:proofErr w:type="spellEnd"/>
      <w:r w:rsidRPr="00282E00">
        <w:rPr>
          <w:rFonts w:cs="FrankRuehl"/>
        </w:rPr>
        <w:t>, 12-13</w:t>
      </w:r>
      <w:r w:rsidRPr="00EC5F91">
        <w:rPr>
          <w:rFonts w:cs="FrankRuehl" w:hint="cs"/>
          <w:sz w:val="24"/>
          <w:szCs w:val="24"/>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555"/>
    <w:rsid w:val="00094E6D"/>
    <w:rsid w:val="00136565"/>
    <w:rsid w:val="00151726"/>
    <w:rsid w:val="00175455"/>
    <w:rsid w:val="001D7E66"/>
    <w:rsid w:val="002A5064"/>
    <w:rsid w:val="00383492"/>
    <w:rsid w:val="004F454F"/>
    <w:rsid w:val="00627258"/>
    <w:rsid w:val="007E6555"/>
    <w:rsid w:val="008254B9"/>
    <w:rsid w:val="0086358E"/>
    <w:rsid w:val="00CD7A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C7D274-4109-4389-B3C5-E5B29B661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55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E6555"/>
    <w:rPr>
      <w:rFonts w:ascii="Courier New" w:hAnsi="Courier New" w:cs="Courier New"/>
      <w:sz w:val="20"/>
      <w:szCs w:val="20"/>
      <w:lang w:eastAsia="he-IL"/>
    </w:rPr>
  </w:style>
  <w:style w:type="character" w:customStyle="1" w:styleId="a4">
    <w:name w:val="טקסט רגיל תו"/>
    <w:basedOn w:val="a0"/>
    <w:link w:val="a3"/>
    <w:rsid w:val="007E6555"/>
    <w:rPr>
      <w:rFonts w:ascii="Courier New" w:eastAsia="Times New Roman" w:hAnsi="Courier New" w:cs="Courier New"/>
      <w:sz w:val="20"/>
      <w:szCs w:val="20"/>
      <w:lang w:eastAsia="he-IL"/>
    </w:rPr>
  </w:style>
  <w:style w:type="paragraph" w:styleId="a5">
    <w:name w:val="footnote text"/>
    <w:basedOn w:val="a"/>
    <w:link w:val="a6"/>
    <w:semiHidden/>
    <w:rsid w:val="007E6555"/>
    <w:rPr>
      <w:rFonts w:cs="Narkisim"/>
      <w:sz w:val="20"/>
      <w:szCs w:val="20"/>
      <w:lang w:eastAsia="he-IL"/>
    </w:rPr>
  </w:style>
  <w:style w:type="character" w:customStyle="1" w:styleId="a6">
    <w:name w:val="טקסט הערת שוליים תו"/>
    <w:basedOn w:val="a0"/>
    <w:link w:val="a5"/>
    <w:semiHidden/>
    <w:rsid w:val="007E6555"/>
    <w:rPr>
      <w:rFonts w:ascii="Times New Roman" w:eastAsia="Times New Roman" w:hAnsi="Times New Roman" w:cs="Narkisim"/>
      <w:sz w:val="20"/>
      <w:szCs w:val="20"/>
      <w:lang w:eastAsia="he-IL"/>
    </w:rPr>
  </w:style>
  <w:style w:type="character" w:styleId="a7">
    <w:name w:val="footnote reference"/>
    <w:semiHidden/>
    <w:rsid w:val="007E6555"/>
    <w:rPr>
      <w:vertAlign w:val="superscript"/>
    </w:rPr>
  </w:style>
  <w:style w:type="paragraph" w:styleId="a8">
    <w:name w:val="header"/>
    <w:basedOn w:val="a"/>
    <w:link w:val="a9"/>
    <w:rsid w:val="007E6555"/>
    <w:pPr>
      <w:tabs>
        <w:tab w:val="center" w:pos="4153"/>
        <w:tab w:val="right" w:pos="8306"/>
      </w:tabs>
    </w:pPr>
    <w:rPr>
      <w:rFonts w:cs="Narkisim"/>
      <w:lang w:eastAsia="he-IL"/>
    </w:rPr>
  </w:style>
  <w:style w:type="character" w:customStyle="1" w:styleId="a9">
    <w:name w:val="כותרת עליונה תו"/>
    <w:basedOn w:val="a0"/>
    <w:link w:val="a8"/>
    <w:rsid w:val="007E6555"/>
    <w:rPr>
      <w:rFonts w:ascii="Times New Roman" w:eastAsia="Times New Roman" w:hAnsi="Times New Roman" w:cs="Narkisim"/>
      <w:sz w:val="24"/>
      <w:szCs w:val="24"/>
      <w:lang w:eastAsia="he-IL"/>
    </w:rPr>
  </w:style>
  <w:style w:type="paragraph" w:styleId="aa">
    <w:name w:val="footer"/>
    <w:basedOn w:val="a"/>
    <w:link w:val="ab"/>
    <w:uiPriority w:val="99"/>
    <w:rsid w:val="007E6555"/>
    <w:pPr>
      <w:tabs>
        <w:tab w:val="center" w:pos="4153"/>
        <w:tab w:val="right" w:pos="8306"/>
      </w:tabs>
    </w:pPr>
  </w:style>
  <w:style w:type="character" w:customStyle="1" w:styleId="ab">
    <w:name w:val="כותרת תחתונה תו"/>
    <w:basedOn w:val="a0"/>
    <w:link w:val="aa"/>
    <w:uiPriority w:val="99"/>
    <w:rsid w:val="007E6555"/>
    <w:rPr>
      <w:rFonts w:ascii="Times New Roman" w:eastAsia="Times New Roman" w:hAnsi="Times New Roman" w:cs="Times New Roman"/>
      <w:sz w:val="24"/>
      <w:szCs w:val="24"/>
    </w:rPr>
  </w:style>
  <w:style w:type="character" w:styleId="ac">
    <w:name w:val="page number"/>
    <w:basedOn w:val="a0"/>
    <w:rsid w:val="007E6555"/>
  </w:style>
  <w:style w:type="paragraph" w:styleId="ad">
    <w:name w:val="Title"/>
    <w:basedOn w:val="a"/>
    <w:next w:val="a"/>
    <w:link w:val="ae"/>
    <w:uiPriority w:val="10"/>
    <w:qFormat/>
    <w:rsid w:val="007E6555"/>
    <w:pPr>
      <w:contextualSpacing/>
    </w:pPr>
    <w:rPr>
      <w:rFonts w:asciiTheme="majorHAnsi" w:eastAsiaTheme="majorEastAsia" w:hAnsiTheme="majorHAnsi" w:cstheme="majorBidi"/>
      <w:spacing w:val="-10"/>
      <w:kern w:val="28"/>
      <w:sz w:val="56"/>
      <w:szCs w:val="56"/>
    </w:rPr>
  </w:style>
  <w:style w:type="character" w:customStyle="1" w:styleId="ae">
    <w:name w:val="כותרת טקסט תו"/>
    <w:basedOn w:val="a0"/>
    <w:link w:val="ad"/>
    <w:uiPriority w:val="10"/>
    <w:rsid w:val="007E6555"/>
    <w:rPr>
      <w:rFonts w:asciiTheme="majorHAnsi" w:eastAsiaTheme="majorEastAsia" w:hAnsiTheme="majorHAnsi" w:cstheme="majorBidi"/>
      <w:spacing w:val="-10"/>
      <w:kern w:val="28"/>
      <w:sz w:val="56"/>
      <w:szCs w:val="56"/>
    </w:rPr>
  </w:style>
  <w:style w:type="paragraph" w:customStyle="1" w:styleId="af">
    <w:name w:val="עבודת דוקטור"/>
    <w:basedOn w:val="a"/>
    <w:rsid w:val="007E6555"/>
    <w:pPr>
      <w:spacing w:line="480" w:lineRule="auto"/>
    </w:pPr>
    <w:rPr>
      <w:rFonts w:cs="Narkisi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זכוכית חלבית">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2163</Words>
  <Characters>12332</Characters>
  <Application>Microsoft Office Word</Application>
  <DocSecurity>0</DocSecurity>
  <Lines>102</Lines>
  <Paragraphs>28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2016-11-16T08:09:00Z</dcterms:created>
  <dcterms:modified xsi:type="dcterms:W3CDTF">2016-11-16T08:24:00Z</dcterms:modified>
</cp:coreProperties>
</file>