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16855" w14:textId="2B847689" w:rsidR="000A7384" w:rsidRPr="00CE6819" w:rsidRDefault="000A7384" w:rsidP="007C6067">
      <w:pPr>
        <w:bidi w:val="0"/>
        <w:spacing w:line="360" w:lineRule="auto"/>
        <w:jc w:val="both"/>
        <w:rPr>
          <w:b/>
          <w:bCs/>
          <w:sz w:val="24"/>
          <w:szCs w:val="24"/>
        </w:rPr>
      </w:pPr>
      <w:r w:rsidRPr="00CE6819">
        <w:rPr>
          <w:b/>
          <w:bCs/>
          <w:sz w:val="24"/>
          <w:szCs w:val="24"/>
        </w:rPr>
        <w:t xml:space="preserve">The Psychology Threshold of </w:t>
      </w:r>
      <w:r w:rsidR="00F019A4" w:rsidRPr="00CE6819">
        <w:rPr>
          <w:b/>
          <w:bCs/>
          <w:sz w:val="24"/>
          <w:szCs w:val="24"/>
        </w:rPr>
        <w:t xml:space="preserve">Market capitalization for </w:t>
      </w:r>
      <w:r w:rsidR="007C6067">
        <w:rPr>
          <w:b/>
          <w:bCs/>
          <w:sz w:val="24"/>
          <w:szCs w:val="24"/>
          <w:lang w:val="en-GB"/>
        </w:rPr>
        <w:t>Biotechnology</w:t>
      </w:r>
      <w:r w:rsidR="007C6067" w:rsidRPr="00CE6819">
        <w:rPr>
          <w:b/>
          <w:bCs/>
          <w:sz w:val="24"/>
          <w:szCs w:val="24"/>
        </w:rPr>
        <w:t xml:space="preserve"> </w:t>
      </w:r>
      <w:r w:rsidRPr="00CE6819">
        <w:rPr>
          <w:b/>
          <w:bCs/>
          <w:sz w:val="24"/>
          <w:szCs w:val="24"/>
        </w:rPr>
        <w:t xml:space="preserve">IPOs: </w:t>
      </w:r>
    </w:p>
    <w:p w14:paraId="3A6C69A8" w14:textId="56D3FF74" w:rsidR="000A7384" w:rsidRDefault="000A7384" w:rsidP="00D01F96">
      <w:pPr>
        <w:bidi w:val="0"/>
        <w:jc w:val="both"/>
        <w:rPr>
          <w:sz w:val="24"/>
          <w:szCs w:val="24"/>
        </w:rPr>
      </w:pPr>
      <w:r w:rsidRPr="00CE6819">
        <w:rPr>
          <w:sz w:val="24"/>
          <w:szCs w:val="24"/>
        </w:rPr>
        <w:t xml:space="preserve">Smadar </w:t>
      </w:r>
      <w:r w:rsidR="00750F9F" w:rsidRPr="00CE6819">
        <w:rPr>
          <w:sz w:val="24"/>
          <w:szCs w:val="24"/>
        </w:rPr>
        <w:t>S</w:t>
      </w:r>
      <w:r w:rsidRPr="00CE6819">
        <w:rPr>
          <w:sz w:val="24"/>
          <w:szCs w:val="24"/>
        </w:rPr>
        <w:t>iev and Tiran Rothman</w:t>
      </w:r>
    </w:p>
    <w:p w14:paraId="1DFBF9E2" w14:textId="77777777" w:rsidR="001D0EAB" w:rsidRDefault="001D0EAB" w:rsidP="001D0EAB">
      <w:pPr>
        <w:bidi w:val="0"/>
        <w:jc w:val="both"/>
        <w:rPr>
          <w:sz w:val="24"/>
          <w:szCs w:val="24"/>
        </w:rPr>
      </w:pPr>
    </w:p>
    <w:p w14:paraId="551ED761" w14:textId="7AF091FE" w:rsidR="001D0EAB" w:rsidRPr="00CE6819" w:rsidRDefault="001D0EAB" w:rsidP="001D0EAB">
      <w:pPr>
        <w:bidi w:val="0"/>
        <w:jc w:val="both"/>
        <w:rPr>
          <w:sz w:val="24"/>
          <w:szCs w:val="24"/>
        </w:rPr>
      </w:pPr>
      <w:r w:rsidRPr="00BF1E23">
        <w:rPr>
          <w:b/>
          <w:bCs/>
        </w:rPr>
        <w:t>Abstract</w:t>
      </w:r>
    </w:p>
    <w:p w14:paraId="6C1E37A2" w14:textId="689E4E4D" w:rsidR="000A7384" w:rsidRPr="00CE6819" w:rsidRDefault="000A7384" w:rsidP="008F3F96">
      <w:pPr>
        <w:bidi w:val="0"/>
        <w:spacing w:line="360" w:lineRule="auto"/>
        <w:jc w:val="both"/>
        <w:rPr>
          <w:sz w:val="24"/>
          <w:szCs w:val="24"/>
        </w:rPr>
      </w:pPr>
      <w:r w:rsidRPr="00CE6819">
        <w:rPr>
          <w:sz w:val="24"/>
          <w:szCs w:val="24"/>
        </w:rPr>
        <w:t xml:space="preserve">We examine stock return behavior </w:t>
      </w:r>
      <w:r w:rsidR="008F3F96">
        <w:rPr>
          <w:sz w:val="24"/>
          <w:szCs w:val="24"/>
        </w:rPr>
        <w:t>post</w:t>
      </w:r>
      <w:r w:rsidR="008F3F96" w:rsidRPr="00CE6819">
        <w:rPr>
          <w:sz w:val="24"/>
          <w:szCs w:val="24"/>
        </w:rPr>
        <w:t xml:space="preserve"> </w:t>
      </w:r>
      <w:r w:rsidRPr="00CE6819">
        <w:rPr>
          <w:sz w:val="24"/>
          <w:szCs w:val="24"/>
        </w:rPr>
        <w:t xml:space="preserve">IPO events in the </w:t>
      </w:r>
      <w:r w:rsidR="008F3F96">
        <w:rPr>
          <w:sz w:val="24"/>
          <w:szCs w:val="24"/>
        </w:rPr>
        <w:t>biotechnology</w:t>
      </w:r>
      <w:r w:rsidRPr="00CE6819">
        <w:rPr>
          <w:sz w:val="24"/>
          <w:szCs w:val="24"/>
        </w:rPr>
        <w:t xml:space="preserve"> sector and investigate the factors that may influence this behavior. </w:t>
      </w:r>
    </w:p>
    <w:p w14:paraId="5AE75794" w14:textId="58ACF63A" w:rsidR="000A7384" w:rsidRPr="00CE6819" w:rsidRDefault="00326DD8" w:rsidP="008F3F96">
      <w:pPr>
        <w:bidi w:val="0"/>
        <w:spacing w:line="360" w:lineRule="auto"/>
        <w:jc w:val="both"/>
        <w:rPr>
          <w:sz w:val="24"/>
          <w:szCs w:val="24"/>
        </w:rPr>
      </w:pPr>
      <w:r w:rsidRPr="00CE6819">
        <w:rPr>
          <w:sz w:val="24"/>
          <w:szCs w:val="24"/>
        </w:rPr>
        <w:t>The result</w:t>
      </w:r>
      <w:r w:rsidR="008C6B93" w:rsidRPr="00CE6819">
        <w:rPr>
          <w:sz w:val="24"/>
          <w:szCs w:val="24"/>
        </w:rPr>
        <w:t>s</w:t>
      </w:r>
      <w:r w:rsidRPr="00CE6819">
        <w:rPr>
          <w:sz w:val="24"/>
          <w:szCs w:val="24"/>
        </w:rPr>
        <w:t xml:space="preserve"> </w:t>
      </w:r>
      <w:r w:rsidR="008C6B93" w:rsidRPr="00CE6819">
        <w:rPr>
          <w:sz w:val="24"/>
          <w:szCs w:val="24"/>
        </w:rPr>
        <w:t>indicate</w:t>
      </w:r>
      <w:r w:rsidR="000A7384" w:rsidRPr="00CE6819">
        <w:rPr>
          <w:sz w:val="24"/>
          <w:szCs w:val="24"/>
        </w:rPr>
        <w:t xml:space="preserve"> positive </w:t>
      </w:r>
      <w:r w:rsidR="00B971E2" w:rsidRPr="00CE6819">
        <w:rPr>
          <w:sz w:val="24"/>
          <w:szCs w:val="24"/>
        </w:rPr>
        <w:t>Cumulative Average Abnormal return (</w:t>
      </w:r>
      <w:r w:rsidR="000A7384" w:rsidRPr="00CE6819">
        <w:rPr>
          <w:sz w:val="24"/>
          <w:szCs w:val="24"/>
        </w:rPr>
        <w:t>CAAR</w:t>
      </w:r>
      <w:r w:rsidR="00B971E2" w:rsidRPr="00CE6819">
        <w:rPr>
          <w:sz w:val="24"/>
          <w:szCs w:val="24"/>
        </w:rPr>
        <w:t>)</w:t>
      </w:r>
      <w:r w:rsidR="000A7384" w:rsidRPr="00CE6819">
        <w:rPr>
          <w:sz w:val="24"/>
          <w:szCs w:val="24"/>
        </w:rPr>
        <w:t xml:space="preserve"> of 3</w:t>
      </w:r>
      <w:r w:rsidR="00456D20">
        <w:rPr>
          <w:sz w:val="24"/>
          <w:szCs w:val="24"/>
        </w:rPr>
        <w:t>.03</w:t>
      </w:r>
      <w:r w:rsidR="000A7384" w:rsidRPr="00CE6819">
        <w:rPr>
          <w:sz w:val="24"/>
          <w:szCs w:val="24"/>
        </w:rPr>
        <w:t>% in 20 days after the IPO</w:t>
      </w:r>
      <w:r w:rsidR="00966ED7" w:rsidRPr="00CE6819">
        <w:rPr>
          <w:sz w:val="24"/>
          <w:szCs w:val="24"/>
        </w:rPr>
        <w:t xml:space="preserve"> </w:t>
      </w:r>
      <w:r w:rsidR="00E42290" w:rsidRPr="00CE6819">
        <w:rPr>
          <w:sz w:val="24"/>
          <w:szCs w:val="24"/>
        </w:rPr>
        <w:t xml:space="preserve">until </w:t>
      </w:r>
      <w:r w:rsidR="00966ED7" w:rsidRPr="00CE6819">
        <w:rPr>
          <w:sz w:val="24"/>
          <w:szCs w:val="24"/>
        </w:rPr>
        <w:t>the end of the quiet period</w:t>
      </w:r>
      <w:r w:rsidR="000A7384" w:rsidRPr="00CE6819">
        <w:rPr>
          <w:sz w:val="24"/>
          <w:szCs w:val="24"/>
        </w:rPr>
        <w:t xml:space="preserve"> for all firms under scrutiny, and a decline of tens of percent in the </w:t>
      </w:r>
      <w:r w:rsidR="00E42290" w:rsidRPr="00CE6819">
        <w:rPr>
          <w:sz w:val="24"/>
          <w:szCs w:val="24"/>
        </w:rPr>
        <w:t>18 months post</w:t>
      </w:r>
      <w:r w:rsidR="000A7384" w:rsidRPr="00CE6819">
        <w:rPr>
          <w:sz w:val="24"/>
          <w:szCs w:val="24"/>
        </w:rPr>
        <w:t xml:space="preserve"> IPO. </w:t>
      </w:r>
      <w:r w:rsidR="00B62095" w:rsidRPr="00CE6819">
        <w:rPr>
          <w:sz w:val="24"/>
          <w:szCs w:val="24"/>
        </w:rPr>
        <w:t>W</w:t>
      </w:r>
      <w:r w:rsidR="000A7384" w:rsidRPr="00CE6819">
        <w:rPr>
          <w:sz w:val="24"/>
          <w:szCs w:val="24"/>
        </w:rPr>
        <w:t xml:space="preserve">hen the sample is divided into two </w:t>
      </w:r>
      <w:r w:rsidR="000A7384" w:rsidRPr="00E14B2F">
        <w:rPr>
          <w:sz w:val="24"/>
          <w:szCs w:val="24"/>
        </w:rPr>
        <w:t>subsamples</w:t>
      </w:r>
      <w:r w:rsidR="000A7384" w:rsidRPr="00CE6819">
        <w:rPr>
          <w:sz w:val="24"/>
          <w:szCs w:val="24"/>
        </w:rPr>
        <w:t xml:space="preserve"> by firm size</w:t>
      </w:r>
      <w:r w:rsidR="00197033" w:rsidRPr="00CE6819">
        <w:rPr>
          <w:sz w:val="24"/>
          <w:szCs w:val="24"/>
        </w:rPr>
        <w:t>,</w:t>
      </w:r>
      <w:r w:rsidR="000A7384" w:rsidRPr="00CE6819">
        <w:rPr>
          <w:sz w:val="24"/>
          <w:szCs w:val="24"/>
        </w:rPr>
        <w:t xml:space="preserve"> we find a </w:t>
      </w:r>
      <w:r w:rsidR="00456D20">
        <w:rPr>
          <w:sz w:val="24"/>
          <w:szCs w:val="24"/>
        </w:rPr>
        <w:t>m</w:t>
      </w:r>
      <w:r w:rsidR="000727DF">
        <w:rPr>
          <w:sz w:val="24"/>
          <w:szCs w:val="24"/>
        </w:rPr>
        <w:t xml:space="preserve">arket </w:t>
      </w:r>
      <w:r w:rsidR="00456D20">
        <w:rPr>
          <w:sz w:val="24"/>
          <w:szCs w:val="24"/>
        </w:rPr>
        <w:t>v</w:t>
      </w:r>
      <w:r w:rsidR="000727DF">
        <w:rPr>
          <w:sz w:val="24"/>
          <w:szCs w:val="24"/>
        </w:rPr>
        <w:t xml:space="preserve">alue (MV) </w:t>
      </w:r>
      <w:r w:rsidR="000A7384" w:rsidRPr="00CE6819">
        <w:rPr>
          <w:sz w:val="24"/>
          <w:szCs w:val="24"/>
        </w:rPr>
        <w:t xml:space="preserve">of $500 </w:t>
      </w:r>
      <w:r w:rsidR="000727DF">
        <w:rPr>
          <w:sz w:val="24"/>
          <w:szCs w:val="24"/>
        </w:rPr>
        <w:t xml:space="preserve">million </w:t>
      </w:r>
      <w:r w:rsidR="000A7384" w:rsidRPr="00CE6819">
        <w:rPr>
          <w:sz w:val="24"/>
          <w:szCs w:val="24"/>
        </w:rPr>
        <w:t xml:space="preserve">as a </w:t>
      </w:r>
      <w:r w:rsidR="000727DF" w:rsidRPr="00CE6819">
        <w:rPr>
          <w:sz w:val="24"/>
          <w:szCs w:val="24"/>
        </w:rPr>
        <w:t xml:space="preserve">threshold </w:t>
      </w:r>
      <w:r w:rsidR="000A7384" w:rsidRPr="00CE6819">
        <w:rPr>
          <w:sz w:val="24"/>
          <w:szCs w:val="24"/>
        </w:rPr>
        <w:t>for positive or negative post IPO yield</w:t>
      </w:r>
      <w:r w:rsidR="00197033" w:rsidRPr="00CE6819">
        <w:rPr>
          <w:sz w:val="24"/>
          <w:szCs w:val="24"/>
        </w:rPr>
        <w:t>s</w:t>
      </w:r>
      <w:r w:rsidR="000A7384" w:rsidRPr="00CE6819">
        <w:rPr>
          <w:sz w:val="24"/>
          <w:szCs w:val="24"/>
        </w:rPr>
        <w:t xml:space="preserve">. Companies with a </w:t>
      </w:r>
      <w:r w:rsidR="000727DF">
        <w:rPr>
          <w:sz w:val="24"/>
          <w:szCs w:val="24"/>
        </w:rPr>
        <w:t>MV</w:t>
      </w:r>
      <w:r w:rsidR="000A7384" w:rsidRPr="00CE6819">
        <w:rPr>
          <w:sz w:val="24"/>
          <w:szCs w:val="24"/>
        </w:rPr>
        <w:t xml:space="preserve"> below this threshold</w:t>
      </w:r>
      <w:r w:rsidR="00723499" w:rsidRPr="00CE6819">
        <w:rPr>
          <w:sz w:val="24"/>
          <w:szCs w:val="24"/>
        </w:rPr>
        <w:t xml:space="preserve"> </w:t>
      </w:r>
      <w:r w:rsidR="008C6B93" w:rsidRPr="00CE6819">
        <w:rPr>
          <w:sz w:val="24"/>
          <w:szCs w:val="24"/>
        </w:rPr>
        <w:t>present</w:t>
      </w:r>
      <w:r w:rsidR="000A7384" w:rsidRPr="00CE6819">
        <w:rPr>
          <w:sz w:val="24"/>
          <w:szCs w:val="24"/>
        </w:rPr>
        <w:t xml:space="preserve"> a positive but not significant CAAR in the first 20 days and a </w:t>
      </w:r>
      <w:r w:rsidR="00E42290" w:rsidRPr="00CE6819">
        <w:rPr>
          <w:sz w:val="24"/>
          <w:szCs w:val="24"/>
        </w:rPr>
        <w:t xml:space="preserve">significant negative CAAR from day </w:t>
      </w:r>
      <w:r w:rsidR="004853B2" w:rsidRPr="00CE6819">
        <w:rPr>
          <w:sz w:val="24"/>
          <w:szCs w:val="24"/>
        </w:rPr>
        <w:t>31</w:t>
      </w:r>
      <w:r w:rsidR="00E42290" w:rsidRPr="00CE6819">
        <w:rPr>
          <w:sz w:val="24"/>
          <w:szCs w:val="24"/>
        </w:rPr>
        <w:t xml:space="preserve"> onwards</w:t>
      </w:r>
      <w:r w:rsidR="00F019A4" w:rsidRPr="00CE6819">
        <w:rPr>
          <w:sz w:val="24"/>
          <w:szCs w:val="24"/>
        </w:rPr>
        <w:t xml:space="preserve">. In contrast, </w:t>
      </w:r>
      <w:r w:rsidR="000A7384" w:rsidRPr="00CE6819">
        <w:rPr>
          <w:sz w:val="24"/>
          <w:szCs w:val="24"/>
        </w:rPr>
        <w:t>companies above th</w:t>
      </w:r>
      <w:r w:rsidR="00C47FC6" w:rsidRPr="00CE6819">
        <w:rPr>
          <w:sz w:val="24"/>
          <w:szCs w:val="24"/>
        </w:rPr>
        <w:t>is</w:t>
      </w:r>
      <w:r w:rsidR="000A7384" w:rsidRPr="00CE6819">
        <w:rPr>
          <w:sz w:val="24"/>
          <w:szCs w:val="24"/>
        </w:rPr>
        <w:t xml:space="preserve"> threshold shows a significant positive CAAR 20 days </w:t>
      </w:r>
      <w:r w:rsidR="00456D20">
        <w:rPr>
          <w:sz w:val="24"/>
          <w:szCs w:val="24"/>
        </w:rPr>
        <w:t>post</w:t>
      </w:r>
      <w:r w:rsidR="000A7384" w:rsidRPr="00CE6819">
        <w:rPr>
          <w:sz w:val="24"/>
          <w:szCs w:val="24"/>
        </w:rPr>
        <w:t xml:space="preserve"> IPO, followed by a consistent increase </w:t>
      </w:r>
      <w:r w:rsidR="008C6B93" w:rsidRPr="00CE6819">
        <w:rPr>
          <w:sz w:val="24"/>
          <w:szCs w:val="24"/>
        </w:rPr>
        <w:t>in CAAR</w:t>
      </w:r>
      <w:r w:rsidR="000A7384" w:rsidRPr="00CE6819">
        <w:rPr>
          <w:sz w:val="24"/>
          <w:szCs w:val="24"/>
        </w:rPr>
        <w:t xml:space="preserve"> </w:t>
      </w:r>
      <w:r w:rsidR="00C47FC6" w:rsidRPr="00CE6819">
        <w:rPr>
          <w:sz w:val="24"/>
          <w:szCs w:val="24"/>
        </w:rPr>
        <w:t>for</w:t>
      </w:r>
      <w:r w:rsidR="008C6B93" w:rsidRPr="00CE6819">
        <w:rPr>
          <w:sz w:val="24"/>
          <w:szCs w:val="24"/>
        </w:rPr>
        <w:t xml:space="preserve"> the next</w:t>
      </w:r>
      <w:r w:rsidR="000A7384" w:rsidRPr="00CE6819">
        <w:rPr>
          <w:sz w:val="24"/>
          <w:szCs w:val="24"/>
        </w:rPr>
        <w:t xml:space="preserve"> </w:t>
      </w:r>
      <w:r w:rsidR="0056427A">
        <w:rPr>
          <w:sz w:val="24"/>
          <w:szCs w:val="24"/>
        </w:rPr>
        <w:t xml:space="preserve">few </w:t>
      </w:r>
      <w:r w:rsidR="008C6B93" w:rsidRPr="00CE6819">
        <w:rPr>
          <w:sz w:val="24"/>
          <w:szCs w:val="24"/>
        </w:rPr>
        <w:t>months</w:t>
      </w:r>
      <w:r w:rsidR="000A7384" w:rsidRPr="00CE6819">
        <w:rPr>
          <w:sz w:val="24"/>
          <w:szCs w:val="24"/>
        </w:rPr>
        <w:t>.</w:t>
      </w:r>
      <w:r w:rsidR="00C47FC6" w:rsidRPr="00CE6819">
        <w:rPr>
          <w:sz w:val="24"/>
          <w:szCs w:val="24"/>
        </w:rPr>
        <w:t xml:space="preserve"> </w:t>
      </w:r>
      <w:r w:rsidR="000727DF">
        <w:rPr>
          <w:sz w:val="24"/>
          <w:szCs w:val="24"/>
        </w:rPr>
        <w:t>W</w:t>
      </w:r>
      <w:r w:rsidR="00C47FC6" w:rsidRPr="00CE6819">
        <w:rPr>
          <w:sz w:val="24"/>
          <w:szCs w:val="24"/>
        </w:rPr>
        <w:t xml:space="preserve">e </w:t>
      </w:r>
      <w:r w:rsidR="0001722D" w:rsidRPr="00CE6819">
        <w:rPr>
          <w:sz w:val="24"/>
          <w:szCs w:val="24"/>
        </w:rPr>
        <w:t xml:space="preserve">also </w:t>
      </w:r>
      <w:r w:rsidR="00C47FC6" w:rsidRPr="00CE6819">
        <w:rPr>
          <w:sz w:val="24"/>
          <w:szCs w:val="24"/>
        </w:rPr>
        <w:t xml:space="preserve">found </w:t>
      </w:r>
      <w:r w:rsidR="0001722D" w:rsidRPr="00CE6819">
        <w:rPr>
          <w:sz w:val="24"/>
          <w:szCs w:val="24"/>
        </w:rPr>
        <w:t xml:space="preserve">that </w:t>
      </w:r>
      <w:r w:rsidR="000727DF">
        <w:rPr>
          <w:sz w:val="24"/>
          <w:szCs w:val="24"/>
        </w:rPr>
        <w:t>MV</w:t>
      </w:r>
      <w:r w:rsidR="00C47FC6" w:rsidRPr="00CE6819">
        <w:rPr>
          <w:sz w:val="24"/>
          <w:szCs w:val="24"/>
        </w:rPr>
        <w:t>, IPO proceeds</w:t>
      </w:r>
      <w:r w:rsidR="0001722D" w:rsidRPr="00CE6819">
        <w:rPr>
          <w:sz w:val="24"/>
          <w:szCs w:val="24"/>
        </w:rPr>
        <w:t>, shareholders dilution and clinical phases are critical factors determining post IPO returns.</w:t>
      </w:r>
      <w:r w:rsidR="00721247" w:rsidRPr="00CE6819">
        <w:rPr>
          <w:sz w:val="24"/>
          <w:szCs w:val="24"/>
        </w:rPr>
        <w:t xml:space="preserve"> </w:t>
      </w:r>
      <w:r w:rsidR="000A7384" w:rsidRPr="00CE6819">
        <w:rPr>
          <w:sz w:val="24"/>
          <w:szCs w:val="24"/>
        </w:rPr>
        <w:t xml:space="preserve">In conclusion, we </w:t>
      </w:r>
      <w:r w:rsidR="00752955" w:rsidRPr="00CE6819">
        <w:rPr>
          <w:sz w:val="24"/>
          <w:szCs w:val="24"/>
        </w:rPr>
        <w:t xml:space="preserve">suggest </w:t>
      </w:r>
      <w:r w:rsidR="000A7384" w:rsidRPr="00CE6819">
        <w:rPr>
          <w:sz w:val="24"/>
          <w:szCs w:val="24"/>
        </w:rPr>
        <w:t xml:space="preserve">that investors perceive </w:t>
      </w:r>
      <w:r w:rsidR="00752955" w:rsidRPr="00CE6819">
        <w:rPr>
          <w:sz w:val="24"/>
          <w:szCs w:val="24"/>
        </w:rPr>
        <w:t>firms'</w:t>
      </w:r>
      <w:r w:rsidR="000A7384" w:rsidRPr="00CE6819">
        <w:rPr>
          <w:sz w:val="24"/>
          <w:szCs w:val="24"/>
        </w:rPr>
        <w:t xml:space="preserve"> </w:t>
      </w:r>
      <w:r w:rsidR="00752955" w:rsidRPr="00CE6819">
        <w:rPr>
          <w:sz w:val="24"/>
          <w:szCs w:val="24"/>
        </w:rPr>
        <w:t xml:space="preserve">market </w:t>
      </w:r>
      <w:r w:rsidR="000A7384" w:rsidRPr="00CE6819">
        <w:rPr>
          <w:sz w:val="24"/>
          <w:szCs w:val="24"/>
        </w:rPr>
        <w:t xml:space="preserve">value of $500 </w:t>
      </w:r>
      <w:r w:rsidR="000727DF">
        <w:rPr>
          <w:sz w:val="24"/>
          <w:szCs w:val="24"/>
        </w:rPr>
        <w:t xml:space="preserve">million </w:t>
      </w:r>
      <w:r w:rsidR="00752955" w:rsidRPr="00CE6819">
        <w:rPr>
          <w:sz w:val="24"/>
          <w:szCs w:val="24"/>
        </w:rPr>
        <w:t xml:space="preserve">as </w:t>
      </w:r>
      <w:r w:rsidR="008F3F96">
        <w:rPr>
          <w:sz w:val="24"/>
          <w:szCs w:val="24"/>
        </w:rPr>
        <w:t xml:space="preserve">a </w:t>
      </w:r>
      <w:r w:rsidR="000727DF">
        <w:rPr>
          <w:sz w:val="24"/>
          <w:szCs w:val="24"/>
        </w:rPr>
        <w:t>confidence</w:t>
      </w:r>
      <w:r w:rsidR="000A7384" w:rsidRPr="00CE6819">
        <w:rPr>
          <w:sz w:val="24"/>
          <w:szCs w:val="24"/>
        </w:rPr>
        <w:t xml:space="preserve"> </w:t>
      </w:r>
      <w:r w:rsidR="00752955" w:rsidRPr="00CE6819">
        <w:rPr>
          <w:sz w:val="24"/>
          <w:szCs w:val="24"/>
        </w:rPr>
        <w:t xml:space="preserve">threshold when investing in newly issued </w:t>
      </w:r>
      <w:r w:rsidR="008F3F96">
        <w:rPr>
          <w:sz w:val="24"/>
          <w:szCs w:val="24"/>
        </w:rPr>
        <w:t>biotechnology</w:t>
      </w:r>
      <w:r w:rsidR="008F3F96" w:rsidRPr="00CE6819">
        <w:rPr>
          <w:sz w:val="24"/>
          <w:szCs w:val="24"/>
        </w:rPr>
        <w:t xml:space="preserve"> </w:t>
      </w:r>
      <w:r w:rsidR="00752955" w:rsidRPr="00CE6819">
        <w:rPr>
          <w:sz w:val="24"/>
          <w:szCs w:val="24"/>
        </w:rPr>
        <w:t>firm</w:t>
      </w:r>
      <w:r w:rsidR="002C1506" w:rsidRPr="00CE6819">
        <w:rPr>
          <w:sz w:val="24"/>
          <w:szCs w:val="24"/>
        </w:rPr>
        <w:t>s</w:t>
      </w:r>
      <w:r w:rsidR="000A7384" w:rsidRPr="00CE6819">
        <w:rPr>
          <w:sz w:val="24"/>
          <w:szCs w:val="24"/>
        </w:rPr>
        <w:t xml:space="preserve">. </w:t>
      </w:r>
      <w:r w:rsidR="008F3F96">
        <w:rPr>
          <w:sz w:val="24"/>
          <w:szCs w:val="24"/>
        </w:rPr>
        <w:t xml:space="preserve">We </w:t>
      </w:r>
      <w:r w:rsidR="008F3F96" w:rsidRPr="0056427A">
        <w:rPr>
          <w:sz w:val="24"/>
          <w:szCs w:val="24"/>
        </w:rPr>
        <w:t>postulate</w:t>
      </w:r>
      <w:r w:rsidR="008F3F96">
        <w:rPr>
          <w:sz w:val="24"/>
          <w:szCs w:val="24"/>
        </w:rPr>
        <w:t xml:space="preserve"> that </w:t>
      </w:r>
      <w:r w:rsidR="002C1506" w:rsidRPr="00CE6819">
        <w:rPr>
          <w:sz w:val="24"/>
          <w:szCs w:val="24"/>
        </w:rPr>
        <w:t>firms</w:t>
      </w:r>
      <w:r w:rsidR="000A7384" w:rsidRPr="00CE6819">
        <w:rPr>
          <w:sz w:val="24"/>
          <w:szCs w:val="24"/>
        </w:rPr>
        <w:t xml:space="preserve"> </w:t>
      </w:r>
      <w:r w:rsidR="00752955" w:rsidRPr="00CE6819">
        <w:rPr>
          <w:sz w:val="24"/>
          <w:szCs w:val="24"/>
        </w:rPr>
        <w:t>above</w:t>
      </w:r>
      <w:r w:rsidR="000A7384" w:rsidRPr="00CE6819">
        <w:rPr>
          <w:sz w:val="24"/>
          <w:szCs w:val="24"/>
        </w:rPr>
        <w:t xml:space="preserve"> this size </w:t>
      </w:r>
      <w:r w:rsidR="005E2880" w:rsidRPr="00CE6819">
        <w:rPr>
          <w:sz w:val="24"/>
          <w:szCs w:val="24"/>
        </w:rPr>
        <w:t xml:space="preserve">attract more </w:t>
      </w:r>
      <w:r w:rsidR="00C63F74" w:rsidRPr="00CE6819">
        <w:rPr>
          <w:sz w:val="24"/>
          <w:szCs w:val="24"/>
        </w:rPr>
        <w:t>attention</w:t>
      </w:r>
      <w:r w:rsidR="005E2880" w:rsidRPr="00CE6819">
        <w:rPr>
          <w:sz w:val="24"/>
          <w:szCs w:val="24"/>
        </w:rPr>
        <w:t xml:space="preserve"> </w:t>
      </w:r>
      <w:r w:rsidR="00A44BF0" w:rsidRPr="00CE6819">
        <w:rPr>
          <w:sz w:val="24"/>
          <w:szCs w:val="24"/>
        </w:rPr>
        <w:t>and</w:t>
      </w:r>
      <w:r w:rsidR="005E2880" w:rsidRPr="00CE6819">
        <w:rPr>
          <w:sz w:val="24"/>
          <w:szCs w:val="24"/>
        </w:rPr>
        <w:t xml:space="preserve"> </w:t>
      </w:r>
      <w:r w:rsidR="000A7384" w:rsidRPr="00CE6819">
        <w:rPr>
          <w:sz w:val="24"/>
          <w:szCs w:val="24"/>
        </w:rPr>
        <w:t>gain investor confidence</w:t>
      </w:r>
      <w:r w:rsidR="00A44BF0" w:rsidRPr="00CE6819">
        <w:rPr>
          <w:sz w:val="24"/>
          <w:szCs w:val="24"/>
        </w:rPr>
        <w:t xml:space="preserve">. </w:t>
      </w:r>
      <w:r w:rsidR="008F3F96">
        <w:rPr>
          <w:sz w:val="24"/>
          <w:szCs w:val="24"/>
        </w:rPr>
        <w:t>fi</w:t>
      </w:r>
      <w:r w:rsidR="008F3F96" w:rsidRPr="00CE6819">
        <w:rPr>
          <w:sz w:val="24"/>
          <w:szCs w:val="24"/>
        </w:rPr>
        <w:t>rms</w:t>
      </w:r>
      <w:r w:rsidR="000A7384" w:rsidRPr="00CE6819">
        <w:rPr>
          <w:sz w:val="24"/>
          <w:szCs w:val="24"/>
        </w:rPr>
        <w:t xml:space="preserve"> </w:t>
      </w:r>
      <w:r w:rsidR="002C1506" w:rsidRPr="00CE6819">
        <w:rPr>
          <w:sz w:val="24"/>
          <w:szCs w:val="24"/>
        </w:rPr>
        <w:t>below</w:t>
      </w:r>
      <w:r w:rsidR="000A7384" w:rsidRPr="00CE6819">
        <w:rPr>
          <w:sz w:val="24"/>
          <w:szCs w:val="24"/>
        </w:rPr>
        <w:t xml:space="preserve"> </w:t>
      </w:r>
      <w:r w:rsidR="002C1506" w:rsidRPr="00CE6819">
        <w:rPr>
          <w:sz w:val="24"/>
          <w:szCs w:val="24"/>
        </w:rPr>
        <w:t>this size</w:t>
      </w:r>
      <w:r w:rsidR="000A7384" w:rsidRPr="00CE6819">
        <w:rPr>
          <w:sz w:val="24"/>
          <w:szCs w:val="24"/>
        </w:rPr>
        <w:t xml:space="preserve"> </w:t>
      </w:r>
      <w:r w:rsidR="00C63F74" w:rsidRPr="00CE6819">
        <w:rPr>
          <w:sz w:val="24"/>
          <w:szCs w:val="24"/>
        </w:rPr>
        <w:t>presents might perceive as lottery stocks</w:t>
      </w:r>
      <w:r w:rsidR="008F3F96">
        <w:rPr>
          <w:sz w:val="24"/>
          <w:szCs w:val="24"/>
        </w:rPr>
        <w:t xml:space="preserve"> as</w:t>
      </w:r>
      <w:r w:rsidR="001A4B64" w:rsidRPr="00CE6819">
        <w:rPr>
          <w:sz w:val="24"/>
          <w:szCs w:val="24"/>
        </w:rPr>
        <w:t xml:space="preserve"> IPO ignites a period of </w:t>
      </w:r>
      <w:r w:rsidR="00C63F74" w:rsidRPr="00CE6819">
        <w:rPr>
          <w:sz w:val="24"/>
          <w:szCs w:val="24"/>
        </w:rPr>
        <w:t>enthusiasm</w:t>
      </w:r>
      <w:r w:rsidR="001A4B64" w:rsidRPr="00CE6819">
        <w:rPr>
          <w:sz w:val="24"/>
          <w:szCs w:val="24"/>
        </w:rPr>
        <w:t xml:space="preserve"> until </w:t>
      </w:r>
      <w:r w:rsidR="008F3F96" w:rsidRPr="00CE6819">
        <w:rPr>
          <w:sz w:val="24"/>
          <w:szCs w:val="24"/>
        </w:rPr>
        <w:t>quiet period</w:t>
      </w:r>
      <w:r w:rsidR="0056427A">
        <w:rPr>
          <w:sz w:val="24"/>
          <w:szCs w:val="24"/>
        </w:rPr>
        <w:t xml:space="preserve"> </w:t>
      </w:r>
      <w:r w:rsidR="001A4B64" w:rsidRPr="00CE6819">
        <w:rPr>
          <w:sz w:val="24"/>
          <w:szCs w:val="24"/>
        </w:rPr>
        <w:t>end</w:t>
      </w:r>
      <w:r w:rsidR="008F3F96">
        <w:rPr>
          <w:sz w:val="24"/>
          <w:szCs w:val="24"/>
        </w:rPr>
        <w:t>s</w:t>
      </w:r>
      <w:r w:rsidR="001A4B64" w:rsidRPr="00CE6819">
        <w:rPr>
          <w:sz w:val="24"/>
          <w:szCs w:val="24"/>
        </w:rPr>
        <w:t xml:space="preserve"> </w:t>
      </w:r>
      <w:r w:rsidR="001A4B64" w:rsidRPr="00CE6819">
        <w:rPr>
          <w:sz w:val="24"/>
          <w:szCs w:val="24"/>
        </w:rPr>
        <w:t xml:space="preserve">and then investors’ attention to small size firms diminish </w:t>
      </w:r>
      <w:r w:rsidR="00C63F74" w:rsidRPr="00CE6819">
        <w:rPr>
          <w:sz w:val="24"/>
          <w:szCs w:val="24"/>
        </w:rPr>
        <w:t>gradually</w:t>
      </w:r>
      <w:r w:rsidR="00CB1DB7" w:rsidRPr="00CE6819">
        <w:rPr>
          <w:sz w:val="24"/>
          <w:szCs w:val="24"/>
        </w:rPr>
        <w:t>,</w:t>
      </w:r>
      <w:r w:rsidR="001A4B64" w:rsidRPr="00CE6819">
        <w:rPr>
          <w:sz w:val="24"/>
          <w:szCs w:val="24"/>
        </w:rPr>
        <w:t xml:space="preserve"> as they seek their next lottery like opportunity</w:t>
      </w:r>
      <w:r w:rsidR="000727DF">
        <w:rPr>
          <w:sz w:val="24"/>
          <w:szCs w:val="24"/>
        </w:rPr>
        <w:t>.</w:t>
      </w:r>
    </w:p>
    <w:p w14:paraId="3FFADDF2" w14:textId="522B6C1F" w:rsidR="005E2880" w:rsidRPr="00CE6819" w:rsidRDefault="004C1F67" w:rsidP="00D01F96">
      <w:pPr>
        <w:bidi w:val="0"/>
        <w:spacing w:line="360" w:lineRule="auto"/>
        <w:jc w:val="both"/>
        <w:rPr>
          <w:sz w:val="24"/>
          <w:szCs w:val="24"/>
        </w:rPr>
      </w:pPr>
      <w:r w:rsidRPr="00CE6819">
        <w:rPr>
          <w:b/>
          <w:bCs/>
          <w:sz w:val="24"/>
          <w:szCs w:val="24"/>
        </w:rPr>
        <w:t>Keywords:</w:t>
      </w:r>
      <w:r w:rsidRPr="00CE6819">
        <w:rPr>
          <w:sz w:val="24"/>
          <w:szCs w:val="24"/>
        </w:rPr>
        <w:t xml:space="preserve"> IPO, </w:t>
      </w:r>
      <w:r w:rsidR="00A44BF0" w:rsidRPr="00CE6819">
        <w:rPr>
          <w:sz w:val="24"/>
          <w:szCs w:val="24"/>
        </w:rPr>
        <w:t>Pharma</w:t>
      </w:r>
      <w:r w:rsidR="005C4E13" w:rsidRPr="00CE6819">
        <w:rPr>
          <w:sz w:val="24"/>
          <w:szCs w:val="24"/>
        </w:rPr>
        <w:t xml:space="preserve"> companies; financial markets; behavioral finance, Market Value</w:t>
      </w:r>
    </w:p>
    <w:p w14:paraId="511E96B5" w14:textId="5ACA4EB8" w:rsidR="005C4E13" w:rsidRPr="00CE6819" w:rsidRDefault="00A44BF0" w:rsidP="00D01F96">
      <w:pPr>
        <w:bidi w:val="0"/>
        <w:spacing w:line="360" w:lineRule="auto"/>
        <w:jc w:val="both"/>
        <w:rPr>
          <w:sz w:val="24"/>
          <w:szCs w:val="24"/>
        </w:rPr>
      </w:pPr>
      <w:r w:rsidRPr="00CE6819">
        <w:rPr>
          <w:b/>
          <w:bCs/>
          <w:sz w:val="24"/>
          <w:szCs w:val="24"/>
        </w:rPr>
        <w:t>JEL Classifications</w:t>
      </w:r>
      <w:r w:rsidRPr="00CE6819">
        <w:rPr>
          <w:sz w:val="24"/>
          <w:szCs w:val="24"/>
        </w:rPr>
        <w:t>: D8 (Information, Knowledge, and Uncertainty); G11 (Portfolio Choice; Investment Decisions); G14 (Information and Market Efficiency; Event Studies);</w:t>
      </w:r>
    </w:p>
    <w:p w14:paraId="48A03A1A" w14:textId="45E1E571" w:rsidR="005C4E13" w:rsidRPr="00CE6819" w:rsidRDefault="005C4E13" w:rsidP="00D01F96">
      <w:pPr>
        <w:bidi w:val="0"/>
        <w:spacing w:line="360" w:lineRule="auto"/>
        <w:jc w:val="both"/>
        <w:rPr>
          <w:sz w:val="24"/>
          <w:szCs w:val="24"/>
        </w:rPr>
      </w:pPr>
    </w:p>
    <w:p w14:paraId="3B04CE57" w14:textId="77777777" w:rsidR="005C4E13" w:rsidRPr="00CE6819" w:rsidRDefault="005C4E13" w:rsidP="00D01F96">
      <w:pPr>
        <w:bidi w:val="0"/>
        <w:spacing w:line="360" w:lineRule="auto"/>
        <w:rPr>
          <w:b/>
          <w:bCs/>
          <w:sz w:val="24"/>
          <w:szCs w:val="24"/>
        </w:rPr>
      </w:pPr>
      <w:r w:rsidRPr="00CE6819">
        <w:rPr>
          <w:b/>
          <w:bCs/>
          <w:sz w:val="24"/>
          <w:szCs w:val="24"/>
        </w:rPr>
        <w:t xml:space="preserve">1. Introduction </w:t>
      </w:r>
    </w:p>
    <w:p w14:paraId="7BCA7BE9" w14:textId="228936F6" w:rsidR="00992C5E" w:rsidRDefault="003C7C3A" w:rsidP="00992C5E">
      <w:pPr>
        <w:bidi w:val="0"/>
        <w:spacing w:line="360" w:lineRule="auto"/>
        <w:rPr>
          <w:b/>
          <w:bCs/>
          <w:color w:val="FF0000"/>
          <w:sz w:val="24"/>
          <w:szCs w:val="24"/>
          <w:lang w:val="en-GB"/>
        </w:rPr>
      </w:pPr>
      <w:r w:rsidRPr="00CE6819">
        <w:rPr>
          <w:color w:val="000000"/>
          <w:sz w:val="24"/>
          <w:szCs w:val="24"/>
        </w:rPr>
        <w:lastRenderedPageBreak/>
        <w:t xml:space="preserve">The pharmaceutical industry develops, produces, and markets drugs to be used as medications. It is one of the world’s top five industries by revenues and capitalization, with total annual revenues of more than US$700 billion, the vast majority of the revenues being produced by multinational pharmaceutical giants that have been dominating the industry for decades. </w:t>
      </w:r>
      <w:r w:rsidR="00992C5E" w:rsidRPr="00CE6819">
        <w:rPr>
          <w:rStyle w:val="tlid-translation"/>
          <w:sz w:val="24"/>
          <w:szCs w:val="24"/>
          <w:lang w:val="en"/>
        </w:rPr>
        <w:t xml:space="preserve">The development of a new drug can take on average 12 to 14 years and costs 1.3 to 1.6 </w:t>
      </w:r>
      <w:r w:rsidR="005876E1" w:rsidRPr="00CE6819">
        <w:rPr>
          <w:rStyle w:val="tlid-translation"/>
          <w:sz w:val="24"/>
          <w:szCs w:val="24"/>
          <w:lang w:val="en"/>
        </w:rPr>
        <w:t>Billion</w:t>
      </w:r>
      <w:r w:rsidR="00992C5E" w:rsidRPr="00CE6819">
        <w:rPr>
          <w:rStyle w:val="tlid-translation"/>
          <w:sz w:val="24"/>
          <w:szCs w:val="24"/>
          <w:lang w:val="en"/>
        </w:rPr>
        <w:t xml:space="preserve"> of dollars. Of 10,000+ drug discovery attempts, only one will eventually lead to a new drug coming to the market</w:t>
      </w:r>
      <w:r w:rsidR="00992C5E">
        <w:rPr>
          <w:sz w:val="24"/>
          <w:szCs w:val="24"/>
          <w:lang w:val="en"/>
        </w:rPr>
        <w:t xml:space="preserve">. </w:t>
      </w:r>
      <w:r w:rsidRPr="00CE6819">
        <w:rPr>
          <w:color w:val="000000"/>
          <w:sz w:val="24"/>
          <w:szCs w:val="24"/>
        </w:rPr>
        <w:t xml:space="preserve">Over the last </w:t>
      </w:r>
      <w:r w:rsidR="00A95DBF" w:rsidRPr="00CE6819">
        <w:rPr>
          <w:sz w:val="24"/>
          <w:szCs w:val="24"/>
          <w:lang w:val="en-GB"/>
        </w:rPr>
        <w:t xml:space="preserve">decade </w:t>
      </w:r>
      <w:r w:rsidRPr="00CE6819">
        <w:rPr>
          <w:color w:val="000000"/>
          <w:sz w:val="24"/>
          <w:szCs w:val="24"/>
        </w:rPr>
        <w:t xml:space="preserve">the industry has been changing with the rapid development of biotechnology, creating space for smaller pharmaceutical firms. </w:t>
      </w:r>
      <w:r w:rsidR="00992C5E">
        <w:rPr>
          <w:color w:val="000000"/>
          <w:sz w:val="24"/>
          <w:szCs w:val="24"/>
        </w:rPr>
        <w:t xml:space="preserve">The JOBS act (detailed below) facilitated access to the capital market for small firms. </w:t>
      </w:r>
      <w:r w:rsidR="005C4E13" w:rsidRPr="00CE6819">
        <w:rPr>
          <w:sz w:val="24"/>
          <w:szCs w:val="24"/>
          <w:lang w:val="en-GB"/>
        </w:rPr>
        <w:t xml:space="preserve"> As a result,</w:t>
      </w:r>
      <w:r w:rsidR="005C4E13" w:rsidRPr="00CE6819">
        <w:rPr>
          <w:rFonts w:hint="cs"/>
          <w:sz w:val="24"/>
          <w:szCs w:val="24"/>
          <w:rtl/>
          <w:lang w:val="en-GB"/>
        </w:rPr>
        <w:t xml:space="preserve"> </w:t>
      </w:r>
      <w:r w:rsidR="005C4E13" w:rsidRPr="00CE6819">
        <w:rPr>
          <w:sz w:val="24"/>
          <w:szCs w:val="24"/>
          <w:lang w:val="en-GB"/>
        </w:rPr>
        <w:t>a growing number of biotech companies are seeking to raise public capital throughout IPOs</w:t>
      </w:r>
      <w:r w:rsidR="00992C5E">
        <w:rPr>
          <w:sz w:val="24"/>
          <w:szCs w:val="24"/>
          <w:lang w:val="en-GB"/>
        </w:rPr>
        <w:t xml:space="preserve">. </w:t>
      </w:r>
    </w:p>
    <w:p w14:paraId="720CB4C5" w14:textId="33720053" w:rsidR="002C6462" w:rsidRPr="00CE6819" w:rsidRDefault="00DC428E" w:rsidP="00992C5E">
      <w:pPr>
        <w:bidi w:val="0"/>
        <w:spacing w:line="360" w:lineRule="auto"/>
        <w:rPr>
          <w:b/>
          <w:bCs/>
          <w:color w:val="FF0000"/>
          <w:sz w:val="24"/>
          <w:szCs w:val="24"/>
          <w:lang w:val="en-GB"/>
        </w:rPr>
      </w:pPr>
      <w:r>
        <w:rPr>
          <w:b/>
          <w:bCs/>
          <w:color w:val="FF0000"/>
          <w:sz w:val="24"/>
          <w:szCs w:val="24"/>
          <w:lang w:val="en-GB"/>
        </w:rPr>
        <w:t xml:space="preserve">1.1 </w:t>
      </w:r>
      <w:r w:rsidR="002C6462" w:rsidRPr="00CE6819">
        <w:rPr>
          <w:b/>
          <w:bCs/>
          <w:color w:val="FF0000"/>
          <w:sz w:val="24"/>
          <w:szCs w:val="24"/>
          <w:lang w:val="en-GB"/>
        </w:rPr>
        <w:t>Focus of the study</w:t>
      </w:r>
    </w:p>
    <w:p w14:paraId="58CE2614" w14:textId="4FE57BBA" w:rsidR="000040B0" w:rsidRPr="00CE6819" w:rsidRDefault="002C6462" w:rsidP="00D01F96">
      <w:pPr>
        <w:bidi w:val="0"/>
        <w:spacing w:line="360" w:lineRule="auto"/>
        <w:jc w:val="both"/>
        <w:rPr>
          <w:sz w:val="24"/>
          <w:szCs w:val="24"/>
          <w:lang w:val="en"/>
        </w:rPr>
      </w:pPr>
      <w:r w:rsidRPr="00CE6819">
        <w:rPr>
          <w:sz w:val="24"/>
          <w:szCs w:val="24"/>
          <w:lang w:val="en-GB"/>
        </w:rPr>
        <w:t xml:space="preserve">This paper focuses on </w:t>
      </w:r>
      <w:r w:rsidRPr="00CE6819">
        <w:rPr>
          <w:sz w:val="24"/>
          <w:szCs w:val="24"/>
        </w:rPr>
        <w:t>biotech</w:t>
      </w:r>
      <w:r w:rsidR="00E14B2F">
        <w:rPr>
          <w:sz w:val="24"/>
          <w:szCs w:val="24"/>
        </w:rPr>
        <w:t>nology</w:t>
      </w:r>
      <w:r w:rsidRPr="00CE6819">
        <w:rPr>
          <w:sz w:val="24"/>
          <w:szCs w:val="24"/>
          <w:lang w:val="en-GB"/>
        </w:rPr>
        <w:t xml:space="preserve"> firms </w:t>
      </w:r>
      <w:r w:rsidRPr="00CE6819">
        <w:rPr>
          <w:sz w:val="24"/>
          <w:szCs w:val="24"/>
        </w:rPr>
        <w:t xml:space="preserve">that were </w:t>
      </w:r>
      <w:r w:rsidR="000040B0" w:rsidRPr="00CE6819">
        <w:rPr>
          <w:sz w:val="24"/>
          <w:szCs w:val="24"/>
        </w:rPr>
        <w:t>issued</w:t>
      </w:r>
      <w:r w:rsidRPr="00CE6819">
        <w:rPr>
          <w:sz w:val="24"/>
          <w:szCs w:val="24"/>
        </w:rPr>
        <w:t xml:space="preserve"> in United States </w:t>
      </w:r>
      <w:r w:rsidR="000040B0" w:rsidRPr="00CE6819">
        <w:rPr>
          <w:sz w:val="24"/>
          <w:szCs w:val="24"/>
        </w:rPr>
        <w:t xml:space="preserve">between </w:t>
      </w:r>
      <w:r w:rsidR="008D62A0" w:rsidRPr="00CE6819">
        <w:rPr>
          <w:sz w:val="24"/>
          <w:szCs w:val="24"/>
        </w:rPr>
        <w:t>January 2013 and December 2018.</w:t>
      </w:r>
      <w:r w:rsidRPr="00CE6819">
        <w:rPr>
          <w:sz w:val="24"/>
          <w:szCs w:val="24"/>
          <w:lang w:val="en-GB"/>
        </w:rPr>
        <w:t xml:space="preserve"> </w:t>
      </w:r>
      <w:r w:rsidR="000040B0" w:rsidRPr="00CE6819">
        <w:rPr>
          <w:sz w:val="24"/>
          <w:szCs w:val="24"/>
          <w:lang w:val="en-GB"/>
        </w:rPr>
        <w:t xml:space="preserve">We </w:t>
      </w:r>
      <w:r w:rsidR="000040B0" w:rsidRPr="00CE6819">
        <w:rPr>
          <w:sz w:val="24"/>
          <w:szCs w:val="24"/>
        </w:rPr>
        <w:t xml:space="preserve">aim to understand if and how the new JOBS ACT regulation, enacted in the US in April 2012, had affected </w:t>
      </w:r>
      <w:r w:rsidR="000A152F" w:rsidRPr="00CE6819">
        <w:rPr>
          <w:sz w:val="24"/>
          <w:szCs w:val="24"/>
        </w:rPr>
        <w:t>returns</w:t>
      </w:r>
      <w:r w:rsidR="000040B0" w:rsidRPr="00CE6819">
        <w:rPr>
          <w:sz w:val="24"/>
          <w:szCs w:val="24"/>
        </w:rPr>
        <w:t xml:space="preserve"> </w:t>
      </w:r>
      <w:r w:rsidRPr="00CE6819">
        <w:rPr>
          <w:sz w:val="24"/>
          <w:szCs w:val="24"/>
        </w:rPr>
        <w:t xml:space="preserve">during the </w:t>
      </w:r>
      <w:r w:rsidR="000040B0" w:rsidRPr="00CE6819">
        <w:rPr>
          <w:sz w:val="24"/>
          <w:szCs w:val="24"/>
        </w:rPr>
        <w:t>eighteen months</w:t>
      </w:r>
      <w:r w:rsidRPr="00CE6819">
        <w:rPr>
          <w:sz w:val="24"/>
          <w:szCs w:val="24"/>
        </w:rPr>
        <w:t xml:space="preserve"> post-IPO</w:t>
      </w:r>
      <w:r w:rsidR="000040B0" w:rsidRPr="00CE6819">
        <w:rPr>
          <w:sz w:val="24"/>
          <w:szCs w:val="24"/>
        </w:rPr>
        <w:t>.</w:t>
      </w:r>
      <w:r w:rsidR="00204B9A" w:rsidRPr="00CE6819">
        <w:rPr>
          <w:sz w:val="24"/>
          <w:szCs w:val="24"/>
        </w:rPr>
        <w:t xml:space="preserve"> </w:t>
      </w:r>
      <w:r w:rsidR="000040B0" w:rsidRPr="00CE6819">
        <w:rPr>
          <w:rStyle w:val="tlid-translation"/>
          <w:sz w:val="24"/>
          <w:szCs w:val="24"/>
          <w:lang w:val="en"/>
        </w:rPr>
        <w:t xml:space="preserve">In the first part, we analyze </w:t>
      </w:r>
      <w:r w:rsidR="00535961">
        <w:rPr>
          <w:rStyle w:val="tlid-translation"/>
          <w:sz w:val="24"/>
          <w:szCs w:val="24"/>
          <w:lang w:val="en"/>
        </w:rPr>
        <w:t xml:space="preserve">the </w:t>
      </w:r>
      <w:r w:rsidR="000040B0" w:rsidRPr="00CE6819">
        <w:rPr>
          <w:sz w:val="24"/>
          <w:szCs w:val="24"/>
        </w:rPr>
        <w:t>CAAR</w:t>
      </w:r>
      <w:r w:rsidR="000040B0" w:rsidRPr="00CE6819">
        <w:rPr>
          <w:rStyle w:val="tlid-translation"/>
          <w:sz w:val="24"/>
          <w:szCs w:val="24"/>
          <w:lang w:val="en"/>
        </w:rPr>
        <w:t>.</w:t>
      </w:r>
      <w:r w:rsidR="00204B9A" w:rsidRPr="00CE6819">
        <w:rPr>
          <w:rStyle w:val="tlid-translation"/>
          <w:sz w:val="24"/>
          <w:szCs w:val="24"/>
          <w:lang w:val="en"/>
        </w:rPr>
        <w:t xml:space="preserve"> </w:t>
      </w:r>
      <w:r w:rsidR="000040B0" w:rsidRPr="00CE6819">
        <w:rPr>
          <w:rStyle w:val="tlid-translation"/>
          <w:sz w:val="24"/>
          <w:szCs w:val="24"/>
          <w:lang w:val="en"/>
        </w:rPr>
        <w:t xml:space="preserve">In the second part, we </w:t>
      </w:r>
      <w:r w:rsidR="00BF4ACD">
        <w:rPr>
          <w:rStyle w:val="tlid-translation"/>
          <w:sz w:val="24"/>
          <w:szCs w:val="24"/>
          <w:lang w:val="en"/>
        </w:rPr>
        <w:t>analyzed</w:t>
      </w:r>
      <w:r w:rsidR="000040B0" w:rsidRPr="00CE6819">
        <w:rPr>
          <w:rStyle w:val="tlid-translation"/>
          <w:sz w:val="24"/>
          <w:szCs w:val="24"/>
          <w:lang w:val="en"/>
        </w:rPr>
        <w:t xml:space="preserve"> factors that may affect </w:t>
      </w:r>
      <w:r w:rsidR="000A152F" w:rsidRPr="00CE6819">
        <w:rPr>
          <w:rStyle w:val="tlid-translation"/>
          <w:sz w:val="24"/>
          <w:szCs w:val="24"/>
          <w:lang w:val="en"/>
        </w:rPr>
        <w:t>stocks'</w:t>
      </w:r>
      <w:r w:rsidR="000040B0" w:rsidRPr="00CE6819">
        <w:rPr>
          <w:rStyle w:val="tlid-translation"/>
          <w:sz w:val="24"/>
          <w:szCs w:val="24"/>
          <w:lang w:val="en"/>
        </w:rPr>
        <w:t xml:space="preserve"> return</w:t>
      </w:r>
      <w:r w:rsidR="000A152F" w:rsidRPr="00CE6819">
        <w:rPr>
          <w:rStyle w:val="tlid-translation"/>
          <w:sz w:val="24"/>
          <w:szCs w:val="24"/>
          <w:lang w:val="en"/>
        </w:rPr>
        <w:t>.</w:t>
      </w:r>
      <w:r w:rsidR="000040B0" w:rsidRPr="00CE6819">
        <w:rPr>
          <w:rStyle w:val="tlid-translation"/>
          <w:sz w:val="24"/>
          <w:szCs w:val="24"/>
          <w:lang w:val="en"/>
        </w:rPr>
        <w:t xml:space="preserve"> </w:t>
      </w:r>
      <w:r w:rsidR="000A152F" w:rsidRPr="00CE6819">
        <w:rPr>
          <w:rStyle w:val="tlid-translation"/>
          <w:sz w:val="24"/>
          <w:szCs w:val="24"/>
          <w:lang w:val="en"/>
        </w:rPr>
        <w:t>S</w:t>
      </w:r>
      <w:r w:rsidR="000040B0" w:rsidRPr="00CE6819">
        <w:rPr>
          <w:rStyle w:val="tlid-translation"/>
          <w:sz w:val="24"/>
          <w:szCs w:val="24"/>
          <w:lang w:val="en"/>
        </w:rPr>
        <w:t xml:space="preserve">ome of which </w:t>
      </w:r>
      <w:r w:rsidR="000A152F" w:rsidRPr="00CE6819">
        <w:rPr>
          <w:rStyle w:val="tlid-translation"/>
          <w:sz w:val="24"/>
          <w:szCs w:val="24"/>
          <w:lang w:val="en"/>
        </w:rPr>
        <w:t>are well documented like</w:t>
      </w:r>
      <w:r w:rsidR="000040B0" w:rsidRPr="00CE6819">
        <w:rPr>
          <w:rStyle w:val="tlid-translation"/>
          <w:sz w:val="24"/>
          <w:szCs w:val="24"/>
          <w:lang w:val="en"/>
        </w:rPr>
        <w:t xml:space="preserve"> company </w:t>
      </w:r>
      <w:r w:rsidR="000A152F" w:rsidRPr="00CE6819">
        <w:rPr>
          <w:rStyle w:val="tlid-translation"/>
          <w:sz w:val="24"/>
          <w:szCs w:val="24"/>
          <w:lang w:val="en"/>
        </w:rPr>
        <w:t>market value</w:t>
      </w:r>
      <w:r w:rsidR="00BF4ACD">
        <w:rPr>
          <w:rStyle w:val="tlid-translation"/>
          <w:sz w:val="24"/>
          <w:szCs w:val="24"/>
          <w:lang w:val="en"/>
        </w:rPr>
        <w:t xml:space="preserve"> or IPO proceeds</w:t>
      </w:r>
      <w:r w:rsidR="000A152F" w:rsidRPr="00CE6819">
        <w:rPr>
          <w:rStyle w:val="tlid-translation"/>
          <w:sz w:val="24"/>
          <w:szCs w:val="24"/>
          <w:lang w:val="en"/>
        </w:rPr>
        <w:t>,</w:t>
      </w:r>
      <w:r w:rsidR="000040B0" w:rsidRPr="00CE6819">
        <w:rPr>
          <w:rStyle w:val="tlid-translation"/>
          <w:sz w:val="24"/>
          <w:szCs w:val="24"/>
          <w:lang w:val="en"/>
        </w:rPr>
        <w:t xml:space="preserve"> others</w:t>
      </w:r>
      <w:r w:rsidR="000A152F" w:rsidRPr="00CE6819">
        <w:rPr>
          <w:rStyle w:val="tlid-translation"/>
          <w:sz w:val="24"/>
          <w:szCs w:val="24"/>
          <w:lang w:val="en"/>
        </w:rPr>
        <w:t xml:space="preserve"> are</w:t>
      </w:r>
      <w:r w:rsidR="000040B0" w:rsidRPr="00CE6819">
        <w:rPr>
          <w:rStyle w:val="tlid-translation"/>
          <w:sz w:val="24"/>
          <w:szCs w:val="24"/>
          <w:lang w:val="en"/>
        </w:rPr>
        <w:t xml:space="preserve"> specific to biopharmaceutical companies, such as </w:t>
      </w:r>
      <w:r w:rsidR="000A152F" w:rsidRPr="00CE6819">
        <w:rPr>
          <w:rStyle w:val="tlid-translation"/>
          <w:sz w:val="24"/>
          <w:szCs w:val="24"/>
          <w:lang w:val="en"/>
        </w:rPr>
        <w:t>its</w:t>
      </w:r>
      <w:r w:rsidR="000040B0" w:rsidRPr="00CE6819">
        <w:rPr>
          <w:rStyle w:val="tlid-translation"/>
          <w:sz w:val="24"/>
          <w:szCs w:val="24"/>
          <w:lang w:val="en"/>
        </w:rPr>
        <w:t xml:space="preserve"> </w:t>
      </w:r>
      <w:r w:rsidR="00AA3469" w:rsidRPr="00CE6819">
        <w:rPr>
          <w:rStyle w:val="tlid-translation"/>
          <w:sz w:val="24"/>
          <w:szCs w:val="24"/>
          <w:lang w:val="en"/>
        </w:rPr>
        <w:t xml:space="preserve">drug </w:t>
      </w:r>
      <w:r w:rsidR="000040B0" w:rsidRPr="00CE6819">
        <w:rPr>
          <w:rStyle w:val="tlid-translation"/>
          <w:sz w:val="24"/>
          <w:szCs w:val="24"/>
          <w:lang w:val="en"/>
        </w:rPr>
        <w:t xml:space="preserve">regulatory </w:t>
      </w:r>
      <w:r w:rsidR="00AA3469" w:rsidRPr="00CE6819">
        <w:rPr>
          <w:rStyle w:val="tlid-translation"/>
          <w:sz w:val="24"/>
          <w:szCs w:val="24"/>
          <w:lang w:val="en"/>
        </w:rPr>
        <w:t>status</w:t>
      </w:r>
      <w:r w:rsidR="000040B0" w:rsidRPr="00CE6819">
        <w:rPr>
          <w:rStyle w:val="tlid-translation"/>
          <w:sz w:val="24"/>
          <w:szCs w:val="24"/>
          <w:lang w:val="en"/>
        </w:rPr>
        <w:t xml:space="preserve">, </w:t>
      </w:r>
      <w:r w:rsidR="00AA3469" w:rsidRPr="00CE6819">
        <w:rPr>
          <w:rStyle w:val="tlid-translation"/>
          <w:sz w:val="24"/>
          <w:szCs w:val="24"/>
          <w:lang w:val="en"/>
        </w:rPr>
        <w:t>firms'</w:t>
      </w:r>
      <w:r w:rsidR="000040B0" w:rsidRPr="00CE6819">
        <w:rPr>
          <w:rStyle w:val="tlid-translation"/>
          <w:sz w:val="24"/>
          <w:szCs w:val="24"/>
          <w:lang w:val="en"/>
        </w:rPr>
        <w:t xml:space="preserve"> therapeutic </w:t>
      </w:r>
      <w:r w:rsidR="00C57699">
        <w:rPr>
          <w:rStyle w:val="tlid-translation"/>
          <w:sz w:val="24"/>
          <w:szCs w:val="24"/>
          <w:lang w:val="en"/>
        </w:rPr>
        <w:t xml:space="preserve">area </w:t>
      </w:r>
      <w:r w:rsidR="000040B0" w:rsidRPr="00CE6819">
        <w:rPr>
          <w:rStyle w:val="tlid-translation"/>
          <w:sz w:val="24"/>
          <w:szCs w:val="24"/>
          <w:lang w:val="en"/>
        </w:rPr>
        <w:t>and more.</w:t>
      </w:r>
    </w:p>
    <w:p w14:paraId="08AE8842" w14:textId="67F32ED2" w:rsidR="00204B9A" w:rsidRPr="00CE6819" w:rsidRDefault="00061BA0" w:rsidP="00D01F96">
      <w:pPr>
        <w:pStyle w:val="ListParagraph"/>
        <w:numPr>
          <w:ilvl w:val="1"/>
          <w:numId w:val="2"/>
        </w:numPr>
        <w:autoSpaceDE w:val="0"/>
        <w:autoSpaceDN w:val="0"/>
        <w:bidi w:val="0"/>
        <w:adjustRightInd w:val="0"/>
        <w:spacing w:after="0" w:line="360" w:lineRule="auto"/>
        <w:ind w:firstLine="0"/>
        <w:jc w:val="both"/>
        <w:rPr>
          <w:b/>
          <w:bCs/>
          <w:color w:val="FF0000"/>
          <w:sz w:val="24"/>
          <w:szCs w:val="24"/>
        </w:rPr>
      </w:pPr>
      <w:r w:rsidRPr="00CE6819">
        <w:rPr>
          <w:b/>
          <w:bCs/>
          <w:color w:val="FF0000"/>
          <w:sz w:val="24"/>
          <w:szCs w:val="24"/>
        </w:rPr>
        <w:t>The JOBS act and r</w:t>
      </w:r>
      <w:r w:rsidR="00204B9A" w:rsidRPr="00CE6819">
        <w:rPr>
          <w:b/>
          <w:bCs/>
          <w:color w:val="FF0000"/>
          <w:sz w:val="24"/>
          <w:szCs w:val="24"/>
        </w:rPr>
        <w:t xml:space="preserve">egulatory Periods </w:t>
      </w:r>
      <w:r w:rsidRPr="00CE6819">
        <w:rPr>
          <w:b/>
          <w:bCs/>
          <w:color w:val="FF0000"/>
          <w:sz w:val="24"/>
          <w:szCs w:val="24"/>
        </w:rPr>
        <w:t xml:space="preserve">surrounding </w:t>
      </w:r>
      <w:r w:rsidR="00204B9A" w:rsidRPr="00CE6819">
        <w:rPr>
          <w:b/>
          <w:bCs/>
          <w:color w:val="FF0000"/>
          <w:sz w:val="24"/>
          <w:szCs w:val="24"/>
        </w:rPr>
        <w:t>IPO</w:t>
      </w:r>
      <w:r w:rsidRPr="00CE6819">
        <w:rPr>
          <w:b/>
          <w:bCs/>
          <w:color w:val="FF0000"/>
          <w:sz w:val="24"/>
          <w:szCs w:val="24"/>
        </w:rPr>
        <w:t xml:space="preserve"> in the U.S</w:t>
      </w:r>
    </w:p>
    <w:p w14:paraId="24AFB90F" w14:textId="13DFF112" w:rsidR="00E0414A" w:rsidRPr="00CE6819" w:rsidRDefault="009A2967" w:rsidP="00D01F96">
      <w:pPr>
        <w:spacing w:line="360" w:lineRule="auto"/>
        <w:jc w:val="right"/>
        <w:rPr>
          <w:sz w:val="24"/>
          <w:szCs w:val="24"/>
        </w:rPr>
      </w:pPr>
      <w:r w:rsidRPr="00CE6819">
        <w:rPr>
          <w:sz w:val="24"/>
          <w:szCs w:val="24"/>
        </w:rPr>
        <w:t>T</w:t>
      </w:r>
      <w:r w:rsidR="00F03FF8" w:rsidRPr="00CE6819">
        <w:rPr>
          <w:sz w:val="24"/>
          <w:szCs w:val="24"/>
        </w:rPr>
        <w:t>he Jumpstart our Business Startups (JOBS) Act that was enacted in the United States in April 2012</w:t>
      </w:r>
      <w:r w:rsidR="00CB6767">
        <w:rPr>
          <w:sz w:val="24"/>
          <w:szCs w:val="24"/>
        </w:rPr>
        <w:t>,</w:t>
      </w:r>
      <w:r w:rsidR="00F03FF8" w:rsidRPr="00CE6819">
        <w:rPr>
          <w:sz w:val="24"/>
          <w:szCs w:val="24"/>
        </w:rPr>
        <w:t xml:space="preserve"> was designed to help revitalize the IPO market by providing a series of regulatory, accounting and disclosure easements for "Emerging Growth Companies" (EGC).  EGC are Characterized by annual gross revenues of less than $1 billion over the year prior the IPO.  Dambra et al (2015)</w:t>
      </w:r>
      <w:r w:rsidR="00E0414A" w:rsidRPr="00CE6819">
        <w:rPr>
          <w:sz w:val="24"/>
          <w:szCs w:val="24"/>
        </w:rPr>
        <w:t xml:space="preserve"> documented an increase of twenty-one (25%) new IPO</w:t>
      </w:r>
      <w:r w:rsidR="00CB6767">
        <w:rPr>
          <w:sz w:val="24"/>
          <w:szCs w:val="24"/>
        </w:rPr>
        <w:t>s</w:t>
      </w:r>
      <w:r w:rsidR="00E0414A" w:rsidRPr="00CE6819">
        <w:rPr>
          <w:sz w:val="24"/>
          <w:szCs w:val="24"/>
        </w:rPr>
        <w:t xml:space="preserve"> </w:t>
      </w:r>
      <w:r w:rsidR="00CB6767">
        <w:rPr>
          <w:sz w:val="24"/>
          <w:szCs w:val="24"/>
        </w:rPr>
        <w:t>per</w:t>
      </w:r>
      <w:r w:rsidR="00E0414A" w:rsidRPr="00CE6819">
        <w:rPr>
          <w:sz w:val="24"/>
          <w:szCs w:val="24"/>
        </w:rPr>
        <w:t xml:space="preserve"> year in the two years post IPO compared to the two years pre-law levels</w:t>
      </w:r>
      <w:r w:rsidR="0045210A" w:rsidRPr="00CE6819">
        <w:rPr>
          <w:sz w:val="24"/>
          <w:szCs w:val="24"/>
        </w:rPr>
        <w:t>.</w:t>
      </w:r>
      <w:r w:rsidR="005327EF" w:rsidRPr="00CE6819">
        <w:rPr>
          <w:sz w:val="24"/>
          <w:szCs w:val="24"/>
        </w:rPr>
        <w:t xml:space="preserve"> offerings of EGC (non-ECG) firms increased by 53% (10%).</w:t>
      </w:r>
      <w:r w:rsidR="00E0414A" w:rsidRPr="00CE6819">
        <w:rPr>
          <w:sz w:val="24"/>
          <w:szCs w:val="24"/>
        </w:rPr>
        <w:t xml:space="preserve"> </w:t>
      </w:r>
      <w:r w:rsidR="00F03FF8" w:rsidRPr="00CE6819">
        <w:rPr>
          <w:sz w:val="24"/>
          <w:szCs w:val="24"/>
        </w:rPr>
        <w:t>Of these, pharmaceutical or biopharmaceutical companies increased activity the most</w:t>
      </w:r>
      <w:r w:rsidR="00457FE3">
        <w:rPr>
          <w:sz w:val="24"/>
          <w:szCs w:val="24"/>
        </w:rPr>
        <w:t>,</w:t>
      </w:r>
      <w:r w:rsidR="005327EF" w:rsidRPr="00CE6819">
        <w:rPr>
          <w:sz w:val="24"/>
          <w:szCs w:val="24"/>
        </w:rPr>
        <w:t xml:space="preserve"> </w:t>
      </w:r>
      <w:r w:rsidR="00457FE3">
        <w:rPr>
          <w:sz w:val="24"/>
          <w:szCs w:val="24"/>
        </w:rPr>
        <w:t>a</w:t>
      </w:r>
      <w:r w:rsidR="00E0414A" w:rsidRPr="00CE6819">
        <w:rPr>
          <w:sz w:val="24"/>
          <w:szCs w:val="24"/>
        </w:rPr>
        <w:t xml:space="preserve">s they are more likely to take advantage of the act's de-risking provisions, allowing </w:t>
      </w:r>
      <w:r w:rsidR="00E0414A" w:rsidRPr="00CE6819">
        <w:rPr>
          <w:sz w:val="24"/>
          <w:szCs w:val="24"/>
        </w:rPr>
        <w:lastRenderedPageBreak/>
        <w:t>firms to file the IPO confidentially while testing-the-waters</w:t>
      </w:r>
      <w:r w:rsidR="005327EF" w:rsidRPr="00CE6819">
        <w:rPr>
          <w:sz w:val="24"/>
          <w:szCs w:val="24"/>
        </w:rPr>
        <w:t xml:space="preserve"> with qualified institutional buyers</w:t>
      </w:r>
      <w:r w:rsidR="0045210A" w:rsidRPr="00CE6819">
        <w:rPr>
          <w:sz w:val="24"/>
          <w:szCs w:val="24"/>
        </w:rPr>
        <w:t>.</w:t>
      </w:r>
      <w:r w:rsidR="005327EF" w:rsidRPr="00CE6819">
        <w:rPr>
          <w:sz w:val="24"/>
          <w:szCs w:val="24"/>
        </w:rPr>
        <w:t xml:space="preserve"> </w:t>
      </w:r>
    </w:p>
    <w:p w14:paraId="3BBA4C3B" w14:textId="045B43B1" w:rsidR="00E0414A" w:rsidRPr="00CE6819" w:rsidRDefault="00E0414A" w:rsidP="00D01F96">
      <w:pPr>
        <w:spacing w:line="360" w:lineRule="auto"/>
        <w:jc w:val="right"/>
        <w:rPr>
          <w:rFonts w:ascii="Arial" w:hAnsi="Arial" w:cs="Arial"/>
          <w:color w:val="222222"/>
          <w:sz w:val="24"/>
          <w:szCs w:val="24"/>
          <w:shd w:val="clear" w:color="auto" w:fill="FFFFFF"/>
        </w:rPr>
      </w:pPr>
    </w:p>
    <w:p w14:paraId="359661AE" w14:textId="36834131" w:rsidR="00C37369" w:rsidRPr="00CE6819" w:rsidRDefault="00345602" w:rsidP="00D01F96">
      <w:pPr>
        <w:bidi w:val="0"/>
        <w:spacing w:before="100" w:beforeAutospacing="1" w:after="100" w:afterAutospacing="1" w:line="360" w:lineRule="auto"/>
        <w:rPr>
          <w:sz w:val="24"/>
          <w:szCs w:val="24"/>
        </w:rPr>
      </w:pPr>
      <w:r w:rsidRPr="00CE6819">
        <w:rPr>
          <w:sz w:val="24"/>
          <w:szCs w:val="24"/>
        </w:rPr>
        <w:t>IPO regulatory process</w:t>
      </w:r>
      <w:r w:rsidR="00204B9A" w:rsidRPr="00CE6819">
        <w:rPr>
          <w:sz w:val="24"/>
          <w:szCs w:val="24"/>
        </w:rPr>
        <w:t xml:space="preserve"> </w:t>
      </w:r>
      <w:r w:rsidR="008C3C68" w:rsidRPr="00CE6819">
        <w:rPr>
          <w:sz w:val="24"/>
          <w:szCs w:val="24"/>
        </w:rPr>
        <w:t xml:space="preserve">are characterized by a few periods. The first, the pre-filing period </w:t>
      </w:r>
      <w:r w:rsidRPr="00CE6819">
        <w:rPr>
          <w:sz w:val="24"/>
          <w:szCs w:val="24"/>
        </w:rPr>
        <w:t>begins when a firm chooses an underwriter and ends when it files a registration statement with the SEC</w:t>
      </w:r>
      <w:r w:rsidR="00204B9A" w:rsidRPr="00CE6819">
        <w:rPr>
          <w:sz w:val="24"/>
          <w:szCs w:val="24"/>
        </w:rPr>
        <w:t>.</w:t>
      </w:r>
      <w:r w:rsidRPr="00CE6819">
        <w:rPr>
          <w:rFonts w:hint="cs"/>
          <w:sz w:val="24"/>
          <w:szCs w:val="24"/>
          <w:rtl/>
        </w:rPr>
        <w:t xml:space="preserve"> </w:t>
      </w:r>
      <w:r w:rsidR="008C3C68" w:rsidRPr="00CE6819">
        <w:rPr>
          <w:sz w:val="24"/>
          <w:szCs w:val="24"/>
        </w:rPr>
        <w:t xml:space="preserve">The </w:t>
      </w:r>
      <w:r w:rsidR="00204B9A" w:rsidRPr="00CE6819">
        <w:rPr>
          <w:sz w:val="24"/>
          <w:szCs w:val="24"/>
        </w:rPr>
        <w:t>second, the waiting period</w:t>
      </w:r>
      <w:r w:rsidR="00E5518A" w:rsidRPr="00CE6819">
        <w:rPr>
          <w:sz w:val="24"/>
          <w:szCs w:val="24"/>
        </w:rPr>
        <w:t>/</w:t>
      </w:r>
      <w:r w:rsidR="00204B9A" w:rsidRPr="00CE6819">
        <w:rPr>
          <w:sz w:val="24"/>
          <w:szCs w:val="24"/>
        </w:rPr>
        <w:t xml:space="preserve"> pre-effective period</w:t>
      </w:r>
      <w:r w:rsidR="00675789" w:rsidRPr="00CE6819">
        <w:rPr>
          <w:sz w:val="24"/>
          <w:szCs w:val="24"/>
        </w:rPr>
        <w:t xml:space="preserve"> or the quiet period</w:t>
      </w:r>
      <w:r w:rsidR="00204B9A" w:rsidRPr="00CE6819">
        <w:rPr>
          <w:sz w:val="24"/>
          <w:szCs w:val="24"/>
        </w:rPr>
        <w:t xml:space="preserve">, begins when the company files a registration statement with the SEC and ends when the registration statement is declared effective. </w:t>
      </w:r>
      <w:r w:rsidR="00675789" w:rsidRPr="00CE6819">
        <w:rPr>
          <w:rFonts w:ascii="Times New Roman" w:eastAsia="Times New Roman" w:hAnsi="Times New Roman" w:cs="Times New Roman"/>
          <w:sz w:val="24"/>
          <w:szCs w:val="24"/>
        </w:rPr>
        <w:t xml:space="preserve">During that period, laws limit </w:t>
      </w:r>
      <w:r w:rsidR="00E5518A" w:rsidRPr="00CE6819">
        <w:rPr>
          <w:rFonts w:ascii="Times New Roman" w:eastAsia="Times New Roman" w:hAnsi="Times New Roman" w:cs="Times New Roman"/>
          <w:sz w:val="24"/>
          <w:szCs w:val="24"/>
        </w:rPr>
        <w:t>the</w:t>
      </w:r>
      <w:r w:rsidR="00675789" w:rsidRPr="00CE6819">
        <w:rPr>
          <w:rFonts w:ascii="Times New Roman" w:eastAsia="Times New Roman" w:hAnsi="Times New Roman" w:cs="Times New Roman"/>
          <w:sz w:val="24"/>
          <w:szCs w:val="24"/>
        </w:rPr>
        <w:t xml:space="preserve"> information a </w:t>
      </w:r>
      <w:r w:rsidR="000E3B5F" w:rsidRPr="00CE6819">
        <w:rPr>
          <w:rFonts w:ascii="Times New Roman" w:eastAsia="Times New Roman" w:hAnsi="Times New Roman" w:cs="Times New Roman"/>
          <w:sz w:val="24"/>
          <w:szCs w:val="24"/>
        </w:rPr>
        <w:t>firm</w:t>
      </w:r>
      <w:r w:rsidR="00675789" w:rsidRPr="00CE6819">
        <w:rPr>
          <w:rFonts w:ascii="Times New Roman" w:eastAsia="Times New Roman" w:hAnsi="Times New Roman" w:cs="Times New Roman"/>
          <w:sz w:val="24"/>
          <w:szCs w:val="24"/>
        </w:rPr>
        <w:t xml:space="preserve"> and related parties can release to the public, investment bankers and underwriters cannot release any analyst coverage including buy</w:t>
      </w:r>
      <w:hyperlink r:id="rId8" w:history="1">
        <w:r w:rsidR="00675789" w:rsidRPr="00CB6767">
          <w:rPr>
            <w:rFonts w:ascii="Times New Roman" w:eastAsia="Times New Roman" w:hAnsi="Times New Roman" w:cs="Times New Roman"/>
            <w:sz w:val="24"/>
            <w:szCs w:val="24"/>
          </w:rPr>
          <w:t xml:space="preserve"> or sell recommendations</w:t>
        </w:r>
      </w:hyperlink>
      <w:r w:rsidR="000E3B5F" w:rsidRPr="00CB6767">
        <w:rPr>
          <w:rFonts w:ascii="Times New Roman" w:eastAsia="Times New Roman" w:hAnsi="Times New Roman" w:cs="Times New Roman"/>
          <w:sz w:val="24"/>
          <w:szCs w:val="24"/>
        </w:rPr>
        <w:t>.</w:t>
      </w:r>
      <w:r w:rsidR="00675789" w:rsidRPr="00CB6767">
        <w:rPr>
          <w:rFonts w:ascii="Times New Roman" w:eastAsia="Times New Roman" w:hAnsi="Times New Roman" w:cs="Times New Roman"/>
          <w:sz w:val="24"/>
          <w:szCs w:val="24"/>
        </w:rPr>
        <w:t xml:space="preserve"> </w:t>
      </w:r>
      <w:r w:rsidR="00C53920" w:rsidRPr="00CB6767">
        <w:rPr>
          <w:rFonts w:ascii="Times New Roman" w:eastAsia="Times New Roman" w:hAnsi="Times New Roman" w:cs="Times New Roman"/>
          <w:sz w:val="24"/>
          <w:szCs w:val="24"/>
        </w:rPr>
        <w:t>Once</w:t>
      </w:r>
      <w:r w:rsidR="00C53920" w:rsidRPr="00CE6819">
        <w:rPr>
          <w:rFonts w:eastAsia="Times New Roman" w:cstheme="minorHAnsi"/>
          <w:sz w:val="24"/>
          <w:szCs w:val="24"/>
        </w:rPr>
        <w:t xml:space="preserve"> a quiet period expires, analyst coverage will be released to the public. This quiet period expiration can take place in as little as 10 days, but in many cases investment bankers will still require a quiet period of 25 days to coincide with their obligation to fulfill their legal requirement to deliver a prospectus to the SEC.</w:t>
      </w:r>
      <w:r w:rsidR="0091795D" w:rsidRPr="00CE6819">
        <w:rPr>
          <w:rFonts w:eastAsia="Times New Roman" w:cstheme="minorHAnsi"/>
          <w:sz w:val="24"/>
          <w:szCs w:val="24"/>
        </w:rPr>
        <w:t xml:space="preserve"> </w:t>
      </w:r>
      <w:r w:rsidR="00204B9A" w:rsidRPr="00CE6819">
        <w:rPr>
          <w:sz w:val="24"/>
          <w:szCs w:val="24"/>
        </w:rPr>
        <w:t>The third period, the Post-Effective Period, begins when the registration statement is declared effective by the SEC</w:t>
      </w:r>
      <w:r w:rsidR="00C37369" w:rsidRPr="00CE6819">
        <w:rPr>
          <w:sz w:val="24"/>
          <w:szCs w:val="24"/>
        </w:rPr>
        <w:t>.</w:t>
      </w:r>
      <w:r w:rsidR="00977531" w:rsidRPr="00CE6819">
        <w:rPr>
          <w:rFonts w:eastAsia="Times New Roman" w:cs="Times New Roman"/>
          <w:sz w:val="24"/>
          <w:szCs w:val="24"/>
        </w:rPr>
        <w:t xml:space="preserve"> </w:t>
      </w:r>
      <w:r w:rsidR="00C37369" w:rsidRPr="00CE6819">
        <w:rPr>
          <w:sz w:val="24"/>
          <w:szCs w:val="24"/>
        </w:rPr>
        <w:t xml:space="preserve">In the fourth, or lock-up period, major shareholders are prohibited from selling their shares. Lock-up periods usually last between 90 to 180 days after the IPO. Once the lock-up period ends, most trading restrictions are removed. </w:t>
      </w:r>
    </w:p>
    <w:p w14:paraId="074928A2" w14:textId="1CA88E05" w:rsidR="00C37369" w:rsidRPr="00CE6819" w:rsidRDefault="00C37369" w:rsidP="00D01F96">
      <w:pPr>
        <w:bidi w:val="0"/>
        <w:spacing w:before="100" w:beforeAutospacing="1" w:after="100" w:afterAutospacing="1" w:line="240" w:lineRule="auto"/>
        <w:rPr>
          <w:rFonts w:ascii="Times New Roman" w:eastAsia="Times New Roman" w:hAnsi="Times New Roman" w:cs="Times New Roman"/>
          <w:sz w:val="24"/>
          <w:szCs w:val="24"/>
        </w:rPr>
      </w:pPr>
    </w:p>
    <w:p w14:paraId="714DAD78" w14:textId="2EB0FC56" w:rsidR="003C7C3A" w:rsidRPr="00CE6819" w:rsidRDefault="003C7C3A" w:rsidP="00D01F96">
      <w:pPr>
        <w:spacing w:line="360" w:lineRule="auto"/>
        <w:jc w:val="right"/>
        <w:rPr>
          <w:b/>
          <w:bCs/>
          <w:color w:val="FF0000"/>
          <w:sz w:val="24"/>
          <w:szCs w:val="24"/>
          <w:rtl/>
        </w:rPr>
      </w:pPr>
      <w:r w:rsidRPr="00CE6819">
        <w:rPr>
          <w:b/>
          <w:bCs/>
          <w:color w:val="FF0000"/>
          <w:sz w:val="24"/>
          <w:szCs w:val="24"/>
        </w:rPr>
        <w:t xml:space="preserve"> The clinical journey from the lab to the shelf</w:t>
      </w:r>
      <w:r w:rsidRPr="00CE6819">
        <w:rPr>
          <w:rFonts w:hint="cs"/>
          <w:b/>
          <w:bCs/>
          <w:color w:val="FF0000"/>
          <w:sz w:val="24"/>
          <w:szCs w:val="24"/>
          <w:rtl/>
        </w:rPr>
        <w:t xml:space="preserve">1.3 </w:t>
      </w:r>
    </w:p>
    <w:p w14:paraId="52B23DDC" w14:textId="418ABD95" w:rsidR="003C7C3A" w:rsidRPr="00CE6819" w:rsidRDefault="003C7C3A" w:rsidP="00D01F96">
      <w:pPr>
        <w:spacing w:line="480" w:lineRule="auto"/>
        <w:ind w:left="-180"/>
        <w:jc w:val="right"/>
        <w:rPr>
          <w:color w:val="000000"/>
          <w:sz w:val="24"/>
          <w:szCs w:val="24"/>
        </w:rPr>
      </w:pPr>
      <w:r w:rsidRPr="00CE6819">
        <w:rPr>
          <w:color w:val="000000"/>
          <w:sz w:val="24"/>
          <w:szCs w:val="24"/>
        </w:rPr>
        <w:t>In general, there are</w:t>
      </w:r>
      <w:r w:rsidR="00D50A33" w:rsidRPr="00CE6819">
        <w:rPr>
          <w:color w:val="000000"/>
          <w:sz w:val="24"/>
          <w:szCs w:val="24"/>
        </w:rPr>
        <w:t xml:space="preserve"> research project,</w:t>
      </w:r>
      <w:r w:rsidRPr="00CE6819">
        <w:rPr>
          <w:color w:val="000000"/>
          <w:sz w:val="24"/>
          <w:szCs w:val="24"/>
        </w:rPr>
        <w:t xml:space="preserve"> pre-clinical and clinical stages</w:t>
      </w:r>
      <w:r w:rsidR="00623773" w:rsidRPr="00CE6819">
        <w:rPr>
          <w:color w:val="000000"/>
          <w:sz w:val="24"/>
          <w:szCs w:val="24"/>
        </w:rPr>
        <w:t xml:space="preserve"> I, II and III</w:t>
      </w:r>
      <w:r w:rsidRPr="00CE6819">
        <w:rPr>
          <w:color w:val="000000"/>
          <w:sz w:val="24"/>
          <w:szCs w:val="24"/>
        </w:rPr>
        <w:t xml:space="preserve">. </w:t>
      </w:r>
    </w:p>
    <w:p w14:paraId="55C42E27" w14:textId="4AB19D93" w:rsidR="003A4A07" w:rsidRPr="00CE6819" w:rsidRDefault="00D50A33" w:rsidP="00D3492B">
      <w:pPr>
        <w:bidi w:val="0"/>
        <w:spacing w:line="360" w:lineRule="auto"/>
        <w:ind w:left="-181"/>
        <w:rPr>
          <w:rFonts w:cstheme="minorHAnsi"/>
          <w:sz w:val="24"/>
          <w:szCs w:val="24"/>
          <w:lang w:val="en"/>
        </w:rPr>
      </w:pPr>
      <w:r w:rsidRPr="00CE6819">
        <w:rPr>
          <w:rStyle w:val="tlid-translation"/>
          <w:b/>
          <w:bCs/>
          <w:i/>
          <w:iCs/>
          <w:sz w:val="24"/>
          <w:szCs w:val="24"/>
          <w:lang w:val="en"/>
        </w:rPr>
        <w:t>The research project stage</w:t>
      </w:r>
      <w:r w:rsidR="00623773" w:rsidRPr="00CE6819">
        <w:rPr>
          <w:rStyle w:val="tlid-translation"/>
          <w:rFonts w:hint="cs"/>
          <w:b/>
          <w:bCs/>
          <w:i/>
          <w:iCs/>
          <w:sz w:val="24"/>
          <w:szCs w:val="24"/>
          <w:rtl/>
          <w:lang w:val="en"/>
        </w:rPr>
        <w:t xml:space="preserve"> </w:t>
      </w:r>
      <w:r w:rsidR="00623773" w:rsidRPr="00CE6819">
        <w:rPr>
          <w:rStyle w:val="tlid-translation"/>
          <w:sz w:val="24"/>
          <w:szCs w:val="24"/>
          <w:lang w:val="en"/>
        </w:rPr>
        <w:t xml:space="preserve">is the stage of choosing a molecule; such as gene or protein </w:t>
      </w:r>
      <w:r w:rsidR="00623773" w:rsidRPr="00CE6819">
        <w:rPr>
          <w:rFonts w:ascii="Calibri" w:eastAsia="Calibri" w:hAnsi="Calibri" w:cs="Arial"/>
          <w:sz w:val="24"/>
          <w:szCs w:val="24"/>
        </w:rPr>
        <w:t>that has pharmacological or biological activity likely to be therapeutically useful.</w:t>
      </w:r>
      <w:r w:rsidR="00950A34" w:rsidRPr="00CE6819">
        <w:rPr>
          <w:rStyle w:val="tlid-translation"/>
          <w:b/>
          <w:bCs/>
          <w:i/>
          <w:iCs/>
          <w:sz w:val="24"/>
          <w:szCs w:val="24"/>
        </w:rPr>
        <w:t xml:space="preserve"> </w:t>
      </w:r>
      <w:r w:rsidR="003C7C3A" w:rsidRPr="00CE6819">
        <w:rPr>
          <w:rStyle w:val="tlid-translation"/>
          <w:b/>
          <w:bCs/>
          <w:i/>
          <w:iCs/>
          <w:sz w:val="24"/>
          <w:szCs w:val="24"/>
          <w:lang w:val="en"/>
        </w:rPr>
        <w:t>The pre-clinical stage</w:t>
      </w:r>
      <w:r w:rsidR="003C7C3A" w:rsidRPr="00CE6819">
        <w:rPr>
          <w:rStyle w:val="tlid-translation"/>
          <w:sz w:val="24"/>
          <w:szCs w:val="24"/>
          <w:lang w:val="en"/>
        </w:rPr>
        <w:t xml:space="preserve"> </w:t>
      </w:r>
      <w:r w:rsidR="003C7C3A" w:rsidRPr="00CE6819">
        <w:rPr>
          <w:rStyle w:val="tlid-translation"/>
          <w:sz w:val="24"/>
          <w:szCs w:val="24"/>
        </w:rPr>
        <w:t xml:space="preserve">aimed at </w:t>
      </w:r>
      <w:r w:rsidR="003C7C3A" w:rsidRPr="00CE6819">
        <w:rPr>
          <w:rStyle w:val="tlid-translation"/>
          <w:sz w:val="24"/>
          <w:szCs w:val="24"/>
          <w:lang w:val="en"/>
        </w:rPr>
        <w:t xml:space="preserve">determining the safe dosage that can be given to people in the clinical phases. </w:t>
      </w:r>
      <w:r w:rsidR="003C7C3A" w:rsidRPr="00257B4D">
        <w:rPr>
          <w:b/>
          <w:bCs/>
          <w:color w:val="000000"/>
          <w:sz w:val="24"/>
          <w:szCs w:val="24"/>
        </w:rPr>
        <w:t>The</w:t>
      </w:r>
      <w:r w:rsidR="00623773" w:rsidRPr="00257B4D">
        <w:rPr>
          <w:b/>
          <w:bCs/>
          <w:color w:val="000000"/>
          <w:sz w:val="24"/>
          <w:szCs w:val="24"/>
        </w:rPr>
        <w:t xml:space="preserve"> </w:t>
      </w:r>
      <w:r w:rsidR="003C7C3A" w:rsidRPr="00257B4D">
        <w:rPr>
          <w:b/>
          <w:bCs/>
          <w:color w:val="000000"/>
          <w:sz w:val="24"/>
          <w:szCs w:val="24"/>
        </w:rPr>
        <w:t>clinical stage</w:t>
      </w:r>
      <w:r w:rsidR="003C7C3A" w:rsidRPr="00CE6819">
        <w:rPr>
          <w:color w:val="000000"/>
          <w:sz w:val="24"/>
          <w:szCs w:val="24"/>
        </w:rPr>
        <w:t xml:space="preserve"> involves testing in humans to make sure the drug is effective and safe to use</w:t>
      </w:r>
      <w:r w:rsidR="00D3492B" w:rsidRPr="00D3492B">
        <w:rPr>
          <w:rStyle w:val="tlid-translation"/>
          <w:sz w:val="24"/>
          <w:szCs w:val="24"/>
          <w:lang w:val="en"/>
        </w:rPr>
        <w:t xml:space="preserve"> </w:t>
      </w:r>
      <w:r w:rsidR="00D3492B">
        <w:rPr>
          <w:rStyle w:val="tlid-translation"/>
          <w:sz w:val="24"/>
          <w:szCs w:val="24"/>
          <w:lang w:val="en"/>
        </w:rPr>
        <w:t xml:space="preserve">and </w:t>
      </w:r>
      <w:r w:rsidR="00D3492B" w:rsidRPr="00CE6819">
        <w:rPr>
          <w:rStyle w:val="tlid-translation"/>
          <w:sz w:val="24"/>
          <w:szCs w:val="24"/>
          <w:lang w:val="en"/>
        </w:rPr>
        <w:t>lasts an average of 6 to 7 years</w:t>
      </w:r>
      <w:r w:rsidR="003C7C3A" w:rsidRPr="00CE6819">
        <w:rPr>
          <w:color w:val="000000"/>
          <w:sz w:val="24"/>
          <w:szCs w:val="24"/>
        </w:rPr>
        <w:t>. A drug must meet success criteria at each phase before moving on to the next one. This stage consists of 3 phases.</w:t>
      </w:r>
      <w:r w:rsidR="0084726A" w:rsidRPr="00CE6819">
        <w:rPr>
          <w:color w:val="000000"/>
          <w:sz w:val="24"/>
          <w:szCs w:val="24"/>
        </w:rPr>
        <w:t xml:space="preserve"> </w:t>
      </w:r>
      <w:r w:rsidR="003C7C3A" w:rsidRPr="00CE6819">
        <w:rPr>
          <w:rFonts w:cstheme="minorHAnsi"/>
          <w:b/>
          <w:bCs/>
          <w:color w:val="000000"/>
          <w:sz w:val="24"/>
          <w:szCs w:val="24"/>
        </w:rPr>
        <w:t xml:space="preserve">Phase </w:t>
      </w:r>
      <w:r w:rsidR="0084726A" w:rsidRPr="00CE6819">
        <w:rPr>
          <w:rFonts w:cstheme="minorHAnsi"/>
          <w:b/>
          <w:bCs/>
          <w:color w:val="000000"/>
          <w:sz w:val="24"/>
          <w:szCs w:val="24"/>
        </w:rPr>
        <w:t>I</w:t>
      </w:r>
      <w:r w:rsidR="003C7C3A" w:rsidRPr="00CE6819">
        <w:rPr>
          <w:rFonts w:cstheme="minorHAnsi"/>
          <w:b/>
          <w:bCs/>
          <w:color w:val="000000"/>
          <w:sz w:val="24"/>
          <w:szCs w:val="24"/>
        </w:rPr>
        <w:t>:</w:t>
      </w:r>
      <w:r w:rsidR="003C7C3A" w:rsidRPr="00CE6819">
        <w:rPr>
          <w:rFonts w:cstheme="minorHAnsi"/>
          <w:color w:val="000000"/>
          <w:sz w:val="24"/>
          <w:szCs w:val="24"/>
        </w:rPr>
        <w:t xml:space="preserve"> main goals are to assess safety and tolerability, and </w:t>
      </w:r>
      <w:r w:rsidR="003C7C3A" w:rsidRPr="00CE6819">
        <w:rPr>
          <w:rFonts w:cstheme="minorHAnsi"/>
          <w:color w:val="000000"/>
          <w:sz w:val="24"/>
          <w:szCs w:val="24"/>
        </w:rPr>
        <w:lastRenderedPageBreak/>
        <w:t xml:space="preserve">explore how the drug behaves in the body.  </w:t>
      </w:r>
      <w:r w:rsidR="003C7C3A" w:rsidRPr="00CE6819">
        <w:rPr>
          <w:rFonts w:cstheme="minorHAnsi"/>
          <w:b/>
          <w:bCs/>
          <w:color w:val="000000"/>
          <w:sz w:val="24"/>
          <w:szCs w:val="24"/>
        </w:rPr>
        <w:t xml:space="preserve">Phase </w:t>
      </w:r>
      <w:r w:rsidR="0084726A" w:rsidRPr="00CE6819">
        <w:rPr>
          <w:rFonts w:cstheme="minorHAnsi"/>
          <w:b/>
          <w:bCs/>
          <w:color w:val="000000"/>
          <w:sz w:val="24"/>
          <w:szCs w:val="24"/>
        </w:rPr>
        <w:t>II</w:t>
      </w:r>
      <w:r w:rsidR="003C7C3A" w:rsidRPr="00CE6819">
        <w:rPr>
          <w:rFonts w:cstheme="minorHAnsi"/>
          <w:b/>
          <w:bCs/>
          <w:color w:val="000000"/>
          <w:sz w:val="24"/>
          <w:szCs w:val="24"/>
        </w:rPr>
        <w:t>:</w:t>
      </w:r>
      <w:r w:rsidR="003C7C3A" w:rsidRPr="00CE6819">
        <w:rPr>
          <w:rFonts w:cstheme="minorHAnsi"/>
          <w:color w:val="000000"/>
          <w:sz w:val="24"/>
          <w:szCs w:val="24"/>
        </w:rPr>
        <w:t> main goals are to evaluate effectiveness in patients, to further explore its safety, and to determine the best dose.</w:t>
      </w:r>
      <w:r w:rsidR="003C7C3A" w:rsidRPr="00CE6819">
        <w:rPr>
          <w:rStyle w:val="tlid-translation"/>
          <w:rFonts w:cstheme="minorHAnsi"/>
          <w:sz w:val="24"/>
          <w:szCs w:val="24"/>
          <w:lang w:val="en"/>
        </w:rPr>
        <w:t xml:space="preserve"> It is usually done in hospitals and involves </w:t>
      </w:r>
      <w:r w:rsidR="00ED1978" w:rsidRPr="00CE6819">
        <w:rPr>
          <w:rStyle w:val="tlid-translation"/>
          <w:rFonts w:cstheme="minorHAnsi"/>
          <w:sz w:val="24"/>
          <w:szCs w:val="24"/>
          <w:lang w:val="en"/>
        </w:rPr>
        <w:t>a</w:t>
      </w:r>
      <w:r w:rsidR="003C7C3A" w:rsidRPr="00CE6819">
        <w:rPr>
          <w:rStyle w:val="tlid-translation"/>
          <w:rFonts w:cstheme="minorHAnsi"/>
          <w:sz w:val="24"/>
          <w:szCs w:val="24"/>
          <w:lang w:val="en"/>
        </w:rPr>
        <w:t xml:space="preserve"> small number of patients that are already in serious illness or have already exhausted existing treatments</w:t>
      </w:r>
      <w:r w:rsidR="00950A34" w:rsidRPr="00CE6819">
        <w:rPr>
          <w:rFonts w:cstheme="minorHAnsi"/>
          <w:color w:val="000000"/>
          <w:sz w:val="24"/>
          <w:szCs w:val="24"/>
          <w:lang w:val="en"/>
        </w:rPr>
        <w:t xml:space="preserve">. </w:t>
      </w:r>
      <w:r w:rsidR="003C7C3A" w:rsidRPr="00CE6819">
        <w:rPr>
          <w:rFonts w:cstheme="minorHAnsi"/>
          <w:b/>
          <w:bCs/>
          <w:color w:val="000000"/>
          <w:sz w:val="24"/>
          <w:szCs w:val="24"/>
        </w:rPr>
        <w:t xml:space="preserve">Phase </w:t>
      </w:r>
      <w:r w:rsidR="00BB2B06" w:rsidRPr="00CE6819">
        <w:rPr>
          <w:rFonts w:cstheme="minorHAnsi"/>
          <w:b/>
          <w:bCs/>
          <w:color w:val="000000"/>
          <w:sz w:val="24"/>
          <w:szCs w:val="24"/>
        </w:rPr>
        <w:t>III</w:t>
      </w:r>
      <w:r w:rsidR="003C7C3A" w:rsidRPr="00CE6819">
        <w:rPr>
          <w:rFonts w:cstheme="minorHAnsi"/>
          <w:b/>
          <w:bCs/>
          <w:color w:val="000000"/>
          <w:sz w:val="24"/>
          <w:szCs w:val="24"/>
        </w:rPr>
        <w:t>:</w:t>
      </w:r>
      <w:r w:rsidR="003C7C3A" w:rsidRPr="00CE6819">
        <w:rPr>
          <w:rFonts w:cstheme="minorHAnsi"/>
          <w:color w:val="000000"/>
          <w:sz w:val="24"/>
          <w:szCs w:val="24"/>
        </w:rPr>
        <w:t> </w:t>
      </w:r>
      <w:r w:rsidR="003C7C3A" w:rsidRPr="00CE6819">
        <w:rPr>
          <w:rStyle w:val="tlid-translation"/>
          <w:rFonts w:cstheme="minorHAnsi"/>
          <w:sz w:val="24"/>
          <w:szCs w:val="24"/>
          <w:lang w:val="en"/>
        </w:rPr>
        <w:t xml:space="preserve"> is the final step before regulatory approval by the FDA</w:t>
      </w:r>
      <w:r w:rsidR="0084726A" w:rsidRPr="00CE6819">
        <w:rPr>
          <w:rStyle w:val="tlid-translation"/>
          <w:rFonts w:cstheme="minorHAnsi"/>
          <w:sz w:val="24"/>
          <w:szCs w:val="24"/>
          <w:lang w:val="en"/>
        </w:rPr>
        <w:t xml:space="preserve"> and it is the most expensive</w:t>
      </w:r>
      <w:r w:rsidR="003C7C3A" w:rsidRPr="00CE6819">
        <w:rPr>
          <w:rFonts w:cstheme="minorHAnsi"/>
          <w:color w:val="000000"/>
          <w:sz w:val="24"/>
          <w:szCs w:val="24"/>
        </w:rPr>
        <w:t>. Large studies are conducted involving 500 to 5,000 or more patients</w:t>
      </w:r>
      <w:r w:rsidR="00257B4D">
        <w:rPr>
          <w:rFonts w:cstheme="minorHAnsi"/>
          <w:color w:val="000000"/>
          <w:sz w:val="24"/>
          <w:szCs w:val="24"/>
        </w:rPr>
        <w:t>,</w:t>
      </w:r>
      <w:r w:rsidR="003C7C3A" w:rsidRPr="00CE6819">
        <w:rPr>
          <w:rFonts w:cstheme="minorHAnsi"/>
          <w:color w:val="000000"/>
          <w:sz w:val="24"/>
          <w:szCs w:val="24"/>
        </w:rPr>
        <w:t xml:space="preserve"> to determine </w:t>
      </w:r>
      <w:r w:rsidR="0084726A" w:rsidRPr="00CE6819">
        <w:rPr>
          <w:rFonts w:cstheme="minorHAnsi"/>
          <w:color w:val="000000"/>
          <w:sz w:val="24"/>
          <w:szCs w:val="24"/>
        </w:rPr>
        <w:t xml:space="preserve">its </w:t>
      </w:r>
      <w:r w:rsidR="0084726A" w:rsidRPr="00CE6819">
        <w:rPr>
          <w:rStyle w:val="tlid-translation"/>
          <w:rFonts w:cstheme="minorHAnsi"/>
          <w:sz w:val="24"/>
          <w:szCs w:val="24"/>
          <w:lang w:val="en"/>
        </w:rPr>
        <w:t>added value and</w:t>
      </w:r>
      <w:r w:rsidR="0084726A" w:rsidRPr="00CE6819">
        <w:rPr>
          <w:rFonts w:cstheme="minorHAnsi"/>
          <w:color w:val="000000"/>
          <w:sz w:val="24"/>
          <w:szCs w:val="24"/>
        </w:rPr>
        <w:t xml:space="preserve"> </w:t>
      </w:r>
      <w:r w:rsidR="0084726A" w:rsidRPr="00CE6819">
        <w:rPr>
          <w:rStyle w:val="tlid-translation"/>
          <w:rFonts w:cstheme="minorHAnsi"/>
          <w:sz w:val="24"/>
          <w:szCs w:val="24"/>
          <w:lang w:val="en"/>
        </w:rPr>
        <w:t>sufficiently effectiveness and safety</w:t>
      </w:r>
      <w:r w:rsidR="003C7C3A" w:rsidRPr="00CE6819">
        <w:rPr>
          <w:rFonts w:cstheme="minorHAnsi"/>
          <w:color w:val="000000"/>
          <w:sz w:val="24"/>
          <w:szCs w:val="24"/>
        </w:rPr>
        <w:t>.</w:t>
      </w:r>
      <w:r w:rsidR="00BB2B06" w:rsidRPr="00CE6819">
        <w:rPr>
          <w:rFonts w:cstheme="minorHAnsi"/>
          <w:color w:val="000000"/>
          <w:sz w:val="24"/>
          <w:szCs w:val="24"/>
        </w:rPr>
        <w:t xml:space="preserve"> </w:t>
      </w:r>
      <w:r w:rsidR="003C7C3A" w:rsidRPr="00CE6819">
        <w:rPr>
          <w:rFonts w:cstheme="minorHAnsi"/>
          <w:color w:val="000000"/>
          <w:sz w:val="24"/>
          <w:szCs w:val="24"/>
        </w:rPr>
        <w:t xml:space="preserve"> If the drug candidates show clear benefits and acceptable risks in phase 3, the company can file an NDA (New Drug Application), requesting regulatory approval to market the drug. </w:t>
      </w:r>
      <w:r w:rsidR="00BB2B06" w:rsidRPr="00CE6819">
        <w:rPr>
          <w:rStyle w:val="tlid-translation"/>
          <w:rFonts w:cstheme="minorHAnsi"/>
          <w:sz w:val="24"/>
          <w:szCs w:val="24"/>
          <w:lang w:val="en"/>
        </w:rPr>
        <w:t xml:space="preserve">After the approval, the company </w:t>
      </w:r>
      <w:r w:rsidR="00D3492B">
        <w:rPr>
          <w:rFonts w:cstheme="minorHAnsi"/>
          <w:color w:val="000000"/>
          <w:sz w:val="24"/>
          <w:szCs w:val="24"/>
          <w:lang w:val="en"/>
        </w:rPr>
        <w:t xml:space="preserve">moves to the </w:t>
      </w:r>
      <w:r w:rsidR="00D3492B" w:rsidRPr="00CE6819">
        <w:rPr>
          <w:rFonts w:cstheme="minorHAnsi"/>
          <w:color w:val="000000"/>
          <w:sz w:val="24"/>
          <w:szCs w:val="24"/>
          <w:lang w:val="en"/>
        </w:rPr>
        <w:t>market stage</w:t>
      </w:r>
      <w:r w:rsidR="00D3492B" w:rsidRPr="00CE6819">
        <w:rPr>
          <w:rStyle w:val="tlid-translation"/>
          <w:rFonts w:cstheme="minorHAnsi"/>
          <w:sz w:val="24"/>
          <w:szCs w:val="24"/>
          <w:lang w:val="en"/>
        </w:rPr>
        <w:t xml:space="preserve"> </w:t>
      </w:r>
      <w:r w:rsidR="00D3492B">
        <w:rPr>
          <w:rStyle w:val="tlid-translation"/>
          <w:rFonts w:cstheme="minorHAnsi"/>
          <w:sz w:val="24"/>
          <w:szCs w:val="24"/>
          <w:lang w:val="en"/>
        </w:rPr>
        <w:t xml:space="preserve">in which it </w:t>
      </w:r>
      <w:r w:rsidR="00BB2B06" w:rsidRPr="00CE6819">
        <w:rPr>
          <w:rStyle w:val="tlid-translation"/>
          <w:rFonts w:cstheme="minorHAnsi"/>
          <w:sz w:val="24"/>
          <w:szCs w:val="24"/>
          <w:lang w:val="en"/>
        </w:rPr>
        <w:t>will manufacture and market the drug</w:t>
      </w:r>
      <w:r w:rsidR="00D3492B">
        <w:rPr>
          <w:rFonts w:cstheme="minorHAnsi"/>
          <w:sz w:val="24"/>
          <w:szCs w:val="24"/>
          <w:lang w:val="en"/>
        </w:rPr>
        <w:t>.</w:t>
      </w:r>
      <w:r w:rsidR="003A4A07" w:rsidRPr="00CE6819">
        <w:rPr>
          <w:rFonts w:cstheme="minorHAnsi"/>
          <w:sz w:val="24"/>
          <w:szCs w:val="24"/>
          <w:lang w:val="en"/>
        </w:rPr>
        <w:t xml:space="preserve"> </w:t>
      </w:r>
    </w:p>
    <w:p w14:paraId="35769856" w14:textId="0BDAAC26" w:rsidR="003C7C3A" w:rsidRPr="00CE6819" w:rsidRDefault="003A4A07" w:rsidP="00D01F96">
      <w:pPr>
        <w:pStyle w:val="NormalWeb"/>
        <w:shd w:val="clear" w:color="auto" w:fill="FFFFFF"/>
        <w:spacing w:before="0" w:beforeAutospacing="0" w:after="300" w:afterAutospacing="0" w:line="480" w:lineRule="auto"/>
        <w:textAlignment w:val="baseline"/>
        <w:rPr>
          <w:rFonts w:asciiTheme="minorBidi" w:hAnsiTheme="minorBidi" w:cstheme="minorBidi"/>
          <w:b/>
          <w:bCs/>
          <w:color w:val="FF0000"/>
          <w:lang w:val="en"/>
        </w:rPr>
      </w:pPr>
      <w:r w:rsidRPr="00CE6819">
        <w:rPr>
          <w:rFonts w:asciiTheme="minorBidi" w:hAnsiTheme="minorBidi" w:cstheme="minorBidi"/>
          <w:b/>
          <w:bCs/>
          <w:color w:val="FF0000"/>
          <w:lang w:val="en"/>
        </w:rPr>
        <w:t xml:space="preserve">1.4 </w:t>
      </w:r>
      <w:r w:rsidRPr="00CE6819">
        <w:rPr>
          <w:rStyle w:val="tlid-translation"/>
          <w:rFonts w:asciiTheme="minorBidi" w:hAnsiTheme="minorBidi" w:cstheme="minorBidi"/>
          <w:b/>
          <w:bCs/>
          <w:color w:val="FF0000"/>
          <w:lang w:val="en"/>
        </w:rPr>
        <w:t>Common causes of US mortality</w:t>
      </w:r>
    </w:p>
    <w:p w14:paraId="6F6B509F" w14:textId="6F7F8A1A" w:rsidR="003C7C3A" w:rsidRPr="00CE6819" w:rsidRDefault="005C6E6F" w:rsidP="00D01F96">
      <w:pPr>
        <w:bidi w:val="0"/>
        <w:spacing w:line="360" w:lineRule="auto"/>
        <w:rPr>
          <w:rFonts w:cstheme="minorHAnsi"/>
          <w:color w:val="000000"/>
          <w:sz w:val="24"/>
          <w:szCs w:val="24"/>
        </w:rPr>
      </w:pPr>
      <w:r w:rsidRPr="00CE6819">
        <w:rPr>
          <w:rFonts w:cstheme="minorHAnsi"/>
          <w:color w:val="000000"/>
          <w:sz w:val="24"/>
          <w:szCs w:val="24"/>
        </w:rPr>
        <w:t>T</w:t>
      </w:r>
      <w:r w:rsidR="002B467E" w:rsidRPr="00CE6819">
        <w:rPr>
          <w:rFonts w:cstheme="minorHAnsi"/>
          <w:color w:val="000000"/>
          <w:sz w:val="24"/>
          <w:szCs w:val="24"/>
        </w:rPr>
        <w:t>en factors are responsible to a</w:t>
      </w:r>
      <w:r w:rsidR="003A4A07" w:rsidRPr="00CE6819">
        <w:rPr>
          <w:rFonts w:cstheme="minorHAnsi"/>
          <w:color w:val="000000"/>
          <w:sz w:val="24"/>
          <w:szCs w:val="24"/>
        </w:rPr>
        <w:t>bout 74% of deaths in the United</w:t>
      </w:r>
      <w:r w:rsidRPr="00CE6819">
        <w:rPr>
          <w:rFonts w:cstheme="minorHAnsi"/>
          <w:color w:val="000000"/>
          <w:sz w:val="24"/>
          <w:szCs w:val="24"/>
        </w:rPr>
        <w:t xml:space="preserve"> States, and the major causes have remained fairly consistent o</w:t>
      </w:r>
      <w:r w:rsidR="003A4A07" w:rsidRPr="00CE6819">
        <w:rPr>
          <w:rFonts w:cstheme="minorHAnsi"/>
          <w:color w:val="000000"/>
          <w:sz w:val="24"/>
          <w:szCs w:val="24"/>
        </w:rPr>
        <w:t xml:space="preserve">ver the past five years. </w:t>
      </w:r>
      <w:r w:rsidR="003A4A07" w:rsidRPr="00CE6819">
        <w:rPr>
          <w:rFonts w:cstheme="minorHAnsi"/>
          <w:color w:val="000000"/>
          <w:sz w:val="24"/>
          <w:szCs w:val="24"/>
        </w:rPr>
        <w:br/>
        <w:t>According to the Centers for Disease Control and Prevention (CDC)</w:t>
      </w:r>
      <w:r w:rsidR="009C0A59" w:rsidRPr="00CE6819">
        <w:rPr>
          <w:rFonts w:cstheme="minorHAnsi"/>
          <w:color w:val="000000"/>
          <w:sz w:val="24"/>
          <w:szCs w:val="24"/>
        </w:rPr>
        <w:t>,</w:t>
      </w:r>
      <w:r w:rsidR="003A4A07" w:rsidRPr="00CE6819">
        <w:rPr>
          <w:rFonts w:cstheme="minorHAnsi"/>
          <w:color w:val="000000"/>
          <w:sz w:val="24"/>
          <w:szCs w:val="24"/>
        </w:rPr>
        <w:t xml:space="preserve"> in 2017 </w:t>
      </w:r>
      <w:r w:rsidR="009C0A59" w:rsidRPr="00CE6819">
        <w:rPr>
          <w:rFonts w:cstheme="minorHAnsi"/>
          <w:color w:val="000000"/>
          <w:sz w:val="24"/>
          <w:szCs w:val="24"/>
        </w:rPr>
        <w:t>h</w:t>
      </w:r>
      <w:r w:rsidR="003A4A07" w:rsidRPr="00CE6819">
        <w:rPr>
          <w:rFonts w:cstheme="minorHAnsi"/>
          <w:color w:val="000000"/>
          <w:sz w:val="24"/>
          <w:szCs w:val="24"/>
        </w:rPr>
        <w:t>eart disease is the leading cause of death for both men and women</w:t>
      </w:r>
      <w:r w:rsidR="009C0A59" w:rsidRPr="00CE6819">
        <w:rPr>
          <w:rFonts w:cstheme="minorHAnsi"/>
          <w:color w:val="000000"/>
          <w:sz w:val="24"/>
          <w:szCs w:val="24"/>
        </w:rPr>
        <w:t xml:space="preserve"> and it accounts for 23.5% of all deaths</w:t>
      </w:r>
      <w:r w:rsidR="003A4A07" w:rsidRPr="00CE6819">
        <w:rPr>
          <w:rFonts w:cstheme="minorHAnsi"/>
          <w:color w:val="000000"/>
          <w:sz w:val="24"/>
          <w:szCs w:val="24"/>
        </w:rPr>
        <w:t xml:space="preserve">. </w:t>
      </w:r>
      <w:r w:rsidR="009C0A59" w:rsidRPr="00CE6819">
        <w:rPr>
          <w:rFonts w:cstheme="minorHAnsi"/>
          <w:color w:val="000000"/>
          <w:sz w:val="24"/>
          <w:szCs w:val="24"/>
        </w:rPr>
        <w:t xml:space="preserve">The second cause is cancer, accounting for about 21.3% of all deaths </w:t>
      </w:r>
      <w:r w:rsidR="002544A2" w:rsidRPr="00CE6819">
        <w:rPr>
          <w:rFonts w:cstheme="minorHAnsi"/>
          <w:color w:val="000000"/>
          <w:sz w:val="24"/>
          <w:szCs w:val="24"/>
        </w:rPr>
        <w:t xml:space="preserve">in </w:t>
      </w:r>
      <w:r w:rsidR="009C0A59" w:rsidRPr="00CE6819">
        <w:rPr>
          <w:rFonts w:cstheme="minorHAnsi"/>
          <w:color w:val="000000"/>
          <w:sz w:val="24"/>
          <w:szCs w:val="24"/>
        </w:rPr>
        <w:t>this year.</w:t>
      </w:r>
    </w:p>
    <w:p w14:paraId="0AE20D1F" w14:textId="1D1E138A" w:rsidR="00DD3BF0" w:rsidRPr="00CE6819" w:rsidRDefault="00DD3BF0" w:rsidP="00D01F96">
      <w:pPr>
        <w:bidi w:val="0"/>
        <w:spacing w:line="360" w:lineRule="auto"/>
        <w:rPr>
          <w:sz w:val="24"/>
          <w:szCs w:val="24"/>
          <w:lang w:val="en"/>
        </w:rPr>
      </w:pPr>
    </w:p>
    <w:p w14:paraId="25E04E3B" w14:textId="1963B62D" w:rsidR="00DD3BF0" w:rsidRPr="00CE6819" w:rsidRDefault="00DD3BF0" w:rsidP="00D01F96">
      <w:pPr>
        <w:bidi w:val="0"/>
        <w:spacing w:line="360" w:lineRule="auto"/>
        <w:rPr>
          <w:b/>
          <w:bCs/>
          <w:color w:val="FF0000"/>
          <w:sz w:val="24"/>
          <w:szCs w:val="24"/>
          <w:lang w:val="en"/>
        </w:rPr>
      </w:pPr>
      <w:r w:rsidRPr="00CE6819">
        <w:rPr>
          <w:b/>
          <w:bCs/>
          <w:color w:val="FF0000"/>
          <w:sz w:val="24"/>
          <w:szCs w:val="24"/>
          <w:lang w:val="en"/>
        </w:rPr>
        <w:t xml:space="preserve">1.5 </w:t>
      </w:r>
      <w:r w:rsidR="00E14B2F">
        <w:rPr>
          <w:b/>
          <w:bCs/>
          <w:color w:val="FF0000"/>
          <w:sz w:val="24"/>
          <w:szCs w:val="24"/>
          <w:lang w:val="en"/>
        </w:rPr>
        <w:t>Biotechnology firms shares as l</w:t>
      </w:r>
      <w:r w:rsidRPr="00CE6819">
        <w:rPr>
          <w:b/>
          <w:bCs/>
          <w:color w:val="FF0000"/>
          <w:sz w:val="24"/>
          <w:szCs w:val="24"/>
          <w:lang w:val="en"/>
        </w:rPr>
        <w:t>ottery type stocks</w:t>
      </w:r>
      <w:r w:rsidR="00E14B2F">
        <w:rPr>
          <w:b/>
          <w:bCs/>
          <w:color w:val="FF0000"/>
          <w:sz w:val="24"/>
          <w:szCs w:val="24"/>
          <w:lang w:val="en"/>
        </w:rPr>
        <w:t>?</w:t>
      </w:r>
    </w:p>
    <w:p w14:paraId="4FE2C337" w14:textId="2B11DEAC" w:rsidR="00DD3BF0" w:rsidRPr="00CE6819" w:rsidRDefault="00DD3BF0" w:rsidP="00D01F96">
      <w:pPr>
        <w:bidi w:val="0"/>
        <w:spacing w:line="360" w:lineRule="auto"/>
        <w:rPr>
          <w:sz w:val="24"/>
          <w:szCs w:val="24"/>
          <w:lang w:val="en"/>
        </w:rPr>
      </w:pPr>
      <w:r w:rsidRPr="00CE6819">
        <w:rPr>
          <w:rStyle w:val="tlid-translation"/>
          <w:sz w:val="24"/>
          <w:szCs w:val="24"/>
          <w:lang w:val="en"/>
        </w:rPr>
        <w:t xml:space="preserve">Lottery stocks have been characterized in the literature as stocks that exhibit features similar to a lottery ticket purchase, in which there are great chances of small loss but little chance of big profit (Markowitz 1952). These shares were quantitatively characterized in the Kumar </w:t>
      </w:r>
      <w:r w:rsidR="00FD4572">
        <w:rPr>
          <w:rStyle w:val="tlid-translation"/>
          <w:sz w:val="24"/>
          <w:szCs w:val="24"/>
          <w:lang w:val="en"/>
        </w:rPr>
        <w:t>(</w:t>
      </w:r>
      <w:r w:rsidRPr="00CE6819">
        <w:rPr>
          <w:rStyle w:val="tlid-translation"/>
          <w:sz w:val="24"/>
          <w:szCs w:val="24"/>
          <w:lang w:val="en"/>
        </w:rPr>
        <w:t>2009</w:t>
      </w:r>
      <w:r w:rsidR="00FD4572">
        <w:rPr>
          <w:rStyle w:val="tlid-translation"/>
          <w:sz w:val="24"/>
          <w:szCs w:val="24"/>
          <w:lang w:val="en"/>
        </w:rPr>
        <w:t>)</w:t>
      </w:r>
      <w:r w:rsidRPr="00CE6819">
        <w:rPr>
          <w:rStyle w:val="tlid-translation"/>
          <w:sz w:val="24"/>
          <w:szCs w:val="24"/>
          <w:lang w:val="en"/>
        </w:rPr>
        <w:t xml:space="preserve"> study as having low price, high idiosyncratic bias and high idiosyncratic volatility.</w:t>
      </w:r>
      <w:r w:rsidRPr="00CE6819">
        <w:rPr>
          <w:sz w:val="24"/>
          <w:szCs w:val="24"/>
          <w:lang w:val="en"/>
        </w:rPr>
        <w:br/>
      </w:r>
      <w:r w:rsidR="0009202C" w:rsidRPr="00CE6819">
        <w:rPr>
          <w:rStyle w:val="tlid-translation"/>
          <w:sz w:val="24"/>
          <w:szCs w:val="24"/>
          <w:lang w:val="en"/>
        </w:rPr>
        <w:t>Buying a share of a p</w:t>
      </w:r>
      <w:r w:rsidRPr="00CE6819">
        <w:rPr>
          <w:rStyle w:val="tlid-translation"/>
          <w:sz w:val="24"/>
          <w:szCs w:val="24"/>
          <w:lang w:val="en"/>
        </w:rPr>
        <w:t xml:space="preserve">harmaceutical </w:t>
      </w:r>
      <w:r w:rsidR="0009202C" w:rsidRPr="00CE6819">
        <w:rPr>
          <w:rStyle w:val="tlid-translation"/>
          <w:sz w:val="24"/>
          <w:szCs w:val="24"/>
          <w:lang w:val="en"/>
        </w:rPr>
        <w:t>firm in its</w:t>
      </w:r>
      <w:r w:rsidRPr="00CE6819">
        <w:rPr>
          <w:rStyle w:val="tlid-translation"/>
          <w:sz w:val="24"/>
          <w:szCs w:val="24"/>
          <w:lang w:val="en"/>
        </w:rPr>
        <w:t xml:space="preserve"> initial st</w:t>
      </w:r>
      <w:r w:rsidR="0009202C" w:rsidRPr="00CE6819">
        <w:rPr>
          <w:rStyle w:val="tlid-translation"/>
          <w:sz w:val="24"/>
          <w:szCs w:val="24"/>
          <w:lang w:val="en"/>
        </w:rPr>
        <w:t>ages</w:t>
      </w:r>
      <w:r w:rsidRPr="00CE6819">
        <w:rPr>
          <w:rStyle w:val="tlid-translation"/>
          <w:sz w:val="24"/>
          <w:szCs w:val="24"/>
          <w:lang w:val="en"/>
        </w:rPr>
        <w:t xml:space="preserve"> can be viewed as </w:t>
      </w:r>
      <w:r w:rsidR="00482426" w:rsidRPr="00CE6819">
        <w:rPr>
          <w:rStyle w:val="tlid-translation"/>
          <w:sz w:val="24"/>
          <w:szCs w:val="24"/>
          <w:lang w:val="en"/>
        </w:rPr>
        <w:t>having similar characteristics of buying</w:t>
      </w:r>
      <w:r w:rsidRPr="00CE6819">
        <w:rPr>
          <w:rStyle w:val="tlid-translation"/>
          <w:sz w:val="24"/>
          <w:szCs w:val="24"/>
          <w:lang w:val="en"/>
        </w:rPr>
        <w:t xml:space="preserve"> </w:t>
      </w:r>
      <w:r w:rsidR="0009202C" w:rsidRPr="00CE6819">
        <w:rPr>
          <w:rStyle w:val="tlid-translation"/>
          <w:sz w:val="24"/>
          <w:szCs w:val="24"/>
          <w:lang w:val="en"/>
        </w:rPr>
        <w:t xml:space="preserve">a </w:t>
      </w:r>
      <w:r w:rsidRPr="00CE6819">
        <w:rPr>
          <w:rStyle w:val="tlid-translation"/>
          <w:sz w:val="24"/>
          <w:szCs w:val="24"/>
          <w:lang w:val="en"/>
        </w:rPr>
        <w:t>lottery</w:t>
      </w:r>
      <w:r w:rsidR="0009202C" w:rsidRPr="00CE6819">
        <w:rPr>
          <w:rStyle w:val="tlid-translation"/>
          <w:sz w:val="24"/>
          <w:szCs w:val="24"/>
          <w:lang w:val="en"/>
        </w:rPr>
        <w:t xml:space="preserve"> ticket</w:t>
      </w:r>
      <w:r w:rsidRPr="00CE6819">
        <w:rPr>
          <w:rStyle w:val="tlid-translation"/>
          <w:sz w:val="24"/>
          <w:szCs w:val="24"/>
          <w:lang w:val="en"/>
        </w:rPr>
        <w:t xml:space="preserve">: there is a </w:t>
      </w:r>
      <w:r w:rsidR="0009202C" w:rsidRPr="00CE6819">
        <w:rPr>
          <w:rStyle w:val="tlid-translation"/>
          <w:sz w:val="24"/>
          <w:szCs w:val="24"/>
          <w:lang w:val="en"/>
        </w:rPr>
        <w:t>small</w:t>
      </w:r>
      <w:r w:rsidRPr="00CE6819">
        <w:rPr>
          <w:rStyle w:val="tlid-translation"/>
          <w:sz w:val="24"/>
          <w:szCs w:val="24"/>
          <w:lang w:val="en"/>
        </w:rPr>
        <w:t xml:space="preserve"> chance of great success. (less than one to 10000 of a drug discovery profile leads to a new drug coming to the market) and a </w:t>
      </w:r>
      <w:r w:rsidR="0009202C" w:rsidRPr="00CE6819">
        <w:rPr>
          <w:rStyle w:val="tlid-translation"/>
          <w:sz w:val="24"/>
          <w:szCs w:val="24"/>
          <w:lang w:val="en"/>
        </w:rPr>
        <w:t>large</w:t>
      </w:r>
      <w:r w:rsidRPr="00CE6819">
        <w:rPr>
          <w:rStyle w:val="tlid-translation"/>
          <w:sz w:val="24"/>
          <w:szCs w:val="24"/>
          <w:lang w:val="en"/>
        </w:rPr>
        <w:t xml:space="preserve"> chance of </w:t>
      </w:r>
      <w:r w:rsidR="0009202C" w:rsidRPr="00CE6819">
        <w:rPr>
          <w:rStyle w:val="tlid-translation"/>
          <w:sz w:val="24"/>
          <w:szCs w:val="24"/>
          <w:lang w:val="en"/>
        </w:rPr>
        <w:t>losing all or part of the investment</w:t>
      </w:r>
      <w:r w:rsidRPr="00CE6819">
        <w:rPr>
          <w:rStyle w:val="tlid-translation"/>
          <w:sz w:val="24"/>
          <w:szCs w:val="24"/>
          <w:lang w:val="en"/>
        </w:rPr>
        <w:t>, which will be reflected in the fall in the share price</w:t>
      </w:r>
      <w:r w:rsidR="0009202C" w:rsidRPr="00CE6819">
        <w:rPr>
          <w:rStyle w:val="tlid-translation"/>
          <w:sz w:val="24"/>
          <w:szCs w:val="24"/>
          <w:lang w:val="en"/>
        </w:rPr>
        <w:t>.</w:t>
      </w:r>
      <w:r w:rsidRPr="00CE6819">
        <w:rPr>
          <w:rStyle w:val="tlid-translation"/>
          <w:sz w:val="24"/>
          <w:szCs w:val="24"/>
          <w:lang w:val="en"/>
        </w:rPr>
        <w:t xml:space="preserve"> Kumar </w:t>
      </w:r>
      <w:r w:rsidR="00ED71A2">
        <w:rPr>
          <w:rStyle w:val="tlid-translation"/>
          <w:sz w:val="24"/>
          <w:szCs w:val="24"/>
          <w:lang w:val="en"/>
        </w:rPr>
        <w:t>(</w:t>
      </w:r>
      <w:r w:rsidRPr="00CE6819">
        <w:rPr>
          <w:rStyle w:val="tlid-translation"/>
          <w:sz w:val="24"/>
          <w:szCs w:val="24"/>
          <w:lang w:val="en"/>
        </w:rPr>
        <w:t xml:space="preserve">2009) Find </w:t>
      </w:r>
      <w:r w:rsidR="00482426" w:rsidRPr="00CE6819">
        <w:rPr>
          <w:rStyle w:val="tlid-translation"/>
          <w:sz w:val="24"/>
          <w:szCs w:val="24"/>
          <w:lang w:val="en"/>
        </w:rPr>
        <w:t xml:space="preserve">that lottery </w:t>
      </w:r>
      <w:r w:rsidR="00482426" w:rsidRPr="00CE6819">
        <w:rPr>
          <w:rStyle w:val="tlid-translation"/>
          <w:sz w:val="24"/>
          <w:szCs w:val="24"/>
          <w:lang w:val="en"/>
        </w:rPr>
        <w:lastRenderedPageBreak/>
        <w:t>type</w:t>
      </w:r>
      <w:r w:rsidRPr="00CE6819">
        <w:rPr>
          <w:rStyle w:val="tlid-translation"/>
          <w:sz w:val="24"/>
          <w:szCs w:val="24"/>
          <w:lang w:val="en"/>
        </w:rPr>
        <w:t xml:space="preserve"> stocks underperform</w:t>
      </w:r>
      <w:r w:rsidR="00482426" w:rsidRPr="00CE6819">
        <w:rPr>
          <w:rStyle w:val="tlid-translation"/>
          <w:sz w:val="24"/>
          <w:szCs w:val="24"/>
          <w:lang w:val="en"/>
        </w:rPr>
        <w:t xml:space="preserve"> and that s</w:t>
      </w:r>
      <w:r w:rsidRPr="00CE6819">
        <w:rPr>
          <w:rStyle w:val="tlid-translation"/>
          <w:sz w:val="24"/>
          <w:szCs w:val="24"/>
          <w:lang w:val="en"/>
        </w:rPr>
        <w:t xml:space="preserve">tock price is "one of the defining characteristics of lottery-type stocks because, like lotteries, if investors are searching for cheap bets, they should naturally gravitate toward low-priced stocks. Thus, stock price is likely to be an important characteristic of stocks. that might be perceived as lotteries." </w:t>
      </w:r>
      <w:r w:rsidR="00D3492B">
        <w:rPr>
          <w:rStyle w:val="tlid-translation"/>
          <w:sz w:val="24"/>
          <w:szCs w:val="24"/>
          <w:lang w:val="en"/>
        </w:rPr>
        <w:t>(</w:t>
      </w:r>
      <w:r w:rsidRPr="00CE6819">
        <w:rPr>
          <w:rStyle w:val="tlid-translation"/>
          <w:sz w:val="24"/>
          <w:szCs w:val="24"/>
          <w:lang w:val="en"/>
        </w:rPr>
        <w:t>pg</w:t>
      </w:r>
      <w:r w:rsidR="00D3492B">
        <w:rPr>
          <w:rStyle w:val="tlid-translation"/>
          <w:sz w:val="24"/>
          <w:szCs w:val="24"/>
          <w:lang w:val="en"/>
        </w:rPr>
        <w:t>.</w:t>
      </w:r>
      <w:r w:rsidRPr="00CE6819">
        <w:rPr>
          <w:rStyle w:val="tlid-translation"/>
          <w:sz w:val="24"/>
          <w:szCs w:val="24"/>
          <w:lang w:val="en"/>
        </w:rPr>
        <w:t xml:space="preserve"> 1899</w:t>
      </w:r>
      <w:r w:rsidR="00D3492B">
        <w:rPr>
          <w:rStyle w:val="tlid-translation"/>
          <w:sz w:val="24"/>
          <w:szCs w:val="24"/>
          <w:lang w:val="en"/>
        </w:rPr>
        <w:t>)</w:t>
      </w:r>
    </w:p>
    <w:p w14:paraId="4C96CB86" w14:textId="500AC3B2" w:rsidR="00F5648A" w:rsidRPr="00CE6819" w:rsidRDefault="00F5648A" w:rsidP="00D01F96">
      <w:pPr>
        <w:bidi w:val="0"/>
        <w:spacing w:line="360" w:lineRule="auto"/>
        <w:rPr>
          <w:sz w:val="24"/>
          <w:szCs w:val="24"/>
          <w:lang w:val="en"/>
        </w:rPr>
      </w:pPr>
    </w:p>
    <w:p w14:paraId="4CB3BD3C" w14:textId="320557C9" w:rsidR="00F57723" w:rsidRPr="00D3492B" w:rsidRDefault="00F57723" w:rsidP="00D01F96">
      <w:pPr>
        <w:bidi w:val="0"/>
        <w:spacing w:line="360" w:lineRule="auto"/>
        <w:rPr>
          <w:b/>
          <w:bCs/>
          <w:sz w:val="24"/>
          <w:szCs w:val="24"/>
          <w:lang w:val="en"/>
        </w:rPr>
      </w:pPr>
      <w:r w:rsidRPr="00D3492B">
        <w:rPr>
          <w:b/>
          <w:bCs/>
          <w:sz w:val="24"/>
          <w:szCs w:val="24"/>
          <w:lang w:val="en"/>
        </w:rPr>
        <w:t xml:space="preserve">1.6 Stocks returns post IPO and the factors affecting this return </w:t>
      </w:r>
    </w:p>
    <w:p w14:paraId="7E3DAA4E" w14:textId="3415A36B" w:rsidR="00312F52" w:rsidRPr="00DC428E" w:rsidRDefault="00F57723" w:rsidP="00D01F96">
      <w:pPr>
        <w:bidi w:val="0"/>
        <w:spacing w:before="240" w:after="240" w:line="360" w:lineRule="auto"/>
        <w:jc w:val="both"/>
        <w:rPr>
          <w:sz w:val="24"/>
          <w:szCs w:val="24"/>
        </w:rPr>
      </w:pPr>
      <w:r w:rsidRPr="00DC428E">
        <w:rPr>
          <w:sz w:val="24"/>
          <w:szCs w:val="24"/>
        </w:rPr>
        <w:t>While numerous issues involving IPOs have been widely studied, those most relevant to this study address share performance up to three years following the IPOs. Jain and Kini (1994) showed low performance of IPOs for up to three years after the offering, and Loughran and Ritter (1995) reported that IPO stocks yielded an average of 5% over a one-year post-IPO period, compared to 12% for a comparably-sized non-IPO benchmark. In a seminal paper, Ritter and Welch (2002) investigated the long-term performance of IPOs and found that the three-year average market-adjusted return on IPOs was a negative 23.4%. In contrast, a study conducted by Goergen et al. (2009) on IPOs in France and Germany issued during the period 1996–2000 found no significant abnormal returns.</w:t>
      </w:r>
      <w:r w:rsidRPr="00DC428E">
        <w:rPr>
          <w:sz w:val="24"/>
          <w:szCs w:val="24"/>
          <w:lang w:val="en-GB"/>
        </w:rPr>
        <w:t xml:space="preserve"> </w:t>
      </w:r>
      <w:r w:rsidRPr="00DC428E">
        <w:rPr>
          <w:sz w:val="24"/>
          <w:szCs w:val="24"/>
        </w:rPr>
        <w:t>Chang et al. (2017) found that applying a simple buy-and-hold strategy for three years after the purchase of one share of every company issuing an IPO between 1980 and 2015 would yield an 18.7% decline in value, with shares of technological firms exhibiting even greater declines. Researchers have also been puzzled about declines in returns close to the expiration of IPO lock-up periods, and some studies have concluded that the market reacts negatively to lock-up periods expirations. The research of Ofek (2000), conducted in the United States from 1996 through 1998, found an abnormal negative return during this period as well as a 1% to 3% drop in the stock price, and a 40% increase in volume 180 days after the IPO. Examining IPOs in the United States from 1988 through 1997, Bradley et al. (2001) (See also, Brav and Gompers [2003], and Field and Hanka [2001]) all observed negative abnormal returns of approximately 2% near the time of the lock-up period’s expiration.</w:t>
      </w:r>
      <w:r w:rsidR="00312F52" w:rsidRPr="00DC428E">
        <w:rPr>
          <w:sz w:val="24"/>
          <w:szCs w:val="24"/>
        </w:rPr>
        <w:t xml:space="preserve"> </w:t>
      </w:r>
      <w:r w:rsidR="00CD2428" w:rsidRPr="00DC428E">
        <w:rPr>
          <w:rFonts w:ascii="Arial" w:hAnsi="Arial" w:cs="Arial"/>
          <w:sz w:val="24"/>
          <w:szCs w:val="24"/>
          <w:shd w:val="clear" w:color="auto" w:fill="FFFFFF"/>
        </w:rPr>
        <w:t xml:space="preserve">Komenkul, &amp; Kiranand (2017) </w:t>
      </w:r>
      <w:r w:rsidR="00CD2428" w:rsidRPr="00DC428E">
        <w:rPr>
          <w:sz w:val="24"/>
          <w:szCs w:val="24"/>
        </w:rPr>
        <w:t>found to have positive and significant CAAR of 5.57%</w:t>
      </w:r>
      <w:r w:rsidR="003636BA" w:rsidRPr="00DC428E">
        <w:rPr>
          <w:sz w:val="24"/>
          <w:szCs w:val="24"/>
        </w:rPr>
        <w:t>,</w:t>
      </w:r>
      <w:r w:rsidR="00CD2428" w:rsidRPr="00DC428E">
        <w:rPr>
          <w:sz w:val="24"/>
          <w:szCs w:val="24"/>
        </w:rPr>
        <w:t xml:space="preserve"> 36 months post IPO </w:t>
      </w:r>
      <w:r w:rsidR="00312F52" w:rsidRPr="00DC428E">
        <w:rPr>
          <w:sz w:val="24"/>
          <w:szCs w:val="24"/>
        </w:rPr>
        <w:t>in ASEAN (</w:t>
      </w:r>
      <w:r w:rsidR="00312F52" w:rsidRPr="00DC428E">
        <w:rPr>
          <w:rFonts w:ascii="GillSansStd" w:cs="GillSansStd"/>
          <w:sz w:val="24"/>
          <w:szCs w:val="24"/>
        </w:rPr>
        <w:t xml:space="preserve">Association of Southeast Asian </w:t>
      </w:r>
      <w:r w:rsidR="00312F52" w:rsidRPr="00DC428E">
        <w:rPr>
          <w:rFonts w:ascii="GillSansStd" w:cs="GillSansStd"/>
          <w:sz w:val="24"/>
          <w:szCs w:val="24"/>
        </w:rPr>
        <w:lastRenderedPageBreak/>
        <w:t>Nations</w:t>
      </w:r>
      <w:r w:rsidR="00312F52" w:rsidRPr="00DC428E">
        <w:rPr>
          <w:sz w:val="24"/>
          <w:szCs w:val="24"/>
        </w:rPr>
        <w:t xml:space="preserve">) countries between 1986 and 2014. Malaysia (Singapore) presents the highest (lowest) CAAR of 57.25% (-39.4%) 3 years post IPO. </w:t>
      </w:r>
      <w:r w:rsidR="00312F52" w:rsidRPr="00DC428E">
        <w:rPr>
          <w:rFonts w:ascii="Arial" w:hAnsi="Arial" w:cs="Arial"/>
          <w:sz w:val="24"/>
          <w:szCs w:val="24"/>
          <w:shd w:val="clear" w:color="auto" w:fill="FFFFFF"/>
        </w:rPr>
        <w:t xml:space="preserve">Thakoret at. al.(2017). </w:t>
      </w:r>
      <w:r w:rsidR="00312F52" w:rsidRPr="00DC428E">
        <w:rPr>
          <w:sz w:val="24"/>
          <w:szCs w:val="24"/>
        </w:rPr>
        <w:t>distinguish between pharma and biopharmaceutical</w:t>
      </w:r>
      <w:r w:rsidR="004A2703" w:rsidRPr="00DC428E">
        <w:rPr>
          <w:sz w:val="24"/>
          <w:szCs w:val="24"/>
        </w:rPr>
        <w:t xml:space="preserve"> companies</w:t>
      </w:r>
      <w:r w:rsidR="00312F52" w:rsidRPr="00DC428E">
        <w:rPr>
          <w:sz w:val="24"/>
          <w:szCs w:val="24"/>
        </w:rPr>
        <w:t>. Their findings indicate that, for the period 2015 - 1980, the biotech (pharma) sector produced the lowest (highest) average annual returns of 6% (14%) per year. The biotech sector was also characterized by the highest volatility and the lowest Sharp index during this period. They confirm that almost all biotech companies are loss making enterprises</w:t>
      </w:r>
      <w:r w:rsidR="004A2703" w:rsidRPr="00DC428E">
        <w:rPr>
          <w:sz w:val="24"/>
          <w:szCs w:val="24"/>
        </w:rPr>
        <w:t>.</w:t>
      </w:r>
    </w:p>
    <w:p w14:paraId="365FC3D9" w14:textId="740C7F7C" w:rsidR="009B429F" w:rsidRPr="00DC428E" w:rsidRDefault="006872E2" w:rsidP="00D01F96">
      <w:pPr>
        <w:bidi w:val="0"/>
        <w:spacing w:line="360" w:lineRule="auto"/>
        <w:rPr>
          <w:sz w:val="24"/>
          <w:szCs w:val="24"/>
        </w:rPr>
      </w:pPr>
      <w:r w:rsidRPr="00DC428E">
        <w:rPr>
          <w:sz w:val="24"/>
          <w:szCs w:val="24"/>
        </w:rPr>
        <w:t xml:space="preserve">Previous research </w:t>
      </w:r>
      <w:r w:rsidR="00355331" w:rsidRPr="00DC428E">
        <w:rPr>
          <w:sz w:val="24"/>
          <w:szCs w:val="24"/>
        </w:rPr>
        <w:t>analyzes</w:t>
      </w:r>
      <w:r w:rsidRPr="00DC428E">
        <w:rPr>
          <w:sz w:val="24"/>
          <w:szCs w:val="24"/>
        </w:rPr>
        <w:t xml:space="preserve"> a wide range of factors to explain </w:t>
      </w:r>
      <w:r w:rsidR="004A2703" w:rsidRPr="00DC428E">
        <w:rPr>
          <w:sz w:val="24"/>
          <w:szCs w:val="24"/>
        </w:rPr>
        <w:t>IPOs long term performance</w:t>
      </w:r>
      <w:r w:rsidRPr="00DC428E">
        <w:rPr>
          <w:sz w:val="24"/>
          <w:szCs w:val="24"/>
        </w:rPr>
        <w:t xml:space="preserve">: initial return, underwriter reputation, the existence of venture capital </w:t>
      </w:r>
      <w:r w:rsidR="00BE50A5" w:rsidRPr="00DC428E">
        <w:rPr>
          <w:sz w:val="24"/>
          <w:szCs w:val="24"/>
        </w:rPr>
        <w:t xml:space="preserve">(VC) </w:t>
      </w:r>
      <w:r w:rsidRPr="00DC428E">
        <w:rPr>
          <w:sz w:val="24"/>
          <w:szCs w:val="24"/>
        </w:rPr>
        <w:t xml:space="preserve">backing, financial ratios, size and many more. </w:t>
      </w:r>
      <w:r w:rsidR="00355331" w:rsidRPr="00DC428E">
        <w:rPr>
          <w:sz w:val="24"/>
          <w:szCs w:val="24"/>
        </w:rPr>
        <w:t>O</w:t>
      </w:r>
      <w:r w:rsidRPr="00DC428E">
        <w:rPr>
          <w:sz w:val="24"/>
          <w:szCs w:val="24"/>
        </w:rPr>
        <w:t xml:space="preserve">thers </w:t>
      </w:r>
      <w:r w:rsidR="00355331" w:rsidRPr="00DC428E">
        <w:rPr>
          <w:sz w:val="24"/>
          <w:szCs w:val="24"/>
        </w:rPr>
        <w:t>focusing</w:t>
      </w:r>
      <w:r w:rsidRPr="00DC428E">
        <w:rPr>
          <w:sz w:val="24"/>
          <w:szCs w:val="24"/>
        </w:rPr>
        <w:t xml:space="preserve"> the biopharma sector</w:t>
      </w:r>
      <w:r w:rsidR="00355331" w:rsidRPr="00DC428E">
        <w:rPr>
          <w:sz w:val="24"/>
          <w:szCs w:val="24"/>
        </w:rPr>
        <w:t xml:space="preserve"> </w:t>
      </w:r>
      <w:r w:rsidR="00BE50A5" w:rsidRPr="00DC428E">
        <w:rPr>
          <w:sz w:val="24"/>
          <w:szCs w:val="24"/>
        </w:rPr>
        <w:t xml:space="preserve">also </w:t>
      </w:r>
      <w:r w:rsidR="00355331" w:rsidRPr="00DC428E">
        <w:rPr>
          <w:sz w:val="24"/>
          <w:szCs w:val="24"/>
        </w:rPr>
        <w:t>analyzed factors</w:t>
      </w:r>
      <w:r w:rsidRPr="00DC428E">
        <w:rPr>
          <w:sz w:val="24"/>
          <w:szCs w:val="24"/>
        </w:rPr>
        <w:t xml:space="preserve"> like R&amp;D expenses and the number of patents. </w:t>
      </w:r>
      <w:r w:rsidR="00D31669" w:rsidRPr="00DC428E">
        <w:rPr>
          <w:sz w:val="24"/>
          <w:szCs w:val="24"/>
        </w:rPr>
        <w:t xml:space="preserve">We hereby refer to studies that were analyzing </w:t>
      </w:r>
      <w:r w:rsidRPr="00DC428E">
        <w:rPr>
          <w:sz w:val="24"/>
          <w:szCs w:val="24"/>
        </w:rPr>
        <w:t xml:space="preserve">factors </w:t>
      </w:r>
      <w:r w:rsidR="00D31669" w:rsidRPr="00DC428E">
        <w:rPr>
          <w:sz w:val="24"/>
          <w:szCs w:val="24"/>
        </w:rPr>
        <w:t>relevant</w:t>
      </w:r>
      <w:r w:rsidRPr="00DC428E">
        <w:rPr>
          <w:sz w:val="24"/>
          <w:szCs w:val="24"/>
        </w:rPr>
        <w:t xml:space="preserve"> </w:t>
      </w:r>
      <w:r w:rsidR="00D31669" w:rsidRPr="00DC428E">
        <w:rPr>
          <w:sz w:val="24"/>
          <w:szCs w:val="24"/>
        </w:rPr>
        <w:t>to</w:t>
      </w:r>
      <w:r w:rsidRPr="00DC428E">
        <w:rPr>
          <w:sz w:val="24"/>
          <w:szCs w:val="24"/>
        </w:rPr>
        <w:t xml:space="preserve"> this paper such as: firm size, IPO proceeds, dilution percentage and the number of </w:t>
      </w:r>
      <w:r w:rsidRPr="00DC428E">
        <w:rPr>
          <w:rFonts w:cstheme="minorHAnsi"/>
          <w:sz w:val="24"/>
          <w:szCs w:val="24"/>
        </w:rPr>
        <w:t xml:space="preserve">products the firm has in its of clinical testing for whom former findings were mixed. </w:t>
      </w:r>
      <w:r w:rsidR="009B429F" w:rsidRPr="00DC428E">
        <w:rPr>
          <w:rFonts w:cstheme="minorHAnsi"/>
          <w:sz w:val="24"/>
          <w:szCs w:val="24"/>
        </w:rPr>
        <w:t xml:space="preserve">A study conducted by Durukan, M. B. (2002) analyzed </w:t>
      </w:r>
      <w:r w:rsidR="00BE50A5" w:rsidRPr="00DC428E">
        <w:rPr>
          <w:rFonts w:cstheme="minorHAnsi"/>
          <w:sz w:val="24"/>
          <w:szCs w:val="24"/>
        </w:rPr>
        <w:t xml:space="preserve">stocks performance for 3 years post </w:t>
      </w:r>
      <w:r w:rsidR="009B429F" w:rsidRPr="00DC428E">
        <w:rPr>
          <w:rFonts w:cstheme="minorHAnsi"/>
          <w:sz w:val="24"/>
          <w:szCs w:val="24"/>
        </w:rPr>
        <w:t>IPOs in Istanbul stock exchange between 1990 and 1997</w:t>
      </w:r>
      <w:r w:rsidR="00C8215F" w:rsidRPr="00DC428E">
        <w:rPr>
          <w:rFonts w:cstheme="minorHAnsi"/>
          <w:sz w:val="24"/>
          <w:szCs w:val="24"/>
        </w:rPr>
        <w:t>.</w:t>
      </w:r>
      <w:r w:rsidR="009B429F" w:rsidRPr="00DC428E">
        <w:rPr>
          <w:rFonts w:cstheme="minorHAnsi"/>
          <w:sz w:val="24"/>
          <w:szCs w:val="24"/>
        </w:rPr>
        <w:t xml:space="preserve"> </w:t>
      </w:r>
      <w:r w:rsidR="00C8215F" w:rsidRPr="00DC428E">
        <w:rPr>
          <w:rFonts w:cstheme="minorHAnsi"/>
          <w:sz w:val="24"/>
          <w:szCs w:val="24"/>
        </w:rPr>
        <w:t>P</w:t>
      </w:r>
      <w:r w:rsidR="009B429F" w:rsidRPr="00DC428E">
        <w:rPr>
          <w:rFonts w:cstheme="minorHAnsi"/>
          <w:sz w:val="24"/>
          <w:szCs w:val="24"/>
        </w:rPr>
        <w:t>rivatization</w:t>
      </w:r>
      <w:r w:rsidR="00BE50A5" w:rsidRPr="00DC428E">
        <w:rPr>
          <w:rFonts w:cstheme="minorHAnsi"/>
          <w:sz w:val="24"/>
          <w:szCs w:val="24"/>
        </w:rPr>
        <w:t>,</w:t>
      </w:r>
      <w:r w:rsidR="009B429F" w:rsidRPr="00DC428E">
        <w:rPr>
          <w:rFonts w:cstheme="minorHAnsi"/>
          <w:sz w:val="24"/>
          <w:szCs w:val="24"/>
        </w:rPr>
        <w:t xml:space="preserve"> </w:t>
      </w:r>
      <w:r w:rsidR="00BE50A5" w:rsidRPr="00DC428E">
        <w:rPr>
          <w:rFonts w:cstheme="minorHAnsi"/>
          <w:sz w:val="24"/>
          <w:szCs w:val="24"/>
        </w:rPr>
        <w:t xml:space="preserve">Firm size and gross proceeds </w:t>
      </w:r>
      <w:r w:rsidR="009B429F" w:rsidRPr="00DC428E">
        <w:rPr>
          <w:rFonts w:cstheme="minorHAnsi"/>
          <w:sz w:val="24"/>
          <w:szCs w:val="24"/>
        </w:rPr>
        <w:t xml:space="preserve">was found to have positive effect on returns. Dilution was found to have negative effect.  </w:t>
      </w:r>
      <w:r w:rsidR="009B429F" w:rsidRPr="00DC428E">
        <w:rPr>
          <w:rFonts w:eastAsia="Times New Roman" w:cstheme="minorHAnsi"/>
          <w:sz w:val="24"/>
          <w:szCs w:val="24"/>
        </w:rPr>
        <w:t xml:space="preserve">Gao et al (2006) </w:t>
      </w:r>
      <w:r w:rsidR="008C2ECD" w:rsidRPr="00DC428E">
        <w:rPr>
          <w:rFonts w:cstheme="minorHAnsi"/>
          <w:sz w:val="24"/>
          <w:szCs w:val="24"/>
        </w:rPr>
        <w:t>suggested</w:t>
      </w:r>
      <w:r w:rsidR="009B429F" w:rsidRPr="00DC428E">
        <w:rPr>
          <w:rFonts w:cstheme="minorHAnsi"/>
          <w:sz w:val="24"/>
          <w:szCs w:val="24"/>
        </w:rPr>
        <w:t xml:space="preserve"> that a greater divergence of opinion among</w:t>
      </w:r>
      <w:r w:rsidR="00C8215F" w:rsidRPr="00DC428E">
        <w:rPr>
          <w:rFonts w:cstheme="minorHAnsi"/>
          <w:sz w:val="24"/>
          <w:szCs w:val="24"/>
        </w:rPr>
        <w:t xml:space="preserve"> </w:t>
      </w:r>
      <w:r w:rsidR="009B429F" w:rsidRPr="00DC428E">
        <w:rPr>
          <w:rFonts w:cstheme="minorHAnsi"/>
          <w:sz w:val="24"/>
          <w:szCs w:val="24"/>
        </w:rPr>
        <w:t xml:space="preserve">investors </w:t>
      </w:r>
      <w:r w:rsidR="00CD0B7D" w:rsidRPr="00DC428E">
        <w:rPr>
          <w:rFonts w:cstheme="minorHAnsi"/>
          <w:sz w:val="24"/>
          <w:szCs w:val="24"/>
        </w:rPr>
        <w:t>and investor sentiment are source</w:t>
      </w:r>
      <w:r w:rsidR="008C2ECD" w:rsidRPr="00DC428E">
        <w:rPr>
          <w:rFonts w:cstheme="minorHAnsi"/>
          <w:sz w:val="24"/>
          <w:szCs w:val="24"/>
        </w:rPr>
        <w:t>s of</w:t>
      </w:r>
      <w:r w:rsidR="00CD0B7D" w:rsidRPr="00DC428E">
        <w:rPr>
          <w:rFonts w:cstheme="minorHAnsi"/>
          <w:sz w:val="24"/>
          <w:szCs w:val="24"/>
        </w:rPr>
        <w:t xml:space="preserve"> </w:t>
      </w:r>
      <w:r w:rsidR="009B429F" w:rsidRPr="00DC428E">
        <w:rPr>
          <w:rFonts w:cstheme="minorHAnsi"/>
          <w:sz w:val="24"/>
          <w:szCs w:val="24"/>
        </w:rPr>
        <w:t>long-term performance". F</w:t>
      </w:r>
      <w:r w:rsidR="009B429F" w:rsidRPr="00DC428E">
        <w:rPr>
          <w:rFonts w:cstheme="minorHAnsi"/>
          <w:b/>
          <w:bCs/>
          <w:sz w:val="24"/>
          <w:szCs w:val="24"/>
        </w:rPr>
        <w:t>irm size and IPO proceeds were found to be irrelevant variables i</w:t>
      </w:r>
      <w:r w:rsidR="009B429F" w:rsidRPr="00DC428E">
        <w:rPr>
          <w:rFonts w:cstheme="minorHAnsi"/>
          <w:sz w:val="24"/>
          <w:szCs w:val="24"/>
        </w:rPr>
        <w:t>n explaining long-term excess returns.</w:t>
      </w:r>
      <w:r w:rsidR="00C8215F" w:rsidRPr="00DC428E">
        <w:rPr>
          <w:rFonts w:cstheme="minorHAnsi"/>
          <w:sz w:val="24"/>
          <w:szCs w:val="24"/>
        </w:rPr>
        <w:t xml:space="preserve"> In contrast</w:t>
      </w:r>
      <w:r w:rsidR="009B5284" w:rsidRPr="00DC428E">
        <w:rPr>
          <w:rFonts w:cstheme="minorHAnsi"/>
          <w:sz w:val="24"/>
          <w:szCs w:val="24"/>
        </w:rPr>
        <w:t xml:space="preserve"> a study conducted by Goergen, et. Al. (2007)</w:t>
      </w:r>
      <w:r w:rsidR="00C8215F" w:rsidRPr="00DC428E">
        <w:rPr>
          <w:rFonts w:cstheme="minorHAnsi"/>
          <w:sz w:val="24"/>
          <w:szCs w:val="24"/>
        </w:rPr>
        <w:t>,</w:t>
      </w:r>
      <w:r w:rsidR="009B5284" w:rsidRPr="00DC428E">
        <w:rPr>
          <w:rFonts w:cstheme="minorHAnsi"/>
          <w:sz w:val="24"/>
          <w:szCs w:val="24"/>
        </w:rPr>
        <w:t xml:space="preserve"> who used a UK dataset of IPOs issued between 1991 to 1995, found</w:t>
      </w:r>
      <w:r w:rsidR="00C8215F" w:rsidRPr="00DC428E">
        <w:rPr>
          <w:rFonts w:cstheme="minorHAnsi"/>
          <w:sz w:val="24"/>
          <w:szCs w:val="24"/>
        </w:rPr>
        <w:t xml:space="preserve"> </w:t>
      </w:r>
      <w:r w:rsidR="00C8215F" w:rsidRPr="00DC428E">
        <w:rPr>
          <w:rFonts w:cstheme="minorHAnsi"/>
          <w:b/>
          <w:bCs/>
          <w:sz w:val="24"/>
          <w:szCs w:val="24"/>
        </w:rPr>
        <w:t>Firms' size</w:t>
      </w:r>
      <w:r w:rsidR="00C8215F" w:rsidRPr="00DC428E">
        <w:rPr>
          <w:rFonts w:cstheme="minorHAnsi"/>
          <w:sz w:val="24"/>
          <w:szCs w:val="24"/>
        </w:rPr>
        <w:t xml:space="preserve"> at the time of the IPO, and multi nationality to have positive impact on long term performance</w:t>
      </w:r>
      <w:r w:rsidR="009B5284" w:rsidRPr="00DC428E">
        <w:rPr>
          <w:rFonts w:cstheme="minorHAnsi"/>
          <w:sz w:val="24"/>
          <w:szCs w:val="24"/>
        </w:rPr>
        <w:t>.</w:t>
      </w:r>
      <w:r w:rsidR="00C8215F" w:rsidRPr="00DC428E">
        <w:rPr>
          <w:rFonts w:cstheme="minorHAnsi"/>
          <w:sz w:val="24"/>
          <w:szCs w:val="24"/>
        </w:rPr>
        <w:t xml:space="preserve"> H</w:t>
      </w:r>
      <w:r w:rsidR="009B429F" w:rsidRPr="00DC428E">
        <w:rPr>
          <w:rFonts w:cstheme="minorHAnsi"/>
          <w:sz w:val="24"/>
          <w:szCs w:val="24"/>
        </w:rPr>
        <w:t>igher issuing costs</w:t>
      </w:r>
      <w:r w:rsidR="009B429F" w:rsidRPr="00DC428E">
        <w:rPr>
          <w:rFonts w:cstheme="minorHAnsi"/>
          <w:sz w:val="24"/>
          <w:szCs w:val="24"/>
          <w:rtl/>
        </w:rPr>
        <w:t>,</w:t>
      </w:r>
      <w:r w:rsidR="009B429F" w:rsidRPr="00DC428E">
        <w:rPr>
          <w:rFonts w:cstheme="minorHAnsi"/>
          <w:sz w:val="24"/>
          <w:szCs w:val="24"/>
        </w:rPr>
        <w:t xml:space="preserve"> firms' profitability prior to</w:t>
      </w:r>
      <w:r w:rsidR="009B429F" w:rsidRPr="00DC428E">
        <w:rPr>
          <w:sz w:val="24"/>
          <w:szCs w:val="24"/>
        </w:rPr>
        <w:t xml:space="preserve"> the IPO ang </w:t>
      </w:r>
      <w:r w:rsidR="009B429F" w:rsidRPr="00DC428E">
        <w:rPr>
          <w:b/>
          <w:bCs/>
          <w:sz w:val="24"/>
          <w:szCs w:val="24"/>
        </w:rPr>
        <w:t>higher shareholders dilution was found to have negative</w:t>
      </w:r>
      <w:r w:rsidR="009B429F" w:rsidRPr="00DC428E">
        <w:rPr>
          <w:sz w:val="24"/>
          <w:szCs w:val="24"/>
        </w:rPr>
        <w:t xml:space="preserve"> effect on returns. The age of the firm and the reputation of the underwriter were found as irrelevant.  Chan, &amp; Lo (2011) suggest that firms with credit rating present significantly less initial underpricing in compare to firms without credit rating and these firms do not have abnormal long-term performance. These results indicate that an increased disclosure helps price corrections in the short term.</w:t>
      </w:r>
      <w:r w:rsidR="00C8215F" w:rsidRPr="00DC428E">
        <w:rPr>
          <w:sz w:val="24"/>
          <w:szCs w:val="24"/>
        </w:rPr>
        <w:t xml:space="preserve"> </w:t>
      </w:r>
      <w:r w:rsidRPr="00DC428E">
        <w:rPr>
          <w:sz w:val="24"/>
          <w:szCs w:val="24"/>
        </w:rPr>
        <w:t xml:space="preserve">Thomadakis, </w:t>
      </w:r>
      <w:r w:rsidR="009B429F" w:rsidRPr="00DC428E">
        <w:rPr>
          <w:sz w:val="24"/>
          <w:szCs w:val="24"/>
        </w:rPr>
        <w:t>et. al.</w:t>
      </w:r>
      <w:r w:rsidRPr="00DC428E">
        <w:rPr>
          <w:sz w:val="24"/>
          <w:szCs w:val="24"/>
        </w:rPr>
        <w:t xml:space="preserve"> (2012) explore</w:t>
      </w:r>
      <w:r w:rsidR="009B429F" w:rsidRPr="00DC428E">
        <w:rPr>
          <w:sz w:val="24"/>
          <w:szCs w:val="24"/>
        </w:rPr>
        <w:t>d</w:t>
      </w:r>
      <w:r w:rsidRPr="00DC428E">
        <w:rPr>
          <w:sz w:val="24"/>
          <w:szCs w:val="24"/>
        </w:rPr>
        <w:t xml:space="preserve"> Greek IPOs between 1994 to 2002</w:t>
      </w:r>
      <w:r w:rsidR="009B429F" w:rsidRPr="00DC428E">
        <w:rPr>
          <w:sz w:val="24"/>
          <w:szCs w:val="24"/>
        </w:rPr>
        <w:t xml:space="preserve"> and</w:t>
      </w:r>
      <w:r w:rsidRPr="00DC428E">
        <w:rPr>
          <w:sz w:val="24"/>
          <w:szCs w:val="24"/>
        </w:rPr>
        <w:t xml:space="preserve"> found that the factors effecting long-run performance </w:t>
      </w:r>
      <w:r w:rsidRPr="00DC428E">
        <w:rPr>
          <w:sz w:val="24"/>
          <w:szCs w:val="24"/>
        </w:rPr>
        <w:lastRenderedPageBreak/>
        <w:t xml:space="preserve">were the ownership concentration, the board classification and issuing during a pronounced </w:t>
      </w:r>
      <w:r w:rsidR="009B429F" w:rsidRPr="00DC428E">
        <w:rPr>
          <w:sz w:val="24"/>
          <w:szCs w:val="24"/>
        </w:rPr>
        <w:t xml:space="preserve">'hot period' </w:t>
      </w:r>
      <w:r w:rsidRPr="00DC428E">
        <w:rPr>
          <w:sz w:val="24"/>
          <w:szCs w:val="24"/>
        </w:rPr>
        <w:t>IPO wave</w:t>
      </w:r>
      <w:r w:rsidR="009B429F" w:rsidRPr="00DC428E">
        <w:rPr>
          <w:sz w:val="24"/>
          <w:szCs w:val="24"/>
        </w:rPr>
        <w:t>.</w:t>
      </w:r>
      <w:r w:rsidRPr="00DC428E">
        <w:rPr>
          <w:sz w:val="24"/>
          <w:szCs w:val="24"/>
        </w:rPr>
        <w:t xml:space="preserve"> </w:t>
      </w:r>
      <w:r w:rsidR="009B429F" w:rsidRPr="00DC428E">
        <w:rPr>
          <w:sz w:val="24"/>
          <w:szCs w:val="24"/>
        </w:rPr>
        <w:t>F</w:t>
      </w:r>
      <w:r w:rsidRPr="00DC428E">
        <w:rPr>
          <w:sz w:val="24"/>
          <w:szCs w:val="24"/>
        </w:rPr>
        <w:t xml:space="preserve">irm </w:t>
      </w:r>
      <w:r w:rsidRPr="00DC428E">
        <w:rPr>
          <w:b/>
          <w:bCs/>
          <w:sz w:val="24"/>
          <w:szCs w:val="24"/>
        </w:rPr>
        <w:t xml:space="preserve">market Size was found as irrelevant factor. </w:t>
      </w:r>
    </w:p>
    <w:p w14:paraId="2662560F" w14:textId="18E974A2" w:rsidR="006110AC" w:rsidRPr="00DC428E" w:rsidRDefault="006872E2" w:rsidP="00D01F96">
      <w:pPr>
        <w:bidi w:val="0"/>
        <w:spacing w:before="240" w:after="240" w:line="360" w:lineRule="auto"/>
        <w:jc w:val="both"/>
        <w:rPr>
          <w:sz w:val="24"/>
          <w:szCs w:val="24"/>
        </w:rPr>
      </w:pPr>
      <w:r w:rsidRPr="00DC428E">
        <w:rPr>
          <w:sz w:val="24"/>
          <w:szCs w:val="24"/>
        </w:rPr>
        <w:t xml:space="preserve">Regarding biopharma firms IPO, </w:t>
      </w:r>
      <w:r w:rsidRPr="00DC428E">
        <w:rPr>
          <w:rFonts w:ascii="Arial" w:hAnsi="Arial" w:cs="Arial"/>
          <w:sz w:val="24"/>
          <w:szCs w:val="24"/>
          <w:shd w:val="clear" w:color="auto" w:fill="FFFFFF"/>
        </w:rPr>
        <w:t xml:space="preserve">Higgins, et al (2011). </w:t>
      </w:r>
      <w:r w:rsidRPr="00DC428E">
        <w:rPr>
          <w:sz w:val="24"/>
          <w:szCs w:val="24"/>
        </w:rPr>
        <w:t xml:space="preserve"> explored the factors effecting the IPO proceeds in two time periods 1989 to 1992 and 1996 to 2000</w:t>
      </w:r>
      <w:r w:rsidR="00C8215F" w:rsidRPr="00DC428E">
        <w:rPr>
          <w:sz w:val="24"/>
          <w:szCs w:val="24"/>
        </w:rPr>
        <w:t>,</w:t>
      </w:r>
      <w:r w:rsidRPr="00DC428E">
        <w:rPr>
          <w:sz w:val="24"/>
          <w:szCs w:val="24"/>
        </w:rPr>
        <w:t xml:space="preserve"> </w:t>
      </w:r>
      <w:r w:rsidR="00C8215F" w:rsidRPr="00DC428E">
        <w:rPr>
          <w:sz w:val="24"/>
          <w:szCs w:val="24"/>
        </w:rPr>
        <w:t>and</w:t>
      </w:r>
      <w:r w:rsidRPr="00DC428E">
        <w:rPr>
          <w:sz w:val="24"/>
          <w:szCs w:val="24"/>
        </w:rPr>
        <w:t xml:space="preserve"> found that </w:t>
      </w:r>
      <w:r w:rsidRPr="00DC428E">
        <w:rPr>
          <w:rFonts w:ascii="Times New Roman" w:hAnsi="Times New Roman" w:cs="Times New Roman"/>
          <w:sz w:val="24"/>
          <w:szCs w:val="24"/>
        </w:rPr>
        <w:t xml:space="preserve">"firms with an affiliated Nobel </w:t>
      </w:r>
      <w:r w:rsidR="00C8215F" w:rsidRPr="00DC428E">
        <w:rPr>
          <w:rFonts w:ascii="Times New Roman" w:hAnsi="Times New Roman" w:cs="Times New Roman"/>
          <w:sz w:val="24"/>
          <w:szCs w:val="24"/>
        </w:rPr>
        <w:t>prize</w:t>
      </w:r>
      <w:r w:rsidRPr="00DC428E">
        <w:rPr>
          <w:rFonts w:ascii="Times New Roman" w:hAnsi="Times New Roman" w:cs="Times New Roman"/>
          <w:sz w:val="24"/>
          <w:szCs w:val="24"/>
        </w:rPr>
        <w:t xml:space="preserve"> winner succeeded in raising the value of their firms by more than $30 million compared to firms without a Nobel laureate during the first period</w:t>
      </w:r>
      <w:r w:rsidR="006110AC" w:rsidRPr="00DC428E">
        <w:rPr>
          <w:rFonts w:ascii="Times New Roman" w:hAnsi="Times New Roman" w:cs="Times New Roman"/>
          <w:sz w:val="24"/>
          <w:szCs w:val="24"/>
        </w:rPr>
        <w:t>"</w:t>
      </w:r>
      <w:r w:rsidR="006110AC" w:rsidRPr="00DC428E">
        <w:rPr>
          <w:sz w:val="24"/>
          <w:szCs w:val="24"/>
        </w:rPr>
        <w:t>.</w:t>
      </w:r>
      <w:r w:rsidRPr="00DC428E">
        <w:rPr>
          <w:sz w:val="24"/>
          <w:szCs w:val="24"/>
        </w:rPr>
        <w:t xml:space="preserve"> </w:t>
      </w:r>
      <w:r w:rsidRPr="00DC428E">
        <w:rPr>
          <w:rFonts w:ascii="Times New Roman" w:hAnsi="Times New Roman" w:cs="Times New Roman"/>
          <w:sz w:val="24"/>
          <w:szCs w:val="24"/>
        </w:rPr>
        <w:t>Nobel Prize lost its shine as a signal of value in the second period</w:t>
      </w:r>
      <w:r w:rsidRPr="00DC428E">
        <w:rPr>
          <w:sz w:val="24"/>
          <w:szCs w:val="24"/>
        </w:rPr>
        <w:t>. The effect of dilution was negative in the two time periods, but falls by about half between the two periods. The number of products in clinical phases has positive significant effect   only in the first period. More recent studies such of Gorry, &amp; Useche (2017) suggest</w:t>
      </w:r>
      <w:r w:rsidR="00ED0953" w:rsidRPr="00DC428E">
        <w:rPr>
          <w:sz w:val="24"/>
          <w:szCs w:val="24"/>
        </w:rPr>
        <w:t>ed</w:t>
      </w:r>
      <w:r w:rsidRPr="00DC428E">
        <w:rPr>
          <w:sz w:val="24"/>
          <w:szCs w:val="24"/>
        </w:rPr>
        <w:t xml:space="preserve"> that additional Orphan drug designation is related with an increase in the proceed collected</w:t>
      </w:r>
      <w:r w:rsidR="006110AC" w:rsidRPr="00DC428E">
        <w:rPr>
          <w:sz w:val="24"/>
          <w:szCs w:val="24"/>
        </w:rPr>
        <w:t xml:space="preserve"> by a firm at the IPO date</w:t>
      </w:r>
      <w:r w:rsidR="003D05DD" w:rsidRPr="00DC428E">
        <w:rPr>
          <w:sz w:val="24"/>
          <w:szCs w:val="24"/>
        </w:rPr>
        <w:t xml:space="preserve"> and its affect is stronger than patent applications or later stage drugs comp</w:t>
      </w:r>
      <w:r w:rsidR="00ED0953" w:rsidRPr="00DC428E">
        <w:rPr>
          <w:sz w:val="24"/>
          <w:szCs w:val="24"/>
        </w:rPr>
        <w:t>o</w:t>
      </w:r>
      <w:r w:rsidR="003D05DD" w:rsidRPr="00DC428E">
        <w:rPr>
          <w:sz w:val="24"/>
          <w:szCs w:val="24"/>
        </w:rPr>
        <w:t>und.</w:t>
      </w:r>
      <w:r w:rsidRPr="00DC428E">
        <w:rPr>
          <w:sz w:val="24"/>
          <w:szCs w:val="24"/>
        </w:rPr>
        <w:t xml:space="preserve"> </w:t>
      </w:r>
      <w:r w:rsidR="00ED0953" w:rsidRPr="00DC428E">
        <w:rPr>
          <w:sz w:val="24"/>
          <w:szCs w:val="24"/>
        </w:rPr>
        <w:t>Higher valuations w</w:t>
      </w:r>
      <w:r w:rsidR="005A5B4F" w:rsidRPr="00DC428E">
        <w:rPr>
          <w:sz w:val="24"/>
          <w:szCs w:val="24"/>
        </w:rPr>
        <w:t>ere</w:t>
      </w:r>
      <w:r w:rsidR="00ED0953" w:rsidRPr="00DC428E">
        <w:rPr>
          <w:sz w:val="24"/>
          <w:szCs w:val="24"/>
        </w:rPr>
        <w:t xml:space="preserve"> also related to VC role, </w:t>
      </w:r>
      <w:r w:rsidR="0094233C" w:rsidRPr="00DC428E">
        <w:rPr>
          <w:sz w:val="24"/>
          <w:szCs w:val="24"/>
        </w:rPr>
        <w:t>underwriter's</w:t>
      </w:r>
      <w:r w:rsidR="00ED0953" w:rsidRPr="00DC428E">
        <w:rPr>
          <w:sz w:val="24"/>
          <w:szCs w:val="24"/>
        </w:rPr>
        <w:t xml:space="preserve"> reputation, R&amp;S expenses. </w:t>
      </w:r>
      <w:r w:rsidRPr="00DC428E">
        <w:rPr>
          <w:sz w:val="24"/>
          <w:szCs w:val="24"/>
        </w:rPr>
        <w:t xml:space="preserve"> The number of drugs in at least phase II and the number of patents applied in a four-year window before the IPO was not statistically significant. </w:t>
      </w:r>
    </w:p>
    <w:p w14:paraId="1CD233F8" w14:textId="52C12A05" w:rsidR="00F57723" w:rsidRPr="00ED71A2" w:rsidRDefault="00F57723" w:rsidP="00C357C6">
      <w:pPr>
        <w:bidi w:val="0"/>
        <w:spacing w:line="360" w:lineRule="auto"/>
        <w:rPr>
          <w:b/>
          <w:bCs/>
          <w:sz w:val="24"/>
          <w:szCs w:val="24"/>
        </w:rPr>
      </w:pPr>
      <w:r w:rsidRPr="00ED71A2">
        <w:rPr>
          <w:b/>
          <w:bCs/>
          <w:sz w:val="24"/>
          <w:szCs w:val="24"/>
        </w:rPr>
        <w:t xml:space="preserve">2. </w:t>
      </w:r>
      <w:r w:rsidR="00C357C6" w:rsidRPr="00ED71A2">
        <w:rPr>
          <w:b/>
          <w:bCs/>
          <w:sz w:val="24"/>
          <w:szCs w:val="24"/>
        </w:rPr>
        <w:t>Data and analysis</w:t>
      </w:r>
    </w:p>
    <w:p w14:paraId="251CE52A" w14:textId="516BBC1B" w:rsidR="00052D5A" w:rsidRPr="00CE6819" w:rsidRDefault="00052D5A" w:rsidP="00D01F96">
      <w:pPr>
        <w:bidi w:val="0"/>
        <w:spacing w:line="360" w:lineRule="auto"/>
        <w:rPr>
          <w:sz w:val="24"/>
          <w:szCs w:val="24"/>
          <w:lang w:val="en"/>
        </w:rPr>
      </w:pPr>
      <w:r w:rsidRPr="00DC428E">
        <w:rPr>
          <w:rStyle w:val="tlid-translation"/>
          <w:sz w:val="24"/>
          <w:szCs w:val="24"/>
          <w:lang w:val="en"/>
        </w:rPr>
        <w:t xml:space="preserve">Average firm </w:t>
      </w:r>
      <w:r w:rsidR="00566FD6" w:rsidRPr="00DC428E">
        <w:rPr>
          <w:rStyle w:val="tlid-translation"/>
          <w:sz w:val="24"/>
          <w:szCs w:val="24"/>
          <w:lang w:val="en"/>
        </w:rPr>
        <w:t>market value</w:t>
      </w:r>
      <w:r w:rsidRPr="00DC428E">
        <w:rPr>
          <w:rStyle w:val="tlid-translation"/>
          <w:sz w:val="24"/>
          <w:szCs w:val="24"/>
          <w:lang w:val="en"/>
        </w:rPr>
        <w:t xml:space="preserve"> in our database (Table 2) is $537million. We chose a rounded market value of $500 million as a separator threshold. Companies above (below) this value will be referred below as large (small) companies</w:t>
      </w:r>
      <w:r w:rsidRPr="00CE6819">
        <w:rPr>
          <w:rStyle w:val="tlid-translation"/>
          <w:sz w:val="24"/>
          <w:szCs w:val="24"/>
          <w:lang w:val="en"/>
        </w:rPr>
        <w:t>.</w:t>
      </w:r>
    </w:p>
    <w:p w14:paraId="525B3EFC" w14:textId="77777777" w:rsidR="00566FD6" w:rsidRPr="00CE6819" w:rsidRDefault="00566FD6" w:rsidP="00D01F96">
      <w:pPr>
        <w:pStyle w:val="Default"/>
        <w:spacing w:line="360" w:lineRule="auto"/>
        <w:jc w:val="both"/>
        <w:rPr>
          <w:b/>
          <w:bCs/>
          <w:color w:val="auto"/>
        </w:rPr>
      </w:pPr>
      <w:r w:rsidRPr="00CE6819">
        <w:rPr>
          <w:rFonts w:hint="cs"/>
          <w:color w:val="auto"/>
          <w:rtl/>
        </w:rPr>
        <w:t>2</w:t>
      </w:r>
      <w:r w:rsidRPr="00CE6819">
        <w:rPr>
          <w:color w:val="auto"/>
        </w:rPr>
        <w:t xml:space="preserve">.1. </w:t>
      </w:r>
      <w:r w:rsidRPr="00CE6819">
        <w:rPr>
          <w:b/>
          <w:bCs/>
          <w:color w:val="auto"/>
        </w:rPr>
        <w:t xml:space="preserve">Research Goals and Hypotheses </w:t>
      </w:r>
    </w:p>
    <w:p w14:paraId="118C3153" w14:textId="5F3E92CE" w:rsidR="00566FD6" w:rsidRPr="00CE6819" w:rsidRDefault="00566FD6" w:rsidP="00D01F96">
      <w:pPr>
        <w:autoSpaceDE w:val="0"/>
        <w:autoSpaceDN w:val="0"/>
        <w:bidi w:val="0"/>
        <w:adjustRightInd w:val="0"/>
        <w:spacing w:line="360" w:lineRule="auto"/>
        <w:rPr>
          <w:rStyle w:val="tlid-translation"/>
          <w:sz w:val="24"/>
          <w:szCs w:val="24"/>
        </w:rPr>
      </w:pPr>
      <w:r w:rsidRPr="00CE6819">
        <w:rPr>
          <w:sz w:val="24"/>
          <w:szCs w:val="24"/>
          <w:lang w:val="en-GB"/>
        </w:rPr>
        <w:t>As described above,</w:t>
      </w:r>
      <w:r w:rsidRPr="00CE6819">
        <w:rPr>
          <w:sz w:val="24"/>
          <w:szCs w:val="24"/>
        </w:rPr>
        <w:t xml:space="preserve"> </w:t>
      </w:r>
      <w:r w:rsidR="001818F5" w:rsidRPr="00CE6819">
        <w:rPr>
          <w:sz w:val="24"/>
          <w:szCs w:val="24"/>
        </w:rPr>
        <w:t>t</w:t>
      </w:r>
      <w:r w:rsidRPr="00CE6819">
        <w:rPr>
          <w:sz w:val="24"/>
          <w:szCs w:val="24"/>
        </w:rPr>
        <w:t xml:space="preserve">he quiet period </w:t>
      </w:r>
      <w:r w:rsidR="001818F5" w:rsidRPr="00CE6819">
        <w:rPr>
          <w:sz w:val="24"/>
          <w:szCs w:val="24"/>
        </w:rPr>
        <w:t>expires 10 to 25 days after an IPO is priced and opens for trading. T</w:t>
      </w:r>
      <w:r w:rsidRPr="00CE6819">
        <w:rPr>
          <w:sz w:val="24"/>
          <w:szCs w:val="24"/>
        </w:rPr>
        <w:t xml:space="preserve">he launching of coverage by </w:t>
      </w:r>
      <w:r w:rsidR="001818F5" w:rsidRPr="00CE6819">
        <w:rPr>
          <w:sz w:val="24"/>
          <w:szCs w:val="24"/>
        </w:rPr>
        <w:t>the</w:t>
      </w:r>
      <w:r w:rsidRPr="00CE6819">
        <w:rPr>
          <w:sz w:val="24"/>
          <w:szCs w:val="24"/>
        </w:rPr>
        <w:t xml:space="preserve"> underwriters</w:t>
      </w:r>
      <w:r w:rsidR="004002EE" w:rsidRPr="00CE6819">
        <w:rPr>
          <w:sz w:val="24"/>
          <w:szCs w:val="24"/>
        </w:rPr>
        <w:t xml:space="preserve"> on that day </w:t>
      </w:r>
      <w:r w:rsidRPr="00CE6819">
        <w:rPr>
          <w:sz w:val="24"/>
          <w:szCs w:val="24"/>
        </w:rPr>
        <w:t>can have a significant impact on the stock price.</w:t>
      </w:r>
      <w:r w:rsidRPr="00CE6819">
        <w:rPr>
          <w:rStyle w:val="FootnoteReference"/>
          <w:sz w:val="24"/>
          <w:szCs w:val="24"/>
        </w:rPr>
        <w:t xml:space="preserve"> </w:t>
      </w:r>
      <w:r w:rsidRPr="00CE6819">
        <w:rPr>
          <w:rStyle w:val="tlid-translation"/>
          <w:sz w:val="24"/>
          <w:szCs w:val="24"/>
        </w:rPr>
        <w:t>Our goal was to investigate CAAR behavior from the IPO date to the end of the quiet period and thereafter.</w:t>
      </w:r>
    </w:p>
    <w:p w14:paraId="4A4D0695" w14:textId="77777777" w:rsidR="00566FD6" w:rsidRPr="00CE6819" w:rsidRDefault="00566FD6" w:rsidP="00D01F96">
      <w:pPr>
        <w:autoSpaceDE w:val="0"/>
        <w:autoSpaceDN w:val="0"/>
        <w:bidi w:val="0"/>
        <w:adjustRightInd w:val="0"/>
        <w:spacing w:line="360" w:lineRule="auto"/>
        <w:rPr>
          <w:sz w:val="24"/>
          <w:szCs w:val="24"/>
        </w:rPr>
      </w:pPr>
    </w:p>
    <w:p w14:paraId="08025C45" w14:textId="3BB17ED9" w:rsidR="00566FD6" w:rsidRPr="00CE6819" w:rsidRDefault="00566FD6" w:rsidP="00D01F96">
      <w:pPr>
        <w:autoSpaceDE w:val="0"/>
        <w:autoSpaceDN w:val="0"/>
        <w:bidi w:val="0"/>
        <w:adjustRightInd w:val="0"/>
        <w:spacing w:line="360" w:lineRule="auto"/>
        <w:rPr>
          <w:sz w:val="24"/>
          <w:szCs w:val="24"/>
        </w:rPr>
      </w:pPr>
      <w:r w:rsidRPr="00CE6819">
        <w:rPr>
          <w:sz w:val="24"/>
          <w:szCs w:val="24"/>
        </w:rPr>
        <w:t xml:space="preserve">Thus, it can be expected to see an upward trend in CAAR during the quiet period and a downward trend </w:t>
      </w:r>
      <w:r w:rsidR="004002EE" w:rsidRPr="00CE6819">
        <w:rPr>
          <w:sz w:val="24"/>
          <w:szCs w:val="24"/>
        </w:rPr>
        <w:t>when it expires</w:t>
      </w:r>
      <w:r w:rsidRPr="00CE6819">
        <w:rPr>
          <w:sz w:val="24"/>
          <w:szCs w:val="24"/>
        </w:rPr>
        <w:t xml:space="preserve">. An increase in CAAR is expected due to the natural hype immediately following the IPO. The later downward trend can be </w:t>
      </w:r>
      <w:r w:rsidRPr="00CE6819">
        <w:rPr>
          <w:sz w:val="24"/>
          <w:szCs w:val="24"/>
        </w:rPr>
        <w:lastRenderedPageBreak/>
        <w:t>explained, in part, to the publishing of numerous reports about the company or its sector and future forecasts</w:t>
      </w:r>
      <w:r w:rsidRPr="00CE6819" w:rsidDel="00512651">
        <w:rPr>
          <w:sz w:val="24"/>
          <w:szCs w:val="24"/>
        </w:rPr>
        <w:t xml:space="preserve"> </w:t>
      </w:r>
      <w:r w:rsidRPr="00CE6819">
        <w:rPr>
          <w:sz w:val="24"/>
          <w:szCs w:val="24"/>
        </w:rPr>
        <w:t>by affiliated analysts. Dividing the sample into two subsamples according to firm size, we expect</w:t>
      </w:r>
      <w:r w:rsidRPr="00CE6819">
        <w:rPr>
          <w:rFonts w:hint="cs"/>
          <w:sz w:val="24"/>
          <w:szCs w:val="24"/>
          <w:rtl/>
        </w:rPr>
        <w:t xml:space="preserve"> </w:t>
      </w:r>
      <w:r w:rsidRPr="00CE6819">
        <w:rPr>
          <w:sz w:val="24"/>
          <w:szCs w:val="24"/>
        </w:rPr>
        <w:t>to observe better performance among large-sized firms</w:t>
      </w:r>
      <w:r w:rsidRPr="00CE6819">
        <w:rPr>
          <w:rFonts w:hint="cs"/>
          <w:sz w:val="24"/>
          <w:szCs w:val="24"/>
          <w:rtl/>
        </w:rPr>
        <w:t xml:space="preserve"> </w:t>
      </w:r>
      <w:r w:rsidRPr="00CE6819">
        <w:rPr>
          <w:sz w:val="24"/>
          <w:szCs w:val="24"/>
        </w:rPr>
        <w:t>because large-sized firms are likely to have more experience, more available resources and a bigger product portfolio. The presence of these factors is likely to enhance a large firm’s potential for future success as well as to attract greater attention from investors. We formulated the following hypotheses to reflect these expectations:</w:t>
      </w:r>
    </w:p>
    <w:p w14:paraId="47B42CB6" w14:textId="00B0349E" w:rsidR="004002EE" w:rsidRPr="00CE6819" w:rsidRDefault="004002EE" w:rsidP="00D01F96">
      <w:pPr>
        <w:autoSpaceDE w:val="0"/>
        <w:autoSpaceDN w:val="0"/>
        <w:bidi w:val="0"/>
        <w:adjustRightInd w:val="0"/>
        <w:spacing w:line="360" w:lineRule="auto"/>
        <w:rPr>
          <w:sz w:val="24"/>
          <w:szCs w:val="24"/>
        </w:rPr>
      </w:pPr>
      <w:r w:rsidRPr="00CE6819">
        <w:rPr>
          <w:b/>
          <w:bCs/>
          <w:i/>
          <w:iCs/>
          <w:sz w:val="24"/>
          <w:szCs w:val="24"/>
        </w:rPr>
        <w:t xml:space="preserve">H1: </w:t>
      </w:r>
      <w:r w:rsidRPr="00CE6819">
        <w:rPr>
          <w:b/>
          <w:bCs/>
          <w:i/>
          <w:iCs/>
          <w:sz w:val="24"/>
          <w:szCs w:val="24"/>
          <w:lang w:val="en-GB"/>
        </w:rPr>
        <w:t xml:space="preserve">Quiet Period and </w:t>
      </w:r>
      <w:r w:rsidRPr="00CE6819">
        <w:rPr>
          <w:b/>
          <w:bCs/>
          <w:sz w:val="24"/>
          <w:szCs w:val="24"/>
          <w:lang w:val="en-GB"/>
        </w:rPr>
        <w:t>S</w:t>
      </w:r>
      <w:r w:rsidRPr="00CE6819">
        <w:rPr>
          <w:b/>
          <w:bCs/>
          <w:sz w:val="24"/>
          <w:szCs w:val="24"/>
        </w:rPr>
        <w:t>tock’s return</w:t>
      </w:r>
      <w:r w:rsidRPr="00CE6819">
        <w:rPr>
          <w:sz w:val="24"/>
          <w:szCs w:val="24"/>
        </w:rPr>
        <w:t xml:space="preserve">: The natural hype from the new IPO will yield positive CAAR from the IPO date until the end of the quiet period. </w:t>
      </w:r>
      <w:r w:rsidR="00071492" w:rsidRPr="00CE6819">
        <w:rPr>
          <w:sz w:val="24"/>
          <w:szCs w:val="24"/>
        </w:rPr>
        <w:t xml:space="preserve">At the end of this period, when </w:t>
      </w:r>
      <w:r w:rsidRPr="00CE6819">
        <w:rPr>
          <w:sz w:val="24"/>
          <w:szCs w:val="24"/>
        </w:rPr>
        <w:t xml:space="preserve">coverage initiates by underwriters and their affiliated analysts, the initial hype diminishes, </w:t>
      </w:r>
      <w:r w:rsidR="00071492" w:rsidRPr="00CE6819">
        <w:rPr>
          <w:sz w:val="24"/>
          <w:szCs w:val="24"/>
        </w:rPr>
        <w:t xml:space="preserve">as a result </w:t>
      </w:r>
      <w:r w:rsidRPr="00CE6819">
        <w:rPr>
          <w:sz w:val="24"/>
          <w:szCs w:val="24"/>
        </w:rPr>
        <w:t xml:space="preserve">the stock will experience a negative CAAR. </w:t>
      </w:r>
    </w:p>
    <w:p w14:paraId="0A7E46CA" w14:textId="7C4E250E" w:rsidR="004002EE" w:rsidRPr="00CE6819" w:rsidRDefault="004002EE" w:rsidP="00D01F96">
      <w:pPr>
        <w:autoSpaceDE w:val="0"/>
        <w:autoSpaceDN w:val="0"/>
        <w:bidi w:val="0"/>
        <w:adjustRightInd w:val="0"/>
        <w:spacing w:line="360" w:lineRule="auto"/>
        <w:rPr>
          <w:sz w:val="24"/>
          <w:szCs w:val="24"/>
        </w:rPr>
      </w:pPr>
      <w:r w:rsidRPr="00CE6819">
        <w:rPr>
          <w:b/>
          <w:bCs/>
          <w:i/>
          <w:iCs/>
          <w:sz w:val="24"/>
          <w:szCs w:val="24"/>
        </w:rPr>
        <w:t xml:space="preserve">H2: </w:t>
      </w:r>
      <w:r w:rsidRPr="00CE6819">
        <w:rPr>
          <w:b/>
          <w:bCs/>
          <w:sz w:val="24"/>
          <w:szCs w:val="24"/>
        </w:rPr>
        <w:t>Sock returns and market capitalization:</w:t>
      </w:r>
    </w:p>
    <w:p w14:paraId="296E76F8" w14:textId="1FF6F0FC" w:rsidR="004002EE" w:rsidRPr="00CE6819" w:rsidRDefault="004002EE" w:rsidP="00C357C6">
      <w:pPr>
        <w:autoSpaceDE w:val="0"/>
        <w:autoSpaceDN w:val="0"/>
        <w:bidi w:val="0"/>
        <w:adjustRightInd w:val="0"/>
        <w:spacing w:line="360" w:lineRule="auto"/>
        <w:rPr>
          <w:sz w:val="24"/>
          <w:szCs w:val="24"/>
        </w:rPr>
      </w:pPr>
      <w:r w:rsidRPr="00CE6819">
        <w:rPr>
          <w:sz w:val="24"/>
          <w:szCs w:val="24"/>
        </w:rPr>
        <w:t xml:space="preserve">Large-sized firms </w:t>
      </w:r>
      <w:r w:rsidR="00C357C6">
        <w:rPr>
          <w:sz w:val="24"/>
          <w:szCs w:val="24"/>
        </w:rPr>
        <w:t xml:space="preserve">shares will show higher yield </w:t>
      </w:r>
      <w:r w:rsidRPr="00CE6819">
        <w:rPr>
          <w:sz w:val="24"/>
          <w:szCs w:val="24"/>
        </w:rPr>
        <w:t>than small-sized firms, due to</w:t>
      </w:r>
      <w:r w:rsidR="000E2243">
        <w:rPr>
          <w:sz w:val="24"/>
          <w:szCs w:val="24"/>
        </w:rPr>
        <w:t xml:space="preserve"> higher</w:t>
      </w:r>
      <w:r w:rsidRPr="00CE6819">
        <w:rPr>
          <w:sz w:val="24"/>
          <w:szCs w:val="24"/>
        </w:rPr>
        <w:t xml:space="preserve"> </w:t>
      </w:r>
      <w:r w:rsidR="000E2243" w:rsidRPr="00CE6819">
        <w:rPr>
          <w:sz w:val="24"/>
          <w:szCs w:val="24"/>
        </w:rPr>
        <w:t>investors'</w:t>
      </w:r>
      <w:r w:rsidRPr="00CE6819">
        <w:rPr>
          <w:sz w:val="24"/>
          <w:szCs w:val="24"/>
        </w:rPr>
        <w:t xml:space="preserve"> </w:t>
      </w:r>
      <w:r w:rsidR="00C357C6">
        <w:rPr>
          <w:sz w:val="24"/>
          <w:szCs w:val="24"/>
        </w:rPr>
        <w:t xml:space="preserve">attention and </w:t>
      </w:r>
      <w:r w:rsidR="008825AD" w:rsidRPr="00CE6819">
        <w:rPr>
          <w:sz w:val="24"/>
          <w:szCs w:val="24"/>
        </w:rPr>
        <w:t xml:space="preserve">certainty in </w:t>
      </w:r>
      <w:r w:rsidR="000E2243">
        <w:rPr>
          <w:sz w:val="24"/>
          <w:szCs w:val="24"/>
        </w:rPr>
        <w:t xml:space="preserve">their future success. </w:t>
      </w:r>
      <w:r w:rsidR="00C357C6" w:rsidRPr="00CE6819">
        <w:rPr>
          <w:sz w:val="24"/>
          <w:szCs w:val="24"/>
        </w:rPr>
        <w:t>Large-sized firms</w:t>
      </w:r>
      <w:r w:rsidRPr="00CE6819">
        <w:rPr>
          <w:sz w:val="24"/>
          <w:szCs w:val="24"/>
        </w:rPr>
        <w:t>.</w:t>
      </w:r>
    </w:p>
    <w:p w14:paraId="65E5B8C5" w14:textId="6B7F6D1E" w:rsidR="008825AD" w:rsidRPr="00CE6819" w:rsidRDefault="008825AD" w:rsidP="00D01F96">
      <w:pPr>
        <w:bidi w:val="0"/>
        <w:spacing w:line="360" w:lineRule="auto"/>
        <w:rPr>
          <w:rFonts w:cstheme="minorHAnsi"/>
          <w:sz w:val="24"/>
          <w:szCs w:val="24"/>
        </w:rPr>
      </w:pPr>
      <w:r w:rsidRPr="00CE6819">
        <w:rPr>
          <w:rStyle w:val="tlid-translation"/>
          <w:rFonts w:cstheme="minorHAnsi"/>
          <w:sz w:val="24"/>
          <w:szCs w:val="24"/>
          <w:lang w:val="en"/>
        </w:rPr>
        <w:t xml:space="preserve">We will now turn to examine the factors that may </w:t>
      </w:r>
      <w:r w:rsidR="008873C0" w:rsidRPr="00CE6819">
        <w:rPr>
          <w:rStyle w:val="tlid-translation"/>
          <w:rFonts w:cstheme="minorHAnsi"/>
          <w:sz w:val="24"/>
          <w:szCs w:val="24"/>
          <w:lang w:val="en"/>
        </w:rPr>
        <w:t>affect</w:t>
      </w:r>
      <w:r w:rsidRPr="00CE6819">
        <w:rPr>
          <w:rStyle w:val="tlid-translation"/>
          <w:rFonts w:cstheme="minorHAnsi"/>
          <w:sz w:val="24"/>
          <w:szCs w:val="24"/>
          <w:lang w:val="en"/>
        </w:rPr>
        <w:t xml:space="preserve"> return and abnormal return (hereafter AR).</w:t>
      </w:r>
      <w:r w:rsidRPr="00CE6819">
        <w:rPr>
          <w:rFonts w:cstheme="minorHAnsi"/>
          <w:sz w:val="24"/>
          <w:szCs w:val="24"/>
        </w:rPr>
        <w:t xml:space="preserve"> Multiple factors are known to explain stock returns. Risk, firm size and Book to Market Ratio are all known </w:t>
      </w:r>
      <w:r w:rsidR="00F3054C" w:rsidRPr="00CE6819">
        <w:rPr>
          <w:sz w:val="24"/>
          <w:szCs w:val="24"/>
        </w:rPr>
        <w:t>(Fama &amp; French (1992)</w:t>
      </w:r>
      <w:r w:rsidR="008C3C7C">
        <w:rPr>
          <w:sz w:val="24"/>
          <w:szCs w:val="24"/>
        </w:rPr>
        <w:t>)</w:t>
      </w:r>
      <w:r w:rsidR="00F3054C" w:rsidRPr="00CE6819">
        <w:rPr>
          <w:sz w:val="24"/>
          <w:szCs w:val="24"/>
        </w:rPr>
        <w:t>.</w:t>
      </w:r>
      <w:r w:rsidRPr="00CE6819">
        <w:rPr>
          <w:rFonts w:cstheme="minorHAnsi"/>
          <w:sz w:val="24"/>
          <w:szCs w:val="24"/>
        </w:rPr>
        <w:t xml:space="preserve"> </w:t>
      </w:r>
      <w:r w:rsidRPr="00CE6819">
        <w:rPr>
          <w:rStyle w:val="tlid-translation"/>
          <w:rFonts w:cstheme="minorHAnsi"/>
          <w:sz w:val="24"/>
          <w:szCs w:val="24"/>
          <w:lang w:val="en"/>
        </w:rPr>
        <w:t xml:space="preserve">In the context of IPO, other possible factors </w:t>
      </w:r>
      <w:r w:rsidR="008C3C7C">
        <w:rPr>
          <w:rStyle w:val="tlid-translation"/>
          <w:rFonts w:cstheme="minorHAnsi"/>
          <w:sz w:val="24"/>
          <w:szCs w:val="24"/>
          <w:lang w:val="en"/>
        </w:rPr>
        <w:t>might be relevant</w:t>
      </w:r>
      <w:r w:rsidR="008873C0" w:rsidRPr="00CE6819">
        <w:rPr>
          <w:rStyle w:val="tlid-translation"/>
          <w:rFonts w:cstheme="minorHAnsi"/>
          <w:sz w:val="24"/>
          <w:szCs w:val="24"/>
          <w:lang w:val="en"/>
        </w:rPr>
        <w:t xml:space="preserve"> </w:t>
      </w:r>
      <w:r w:rsidRPr="00CE6819">
        <w:rPr>
          <w:rStyle w:val="tlid-translation"/>
          <w:rFonts w:cstheme="minorHAnsi"/>
          <w:sz w:val="24"/>
          <w:szCs w:val="24"/>
          <w:lang w:val="en"/>
        </w:rPr>
        <w:t>and some</w:t>
      </w:r>
      <w:r w:rsidR="0035371E">
        <w:rPr>
          <w:rStyle w:val="tlid-translation"/>
          <w:rFonts w:cstheme="minorHAnsi"/>
          <w:sz w:val="24"/>
          <w:szCs w:val="24"/>
          <w:lang w:val="en"/>
        </w:rPr>
        <w:t xml:space="preserve"> of them</w:t>
      </w:r>
      <w:r w:rsidRPr="00CE6819">
        <w:rPr>
          <w:rStyle w:val="tlid-translation"/>
          <w:rFonts w:cstheme="minorHAnsi"/>
          <w:sz w:val="24"/>
          <w:szCs w:val="24"/>
          <w:lang w:val="en"/>
        </w:rPr>
        <w:t xml:space="preserve"> will be examined here. Due to the</w:t>
      </w:r>
      <w:r w:rsidR="008873C0" w:rsidRPr="00CE6819">
        <w:rPr>
          <w:rStyle w:val="tlid-translation"/>
          <w:rFonts w:cstheme="minorHAnsi"/>
          <w:sz w:val="24"/>
          <w:szCs w:val="24"/>
          <w:lang w:val="en"/>
        </w:rPr>
        <w:t xml:space="preserve"> long</w:t>
      </w:r>
      <w:r w:rsidRPr="00CE6819">
        <w:rPr>
          <w:rStyle w:val="tlid-translation"/>
          <w:rFonts w:cstheme="minorHAnsi"/>
          <w:sz w:val="24"/>
          <w:szCs w:val="24"/>
          <w:lang w:val="en"/>
        </w:rPr>
        <w:t xml:space="preserve"> time required to develop a drug, financial resources are critical. Naturally, the larger the </w:t>
      </w:r>
      <w:r w:rsidR="0035371E">
        <w:rPr>
          <w:rStyle w:val="tlid-translation"/>
          <w:rFonts w:cstheme="minorHAnsi"/>
          <w:sz w:val="24"/>
          <w:szCs w:val="24"/>
          <w:lang w:val="en"/>
        </w:rPr>
        <w:t>firm</w:t>
      </w:r>
      <w:r w:rsidRPr="00CE6819">
        <w:rPr>
          <w:rStyle w:val="tlid-translation"/>
          <w:rFonts w:cstheme="minorHAnsi"/>
          <w:sz w:val="24"/>
          <w:szCs w:val="24"/>
          <w:lang w:val="en"/>
        </w:rPr>
        <w:t xml:space="preserve">, the more resources </w:t>
      </w:r>
      <w:r w:rsidR="0035371E">
        <w:rPr>
          <w:rStyle w:val="tlid-translation"/>
          <w:rFonts w:cstheme="minorHAnsi"/>
          <w:sz w:val="24"/>
          <w:szCs w:val="24"/>
          <w:lang w:val="en"/>
        </w:rPr>
        <w:t>it</w:t>
      </w:r>
      <w:r w:rsidRPr="00CE6819">
        <w:rPr>
          <w:rStyle w:val="tlid-translation"/>
          <w:rFonts w:cstheme="minorHAnsi"/>
          <w:sz w:val="24"/>
          <w:szCs w:val="24"/>
          <w:lang w:val="en"/>
        </w:rPr>
        <w:t xml:space="preserve"> ha</w:t>
      </w:r>
      <w:r w:rsidR="0035371E">
        <w:rPr>
          <w:rStyle w:val="tlid-translation"/>
          <w:rFonts w:cstheme="minorHAnsi"/>
          <w:sz w:val="24"/>
          <w:szCs w:val="24"/>
          <w:lang w:val="en"/>
        </w:rPr>
        <w:t>s</w:t>
      </w:r>
      <w:r w:rsidRPr="00CE6819">
        <w:rPr>
          <w:rStyle w:val="tlid-translation"/>
          <w:rFonts w:cstheme="minorHAnsi"/>
          <w:sz w:val="24"/>
          <w:szCs w:val="24"/>
          <w:lang w:val="en"/>
        </w:rPr>
        <w:t xml:space="preserve"> and </w:t>
      </w:r>
      <w:r w:rsidR="0035371E">
        <w:rPr>
          <w:rStyle w:val="tlid-translation"/>
          <w:rFonts w:cstheme="minorHAnsi"/>
          <w:sz w:val="24"/>
          <w:szCs w:val="24"/>
          <w:lang w:val="en"/>
        </w:rPr>
        <w:t>greater</w:t>
      </w:r>
      <w:r w:rsidRPr="00CE6819">
        <w:rPr>
          <w:rStyle w:val="tlid-translation"/>
          <w:rFonts w:cstheme="minorHAnsi"/>
          <w:sz w:val="24"/>
          <w:szCs w:val="24"/>
          <w:lang w:val="en"/>
        </w:rPr>
        <w:t xml:space="preserve"> likelihood of reaching the market with a product. Accordingly, we assume that (i) market value will have a positive impact on </w:t>
      </w:r>
      <w:r w:rsidR="008873C0" w:rsidRPr="00CE6819">
        <w:rPr>
          <w:rStyle w:val="tlid-translation"/>
          <w:rFonts w:cstheme="minorHAnsi"/>
          <w:sz w:val="24"/>
          <w:szCs w:val="24"/>
          <w:lang w:val="en"/>
        </w:rPr>
        <w:t>returns</w:t>
      </w:r>
      <w:r w:rsidRPr="00CE6819">
        <w:rPr>
          <w:rStyle w:val="tlid-translation"/>
          <w:rFonts w:cstheme="minorHAnsi"/>
          <w:sz w:val="24"/>
          <w:szCs w:val="24"/>
          <w:lang w:val="en"/>
        </w:rPr>
        <w:t xml:space="preserve">. In particular, the impact will be greater for large companies. (ii) </w:t>
      </w:r>
      <w:r w:rsidR="00434555">
        <w:rPr>
          <w:rStyle w:val="tlid-translation"/>
          <w:rFonts w:cstheme="minorHAnsi"/>
          <w:sz w:val="24"/>
          <w:szCs w:val="24"/>
          <w:lang w:val="en"/>
        </w:rPr>
        <w:t>T</w:t>
      </w:r>
      <w:r w:rsidRPr="00CE6819">
        <w:rPr>
          <w:rStyle w:val="tlid-translation"/>
          <w:rFonts w:cstheme="minorHAnsi"/>
          <w:sz w:val="24"/>
          <w:szCs w:val="24"/>
          <w:lang w:val="en"/>
        </w:rPr>
        <w:t xml:space="preserve">he </w:t>
      </w:r>
      <w:r w:rsidR="0091561C">
        <w:rPr>
          <w:rStyle w:val="tlid-translation"/>
          <w:rFonts w:cstheme="minorHAnsi"/>
          <w:sz w:val="24"/>
          <w:szCs w:val="24"/>
          <w:lang w:val="en"/>
        </w:rPr>
        <w:t>IPO proceeds</w:t>
      </w:r>
      <w:r w:rsidRPr="00CE6819">
        <w:rPr>
          <w:rStyle w:val="tlid-translation"/>
          <w:rFonts w:cstheme="minorHAnsi"/>
          <w:sz w:val="24"/>
          <w:szCs w:val="24"/>
          <w:lang w:val="en"/>
        </w:rPr>
        <w:t xml:space="preserve">. This variable </w:t>
      </w:r>
      <w:r w:rsidR="008873C0" w:rsidRPr="00CE6819">
        <w:rPr>
          <w:rStyle w:val="tlid-translation"/>
          <w:rFonts w:cstheme="minorHAnsi"/>
          <w:sz w:val="24"/>
          <w:szCs w:val="24"/>
          <w:lang w:val="en"/>
        </w:rPr>
        <w:t>may</w:t>
      </w:r>
      <w:r w:rsidRPr="00CE6819">
        <w:rPr>
          <w:rStyle w:val="tlid-translation"/>
          <w:rFonts w:cstheme="minorHAnsi"/>
          <w:sz w:val="24"/>
          <w:szCs w:val="24"/>
          <w:lang w:val="en"/>
        </w:rPr>
        <w:t xml:space="preserve"> </w:t>
      </w:r>
      <w:r w:rsidR="00D869EA" w:rsidRPr="00CE6819">
        <w:rPr>
          <w:rStyle w:val="tlid-translation"/>
          <w:rFonts w:cstheme="minorHAnsi"/>
          <w:sz w:val="24"/>
          <w:szCs w:val="24"/>
          <w:lang w:val="en"/>
        </w:rPr>
        <w:t>affect</w:t>
      </w:r>
      <w:r w:rsidR="008873C0" w:rsidRPr="00CE6819">
        <w:rPr>
          <w:rStyle w:val="tlid-translation"/>
          <w:rFonts w:cstheme="minorHAnsi"/>
          <w:sz w:val="24"/>
          <w:szCs w:val="24"/>
          <w:lang w:val="en"/>
        </w:rPr>
        <w:t xml:space="preserve"> in op</w:t>
      </w:r>
      <w:r w:rsidR="00D869EA" w:rsidRPr="00CE6819">
        <w:rPr>
          <w:rStyle w:val="tlid-translation"/>
          <w:rFonts w:cstheme="minorHAnsi"/>
          <w:sz w:val="24"/>
          <w:szCs w:val="24"/>
          <w:lang w:val="en"/>
        </w:rPr>
        <w:t>p</w:t>
      </w:r>
      <w:r w:rsidR="008873C0" w:rsidRPr="00CE6819">
        <w:rPr>
          <w:rStyle w:val="tlid-translation"/>
          <w:rFonts w:cstheme="minorHAnsi"/>
          <w:sz w:val="24"/>
          <w:szCs w:val="24"/>
          <w:lang w:val="en"/>
        </w:rPr>
        <w:t>osit</w:t>
      </w:r>
      <w:r w:rsidR="00D869EA" w:rsidRPr="00CE6819">
        <w:rPr>
          <w:rStyle w:val="tlid-translation"/>
          <w:rFonts w:cstheme="minorHAnsi"/>
          <w:sz w:val="24"/>
          <w:szCs w:val="24"/>
          <w:lang w:val="en"/>
        </w:rPr>
        <w:t>e</w:t>
      </w:r>
      <w:r w:rsidR="008873C0" w:rsidRPr="00CE6819">
        <w:rPr>
          <w:rStyle w:val="tlid-translation"/>
          <w:rFonts w:cstheme="minorHAnsi"/>
          <w:sz w:val="24"/>
          <w:szCs w:val="24"/>
          <w:lang w:val="en"/>
        </w:rPr>
        <w:t xml:space="preserve"> di</w:t>
      </w:r>
      <w:r w:rsidR="00D869EA" w:rsidRPr="00CE6819">
        <w:rPr>
          <w:rStyle w:val="tlid-translation"/>
          <w:rFonts w:cstheme="minorHAnsi"/>
          <w:sz w:val="24"/>
          <w:szCs w:val="24"/>
          <w:lang w:val="en"/>
        </w:rPr>
        <w:t>rections</w:t>
      </w:r>
      <w:r w:rsidRPr="00CE6819">
        <w:rPr>
          <w:rStyle w:val="tlid-translation"/>
          <w:rFonts w:cstheme="minorHAnsi"/>
          <w:sz w:val="24"/>
          <w:szCs w:val="24"/>
          <w:lang w:val="en"/>
        </w:rPr>
        <w:t xml:space="preserve">. </w:t>
      </w:r>
      <w:r w:rsidR="00D869EA" w:rsidRPr="00CE6819">
        <w:rPr>
          <w:rStyle w:val="tlid-translation"/>
          <w:rFonts w:cstheme="minorHAnsi"/>
          <w:sz w:val="24"/>
          <w:szCs w:val="24"/>
          <w:lang w:val="en"/>
        </w:rPr>
        <w:t>F</w:t>
      </w:r>
      <w:r w:rsidRPr="00CE6819">
        <w:rPr>
          <w:rStyle w:val="tlid-translation"/>
          <w:rFonts w:cstheme="minorHAnsi"/>
          <w:sz w:val="24"/>
          <w:szCs w:val="24"/>
          <w:lang w:val="en"/>
        </w:rPr>
        <w:t xml:space="preserve">irst, the larger the </w:t>
      </w:r>
      <w:r w:rsidR="0091561C">
        <w:rPr>
          <w:rStyle w:val="tlid-translation"/>
          <w:rFonts w:cstheme="minorHAnsi"/>
          <w:sz w:val="24"/>
          <w:szCs w:val="24"/>
          <w:lang w:val="en"/>
        </w:rPr>
        <w:t>proceeds</w:t>
      </w:r>
      <w:r w:rsidRPr="00CE6819">
        <w:rPr>
          <w:rStyle w:val="tlid-translation"/>
          <w:rFonts w:cstheme="minorHAnsi"/>
          <w:sz w:val="24"/>
          <w:szCs w:val="24"/>
          <w:lang w:val="en"/>
        </w:rPr>
        <w:t xml:space="preserve">, the more diluted the existing shareholders are, and therefore we expect a negative impact on return. On the other hand, the larger the </w:t>
      </w:r>
      <w:r w:rsidR="00333C42">
        <w:rPr>
          <w:rStyle w:val="tlid-translation"/>
          <w:rFonts w:cstheme="minorHAnsi"/>
          <w:sz w:val="24"/>
          <w:szCs w:val="24"/>
          <w:lang w:val="en"/>
        </w:rPr>
        <w:t>proceeds</w:t>
      </w:r>
      <w:r w:rsidRPr="00CE6819">
        <w:rPr>
          <w:rStyle w:val="tlid-translation"/>
          <w:rFonts w:cstheme="minorHAnsi"/>
          <w:sz w:val="24"/>
          <w:szCs w:val="24"/>
          <w:lang w:val="en"/>
        </w:rPr>
        <w:t xml:space="preserve">, </w:t>
      </w:r>
      <w:r w:rsidR="00180BFC" w:rsidRPr="00CE6819">
        <w:rPr>
          <w:rStyle w:val="tlid-translation"/>
          <w:rFonts w:cstheme="minorHAnsi"/>
          <w:sz w:val="24"/>
          <w:szCs w:val="24"/>
          <w:lang w:val="en"/>
        </w:rPr>
        <w:t xml:space="preserve">in percentage of </w:t>
      </w:r>
      <w:r w:rsidR="00333C42">
        <w:rPr>
          <w:rStyle w:val="tlid-translation"/>
          <w:rFonts w:cstheme="minorHAnsi"/>
          <w:sz w:val="24"/>
          <w:szCs w:val="24"/>
          <w:lang w:val="en"/>
        </w:rPr>
        <w:t>firms'</w:t>
      </w:r>
      <w:r w:rsidR="00180BFC" w:rsidRPr="00CE6819">
        <w:rPr>
          <w:rStyle w:val="tlid-translation"/>
          <w:rFonts w:cstheme="minorHAnsi"/>
          <w:sz w:val="24"/>
          <w:szCs w:val="24"/>
          <w:lang w:val="en"/>
        </w:rPr>
        <w:t xml:space="preserve"> value</w:t>
      </w:r>
      <w:r w:rsidR="00333C42">
        <w:rPr>
          <w:rStyle w:val="tlid-translation"/>
          <w:rFonts w:cstheme="minorHAnsi"/>
          <w:sz w:val="24"/>
          <w:szCs w:val="24"/>
          <w:lang w:val="en"/>
        </w:rPr>
        <w:t xml:space="preserve"> after the money</w:t>
      </w:r>
      <w:r w:rsidR="00180BFC" w:rsidRPr="00CE6819">
        <w:rPr>
          <w:rStyle w:val="tlid-translation"/>
          <w:rFonts w:cstheme="minorHAnsi"/>
          <w:sz w:val="24"/>
          <w:szCs w:val="24"/>
          <w:lang w:val="en"/>
        </w:rPr>
        <w:t xml:space="preserve">, </w:t>
      </w:r>
      <w:r w:rsidRPr="00CE6819">
        <w:rPr>
          <w:rStyle w:val="tlid-translation"/>
          <w:rFonts w:cstheme="minorHAnsi"/>
          <w:sz w:val="24"/>
          <w:szCs w:val="24"/>
          <w:lang w:val="en"/>
        </w:rPr>
        <w:t xml:space="preserve">the </w:t>
      </w:r>
      <w:r w:rsidR="00D869EA" w:rsidRPr="00CE6819">
        <w:rPr>
          <w:rStyle w:val="tlid-translation"/>
          <w:rFonts w:cstheme="minorHAnsi"/>
          <w:sz w:val="24"/>
          <w:szCs w:val="24"/>
          <w:lang w:val="en"/>
        </w:rPr>
        <w:t xml:space="preserve">better </w:t>
      </w:r>
      <w:r w:rsidR="00BC150C">
        <w:rPr>
          <w:rStyle w:val="tlid-translation"/>
          <w:rFonts w:cstheme="minorHAnsi"/>
          <w:sz w:val="24"/>
          <w:szCs w:val="24"/>
          <w:lang w:val="en"/>
        </w:rPr>
        <w:t>firms' ability</w:t>
      </w:r>
      <w:r w:rsidRPr="00CE6819">
        <w:rPr>
          <w:rStyle w:val="tlid-translation"/>
          <w:rFonts w:cstheme="minorHAnsi"/>
          <w:sz w:val="24"/>
          <w:szCs w:val="24"/>
          <w:lang w:val="en"/>
        </w:rPr>
        <w:t xml:space="preserve"> to continue its operations</w:t>
      </w:r>
      <w:r w:rsidR="00BC150C">
        <w:rPr>
          <w:rStyle w:val="tlid-translation"/>
          <w:rFonts w:cstheme="minorHAnsi"/>
          <w:sz w:val="24"/>
          <w:szCs w:val="24"/>
          <w:lang w:val="en"/>
        </w:rPr>
        <w:t>,</w:t>
      </w:r>
      <w:r w:rsidRPr="00CE6819">
        <w:rPr>
          <w:rStyle w:val="tlid-translation"/>
          <w:rFonts w:cstheme="minorHAnsi"/>
          <w:sz w:val="24"/>
          <w:szCs w:val="24"/>
          <w:lang w:val="en"/>
        </w:rPr>
        <w:t xml:space="preserve"> </w:t>
      </w:r>
      <w:r w:rsidR="00BC150C">
        <w:rPr>
          <w:rStyle w:val="tlid-translation"/>
          <w:rFonts w:cstheme="minorHAnsi"/>
          <w:sz w:val="24"/>
          <w:szCs w:val="24"/>
          <w:lang w:val="en"/>
        </w:rPr>
        <w:t>that</w:t>
      </w:r>
      <w:r w:rsidR="00D90D66">
        <w:rPr>
          <w:rStyle w:val="tlid-translation"/>
          <w:rFonts w:cstheme="minorHAnsi"/>
          <w:sz w:val="24"/>
          <w:szCs w:val="24"/>
          <w:lang w:val="en"/>
        </w:rPr>
        <w:t xml:space="preserve"> would </w:t>
      </w:r>
      <w:r w:rsidR="00BC150C">
        <w:rPr>
          <w:rStyle w:val="tlid-translation"/>
          <w:rFonts w:cstheme="minorHAnsi"/>
          <w:sz w:val="24"/>
          <w:szCs w:val="24"/>
          <w:lang w:val="en"/>
        </w:rPr>
        <w:t>effect</w:t>
      </w:r>
      <w:r w:rsidRPr="00CE6819">
        <w:rPr>
          <w:rStyle w:val="tlid-translation"/>
          <w:rFonts w:cstheme="minorHAnsi"/>
          <w:sz w:val="24"/>
          <w:szCs w:val="24"/>
          <w:lang w:val="en"/>
        </w:rPr>
        <w:t xml:space="preserve"> positive</w:t>
      </w:r>
      <w:r w:rsidR="00BC150C">
        <w:rPr>
          <w:rStyle w:val="tlid-translation"/>
          <w:rFonts w:cstheme="minorHAnsi"/>
          <w:sz w:val="24"/>
          <w:szCs w:val="24"/>
          <w:lang w:val="en"/>
        </w:rPr>
        <w:t>ly</w:t>
      </w:r>
      <w:r w:rsidRPr="00CE6819">
        <w:rPr>
          <w:rStyle w:val="tlid-translation"/>
          <w:rFonts w:cstheme="minorHAnsi"/>
          <w:sz w:val="24"/>
          <w:szCs w:val="24"/>
          <w:lang w:val="en"/>
        </w:rPr>
        <w:t xml:space="preserve"> on returns. Accordingly, we formulated the following hypotheses:</w:t>
      </w:r>
    </w:p>
    <w:p w14:paraId="0BA4C42D" w14:textId="3FB425DF" w:rsidR="00E40AA9" w:rsidRPr="00CE6819" w:rsidRDefault="00224836" w:rsidP="00AB7C00">
      <w:pPr>
        <w:autoSpaceDE w:val="0"/>
        <w:autoSpaceDN w:val="0"/>
        <w:bidi w:val="0"/>
        <w:adjustRightInd w:val="0"/>
        <w:spacing w:line="360" w:lineRule="auto"/>
        <w:rPr>
          <w:sz w:val="24"/>
          <w:szCs w:val="24"/>
          <w:lang w:val="en"/>
        </w:rPr>
      </w:pPr>
      <w:r w:rsidRPr="00CE6819">
        <w:rPr>
          <w:rStyle w:val="tlid-translation"/>
          <w:b/>
          <w:bCs/>
          <w:sz w:val="24"/>
          <w:szCs w:val="24"/>
          <w:lang w:val="en"/>
        </w:rPr>
        <w:lastRenderedPageBreak/>
        <w:t>H3: Market value</w:t>
      </w:r>
      <w:r w:rsidRPr="00CE6819">
        <w:rPr>
          <w:rStyle w:val="tlid-translation"/>
          <w:sz w:val="24"/>
          <w:szCs w:val="24"/>
          <w:lang w:val="en"/>
        </w:rPr>
        <w:t xml:space="preserve">: </w:t>
      </w:r>
      <w:r w:rsidRPr="00CE6819">
        <w:rPr>
          <w:rStyle w:val="tlid-translation"/>
          <w:sz w:val="24"/>
          <w:szCs w:val="24"/>
          <w:lang w:val="en"/>
        </w:rPr>
        <w:t>Market value will have a positive impact on returns. The impact will be higher for large companies.</w:t>
      </w:r>
    </w:p>
    <w:p w14:paraId="650B4B39" w14:textId="5F9F2305" w:rsidR="004002EE" w:rsidRPr="00CE6819" w:rsidRDefault="00E40AA9" w:rsidP="00D01F96">
      <w:pPr>
        <w:autoSpaceDE w:val="0"/>
        <w:autoSpaceDN w:val="0"/>
        <w:bidi w:val="0"/>
        <w:adjustRightInd w:val="0"/>
        <w:spacing w:line="360" w:lineRule="auto"/>
        <w:rPr>
          <w:sz w:val="24"/>
          <w:szCs w:val="24"/>
          <w:lang w:val="en"/>
        </w:rPr>
      </w:pPr>
      <w:r w:rsidRPr="00CE6819">
        <w:rPr>
          <w:rStyle w:val="tlid-translation"/>
          <w:b/>
          <w:bCs/>
          <w:sz w:val="24"/>
          <w:szCs w:val="24"/>
          <w:lang w:val="en"/>
        </w:rPr>
        <w:t>H4</w:t>
      </w:r>
      <w:r w:rsidR="00224836" w:rsidRPr="00CE6819">
        <w:rPr>
          <w:rStyle w:val="tlid-translation"/>
          <w:b/>
          <w:bCs/>
          <w:sz w:val="24"/>
          <w:szCs w:val="24"/>
          <w:lang w:val="en"/>
        </w:rPr>
        <w:t xml:space="preserve">: </w:t>
      </w:r>
      <w:r w:rsidR="00D3492B">
        <w:rPr>
          <w:rStyle w:val="tlid-translation"/>
          <w:b/>
          <w:bCs/>
          <w:sz w:val="24"/>
          <w:szCs w:val="24"/>
          <w:lang w:val="en"/>
        </w:rPr>
        <w:t>IPO proceeds</w:t>
      </w:r>
      <w:r w:rsidR="00224836" w:rsidRPr="00CE6819">
        <w:rPr>
          <w:rStyle w:val="tlid-translation"/>
          <w:sz w:val="24"/>
          <w:szCs w:val="24"/>
          <w:lang w:val="en"/>
        </w:rPr>
        <w:t xml:space="preserve">: </w:t>
      </w:r>
      <w:r w:rsidR="0069085F" w:rsidRPr="00CE6819">
        <w:rPr>
          <w:rStyle w:val="tlid-translation"/>
          <w:sz w:val="24"/>
          <w:szCs w:val="24"/>
          <w:lang w:val="en"/>
        </w:rPr>
        <w:t xml:space="preserve">the </w:t>
      </w:r>
      <w:r w:rsidR="00D3492B">
        <w:rPr>
          <w:rStyle w:val="tlid-translation"/>
          <w:sz w:val="24"/>
          <w:szCs w:val="24"/>
          <w:lang w:val="en"/>
        </w:rPr>
        <w:t>IPO proceeds</w:t>
      </w:r>
      <w:r w:rsidR="0069085F" w:rsidRPr="00CE6819">
        <w:rPr>
          <w:rStyle w:val="tlid-translation"/>
          <w:sz w:val="24"/>
          <w:szCs w:val="24"/>
          <w:lang w:val="en"/>
        </w:rPr>
        <w:t xml:space="preserve"> </w:t>
      </w:r>
      <w:r w:rsidR="00224836" w:rsidRPr="00CE6819">
        <w:rPr>
          <w:rStyle w:val="tlid-translation"/>
          <w:sz w:val="24"/>
          <w:szCs w:val="24"/>
          <w:lang w:val="en"/>
        </w:rPr>
        <w:t xml:space="preserve">will </w:t>
      </w:r>
      <w:r w:rsidR="0069085F" w:rsidRPr="00CE6819">
        <w:rPr>
          <w:rStyle w:val="tlid-translation"/>
          <w:sz w:val="24"/>
          <w:szCs w:val="24"/>
          <w:lang w:val="en"/>
        </w:rPr>
        <w:t>a</w:t>
      </w:r>
      <w:r w:rsidR="00224836" w:rsidRPr="00CE6819">
        <w:rPr>
          <w:rStyle w:val="tlid-translation"/>
          <w:sz w:val="24"/>
          <w:szCs w:val="24"/>
          <w:lang w:val="en"/>
        </w:rPr>
        <w:t>ffect</w:t>
      </w:r>
      <w:r w:rsidR="0069085F" w:rsidRPr="00CE6819">
        <w:rPr>
          <w:rStyle w:val="tlid-translation"/>
          <w:sz w:val="24"/>
          <w:szCs w:val="24"/>
          <w:lang w:val="en"/>
        </w:rPr>
        <w:t xml:space="preserve"> in opposite directions.</w:t>
      </w:r>
      <w:r w:rsidR="00224836" w:rsidRPr="00CE6819">
        <w:rPr>
          <w:rStyle w:val="tlid-translation"/>
          <w:sz w:val="24"/>
          <w:szCs w:val="24"/>
          <w:lang w:val="en"/>
        </w:rPr>
        <w:t xml:space="preserve"> </w:t>
      </w:r>
      <w:r w:rsidR="00EB6A60" w:rsidRPr="00CE6819">
        <w:rPr>
          <w:rStyle w:val="tlid-translation"/>
          <w:sz w:val="24"/>
          <w:szCs w:val="24"/>
          <w:lang w:val="en"/>
        </w:rPr>
        <w:t>The sheer amount will have</w:t>
      </w:r>
      <w:r w:rsidR="00224836" w:rsidRPr="00CE6819">
        <w:rPr>
          <w:rStyle w:val="tlid-translation"/>
          <w:sz w:val="24"/>
          <w:szCs w:val="24"/>
          <w:lang w:val="en"/>
        </w:rPr>
        <w:t xml:space="preserve"> a negative impact on </w:t>
      </w:r>
      <w:r w:rsidR="00EB6A60" w:rsidRPr="00CE6819">
        <w:rPr>
          <w:rStyle w:val="tlid-translation"/>
          <w:sz w:val="24"/>
          <w:szCs w:val="24"/>
          <w:lang w:val="en"/>
        </w:rPr>
        <w:t>returns</w:t>
      </w:r>
      <w:r w:rsidR="00224836" w:rsidRPr="00CE6819">
        <w:rPr>
          <w:rStyle w:val="tlid-translation"/>
          <w:sz w:val="24"/>
          <w:szCs w:val="24"/>
          <w:lang w:val="en"/>
        </w:rPr>
        <w:t xml:space="preserve">. </w:t>
      </w:r>
      <w:r w:rsidR="00EB6A60" w:rsidRPr="00CE6819">
        <w:rPr>
          <w:rStyle w:val="tlid-translation"/>
          <w:sz w:val="24"/>
          <w:szCs w:val="24"/>
          <w:lang w:val="en"/>
        </w:rPr>
        <w:t>In</w:t>
      </w:r>
      <w:r w:rsidR="00224836" w:rsidRPr="00CE6819">
        <w:rPr>
          <w:rStyle w:val="tlid-translation"/>
          <w:sz w:val="24"/>
          <w:szCs w:val="24"/>
          <w:lang w:val="en"/>
        </w:rPr>
        <w:t xml:space="preserve"> percentage of </w:t>
      </w:r>
      <w:r w:rsidR="00EB6A60" w:rsidRPr="00CE6819">
        <w:rPr>
          <w:rStyle w:val="tlid-translation"/>
          <w:sz w:val="24"/>
          <w:szCs w:val="24"/>
          <w:lang w:val="en"/>
        </w:rPr>
        <w:t>firm</w:t>
      </w:r>
      <w:r w:rsidR="00A03671">
        <w:rPr>
          <w:rStyle w:val="tlid-translation"/>
          <w:sz w:val="24"/>
          <w:szCs w:val="24"/>
          <w:lang w:val="en"/>
        </w:rPr>
        <w:t>s,</w:t>
      </w:r>
      <w:r w:rsidR="00EB6A60" w:rsidRPr="00CE6819">
        <w:rPr>
          <w:rStyle w:val="tlid-translation"/>
          <w:sz w:val="24"/>
          <w:szCs w:val="24"/>
          <w:lang w:val="en"/>
        </w:rPr>
        <w:t xml:space="preserve"> market</w:t>
      </w:r>
      <w:r w:rsidR="00224836" w:rsidRPr="00CE6819">
        <w:rPr>
          <w:rStyle w:val="tlid-translation"/>
          <w:sz w:val="24"/>
          <w:szCs w:val="24"/>
          <w:lang w:val="en"/>
        </w:rPr>
        <w:t xml:space="preserve"> value, the impact </w:t>
      </w:r>
      <w:r w:rsidR="00EB6A60" w:rsidRPr="00CE6819">
        <w:rPr>
          <w:rStyle w:val="tlid-translation"/>
          <w:sz w:val="24"/>
          <w:szCs w:val="24"/>
          <w:lang w:val="en"/>
        </w:rPr>
        <w:t>will be</w:t>
      </w:r>
      <w:r w:rsidR="00224836" w:rsidRPr="00CE6819">
        <w:rPr>
          <w:rStyle w:val="tlid-translation"/>
          <w:sz w:val="24"/>
          <w:szCs w:val="24"/>
          <w:lang w:val="en"/>
        </w:rPr>
        <w:t xml:space="preserve"> positive.</w:t>
      </w:r>
    </w:p>
    <w:p w14:paraId="175027CA" w14:textId="04334BB5" w:rsidR="00052D5A" w:rsidRPr="00CE6819" w:rsidRDefault="00180BFC" w:rsidP="00D01F96">
      <w:pPr>
        <w:bidi w:val="0"/>
        <w:spacing w:line="360" w:lineRule="auto"/>
        <w:rPr>
          <w:sz w:val="24"/>
          <w:szCs w:val="24"/>
          <w:lang w:val="en"/>
        </w:rPr>
      </w:pPr>
      <w:r w:rsidRPr="00CE6819">
        <w:rPr>
          <w:rStyle w:val="tlid-translation"/>
          <w:sz w:val="24"/>
          <w:szCs w:val="24"/>
          <w:lang w:val="en"/>
        </w:rPr>
        <w:t xml:space="preserve">Drug development is a long and expensive process (see paragraph 1.3) We </w:t>
      </w:r>
      <w:r w:rsidRPr="00CE6819">
        <w:rPr>
          <w:rStyle w:val="tlid-translation"/>
          <w:sz w:val="24"/>
          <w:szCs w:val="24"/>
          <w:lang w:val="en"/>
        </w:rPr>
        <w:t>hypothesize t</w:t>
      </w:r>
      <w:r w:rsidRPr="00CE6819">
        <w:rPr>
          <w:rStyle w:val="tlid-translation"/>
          <w:sz w:val="24"/>
          <w:szCs w:val="24"/>
          <w:lang w:val="en"/>
        </w:rPr>
        <w:t xml:space="preserve">hat advanced regulatory </w:t>
      </w:r>
      <w:r w:rsidR="009635FD" w:rsidRPr="00CE6819">
        <w:rPr>
          <w:rStyle w:val="tlid-translation"/>
          <w:sz w:val="24"/>
          <w:szCs w:val="24"/>
          <w:lang w:val="en"/>
        </w:rPr>
        <w:t>stages</w:t>
      </w:r>
      <w:r w:rsidRPr="00CE6819">
        <w:rPr>
          <w:rStyle w:val="tlid-translation"/>
          <w:sz w:val="24"/>
          <w:szCs w:val="24"/>
          <w:lang w:val="en"/>
        </w:rPr>
        <w:t>, such as Phase III and the market</w:t>
      </w:r>
      <w:r w:rsidR="009635FD" w:rsidRPr="00CE6819">
        <w:rPr>
          <w:rStyle w:val="tlid-translation"/>
          <w:sz w:val="24"/>
          <w:szCs w:val="24"/>
          <w:lang w:val="en"/>
        </w:rPr>
        <w:t xml:space="preserve"> stage</w:t>
      </w:r>
      <w:r w:rsidRPr="00CE6819">
        <w:rPr>
          <w:rStyle w:val="tlid-translation"/>
          <w:sz w:val="24"/>
          <w:szCs w:val="24"/>
          <w:lang w:val="en"/>
        </w:rPr>
        <w:t xml:space="preserve">, will have a positive impact on returns as the company is closer to sales or is already selling. Whereas the earlier stages will have a negative impact due to the large sums of money required until </w:t>
      </w:r>
      <w:r w:rsidR="005B28BE">
        <w:rPr>
          <w:rStyle w:val="tlid-translation"/>
          <w:sz w:val="24"/>
          <w:szCs w:val="24"/>
          <w:lang w:val="en"/>
        </w:rPr>
        <w:t>a</w:t>
      </w:r>
      <w:r w:rsidRPr="00CE6819">
        <w:rPr>
          <w:rStyle w:val="tlid-translation"/>
          <w:sz w:val="24"/>
          <w:szCs w:val="24"/>
          <w:lang w:val="en"/>
        </w:rPr>
        <w:t xml:space="preserve"> product reach</w:t>
      </w:r>
      <w:r w:rsidR="005B28BE">
        <w:rPr>
          <w:rStyle w:val="tlid-translation"/>
          <w:sz w:val="24"/>
          <w:szCs w:val="24"/>
          <w:lang w:val="en"/>
        </w:rPr>
        <w:t>es</w:t>
      </w:r>
      <w:r w:rsidRPr="00CE6819">
        <w:rPr>
          <w:rStyle w:val="tlid-translation"/>
          <w:sz w:val="24"/>
          <w:szCs w:val="24"/>
          <w:lang w:val="en"/>
        </w:rPr>
        <w:t xml:space="preserve"> the market, if at all. It should be noted that these stages are not mutually exclusive as the company can have several products in different therapeutic areas and in different regulatory stages. We also hypothesized that the total number of products and the number of products at each regulatory stage would have a positive impact on the return due to the higher future sales potential. As described above in paragraph 1.4, the area of ​​cardiovascular disease and cancer are responsible for approximately 45% of deaths in the United States in recent years. We assume that engaging in these areas and the number of products in them will have a positive impact on returns.</w:t>
      </w:r>
      <w:r w:rsidRPr="00CE6819">
        <w:rPr>
          <w:sz w:val="24"/>
          <w:szCs w:val="24"/>
          <w:lang w:val="en"/>
        </w:rPr>
        <w:br/>
      </w:r>
      <w:r w:rsidRPr="00CE6819">
        <w:rPr>
          <w:rStyle w:val="tlid-translation"/>
          <w:sz w:val="24"/>
          <w:szCs w:val="24"/>
          <w:lang w:val="en"/>
        </w:rPr>
        <w:t>We respectively formulated the following hypotheses:</w:t>
      </w:r>
    </w:p>
    <w:p w14:paraId="4A7F84D2" w14:textId="614C214A" w:rsidR="008821FE" w:rsidRPr="00CE6819" w:rsidRDefault="009635FD" w:rsidP="00D01F96">
      <w:pPr>
        <w:bidi w:val="0"/>
        <w:spacing w:line="360" w:lineRule="auto"/>
        <w:rPr>
          <w:sz w:val="24"/>
          <w:szCs w:val="24"/>
          <w:lang w:val="en"/>
        </w:rPr>
      </w:pPr>
      <w:r w:rsidRPr="00CE6819">
        <w:rPr>
          <w:rStyle w:val="tlid-translation"/>
          <w:b/>
          <w:bCs/>
          <w:sz w:val="24"/>
          <w:szCs w:val="24"/>
          <w:lang w:val="en"/>
        </w:rPr>
        <w:t>H5: Regulatory phase</w:t>
      </w:r>
      <w:r w:rsidRPr="00CE6819">
        <w:rPr>
          <w:rStyle w:val="tlid-translation"/>
          <w:sz w:val="24"/>
          <w:szCs w:val="24"/>
          <w:lang w:val="en"/>
        </w:rPr>
        <w:t xml:space="preserve">: Advanced </w:t>
      </w:r>
      <w:r w:rsidR="008821FE" w:rsidRPr="00CE6819">
        <w:rPr>
          <w:rStyle w:val="tlid-translation"/>
          <w:sz w:val="24"/>
          <w:szCs w:val="24"/>
          <w:lang w:val="en"/>
        </w:rPr>
        <w:t>drug development stages</w:t>
      </w:r>
      <w:r w:rsidR="008C7DDE">
        <w:rPr>
          <w:rStyle w:val="tlid-translation"/>
          <w:sz w:val="24"/>
          <w:szCs w:val="24"/>
          <w:lang w:val="en"/>
        </w:rPr>
        <w:t>:</w:t>
      </w:r>
      <w:r w:rsidR="008821FE" w:rsidRPr="00CE6819">
        <w:rPr>
          <w:rStyle w:val="tlid-translation"/>
          <w:sz w:val="24"/>
          <w:szCs w:val="24"/>
          <w:lang w:val="en"/>
        </w:rPr>
        <w:t xml:space="preserve"> phase</w:t>
      </w:r>
      <w:r w:rsidRPr="00CE6819">
        <w:rPr>
          <w:rStyle w:val="tlid-translation"/>
          <w:sz w:val="24"/>
          <w:szCs w:val="24"/>
          <w:lang w:val="en"/>
        </w:rPr>
        <w:t xml:space="preserve"> III or market </w:t>
      </w:r>
      <w:r w:rsidR="008821FE" w:rsidRPr="00CE6819">
        <w:rPr>
          <w:rStyle w:val="tlid-translation"/>
          <w:sz w:val="24"/>
          <w:szCs w:val="24"/>
          <w:lang w:val="en"/>
        </w:rPr>
        <w:t>stage</w:t>
      </w:r>
      <w:r w:rsidRPr="00CE6819">
        <w:rPr>
          <w:rStyle w:val="tlid-translation"/>
          <w:sz w:val="24"/>
          <w:szCs w:val="24"/>
          <w:lang w:val="en"/>
        </w:rPr>
        <w:t xml:space="preserve"> will have a positive impact on returns</w:t>
      </w:r>
      <w:r w:rsidR="008821FE" w:rsidRPr="00CE6819">
        <w:rPr>
          <w:rStyle w:val="tlid-translation"/>
          <w:sz w:val="24"/>
          <w:szCs w:val="24"/>
          <w:lang w:val="en"/>
        </w:rPr>
        <w:t>.</w:t>
      </w:r>
      <w:r w:rsidRPr="00CE6819">
        <w:rPr>
          <w:rStyle w:val="tlid-translation"/>
          <w:sz w:val="24"/>
          <w:szCs w:val="24"/>
          <w:lang w:val="en"/>
        </w:rPr>
        <w:t xml:space="preserve"> </w:t>
      </w:r>
      <w:r w:rsidR="008C7DDE">
        <w:rPr>
          <w:rStyle w:val="tlid-translation"/>
          <w:sz w:val="24"/>
          <w:szCs w:val="24"/>
          <w:lang w:val="en"/>
        </w:rPr>
        <w:t xml:space="preserve">The </w:t>
      </w:r>
      <w:r w:rsidRPr="00CE6819">
        <w:rPr>
          <w:rStyle w:val="tlid-translation"/>
          <w:sz w:val="24"/>
          <w:szCs w:val="24"/>
          <w:lang w:val="en"/>
        </w:rPr>
        <w:t>earl</w:t>
      </w:r>
      <w:r w:rsidR="008C7DDE">
        <w:rPr>
          <w:rStyle w:val="tlid-translation"/>
          <w:sz w:val="24"/>
          <w:szCs w:val="24"/>
          <w:lang w:val="en"/>
        </w:rPr>
        <w:t>ier</w:t>
      </w:r>
      <w:r w:rsidRPr="00CE6819">
        <w:rPr>
          <w:rStyle w:val="tlid-translation"/>
          <w:sz w:val="24"/>
          <w:szCs w:val="24"/>
          <w:lang w:val="en"/>
        </w:rPr>
        <w:t xml:space="preserve"> stage</w:t>
      </w:r>
      <w:r w:rsidR="008821FE" w:rsidRPr="00CE6819">
        <w:rPr>
          <w:rStyle w:val="tlid-translation"/>
          <w:sz w:val="24"/>
          <w:szCs w:val="24"/>
          <w:lang w:val="en"/>
        </w:rPr>
        <w:t>s</w:t>
      </w:r>
      <w:r w:rsidRPr="00CE6819">
        <w:rPr>
          <w:rStyle w:val="tlid-translation"/>
          <w:sz w:val="24"/>
          <w:szCs w:val="24"/>
          <w:lang w:val="en"/>
        </w:rPr>
        <w:t xml:space="preserve"> will have a negative effect.</w:t>
      </w:r>
    </w:p>
    <w:p w14:paraId="706748AA" w14:textId="6BDBB23E" w:rsidR="00052D5A" w:rsidRPr="00CE6819" w:rsidRDefault="009635FD" w:rsidP="00D01F96">
      <w:pPr>
        <w:bidi w:val="0"/>
        <w:spacing w:line="360" w:lineRule="auto"/>
        <w:rPr>
          <w:sz w:val="24"/>
          <w:szCs w:val="24"/>
          <w:lang w:val="en"/>
        </w:rPr>
      </w:pPr>
      <w:r w:rsidRPr="00CE6819">
        <w:rPr>
          <w:rStyle w:val="tlid-translation"/>
          <w:b/>
          <w:bCs/>
          <w:sz w:val="24"/>
          <w:szCs w:val="24"/>
          <w:lang w:val="en"/>
        </w:rPr>
        <w:t>H6: Number of products</w:t>
      </w:r>
      <w:r w:rsidRPr="00CE6819">
        <w:rPr>
          <w:rStyle w:val="tlid-translation"/>
          <w:sz w:val="24"/>
          <w:szCs w:val="24"/>
          <w:lang w:val="en"/>
        </w:rPr>
        <w:t xml:space="preserve">: The total number of products and the number of products at each regulatory stage will have a positive impact on </w:t>
      </w:r>
      <w:r w:rsidR="008821FE" w:rsidRPr="00CE6819">
        <w:rPr>
          <w:rStyle w:val="tlid-translation"/>
          <w:sz w:val="24"/>
          <w:szCs w:val="24"/>
          <w:lang w:val="en"/>
        </w:rPr>
        <w:t>return</w:t>
      </w:r>
      <w:r w:rsidRPr="00CE6819">
        <w:rPr>
          <w:rStyle w:val="tlid-translation"/>
          <w:sz w:val="24"/>
          <w:szCs w:val="24"/>
          <w:lang w:val="en"/>
        </w:rPr>
        <w:t>.</w:t>
      </w:r>
      <w:r w:rsidRPr="00CE6819">
        <w:rPr>
          <w:sz w:val="24"/>
          <w:szCs w:val="24"/>
          <w:lang w:val="en"/>
        </w:rPr>
        <w:br/>
      </w:r>
      <w:r w:rsidRPr="00CE6819">
        <w:rPr>
          <w:sz w:val="24"/>
          <w:szCs w:val="24"/>
          <w:lang w:val="en"/>
        </w:rPr>
        <w:br/>
      </w:r>
      <w:r w:rsidR="008821FE" w:rsidRPr="00CE6819">
        <w:rPr>
          <w:rStyle w:val="tlid-translation"/>
          <w:b/>
          <w:bCs/>
          <w:sz w:val="24"/>
          <w:szCs w:val="24"/>
          <w:lang w:val="en"/>
        </w:rPr>
        <w:t>H7</w:t>
      </w:r>
      <w:r w:rsidRPr="00CE6819">
        <w:rPr>
          <w:rStyle w:val="tlid-translation"/>
          <w:b/>
          <w:bCs/>
          <w:sz w:val="24"/>
          <w:szCs w:val="24"/>
          <w:lang w:val="en"/>
        </w:rPr>
        <w:t xml:space="preserve">: Therapeutic </w:t>
      </w:r>
      <w:r w:rsidR="008821FE" w:rsidRPr="00CE6819">
        <w:rPr>
          <w:rStyle w:val="tlid-translation"/>
          <w:b/>
          <w:bCs/>
          <w:sz w:val="24"/>
          <w:szCs w:val="24"/>
          <w:lang w:val="en"/>
        </w:rPr>
        <w:t>area</w:t>
      </w:r>
      <w:r w:rsidRPr="00CE6819">
        <w:rPr>
          <w:rStyle w:val="tlid-translation"/>
          <w:sz w:val="24"/>
          <w:szCs w:val="24"/>
          <w:lang w:val="en"/>
        </w:rPr>
        <w:t xml:space="preserve">: </w:t>
      </w:r>
      <w:r w:rsidR="008821FE" w:rsidRPr="00CE6819">
        <w:rPr>
          <w:rStyle w:val="tlid-translation"/>
          <w:sz w:val="24"/>
          <w:szCs w:val="24"/>
          <w:lang w:val="en"/>
        </w:rPr>
        <w:t>Developing drugs in the areas of cardiology and oncology</w:t>
      </w:r>
      <w:r w:rsidRPr="00CE6819">
        <w:rPr>
          <w:rStyle w:val="tlid-translation"/>
          <w:sz w:val="24"/>
          <w:szCs w:val="24"/>
          <w:lang w:val="en"/>
        </w:rPr>
        <w:t xml:space="preserve"> as well as the number of products in these areas will have a positive impact on </w:t>
      </w:r>
      <w:r w:rsidR="008821FE" w:rsidRPr="00CE6819">
        <w:rPr>
          <w:rStyle w:val="tlid-translation"/>
          <w:sz w:val="24"/>
          <w:szCs w:val="24"/>
          <w:lang w:val="en"/>
        </w:rPr>
        <w:t>return</w:t>
      </w:r>
      <w:r w:rsidRPr="00CE6819">
        <w:rPr>
          <w:rStyle w:val="tlid-translation"/>
          <w:sz w:val="24"/>
          <w:szCs w:val="24"/>
          <w:lang w:val="en"/>
        </w:rPr>
        <w:t>.</w:t>
      </w:r>
    </w:p>
    <w:p w14:paraId="5478FE57" w14:textId="4A1C052D" w:rsidR="008821FE" w:rsidRPr="00CE6819" w:rsidRDefault="008821FE" w:rsidP="00D01F96">
      <w:pPr>
        <w:bidi w:val="0"/>
        <w:spacing w:line="360" w:lineRule="auto"/>
        <w:rPr>
          <w:sz w:val="24"/>
          <w:szCs w:val="24"/>
          <w:lang w:val="en"/>
        </w:rPr>
      </w:pPr>
      <w:r w:rsidRPr="00CE6819">
        <w:rPr>
          <w:rStyle w:val="tlid-translation"/>
          <w:sz w:val="24"/>
          <w:szCs w:val="24"/>
          <w:lang w:val="en"/>
        </w:rPr>
        <w:t xml:space="preserve">In our database, </w:t>
      </w:r>
      <w:r w:rsidR="00844246" w:rsidRPr="00CE6819">
        <w:rPr>
          <w:rStyle w:val="tlid-translation"/>
          <w:sz w:val="24"/>
          <w:szCs w:val="24"/>
          <w:lang w:val="en"/>
        </w:rPr>
        <w:t>the majority of the firms are in the early stages of drugs development and therefore are characterized by a</w:t>
      </w:r>
      <w:r w:rsidRPr="00CE6819">
        <w:rPr>
          <w:rStyle w:val="tlid-translation"/>
          <w:sz w:val="24"/>
          <w:szCs w:val="24"/>
          <w:lang w:val="en"/>
        </w:rPr>
        <w:t xml:space="preserve"> lot of uncertainty. </w:t>
      </w:r>
      <w:r w:rsidR="00844246" w:rsidRPr="00CE6819">
        <w:rPr>
          <w:rStyle w:val="tlid-translation"/>
          <w:sz w:val="24"/>
          <w:szCs w:val="24"/>
          <w:lang w:val="en"/>
        </w:rPr>
        <w:t>I</w:t>
      </w:r>
      <w:r w:rsidRPr="00CE6819">
        <w:rPr>
          <w:rStyle w:val="tlid-translation"/>
          <w:sz w:val="24"/>
          <w:szCs w:val="24"/>
          <w:lang w:val="en"/>
        </w:rPr>
        <w:t xml:space="preserve">nvestors will tend to treat such stocks as </w:t>
      </w:r>
      <w:r w:rsidR="00844246" w:rsidRPr="00CE6819">
        <w:rPr>
          <w:rStyle w:val="tlid-translation"/>
          <w:sz w:val="24"/>
          <w:szCs w:val="24"/>
          <w:lang w:val="en"/>
        </w:rPr>
        <w:t>lottery stocks (see section 1.5)</w:t>
      </w:r>
      <w:r w:rsidRPr="00CE6819">
        <w:rPr>
          <w:rStyle w:val="tlid-translation"/>
          <w:sz w:val="24"/>
          <w:szCs w:val="24"/>
          <w:lang w:val="en"/>
        </w:rPr>
        <w:t xml:space="preserve">. </w:t>
      </w:r>
      <w:r w:rsidR="00844246" w:rsidRPr="00CE6819">
        <w:rPr>
          <w:rStyle w:val="tlid-translation"/>
          <w:sz w:val="24"/>
          <w:szCs w:val="24"/>
          <w:lang w:val="en"/>
        </w:rPr>
        <w:t>In which</w:t>
      </w:r>
      <w:r w:rsidRPr="00CE6819">
        <w:rPr>
          <w:rStyle w:val="tlid-translation"/>
          <w:sz w:val="24"/>
          <w:szCs w:val="24"/>
          <w:lang w:val="en"/>
        </w:rPr>
        <w:t xml:space="preserve"> there is a small probability of huge rewards (</w:t>
      </w:r>
      <w:r w:rsidR="00844246" w:rsidRPr="00CE6819">
        <w:rPr>
          <w:rStyle w:val="tlid-translation"/>
          <w:sz w:val="24"/>
          <w:szCs w:val="24"/>
          <w:lang w:val="en"/>
        </w:rPr>
        <w:t>moving to the next stage</w:t>
      </w:r>
      <w:r w:rsidRPr="00CE6819">
        <w:rPr>
          <w:rStyle w:val="tlid-translation"/>
          <w:sz w:val="24"/>
          <w:szCs w:val="24"/>
          <w:lang w:val="en"/>
        </w:rPr>
        <w:t xml:space="preserve">) and a large probability of </w:t>
      </w:r>
      <w:r w:rsidRPr="00CE6819">
        <w:rPr>
          <w:rStyle w:val="tlid-translation"/>
          <w:sz w:val="24"/>
          <w:szCs w:val="24"/>
          <w:lang w:val="en"/>
        </w:rPr>
        <w:lastRenderedPageBreak/>
        <w:t>small losses (</w:t>
      </w:r>
      <w:r w:rsidR="00844246" w:rsidRPr="00CE6819">
        <w:rPr>
          <w:rStyle w:val="tlid-translation"/>
          <w:sz w:val="24"/>
          <w:szCs w:val="24"/>
          <w:lang w:val="en"/>
        </w:rPr>
        <w:t>failure to pass the ne</w:t>
      </w:r>
      <w:r w:rsidR="008C7DDE">
        <w:rPr>
          <w:rStyle w:val="tlid-translation"/>
          <w:sz w:val="24"/>
          <w:szCs w:val="24"/>
          <w:lang w:val="en"/>
        </w:rPr>
        <w:t>x</w:t>
      </w:r>
      <w:r w:rsidR="00844246" w:rsidRPr="00CE6819">
        <w:rPr>
          <w:rStyle w:val="tlid-translation"/>
          <w:sz w:val="24"/>
          <w:szCs w:val="24"/>
          <w:lang w:val="en"/>
        </w:rPr>
        <w:t>t stage</w:t>
      </w:r>
      <w:r w:rsidRPr="00CE6819">
        <w:rPr>
          <w:rStyle w:val="tlid-translation"/>
          <w:sz w:val="24"/>
          <w:szCs w:val="24"/>
          <w:lang w:val="en"/>
        </w:rPr>
        <w:t>). If the profit potential is not realized</w:t>
      </w:r>
      <w:r w:rsidR="00844246" w:rsidRPr="00CE6819">
        <w:rPr>
          <w:rStyle w:val="tlid-translation"/>
          <w:sz w:val="24"/>
          <w:szCs w:val="24"/>
          <w:lang w:val="en"/>
        </w:rPr>
        <w:t xml:space="preserve"> after a short holding period</w:t>
      </w:r>
      <w:r w:rsidRPr="00CE6819">
        <w:rPr>
          <w:rStyle w:val="tlid-translation"/>
          <w:sz w:val="24"/>
          <w:szCs w:val="24"/>
          <w:lang w:val="en"/>
        </w:rPr>
        <w:t xml:space="preserve">, the investor will </w:t>
      </w:r>
      <w:r w:rsidR="008C7DDE">
        <w:rPr>
          <w:rStyle w:val="tlid-translation"/>
          <w:sz w:val="24"/>
          <w:szCs w:val="24"/>
          <w:lang w:val="en"/>
        </w:rPr>
        <w:t>get</w:t>
      </w:r>
      <w:r w:rsidRPr="00CE6819">
        <w:rPr>
          <w:rStyle w:val="tlid-translation"/>
          <w:sz w:val="24"/>
          <w:szCs w:val="24"/>
          <w:lang w:val="en"/>
        </w:rPr>
        <w:t xml:space="preserve"> rid of this share. We assume that small </w:t>
      </w:r>
      <w:r w:rsidR="00844246" w:rsidRPr="00CE6819">
        <w:rPr>
          <w:rStyle w:val="tlid-translation"/>
          <w:sz w:val="24"/>
          <w:szCs w:val="24"/>
          <w:lang w:val="en"/>
        </w:rPr>
        <w:t>firms'</w:t>
      </w:r>
      <w:r w:rsidRPr="00CE6819">
        <w:rPr>
          <w:rStyle w:val="tlid-translation"/>
          <w:sz w:val="24"/>
          <w:szCs w:val="24"/>
          <w:lang w:val="en"/>
        </w:rPr>
        <w:t xml:space="preserve"> shares </w:t>
      </w:r>
      <w:r w:rsidR="008C7DDE">
        <w:rPr>
          <w:rStyle w:val="tlid-translation"/>
          <w:sz w:val="24"/>
          <w:szCs w:val="24"/>
          <w:lang w:val="en"/>
        </w:rPr>
        <w:t>are</w:t>
      </w:r>
      <w:r w:rsidRPr="00CE6819">
        <w:rPr>
          <w:rStyle w:val="tlid-translation"/>
          <w:sz w:val="24"/>
          <w:szCs w:val="24"/>
          <w:lang w:val="en"/>
        </w:rPr>
        <w:t xml:space="preserve"> more likely to be </w:t>
      </w:r>
      <w:r w:rsidR="00844246" w:rsidRPr="00CE6819">
        <w:rPr>
          <w:rStyle w:val="tlid-translation"/>
          <w:sz w:val="24"/>
          <w:szCs w:val="24"/>
          <w:lang w:val="en"/>
        </w:rPr>
        <w:t xml:space="preserve">perceived as </w:t>
      </w:r>
      <w:r w:rsidRPr="00CE6819">
        <w:rPr>
          <w:rStyle w:val="tlid-translation"/>
          <w:sz w:val="24"/>
          <w:szCs w:val="24"/>
          <w:lang w:val="en"/>
        </w:rPr>
        <w:t>lottery shares. As reflected in lower trading volume and lower share price</w:t>
      </w:r>
      <w:r w:rsidR="00FC521A" w:rsidRPr="00CE6819">
        <w:rPr>
          <w:rStyle w:val="FootnoteReference"/>
          <w:sz w:val="24"/>
          <w:szCs w:val="24"/>
          <w:lang w:val="en"/>
        </w:rPr>
        <w:footnoteReference w:id="1"/>
      </w:r>
      <w:r w:rsidRPr="00CE6819">
        <w:rPr>
          <w:rStyle w:val="tlid-translation"/>
          <w:sz w:val="24"/>
          <w:szCs w:val="24"/>
          <w:lang w:val="en"/>
        </w:rPr>
        <w:t>. We respectively formulated the following research hypothes</w:t>
      </w:r>
      <w:r w:rsidR="003A59AB" w:rsidRPr="00CE6819">
        <w:rPr>
          <w:rStyle w:val="tlid-translation"/>
          <w:sz w:val="24"/>
          <w:szCs w:val="24"/>
          <w:lang w:val="en"/>
        </w:rPr>
        <w:t>i</w:t>
      </w:r>
      <w:r w:rsidRPr="00CE6819">
        <w:rPr>
          <w:rStyle w:val="tlid-translation"/>
          <w:sz w:val="24"/>
          <w:szCs w:val="24"/>
          <w:lang w:val="en"/>
        </w:rPr>
        <w:t>s:</w:t>
      </w:r>
      <w:r w:rsidRPr="00CE6819">
        <w:rPr>
          <w:sz w:val="24"/>
          <w:szCs w:val="24"/>
          <w:lang w:val="en"/>
        </w:rPr>
        <w:br/>
      </w:r>
      <w:r w:rsidR="003A59AB" w:rsidRPr="00CE6819">
        <w:rPr>
          <w:rStyle w:val="tlid-translation"/>
          <w:b/>
          <w:bCs/>
          <w:sz w:val="24"/>
          <w:szCs w:val="24"/>
          <w:lang w:val="en"/>
        </w:rPr>
        <w:t>H8</w:t>
      </w:r>
      <w:r w:rsidRPr="00CE6819">
        <w:rPr>
          <w:rStyle w:val="tlid-translation"/>
          <w:b/>
          <w:bCs/>
          <w:sz w:val="24"/>
          <w:szCs w:val="24"/>
          <w:lang w:val="en"/>
        </w:rPr>
        <w:t xml:space="preserve">: </w:t>
      </w:r>
      <w:r w:rsidR="003A59AB" w:rsidRPr="00CE6819">
        <w:rPr>
          <w:rStyle w:val="tlid-translation"/>
          <w:b/>
          <w:bCs/>
          <w:sz w:val="24"/>
          <w:szCs w:val="24"/>
          <w:lang w:val="en"/>
        </w:rPr>
        <w:t>Lottery type stocks</w:t>
      </w:r>
      <w:r w:rsidR="003A59AB" w:rsidRPr="00CE6819">
        <w:rPr>
          <w:rStyle w:val="tlid-translation"/>
          <w:sz w:val="24"/>
          <w:szCs w:val="24"/>
          <w:lang w:val="en"/>
        </w:rPr>
        <w:t xml:space="preserve">: </w:t>
      </w:r>
      <w:r w:rsidRPr="00CE6819">
        <w:rPr>
          <w:rStyle w:val="tlid-translation"/>
          <w:sz w:val="24"/>
          <w:szCs w:val="24"/>
          <w:lang w:val="en"/>
        </w:rPr>
        <w:t xml:space="preserve">Small </w:t>
      </w:r>
      <w:r w:rsidR="003A59AB" w:rsidRPr="00CE6819">
        <w:rPr>
          <w:rStyle w:val="tlid-translation"/>
          <w:sz w:val="24"/>
          <w:szCs w:val="24"/>
          <w:lang w:val="en"/>
        </w:rPr>
        <w:t>firms'</w:t>
      </w:r>
      <w:r w:rsidRPr="00CE6819">
        <w:rPr>
          <w:rStyle w:val="tlid-translation"/>
          <w:sz w:val="24"/>
          <w:szCs w:val="24"/>
          <w:lang w:val="en"/>
        </w:rPr>
        <w:t xml:space="preserve"> shares are </w:t>
      </w:r>
      <w:r w:rsidR="003A59AB" w:rsidRPr="00CE6819">
        <w:rPr>
          <w:rStyle w:val="tlid-translation"/>
          <w:sz w:val="24"/>
          <w:szCs w:val="24"/>
          <w:lang w:val="en"/>
        </w:rPr>
        <w:t>perceived as</w:t>
      </w:r>
      <w:r w:rsidRPr="00CE6819">
        <w:rPr>
          <w:rStyle w:val="tlid-translation"/>
          <w:sz w:val="24"/>
          <w:szCs w:val="24"/>
          <w:lang w:val="en"/>
        </w:rPr>
        <w:t xml:space="preserve"> lottery </w:t>
      </w:r>
      <w:r w:rsidR="003A59AB" w:rsidRPr="00CE6819">
        <w:rPr>
          <w:rStyle w:val="tlid-translation"/>
          <w:sz w:val="24"/>
          <w:szCs w:val="24"/>
          <w:lang w:val="en"/>
        </w:rPr>
        <w:t>stocks</w:t>
      </w:r>
      <w:r w:rsidRPr="00CE6819">
        <w:rPr>
          <w:rStyle w:val="tlid-translation"/>
          <w:sz w:val="24"/>
          <w:szCs w:val="24"/>
          <w:lang w:val="en"/>
        </w:rPr>
        <w:t xml:space="preserve"> and therefore will underperform</w:t>
      </w:r>
      <w:r w:rsidR="003A59AB" w:rsidRPr="00CE6819">
        <w:rPr>
          <w:rStyle w:val="tlid-translation"/>
          <w:sz w:val="24"/>
          <w:szCs w:val="24"/>
          <w:lang w:val="en"/>
        </w:rPr>
        <w:t xml:space="preserve"> </w:t>
      </w:r>
      <w:r w:rsidRPr="00CE6819">
        <w:rPr>
          <w:rStyle w:val="tlid-translation"/>
          <w:sz w:val="24"/>
          <w:szCs w:val="24"/>
          <w:lang w:val="en"/>
        </w:rPr>
        <w:t xml:space="preserve">and </w:t>
      </w:r>
      <w:r w:rsidR="003A59AB" w:rsidRPr="00CE6819">
        <w:rPr>
          <w:rStyle w:val="tlid-translation"/>
          <w:sz w:val="24"/>
          <w:szCs w:val="24"/>
          <w:lang w:val="en"/>
        </w:rPr>
        <w:t xml:space="preserve">will demonstrate </w:t>
      </w:r>
      <w:r w:rsidRPr="00CE6819">
        <w:rPr>
          <w:rStyle w:val="tlid-translation"/>
          <w:sz w:val="24"/>
          <w:szCs w:val="24"/>
          <w:lang w:val="en"/>
        </w:rPr>
        <w:t>low</w:t>
      </w:r>
      <w:r w:rsidR="003A59AB" w:rsidRPr="00CE6819">
        <w:rPr>
          <w:rStyle w:val="tlid-translation"/>
          <w:sz w:val="24"/>
          <w:szCs w:val="24"/>
          <w:lang w:val="en"/>
        </w:rPr>
        <w:t>er</w:t>
      </w:r>
      <w:r w:rsidR="00F26E1E" w:rsidRPr="00CE6819">
        <w:rPr>
          <w:rStyle w:val="tlid-translation"/>
          <w:sz w:val="24"/>
          <w:szCs w:val="24"/>
          <w:lang w:val="en"/>
        </w:rPr>
        <w:t xml:space="preserve"> trading volume and lower stock</w:t>
      </w:r>
      <w:r w:rsidRPr="00CE6819">
        <w:rPr>
          <w:rStyle w:val="tlid-translation"/>
          <w:sz w:val="24"/>
          <w:szCs w:val="24"/>
          <w:lang w:val="en"/>
        </w:rPr>
        <w:t xml:space="preserve"> price</w:t>
      </w:r>
    </w:p>
    <w:p w14:paraId="5905110D" w14:textId="77777777" w:rsidR="00353803" w:rsidRPr="00CE6819" w:rsidRDefault="00353803" w:rsidP="00D01F96">
      <w:pPr>
        <w:autoSpaceDE w:val="0"/>
        <w:autoSpaceDN w:val="0"/>
        <w:bidi w:val="0"/>
        <w:adjustRightInd w:val="0"/>
        <w:spacing w:line="360" w:lineRule="auto"/>
        <w:rPr>
          <w:rFonts w:asciiTheme="minorBidi" w:hAnsiTheme="minorBidi"/>
          <w:b/>
          <w:bCs/>
          <w:sz w:val="24"/>
          <w:szCs w:val="24"/>
        </w:rPr>
      </w:pPr>
    </w:p>
    <w:p w14:paraId="56872416" w14:textId="024981CC" w:rsidR="003F070C" w:rsidRPr="00CE6819" w:rsidRDefault="003F070C" w:rsidP="00D01F96">
      <w:pPr>
        <w:autoSpaceDE w:val="0"/>
        <w:autoSpaceDN w:val="0"/>
        <w:bidi w:val="0"/>
        <w:adjustRightInd w:val="0"/>
        <w:spacing w:line="360" w:lineRule="auto"/>
        <w:rPr>
          <w:rFonts w:asciiTheme="minorBidi" w:hAnsiTheme="minorBidi"/>
          <w:b/>
          <w:bCs/>
          <w:sz w:val="24"/>
          <w:szCs w:val="24"/>
        </w:rPr>
      </w:pPr>
      <w:r w:rsidRPr="00CE6819">
        <w:rPr>
          <w:rFonts w:asciiTheme="minorBidi" w:hAnsiTheme="minorBidi"/>
          <w:b/>
          <w:bCs/>
          <w:sz w:val="24"/>
          <w:szCs w:val="24"/>
          <w:rtl/>
        </w:rPr>
        <w:t>2</w:t>
      </w:r>
      <w:r w:rsidRPr="00CE6819">
        <w:rPr>
          <w:rFonts w:asciiTheme="minorBidi" w:hAnsiTheme="minorBidi"/>
          <w:b/>
          <w:bCs/>
          <w:sz w:val="24"/>
          <w:szCs w:val="24"/>
        </w:rPr>
        <w:t>.2 Data and Method</w:t>
      </w:r>
    </w:p>
    <w:p w14:paraId="074F09A8" w14:textId="314BBAD7" w:rsidR="00353803" w:rsidRPr="00CE6819" w:rsidRDefault="003F070C" w:rsidP="00D01F96">
      <w:pPr>
        <w:autoSpaceDE w:val="0"/>
        <w:autoSpaceDN w:val="0"/>
        <w:bidi w:val="0"/>
        <w:adjustRightInd w:val="0"/>
        <w:spacing w:line="360" w:lineRule="auto"/>
        <w:rPr>
          <w:sz w:val="24"/>
          <w:szCs w:val="24"/>
        </w:rPr>
      </w:pPr>
      <w:r w:rsidRPr="00CE6819">
        <w:rPr>
          <w:sz w:val="24"/>
          <w:szCs w:val="24"/>
        </w:rPr>
        <w:t xml:space="preserve">Our initial database consisted of all biotech companies that issued IPOs in the </w:t>
      </w:r>
      <w:r w:rsidR="00353803" w:rsidRPr="00CE6819">
        <w:rPr>
          <w:sz w:val="24"/>
          <w:szCs w:val="24"/>
        </w:rPr>
        <w:t xml:space="preserve">U.S. from </w:t>
      </w:r>
      <w:r w:rsidRPr="00CE6819">
        <w:rPr>
          <w:sz w:val="24"/>
          <w:szCs w:val="24"/>
        </w:rPr>
        <w:t xml:space="preserve">January 2013 to </w:t>
      </w:r>
      <w:r w:rsidR="00353803" w:rsidRPr="00CE6819">
        <w:rPr>
          <w:sz w:val="24"/>
          <w:szCs w:val="24"/>
        </w:rPr>
        <w:t>December</w:t>
      </w:r>
      <w:r w:rsidRPr="00CE6819">
        <w:rPr>
          <w:sz w:val="24"/>
          <w:szCs w:val="24"/>
        </w:rPr>
        <w:t xml:space="preserve"> 201</w:t>
      </w:r>
      <w:r w:rsidR="00353803" w:rsidRPr="00CE6819">
        <w:rPr>
          <w:sz w:val="24"/>
          <w:szCs w:val="24"/>
        </w:rPr>
        <w:t>8</w:t>
      </w:r>
      <w:r w:rsidRPr="00CE6819">
        <w:rPr>
          <w:sz w:val="24"/>
          <w:szCs w:val="24"/>
        </w:rPr>
        <w:t>.</w:t>
      </w:r>
      <w:r w:rsidR="00353803" w:rsidRPr="00CE6819">
        <w:rPr>
          <w:sz w:val="24"/>
          <w:szCs w:val="24"/>
        </w:rPr>
        <w:t xml:space="preserve"> </w:t>
      </w:r>
      <w:r w:rsidR="00F1625D" w:rsidRPr="00CE6819">
        <w:rPr>
          <w:sz w:val="24"/>
          <w:szCs w:val="24"/>
        </w:rPr>
        <w:t xml:space="preserve">In our database, </w:t>
      </w:r>
      <w:r w:rsidR="00353803" w:rsidRPr="00CE6819">
        <w:rPr>
          <w:sz w:val="24"/>
          <w:szCs w:val="24"/>
        </w:rPr>
        <w:t>96% of the firms were issued on NASDAQ and the rest in NYSE</w:t>
      </w:r>
      <w:r w:rsidRPr="00CE6819">
        <w:rPr>
          <w:sz w:val="24"/>
          <w:szCs w:val="24"/>
        </w:rPr>
        <w:t xml:space="preserve">. We excluded firms that became private or were merged into or acquired by others from the time of the IPO until </w:t>
      </w:r>
      <w:r w:rsidR="00353803" w:rsidRPr="00CE6819">
        <w:rPr>
          <w:sz w:val="24"/>
          <w:szCs w:val="24"/>
        </w:rPr>
        <w:t>eighteen months</w:t>
      </w:r>
      <w:r w:rsidRPr="00CE6819">
        <w:rPr>
          <w:sz w:val="24"/>
          <w:szCs w:val="24"/>
        </w:rPr>
        <w:t xml:space="preserve"> following the IPO. Our final database consisted of </w:t>
      </w:r>
      <w:r w:rsidR="00353803" w:rsidRPr="00CE6819">
        <w:rPr>
          <w:sz w:val="24"/>
          <w:szCs w:val="24"/>
        </w:rPr>
        <w:t>310</w:t>
      </w:r>
      <w:r w:rsidRPr="00CE6819">
        <w:rPr>
          <w:sz w:val="24"/>
          <w:szCs w:val="24"/>
        </w:rPr>
        <w:t xml:space="preserve"> firms.</w:t>
      </w:r>
    </w:p>
    <w:p w14:paraId="600719A1" w14:textId="271D1FAF" w:rsidR="00BA464C" w:rsidRPr="00BA464C" w:rsidRDefault="000D4425" w:rsidP="00BA464C">
      <w:pPr>
        <w:autoSpaceDE w:val="0"/>
        <w:autoSpaceDN w:val="0"/>
        <w:bidi w:val="0"/>
        <w:adjustRightInd w:val="0"/>
        <w:spacing w:line="360" w:lineRule="auto"/>
        <w:rPr>
          <w:sz w:val="24"/>
          <w:szCs w:val="24"/>
          <w:lang w:val="en"/>
        </w:rPr>
      </w:pPr>
      <w:r w:rsidRPr="00CE6819">
        <w:rPr>
          <w:rStyle w:val="tlid-translation"/>
          <w:sz w:val="24"/>
          <w:szCs w:val="24"/>
          <w:lang w:val="en"/>
        </w:rPr>
        <w:t>Evaluate Pharma</w:t>
      </w:r>
      <w:r w:rsidRPr="00CE6819">
        <w:rPr>
          <w:rStyle w:val="FootnoteReference"/>
          <w:sz w:val="24"/>
          <w:szCs w:val="24"/>
        </w:rPr>
        <w:footnoteReference w:id="2"/>
      </w:r>
      <w:r w:rsidRPr="00CE6819">
        <w:rPr>
          <w:rStyle w:val="tlid-translation"/>
          <w:sz w:val="24"/>
          <w:szCs w:val="24"/>
          <w:lang w:val="en"/>
        </w:rPr>
        <w:t xml:space="preserve"> database</w:t>
      </w:r>
      <w:r>
        <w:rPr>
          <w:rStyle w:val="tlid-translation"/>
          <w:sz w:val="24"/>
          <w:szCs w:val="24"/>
          <w:lang w:val="en"/>
        </w:rPr>
        <w:t xml:space="preserve"> </w:t>
      </w:r>
      <w:r w:rsidRPr="00CE6819">
        <w:rPr>
          <w:rStyle w:val="tlid-translation"/>
          <w:sz w:val="24"/>
          <w:szCs w:val="24"/>
          <w:lang w:val="en"/>
        </w:rPr>
        <w:t>w</w:t>
      </w:r>
      <w:r>
        <w:rPr>
          <w:rStyle w:val="tlid-translation"/>
          <w:sz w:val="24"/>
          <w:szCs w:val="24"/>
          <w:lang w:val="en"/>
        </w:rPr>
        <w:t>as</w:t>
      </w:r>
      <w:r w:rsidRPr="00CE6819">
        <w:rPr>
          <w:rStyle w:val="tlid-translation"/>
          <w:sz w:val="24"/>
          <w:szCs w:val="24"/>
          <w:lang w:val="en"/>
        </w:rPr>
        <w:t xml:space="preserve"> used to extract the issue date</w:t>
      </w:r>
      <w:r>
        <w:rPr>
          <w:rStyle w:val="tlid-translation"/>
          <w:sz w:val="24"/>
          <w:szCs w:val="24"/>
          <w:lang w:val="en"/>
        </w:rPr>
        <w:t xml:space="preserve"> </w:t>
      </w:r>
      <w:r w:rsidR="00353803" w:rsidRPr="00CE6819">
        <w:rPr>
          <w:rStyle w:val="tlid-translation"/>
          <w:sz w:val="24"/>
          <w:szCs w:val="24"/>
          <w:lang w:val="en"/>
        </w:rPr>
        <w:t xml:space="preserve">products </w:t>
      </w:r>
      <w:r w:rsidR="008A5BD9" w:rsidRPr="00CE6819">
        <w:rPr>
          <w:rStyle w:val="tlid-translation"/>
          <w:sz w:val="24"/>
          <w:szCs w:val="24"/>
          <w:lang w:val="en"/>
        </w:rPr>
        <w:t xml:space="preserve">count </w:t>
      </w:r>
      <w:r w:rsidR="00353803" w:rsidRPr="00CE6819">
        <w:rPr>
          <w:rStyle w:val="tlid-translation"/>
          <w:sz w:val="24"/>
          <w:szCs w:val="24"/>
          <w:lang w:val="en"/>
        </w:rPr>
        <w:t xml:space="preserve">by </w:t>
      </w:r>
      <w:r w:rsidR="00F1625D" w:rsidRPr="00CE6819">
        <w:rPr>
          <w:rStyle w:val="tlid-translation"/>
          <w:sz w:val="24"/>
          <w:szCs w:val="24"/>
          <w:lang w:val="en"/>
        </w:rPr>
        <w:t>t</w:t>
      </w:r>
      <w:r w:rsidR="00353803" w:rsidRPr="00CE6819">
        <w:rPr>
          <w:rStyle w:val="tlid-translation"/>
          <w:sz w:val="24"/>
          <w:szCs w:val="24"/>
          <w:lang w:val="en"/>
        </w:rPr>
        <w:t>herap</w:t>
      </w:r>
      <w:r w:rsidR="008A5BD9" w:rsidRPr="00CE6819">
        <w:rPr>
          <w:rStyle w:val="tlid-translation"/>
          <w:sz w:val="24"/>
          <w:szCs w:val="24"/>
          <w:lang w:val="en"/>
        </w:rPr>
        <w:t>eutic</w:t>
      </w:r>
      <w:r w:rsidR="00353803" w:rsidRPr="00CE6819">
        <w:rPr>
          <w:rStyle w:val="tlid-translation"/>
          <w:sz w:val="24"/>
          <w:szCs w:val="24"/>
          <w:lang w:val="en"/>
        </w:rPr>
        <w:t xml:space="preserve"> </w:t>
      </w:r>
      <w:r w:rsidR="00F1625D" w:rsidRPr="00CE6819">
        <w:rPr>
          <w:rStyle w:val="tlid-translation"/>
          <w:sz w:val="24"/>
          <w:szCs w:val="24"/>
          <w:lang w:val="en"/>
        </w:rPr>
        <w:t>a</w:t>
      </w:r>
      <w:r w:rsidR="00353803" w:rsidRPr="00CE6819">
        <w:rPr>
          <w:rStyle w:val="tlid-translation"/>
          <w:sz w:val="24"/>
          <w:szCs w:val="24"/>
          <w:lang w:val="en"/>
        </w:rPr>
        <w:t xml:space="preserve">rea and </w:t>
      </w:r>
      <w:r w:rsidR="00F1625D" w:rsidRPr="00CE6819">
        <w:rPr>
          <w:rStyle w:val="tlid-translation"/>
          <w:sz w:val="24"/>
          <w:szCs w:val="24"/>
          <w:lang w:val="en"/>
        </w:rPr>
        <w:t>by</w:t>
      </w:r>
      <w:r w:rsidR="00353803" w:rsidRPr="00CE6819">
        <w:rPr>
          <w:rStyle w:val="tlid-translation"/>
          <w:sz w:val="24"/>
          <w:szCs w:val="24"/>
          <w:lang w:val="en"/>
        </w:rPr>
        <w:t xml:space="preserve"> regulatory stage</w:t>
      </w:r>
      <w:r w:rsidR="00F1625D" w:rsidRPr="00CE6819">
        <w:rPr>
          <w:rStyle w:val="tlid-translation"/>
          <w:sz w:val="24"/>
          <w:szCs w:val="24"/>
          <w:lang w:val="en"/>
        </w:rPr>
        <w:t>. We extract</w:t>
      </w:r>
      <w:r w:rsidR="00353803" w:rsidRPr="00CE6819">
        <w:rPr>
          <w:rStyle w:val="tlid-translation"/>
          <w:sz w:val="24"/>
          <w:szCs w:val="24"/>
          <w:lang w:val="en"/>
        </w:rPr>
        <w:t xml:space="preserve"> issue </w:t>
      </w:r>
      <w:r>
        <w:rPr>
          <w:rStyle w:val="tlid-translation"/>
          <w:sz w:val="24"/>
          <w:szCs w:val="24"/>
          <w:lang w:val="en"/>
        </w:rPr>
        <w:t xml:space="preserve">date, </w:t>
      </w:r>
      <w:r w:rsidR="00353803" w:rsidRPr="00CE6819">
        <w:rPr>
          <w:rStyle w:val="tlid-translation"/>
          <w:sz w:val="24"/>
          <w:szCs w:val="24"/>
          <w:lang w:val="en"/>
        </w:rPr>
        <w:t xml:space="preserve">price and the amount </w:t>
      </w:r>
      <w:r w:rsidR="00FC521A" w:rsidRPr="00CE6819">
        <w:rPr>
          <w:rStyle w:val="tlid-translation"/>
          <w:sz w:val="24"/>
          <w:szCs w:val="24"/>
          <w:lang w:val="en"/>
        </w:rPr>
        <w:t xml:space="preserve">of money </w:t>
      </w:r>
      <w:r w:rsidR="00353803" w:rsidRPr="00CE6819">
        <w:rPr>
          <w:rStyle w:val="tlid-translation"/>
          <w:sz w:val="24"/>
          <w:szCs w:val="24"/>
          <w:lang w:val="en"/>
        </w:rPr>
        <w:t xml:space="preserve">raised </w:t>
      </w:r>
      <w:r w:rsidR="00F1625D" w:rsidRPr="00CE6819">
        <w:rPr>
          <w:rStyle w:val="tlid-translation"/>
          <w:sz w:val="24"/>
          <w:szCs w:val="24"/>
          <w:lang w:val="en"/>
        </w:rPr>
        <w:t>from the Nasdaq site</w:t>
      </w:r>
      <w:r>
        <w:rPr>
          <w:rStyle w:val="FootnoteReference"/>
          <w:sz w:val="24"/>
          <w:szCs w:val="24"/>
          <w:lang w:val="en"/>
        </w:rPr>
        <w:footnoteReference w:id="3"/>
      </w:r>
      <w:r w:rsidR="00353803" w:rsidRPr="00CE6819">
        <w:rPr>
          <w:rStyle w:val="tlid-translation"/>
          <w:sz w:val="24"/>
          <w:szCs w:val="24"/>
          <w:lang w:val="en"/>
        </w:rPr>
        <w:t>.</w:t>
      </w:r>
      <w:r w:rsidR="00F1625D" w:rsidRPr="00CE6819">
        <w:rPr>
          <w:sz w:val="24"/>
          <w:szCs w:val="24"/>
          <w:lang w:val="en"/>
        </w:rPr>
        <w:t xml:space="preserve"> Trading data of</w:t>
      </w:r>
      <w:r w:rsidR="00AA569A">
        <w:rPr>
          <w:sz w:val="24"/>
          <w:szCs w:val="24"/>
          <w:lang w:val="en"/>
        </w:rPr>
        <w:t xml:space="preserve"> closing</w:t>
      </w:r>
      <w:r w:rsidR="00F1625D" w:rsidRPr="00CE6819">
        <w:rPr>
          <w:sz w:val="24"/>
          <w:szCs w:val="24"/>
          <w:lang w:val="en"/>
        </w:rPr>
        <w:t xml:space="preserve"> price and volume were retrieved from </w:t>
      </w:r>
      <w:r w:rsidR="00353803" w:rsidRPr="00CE6819">
        <w:rPr>
          <w:rStyle w:val="tlid-translation"/>
          <w:sz w:val="24"/>
          <w:szCs w:val="24"/>
          <w:lang w:val="en"/>
        </w:rPr>
        <w:t>Yahoo Finance</w:t>
      </w:r>
      <w:r w:rsidR="00AA569A">
        <w:rPr>
          <w:rStyle w:val="FootnoteReference"/>
          <w:sz w:val="24"/>
          <w:szCs w:val="24"/>
          <w:lang w:val="en"/>
        </w:rPr>
        <w:footnoteReference w:id="4"/>
      </w:r>
      <w:r w:rsidR="00353803" w:rsidRPr="00CE6819">
        <w:rPr>
          <w:rStyle w:val="tlid-translation"/>
          <w:sz w:val="24"/>
          <w:szCs w:val="24"/>
          <w:lang w:val="en"/>
        </w:rPr>
        <w:t xml:space="preserve">. </w:t>
      </w:r>
      <w:r w:rsidR="00BA464C" w:rsidRPr="00BA464C">
        <w:rPr>
          <w:sz w:val="24"/>
          <w:szCs w:val="24"/>
          <w:lang w:val="en"/>
        </w:rPr>
        <w:t xml:space="preserve">Market capitalization </w:t>
      </w:r>
      <w:r w:rsidR="00BA464C">
        <w:rPr>
          <w:sz w:val="24"/>
          <w:szCs w:val="24"/>
          <w:lang w:val="en"/>
        </w:rPr>
        <w:t xml:space="preserve">is </w:t>
      </w:r>
      <w:r w:rsidR="00BA464C" w:rsidRPr="00BA464C">
        <w:rPr>
          <w:sz w:val="24"/>
          <w:szCs w:val="24"/>
          <w:lang w:val="en"/>
        </w:rPr>
        <w:t>for December of the IPO year</w:t>
      </w:r>
      <w:r w:rsidR="00BA464C">
        <w:rPr>
          <w:sz w:val="24"/>
          <w:szCs w:val="24"/>
          <w:lang w:val="en"/>
        </w:rPr>
        <w:t>. It was</w:t>
      </w:r>
      <w:r w:rsidR="00BA464C" w:rsidRPr="00BA464C">
        <w:rPr>
          <w:sz w:val="24"/>
          <w:szCs w:val="24"/>
          <w:lang w:val="en"/>
        </w:rPr>
        <w:t xml:space="preserve"> calculated by multiplying the number of shares appearing in the firms’ profit and loss statement by the stock price on that day. The result was confirmed with the value appearing on the stockraw.com website</w:t>
      </w:r>
      <w:r w:rsidR="00BA464C">
        <w:rPr>
          <w:sz w:val="24"/>
          <w:szCs w:val="24"/>
          <w:lang w:val="en"/>
        </w:rPr>
        <w:t>.</w:t>
      </w:r>
    </w:p>
    <w:p w14:paraId="6A17D57A" w14:textId="5AD6101E" w:rsidR="00353803" w:rsidRPr="00CE6819" w:rsidRDefault="00FC521A" w:rsidP="00D01F96">
      <w:pPr>
        <w:autoSpaceDE w:val="0"/>
        <w:autoSpaceDN w:val="0"/>
        <w:bidi w:val="0"/>
        <w:adjustRightInd w:val="0"/>
        <w:spacing w:line="360" w:lineRule="auto"/>
        <w:rPr>
          <w:sz w:val="24"/>
          <w:szCs w:val="24"/>
        </w:rPr>
      </w:pPr>
      <w:r w:rsidRPr="00CE6819">
        <w:rPr>
          <w:sz w:val="24"/>
          <w:szCs w:val="24"/>
        </w:rPr>
        <w:t>Table 1 displays IPOs</w:t>
      </w:r>
      <w:r w:rsidRPr="00CE6819">
        <w:rPr>
          <w:rFonts w:hint="cs"/>
          <w:sz w:val="24"/>
          <w:szCs w:val="24"/>
          <w:rtl/>
        </w:rPr>
        <w:t xml:space="preserve"> </w:t>
      </w:r>
      <w:r w:rsidRPr="00CE6819">
        <w:rPr>
          <w:sz w:val="24"/>
          <w:szCs w:val="24"/>
        </w:rPr>
        <w:t>statistics in the U.S.</w:t>
      </w:r>
      <w:r w:rsidR="00165BAD" w:rsidRPr="00CE6819">
        <w:rPr>
          <w:sz w:val="24"/>
          <w:szCs w:val="24"/>
        </w:rPr>
        <w:t xml:space="preserve"> The part of</w:t>
      </w:r>
      <w:r w:rsidR="00165BAD" w:rsidRPr="00CE6819">
        <w:rPr>
          <w:rStyle w:val="tlid-translation"/>
          <w:sz w:val="24"/>
          <w:szCs w:val="24"/>
          <w:lang w:val="en"/>
        </w:rPr>
        <w:t xml:space="preserve"> b</w:t>
      </w:r>
      <w:r w:rsidRPr="00CE6819">
        <w:rPr>
          <w:rStyle w:val="tlid-translation"/>
          <w:sz w:val="24"/>
          <w:szCs w:val="24"/>
          <w:lang w:val="en"/>
        </w:rPr>
        <w:t xml:space="preserve">iopharmaceutical firms </w:t>
      </w:r>
      <w:r w:rsidR="00165BAD" w:rsidRPr="00CE6819">
        <w:rPr>
          <w:rStyle w:val="tlid-translation"/>
          <w:sz w:val="24"/>
          <w:szCs w:val="24"/>
          <w:lang w:val="en"/>
        </w:rPr>
        <w:t>from all the IPOs</w:t>
      </w:r>
      <w:r w:rsidR="00F1625D" w:rsidRPr="00CE6819">
        <w:rPr>
          <w:rStyle w:val="tlid-translation"/>
          <w:sz w:val="24"/>
          <w:szCs w:val="24"/>
          <w:lang w:val="en"/>
        </w:rPr>
        <w:t xml:space="preserve"> </w:t>
      </w:r>
      <w:r w:rsidR="00165BAD" w:rsidRPr="00CE6819">
        <w:rPr>
          <w:rStyle w:val="tlid-translation"/>
          <w:sz w:val="24"/>
          <w:szCs w:val="24"/>
          <w:lang w:val="en"/>
        </w:rPr>
        <w:t>is</w:t>
      </w:r>
      <w:r w:rsidR="00F1625D" w:rsidRPr="00CE6819">
        <w:rPr>
          <w:rStyle w:val="tlid-translation"/>
          <w:sz w:val="24"/>
          <w:szCs w:val="24"/>
          <w:lang w:val="en"/>
        </w:rPr>
        <w:t xml:space="preserve"> increas</w:t>
      </w:r>
      <w:r w:rsidR="00165BAD" w:rsidRPr="00CE6819">
        <w:rPr>
          <w:rStyle w:val="tlid-translation"/>
          <w:sz w:val="24"/>
          <w:szCs w:val="24"/>
          <w:lang w:val="en"/>
        </w:rPr>
        <w:t>ing</w:t>
      </w:r>
      <w:r w:rsidR="00F1625D" w:rsidRPr="00CE6819">
        <w:rPr>
          <w:rStyle w:val="tlid-translation"/>
          <w:sz w:val="24"/>
          <w:szCs w:val="24"/>
          <w:lang w:val="en"/>
        </w:rPr>
        <w:t xml:space="preserve"> </w:t>
      </w:r>
      <w:r w:rsidR="00165BAD" w:rsidRPr="00CE6819">
        <w:rPr>
          <w:rStyle w:val="tlid-translation"/>
          <w:sz w:val="24"/>
          <w:szCs w:val="24"/>
          <w:lang w:val="en"/>
        </w:rPr>
        <w:t xml:space="preserve">consistently </w:t>
      </w:r>
      <w:r w:rsidR="00F1625D" w:rsidRPr="00CE6819">
        <w:rPr>
          <w:rStyle w:val="tlid-translation"/>
          <w:sz w:val="24"/>
          <w:szCs w:val="24"/>
          <w:lang w:val="en"/>
        </w:rPr>
        <w:t>from 12% in 2013 to 32% in 2018</w:t>
      </w:r>
      <w:r w:rsidR="00165BAD" w:rsidRPr="00CE6819">
        <w:rPr>
          <w:rStyle w:val="tlid-translation"/>
          <w:sz w:val="24"/>
          <w:szCs w:val="24"/>
          <w:lang w:val="en"/>
        </w:rPr>
        <w:t>.</w:t>
      </w:r>
    </w:p>
    <w:p w14:paraId="02157D9C" w14:textId="77777777" w:rsidR="00165BAD" w:rsidRPr="00CE6819" w:rsidRDefault="00165BAD" w:rsidP="00D01F96">
      <w:pPr>
        <w:spacing w:after="0" w:line="240" w:lineRule="auto"/>
        <w:jc w:val="right"/>
        <w:rPr>
          <w:rFonts w:asciiTheme="minorBidi" w:eastAsia="Times New Roman" w:hAnsiTheme="minorBidi"/>
          <w:b/>
          <w:bCs/>
          <w:color w:val="000000"/>
          <w:sz w:val="24"/>
          <w:szCs w:val="24"/>
        </w:rPr>
      </w:pPr>
      <w:r w:rsidRPr="00CE6819">
        <w:rPr>
          <w:rFonts w:asciiTheme="minorBidi" w:eastAsia="Times New Roman" w:hAnsiTheme="minorBidi"/>
          <w:b/>
          <w:bCs/>
          <w:color w:val="000000"/>
          <w:sz w:val="24"/>
          <w:szCs w:val="24"/>
        </w:rPr>
        <w:t>Table 1 – IPOs per year</w:t>
      </w:r>
    </w:p>
    <w:tbl>
      <w:tblPr>
        <w:tblW w:w="5040" w:type="dxa"/>
        <w:tblInd w:w="93" w:type="dxa"/>
        <w:tblLook w:val="04A0" w:firstRow="1" w:lastRow="0" w:firstColumn="1" w:lastColumn="0" w:noHBand="0" w:noVBand="1"/>
      </w:tblPr>
      <w:tblGrid>
        <w:gridCol w:w="960"/>
        <w:gridCol w:w="1360"/>
        <w:gridCol w:w="1360"/>
        <w:gridCol w:w="1360"/>
      </w:tblGrid>
      <w:tr w:rsidR="00FC521A" w:rsidRPr="00CE6819" w14:paraId="4051273B" w14:textId="77777777" w:rsidTr="00EC3C7C">
        <w:trPr>
          <w:trHeight w:val="960"/>
        </w:trPr>
        <w:tc>
          <w:tcPr>
            <w:tcW w:w="960" w:type="dxa"/>
            <w:tcBorders>
              <w:top w:val="single" w:sz="12" w:space="0" w:color="auto"/>
              <w:left w:val="single" w:sz="12" w:space="0" w:color="auto"/>
              <w:bottom w:val="nil"/>
              <w:right w:val="nil"/>
            </w:tcBorders>
            <w:shd w:val="clear" w:color="auto" w:fill="auto"/>
            <w:noWrap/>
            <w:vAlign w:val="center"/>
            <w:hideMark/>
          </w:tcPr>
          <w:p w14:paraId="1800B350" w14:textId="77777777" w:rsidR="00FC521A" w:rsidRPr="00CE6819" w:rsidRDefault="00FC521A" w:rsidP="00D01F96">
            <w:pPr>
              <w:jc w:val="center"/>
              <w:rPr>
                <w:rFonts w:ascii="Calibri" w:hAnsi="Calibri" w:cs="Calibri"/>
                <w:b/>
                <w:bCs/>
                <w:color w:val="FF0000"/>
                <w:sz w:val="24"/>
                <w:szCs w:val="24"/>
              </w:rPr>
            </w:pPr>
            <w:r w:rsidRPr="00CE6819">
              <w:rPr>
                <w:rFonts w:ascii="Calibri" w:hAnsi="Calibri" w:cs="Calibri"/>
                <w:b/>
                <w:bCs/>
                <w:color w:val="FF0000"/>
                <w:sz w:val="24"/>
                <w:szCs w:val="24"/>
              </w:rPr>
              <w:lastRenderedPageBreak/>
              <w:t>Year</w:t>
            </w:r>
          </w:p>
        </w:tc>
        <w:tc>
          <w:tcPr>
            <w:tcW w:w="1360" w:type="dxa"/>
            <w:tcBorders>
              <w:top w:val="single" w:sz="12" w:space="0" w:color="auto"/>
              <w:left w:val="nil"/>
              <w:bottom w:val="nil"/>
              <w:right w:val="single" w:sz="12" w:space="0" w:color="auto"/>
            </w:tcBorders>
          </w:tcPr>
          <w:p w14:paraId="6DEBB3DD" w14:textId="77777777" w:rsidR="00FC521A" w:rsidRPr="00CE6819" w:rsidRDefault="00FC521A" w:rsidP="00D01F96">
            <w:pPr>
              <w:jc w:val="center"/>
              <w:rPr>
                <w:rFonts w:ascii="Calibri" w:hAnsi="Calibri" w:cs="Calibri"/>
                <w:b/>
                <w:bCs/>
                <w:color w:val="FF0000"/>
                <w:sz w:val="24"/>
                <w:szCs w:val="24"/>
                <w:rtl/>
              </w:rPr>
            </w:pPr>
            <w:r w:rsidRPr="00CE6819">
              <w:rPr>
                <w:rFonts w:ascii="Calibri" w:hAnsi="Calibri" w:cs="Calibri"/>
                <w:b/>
                <w:bCs/>
                <w:color w:val="FF0000"/>
                <w:sz w:val="24"/>
                <w:szCs w:val="24"/>
              </w:rPr>
              <w:t xml:space="preserve">Total No. of </w:t>
            </w:r>
            <w:r w:rsidRPr="00CE6819">
              <w:rPr>
                <w:rFonts w:ascii="Calibri" w:hAnsi="Calibri" w:cs="Calibri" w:hint="cs"/>
                <w:b/>
                <w:bCs/>
                <w:color w:val="FF0000"/>
                <w:sz w:val="24"/>
                <w:szCs w:val="24"/>
              </w:rPr>
              <w:t>IPO</w:t>
            </w:r>
            <w:r w:rsidRPr="00CE6819">
              <w:rPr>
                <w:rFonts w:ascii="Calibri" w:hAnsi="Calibri" w:cs="Calibri"/>
                <w:b/>
                <w:bCs/>
                <w:color w:val="FF0000"/>
                <w:sz w:val="24"/>
                <w:szCs w:val="24"/>
              </w:rPr>
              <w:t>s</w:t>
            </w:r>
          </w:p>
        </w:tc>
        <w:tc>
          <w:tcPr>
            <w:tcW w:w="1360" w:type="dxa"/>
            <w:tcBorders>
              <w:top w:val="single" w:sz="12" w:space="0" w:color="auto"/>
              <w:left w:val="nil"/>
              <w:bottom w:val="nil"/>
              <w:right w:val="nil"/>
            </w:tcBorders>
            <w:vAlign w:val="center"/>
          </w:tcPr>
          <w:p w14:paraId="06602125" w14:textId="77777777" w:rsidR="00FC521A" w:rsidRPr="00CE6819" w:rsidRDefault="00FC521A" w:rsidP="00D01F96">
            <w:pPr>
              <w:jc w:val="center"/>
              <w:rPr>
                <w:rFonts w:ascii="Calibri" w:hAnsi="Calibri" w:cs="Calibri"/>
                <w:b/>
                <w:bCs/>
                <w:color w:val="FF0000"/>
                <w:sz w:val="24"/>
                <w:szCs w:val="24"/>
              </w:rPr>
            </w:pPr>
            <w:r w:rsidRPr="00CE6819">
              <w:rPr>
                <w:rFonts w:ascii="Calibri" w:hAnsi="Calibri" w:cs="Calibri"/>
                <w:b/>
                <w:bCs/>
                <w:color w:val="FF0000"/>
                <w:sz w:val="24"/>
                <w:szCs w:val="24"/>
              </w:rPr>
              <w:t>No. of Bio Pharma IPOs</w:t>
            </w:r>
          </w:p>
        </w:tc>
        <w:tc>
          <w:tcPr>
            <w:tcW w:w="1360" w:type="dxa"/>
            <w:tcBorders>
              <w:top w:val="single" w:sz="12" w:space="0" w:color="auto"/>
              <w:left w:val="nil"/>
              <w:bottom w:val="nil"/>
              <w:right w:val="single" w:sz="12" w:space="0" w:color="auto"/>
            </w:tcBorders>
          </w:tcPr>
          <w:p w14:paraId="30E445A9" w14:textId="77777777" w:rsidR="00FC521A" w:rsidRPr="00CE6819" w:rsidRDefault="00FC521A" w:rsidP="00D01F96">
            <w:pPr>
              <w:jc w:val="center"/>
              <w:rPr>
                <w:rFonts w:ascii="Calibri" w:hAnsi="Calibri" w:cs="Calibri"/>
                <w:b/>
                <w:bCs/>
                <w:color w:val="FF0000"/>
                <w:sz w:val="24"/>
                <w:szCs w:val="24"/>
                <w:rtl/>
              </w:rPr>
            </w:pPr>
            <w:r w:rsidRPr="00CE6819">
              <w:rPr>
                <w:rFonts w:ascii="Calibri" w:hAnsi="Calibri" w:cs="Calibri"/>
                <w:b/>
                <w:bCs/>
                <w:color w:val="FF0000"/>
                <w:sz w:val="24"/>
                <w:szCs w:val="24"/>
              </w:rPr>
              <w:t>No. of Bio Pharma IPOs</w:t>
            </w:r>
          </w:p>
        </w:tc>
      </w:tr>
      <w:tr w:rsidR="00FC521A" w:rsidRPr="00CE6819" w14:paraId="486C6646" w14:textId="77777777" w:rsidTr="00165BAD">
        <w:trPr>
          <w:trHeight w:hRule="exact" w:val="340"/>
        </w:trPr>
        <w:tc>
          <w:tcPr>
            <w:tcW w:w="960" w:type="dxa"/>
            <w:tcBorders>
              <w:top w:val="nil"/>
              <w:left w:val="single" w:sz="12" w:space="0" w:color="auto"/>
              <w:bottom w:val="nil"/>
              <w:right w:val="nil"/>
            </w:tcBorders>
            <w:shd w:val="clear" w:color="auto" w:fill="auto"/>
            <w:noWrap/>
            <w:vAlign w:val="bottom"/>
            <w:hideMark/>
          </w:tcPr>
          <w:p w14:paraId="045ADD2D" w14:textId="77777777" w:rsidR="00FC521A" w:rsidRPr="00CE6819" w:rsidRDefault="00FC521A" w:rsidP="00D01F96">
            <w:pPr>
              <w:rPr>
                <w:rFonts w:ascii="Calibri" w:hAnsi="Calibri" w:cs="Calibri"/>
                <w:color w:val="000000"/>
                <w:sz w:val="24"/>
                <w:szCs w:val="24"/>
              </w:rPr>
            </w:pPr>
            <w:r w:rsidRPr="00CE6819">
              <w:rPr>
                <w:rFonts w:ascii="Calibri" w:hAnsi="Calibri" w:cs="Calibri"/>
                <w:color w:val="000000"/>
                <w:sz w:val="24"/>
                <w:szCs w:val="24"/>
              </w:rPr>
              <w:t>2013</w:t>
            </w:r>
          </w:p>
        </w:tc>
        <w:tc>
          <w:tcPr>
            <w:tcW w:w="1360" w:type="dxa"/>
            <w:tcBorders>
              <w:top w:val="nil"/>
              <w:left w:val="nil"/>
              <w:bottom w:val="nil"/>
              <w:right w:val="single" w:sz="12" w:space="0" w:color="auto"/>
            </w:tcBorders>
          </w:tcPr>
          <w:p w14:paraId="2CE3B98D" w14:textId="77777777" w:rsidR="00FC521A" w:rsidRPr="00CE6819" w:rsidRDefault="00FC521A" w:rsidP="00D01F96">
            <w:pPr>
              <w:jc w:val="center"/>
              <w:rPr>
                <w:rFonts w:ascii="Calibri" w:hAnsi="Calibri" w:cs="Calibri"/>
                <w:color w:val="000000"/>
                <w:sz w:val="24"/>
                <w:szCs w:val="24"/>
                <w:rtl/>
              </w:rPr>
            </w:pPr>
            <w:r w:rsidRPr="00CE6819">
              <w:rPr>
                <w:rFonts w:ascii="Calibri" w:hAnsi="Calibri" w:cs="Calibri" w:hint="cs"/>
                <w:color w:val="000000"/>
                <w:sz w:val="24"/>
                <w:szCs w:val="24"/>
                <w:rtl/>
              </w:rPr>
              <w:t>248</w:t>
            </w:r>
          </w:p>
        </w:tc>
        <w:tc>
          <w:tcPr>
            <w:tcW w:w="1360" w:type="dxa"/>
            <w:tcBorders>
              <w:top w:val="nil"/>
              <w:left w:val="nil"/>
              <w:bottom w:val="nil"/>
              <w:right w:val="nil"/>
            </w:tcBorders>
            <w:vAlign w:val="bottom"/>
          </w:tcPr>
          <w:p w14:paraId="37522486" w14:textId="77777777" w:rsidR="00FC521A" w:rsidRPr="00CE6819" w:rsidRDefault="00FC521A" w:rsidP="00D01F96">
            <w:pPr>
              <w:jc w:val="center"/>
              <w:rPr>
                <w:rFonts w:ascii="Calibri" w:hAnsi="Calibri" w:cs="Calibri"/>
                <w:color w:val="000000"/>
                <w:sz w:val="24"/>
                <w:szCs w:val="24"/>
                <w:rtl/>
              </w:rPr>
            </w:pPr>
            <w:r w:rsidRPr="00CE6819">
              <w:rPr>
                <w:rFonts w:ascii="Calibri" w:hAnsi="Calibri" w:cs="Calibri"/>
                <w:color w:val="000000"/>
                <w:sz w:val="24"/>
                <w:szCs w:val="24"/>
              </w:rPr>
              <w:t>30</w:t>
            </w:r>
          </w:p>
        </w:tc>
        <w:tc>
          <w:tcPr>
            <w:tcW w:w="1360" w:type="dxa"/>
            <w:tcBorders>
              <w:top w:val="nil"/>
              <w:left w:val="nil"/>
              <w:bottom w:val="nil"/>
              <w:right w:val="single" w:sz="12" w:space="0" w:color="auto"/>
            </w:tcBorders>
          </w:tcPr>
          <w:p w14:paraId="654FFB66" w14:textId="77777777" w:rsidR="00FC521A" w:rsidRPr="00CE6819" w:rsidRDefault="00FC521A" w:rsidP="00D01F96">
            <w:pPr>
              <w:jc w:val="center"/>
              <w:rPr>
                <w:rFonts w:ascii="Calibri" w:hAnsi="Calibri" w:cs="Calibri"/>
                <w:color w:val="000000"/>
                <w:sz w:val="24"/>
                <w:szCs w:val="24"/>
                <w:rtl/>
              </w:rPr>
            </w:pPr>
            <w:r w:rsidRPr="00CE6819">
              <w:rPr>
                <w:rFonts w:ascii="Calibri" w:hAnsi="Calibri" w:cs="Calibri" w:hint="cs"/>
                <w:color w:val="000000"/>
                <w:sz w:val="24"/>
                <w:szCs w:val="24"/>
                <w:rtl/>
              </w:rPr>
              <w:t>12%</w:t>
            </w:r>
          </w:p>
        </w:tc>
      </w:tr>
      <w:tr w:rsidR="00FC521A" w:rsidRPr="00CE6819" w14:paraId="32CCD4C6" w14:textId="77777777" w:rsidTr="00165BAD">
        <w:trPr>
          <w:trHeight w:hRule="exact" w:val="340"/>
        </w:trPr>
        <w:tc>
          <w:tcPr>
            <w:tcW w:w="960" w:type="dxa"/>
            <w:tcBorders>
              <w:top w:val="nil"/>
              <w:left w:val="single" w:sz="12" w:space="0" w:color="auto"/>
              <w:bottom w:val="nil"/>
              <w:right w:val="nil"/>
            </w:tcBorders>
            <w:shd w:val="clear" w:color="auto" w:fill="auto"/>
            <w:noWrap/>
            <w:vAlign w:val="bottom"/>
            <w:hideMark/>
          </w:tcPr>
          <w:p w14:paraId="019C6CB1" w14:textId="77777777" w:rsidR="00FC521A" w:rsidRPr="00CE6819" w:rsidRDefault="00FC521A" w:rsidP="00D01F96">
            <w:pPr>
              <w:rPr>
                <w:rFonts w:ascii="Calibri" w:hAnsi="Calibri" w:cs="Calibri"/>
                <w:color w:val="000000"/>
                <w:sz w:val="24"/>
                <w:szCs w:val="24"/>
              </w:rPr>
            </w:pPr>
            <w:r w:rsidRPr="00CE6819">
              <w:rPr>
                <w:rFonts w:ascii="Calibri" w:hAnsi="Calibri" w:cs="Calibri"/>
                <w:color w:val="000000"/>
                <w:sz w:val="24"/>
                <w:szCs w:val="24"/>
              </w:rPr>
              <w:t>2014</w:t>
            </w:r>
          </w:p>
        </w:tc>
        <w:tc>
          <w:tcPr>
            <w:tcW w:w="1360" w:type="dxa"/>
            <w:tcBorders>
              <w:top w:val="nil"/>
              <w:left w:val="nil"/>
              <w:bottom w:val="nil"/>
              <w:right w:val="single" w:sz="12" w:space="0" w:color="auto"/>
            </w:tcBorders>
          </w:tcPr>
          <w:p w14:paraId="69026CEF" w14:textId="77777777" w:rsidR="00FC521A" w:rsidRPr="00CE6819" w:rsidRDefault="00FC521A" w:rsidP="00D01F96">
            <w:pPr>
              <w:jc w:val="center"/>
              <w:rPr>
                <w:rFonts w:ascii="Calibri" w:hAnsi="Calibri" w:cs="Calibri"/>
                <w:color w:val="000000"/>
                <w:sz w:val="24"/>
                <w:szCs w:val="24"/>
              </w:rPr>
            </w:pPr>
            <w:r w:rsidRPr="00CE6819">
              <w:rPr>
                <w:rFonts w:ascii="Calibri" w:hAnsi="Calibri" w:cs="Calibri" w:hint="cs"/>
                <w:color w:val="000000"/>
                <w:sz w:val="24"/>
                <w:szCs w:val="24"/>
                <w:rtl/>
              </w:rPr>
              <w:t>312</w:t>
            </w:r>
          </w:p>
        </w:tc>
        <w:tc>
          <w:tcPr>
            <w:tcW w:w="1360" w:type="dxa"/>
            <w:tcBorders>
              <w:top w:val="nil"/>
              <w:left w:val="nil"/>
              <w:bottom w:val="nil"/>
              <w:right w:val="nil"/>
            </w:tcBorders>
            <w:vAlign w:val="bottom"/>
          </w:tcPr>
          <w:p w14:paraId="1D19F43B" w14:textId="77777777" w:rsidR="00FC521A" w:rsidRPr="00CE6819" w:rsidRDefault="00FC521A" w:rsidP="00D01F96">
            <w:pPr>
              <w:jc w:val="center"/>
              <w:rPr>
                <w:rFonts w:ascii="Calibri" w:hAnsi="Calibri" w:cs="Calibri"/>
                <w:color w:val="000000"/>
                <w:sz w:val="24"/>
                <w:szCs w:val="24"/>
                <w:rtl/>
              </w:rPr>
            </w:pPr>
            <w:r w:rsidRPr="00CE6819">
              <w:rPr>
                <w:rFonts w:ascii="Calibri" w:hAnsi="Calibri" w:cs="Calibri"/>
                <w:color w:val="000000"/>
                <w:sz w:val="24"/>
                <w:szCs w:val="24"/>
              </w:rPr>
              <w:t>70</w:t>
            </w:r>
          </w:p>
        </w:tc>
        <w:tc>
          <w:tcPr>
            <w:tcW w:w="1360" w:type="dxa"/>
            <w:tcBorders>
              <w:top w:val="nil"/>
              <w:left w:val="nil"/>
              <w:bottom w:val="nil"/>
              <w:right w:val="single" w:sz="12" w:space="0" w:color="auto"/>
            </w:tcBorders>
          </w:tcPr>
          <w:p w14:paraId="07BB2D7D" w14:textId="77777777" w:rsidR="00FC521A" w:rsidRPr="00CE6819" w:rsidRDefault="00FC521A" w:rsidP="00D01F96">
            <w:pPr>
              <w:jc w:val="center"/>
              <w:rPr>
                <w:rFonts w:ascii="Calibri" w:hAnsi="Calibri" w:cs="Calibri"/>
                <w:color w:val="000000"/>
                <w:sz w:val="24"/>
                <w:szCs w:val="24"/>
                <w:rtl/>
              </w:rPr>
            </w:pPr>
            <w:r w:rsidRPr="00CE6819">
              <w:rPr>
                <w:rFonts w:ascii="Calibri" w:hAnsi="Calibri" w:cs="Calibri" w:hint="cs"/>
                <w:color w:val="000000"/>
                <w:sz w:val="24"/>
                <w:szCs w:val="24"/>
                <w:rtl/>
              </w:rPr>
              <w:t>22%</w:t>
            </w:r>
          </w:p>
        </w:tc>
      </w:tr>
      <w:tr w:rsidR="00FC521A" w:rsidRPr="00CE6819" w14:paraId="5A0113F4" w14:textId="77777777" w:rsidTr="00165BAD">
        <w:trPr>
          <w:trHeight w:hRule="exact" w:val="340"/>
        </w:trPr>
        <w:tc>
          <w:tcPr>
            <w:tcW w:w="960" w:type="dxa"/>
            <w:tcBorders>
              <w:top w:val="nil"/>
              <w:left w:val="single" w:sz="12" w:space="0" w:color="auto"/>
              <w:bottom w:val="nil"/>
              <w:right w:val="nil"/>
            </w:tcBorders>
            <w:shd w:val="clear" w:color="auto" w:fill="auto"/>
            <w:noWrap/>
            <w:vAlign w:val="bottom"/>
            <w:hideMark/>
          </w:tcPr>
          <w:p w14:paraId="770B8AE4" w14:textId="77777777" w:rsidR="00FC521A" w:rsidRPr="00CE6819" w:rsidRDefault="00FC521A" w:rsidP="00D01F96">
            <w:pPr>
              <w:rPr>
                <w:rFonts w:ascii="Calibri" w:hAnsi="Calibri" w:cs="Calibri"/>
                <w:color w:val="000000"/>
                <w:sz w:val="24"/>
                <w:szCs w:val="24"/>
              </w:rPr>
            </w:pPr>
            <w:r w:rsidRPr="00CE6819">
              <w:rPr>
                <w:rFonts w:ascii="Calibri" w:hAnsi="Calibri" w:cs="Calibri"/>
                <w:color w:val="000000"/>
                <w:sz w:val="24"/>
                <w:szCs w:val="24"/>
              </w:rPr>
              <w:t>2015</w:t>
            </w:r>
          </w:p>
        </w:tc>
        <w:tc>
          <w:tcPr>
            <w:tcW w:w="1360" w:type="dxa"/>
            <w:tcBorders>
              <w:top w:val="nil"/>
              <w:left w:val="nil"/>
              <w:bottom w:val="nil"/>
              <w:right w:val="single" w:sz="12" w:space="0" w:color="auto"/>
            </w:tcBorders>
          </w:tcPr>
          <w:p w14:paraId="10DC3A4D" w14:textId="77777777" w:rsidR="00FC521A" w:rsidRPr="00CE6819" w:rsidRDefault="00FC521A" w:rsidP="00D01F96">
            <w:pPr>
              <w:jc w:val="center"/>
              <w:rPr>
                <w:rFonts w:ascii="Calibri" w:hAnsi="Calibri" w:cs="Calibri"/>
                <w:color w:val="000000"/>
                <w:sz w:val="24"/>
                <w:szCs w:val="24"/>
              </w:rPr>
            </w:pPr>
            <w:r w:rsidRPr="00CE6819">
              <w:rPr>
                <w:rFonts w:ascii="Calibri" w:hAnsi="Calibri" w:cs="Calibri" w:hint="cs"/>
                <w:color w:val="000000"/>
                <w:sz w:val="24"/>
                <w:szCs w:val="24"/>
                <w:rtl/>
              </w:rPr>
              <w:t>200</w:t>
            </w:r>
          </w:p>
        </w:tc>
        <w:tc>
          <w:tcPr>
            <w:tcW w:w="1360" w:type="dxa"/>
            <w:tcBorders>
              <w:top w:val="nil"/>
              <w:left w:val="nil"/>
              <w:bottom w:val="nil"/>
              <w:right w:val="nil"/>
            </w:tcBorders>
            <w:vAlign w:val="bottom"/>
          </w:tcPr>
          <w:p w14:paraId="6BB55DFB" w14:textId="77777777" w:rsidR="00FC521A" w:rsidRPr="00CE6819" w:rsidRDefault="00FC521A" w:rsidP="00D01F96">
            <w:pPr>
              <w:jc w:val="center"/>
              <w:rPr>
                <w:rFonts w:ascii="Calibri" w:hAnsi="Calibri" w:cs="Calibri"/>
                <w:color w:val="000000"/>
                <w:sz w:val="24"/>
                <w:szCs w:val="24"/>
                <w:rtl/>
              </w:rPr>
            </w:pPr>
            <w:r w:rsidRPr="00CE6819">
              <w:rPr>
                <w:rFonts w:ascii="Calibri" w:hAnsi="Calibri" w:cs="Calibri"/>
                <w:color w:val="000000"/>
                <w:sz w:val="24"/>
                <w:szCs w:val="24"/>
              </w:rPr>
              <w:t>49</w:t>
            </w:r>
          </w:p>
        </w:tc>
        <w:tc>
          <w:tcPr>
            <w:tcW w:w="1360" w:type="dxa"/>
            <w:tcBorders>
              <w:top w:val="nil"/>
              <w:left w:val="nil"/>
              <w:bottom w:val="nil"/>
              <w:right w:val="single" w:sz="12" w:space="0" w:color="auto"/>
            </w:tcBorders>
          </w:tcPr>
          <w:p w14:paraId="27E3675D" w14:textId="77777777" w:rsidR="00FC521A" w:rsidRPr="00CE6819" w:rsidRDefault="00FC521A" w:rsidP="00D01F96">
            <w:pPr>
              <w:jc w:val="center"/>
              <w:rPr>
                <w:rFonts w:ascii="Calibri" w:hAnsi="Calibri" w:cs="Calibri"/>
                <w:color w:val="000000"/>
                <w:sz w:val="24"/>
                <w:szCs w:val="24"/>
                <w:rtl/>
              </w:rPr>
            </w:pPr>
            <w:r w:rsidRPr="00CE6819">
              <w:rPr>
                <w:rFonts w:ascii="Calibri" w:hAnsi="Calibri" w:cs="Calibri" w:hint="cs"/>
                <w:color w:val="000000"/>
                <w:sz w:val="24"/>
                <w:szCs w:val="24"/>
                <w:rtl/>
              </w:rPr>
              <w:t>24%</w:t>
            </w:r>
          </w:p>
        </w:tc>
      </w:tr>
      <w:tr w:rsidR="00FC521A" w:rsidRPr="00CE6819" w14:paraId="17FE83B0" w14:textId="77777777" w:rsidTr="00165BAD">
        <w:trPr>
          <w:trHeight w:hRule="exact" w:val="340"/>
        </w:trPr>
        <w:tc>
          <w:tcPr>
            <w:tcW w:w="960" w:type="dxa"/>
            <w:tcBorders>
              <w:top w:val="nil"/>
              <w:left w:val="single" w:sz="12" w:space="0" w:color="auto"/>
              <w:bottom w:val="nil"/>
              <w:right w:val="nil"/>
            </w:tcBorders>
            <w:shd w:val="clear" w:color="auto" w:fill="auto"/>
            <w:noWrap/>
            <w:vAlign w:val="bottom"/>
            <w:hideMark/>
          </w:tcPr>
          <w:p w14:paraId="7667682E" w14:textId="77777777" w:rsidR="00FC521A" w:rsidRPr="00CE6819" w:rsidRDefault="00FC521A" w:rsidP="00D01F96">
            <w:pPr>
              <w:rPr>
                <w:rFonts w:ascii="Calibri" w:hAnsi="Calibri" w:cs="Calibri"/>
                <w:color w:val="000000"/>
                <w:sz w:val="24"/>
                <w:szCs w:val="24"/>
              </w:rPr>
            </w:pPr>
            <w:r w:rsidRPr="00CE6819">
              <w:rPr>
                <w:rFonts w:ascii="Calibri" w:hAnsi="Calibri" w:cs="Calibri"/>
                <w:color w:val="000000"/>
                <w:sz w:val="24"/>
                <w:szCs w:val="24"/>
              </w:rPr>
              <w:t>2016</w:t>
            </w:r>
          </w:p>
        </w:tc>
        <w:tc>
          <w:tcPr>
            <w:tcW w:w="1360" w:type="dxa"/>
            <w:tcBorders>
              <w:top w:val="nil"/>
              <w:left w:val="nil"/>
              <w:bottom w:val="nil"/>
              <w:right w:val="single" w:sz="12" w:space="0" w:color="auto"/>
            </w:tcBorders>
          </w:tcPr>
          <w:p w14:paraId="7814A62B" w14:textId="77777777" w:rsidR="00FC521A" w:rsidRPr="00CE6819" w:rsidRDefault="00FC521A" w:rsidP="00D01F96">
            <w:pPr>
              <w:jc w:val="center"/>
              <w:rPr>
                <w:rFonts w:ascii="Calibri" w:hAnsi="Calibri" w:cs="Calibri"/>
                <w:color w:val="000000"/>
                <w:sz w:val="24"/>
                <w:szCs w:val="24"/>
              </w:rPr>
            </w:pPr>
            <w:r w:rsidRPr="00CE6819">
              <w:rPr>
                <w:rFonts w:ascii="Calibri" w:hAnsi="Calibri" w:cs="Calibri" w:hint="cs"/>
                <w:color w:val="000000"/>
                <w:sz w:val="24"/>
                <w:szCs w:val="24"/>
                <w:rtl/>
              </w:rPr>
              <w:t>128</w:t>
            </w:r>
          </w:p>
        </w:tc>
        <w:tc>
          <w:tcPr>
            <w:tcW w:w="1360" w:type="dxa"/>
            <w:tcBorders>
              <w:top w:val="nil"/>
              <w:left w:val="nil"/>
              <w:bottom w:val="nil"/>
              <w:right w:val="nil"/>
            </w:tcBorders>
            <w:vAlign w:val="bottom"/>
          </w:tcPr>
          <w:p w14:paraId="4B37AA65" w14:textId="77777777" w:rsidR="00FC521A" w:rsidRPr="00CE6819" w:rsidRDefault="00FC521A" w:rsidP="00D01F96">
            <w:pPr>
              <w:jc w:val="center"/>
              <w:rPr>
                <w:rFonts w:ascii="Calibri" w:hAnsi="Calibri" w:cs="Calibri"/>
                <w:color w:val="000000"/>
                <w:sz w:val="24"/>
                <w:szCs w:val="24"/>
                <w:rtl/>
              </w:rPr>
            </w:pPr>
            <w:r w:rsidRPr="00CE6819">
              <w:rPr>
                <w:rFonts w:ascii="Calibri" w:hAnsi="Calibri" w:cs="Calibri"/>
                <w:color w:val="000000"/>
                <w:sz w:val="24"/>
                <w:szCs w:val="24"/>
              </w:rPr>
              <w:t>29</w:t>
            </w:r>
          </w:p>
        </w:tc>
        <w:tc>
          <w:tcPr>
            <w:tcW w:w="1360" w:type="dxa"/>
            <w:tcBorders>
              <w:top w:val="nil"/>
              <w:left w:val="nil"/>
              <w:bottom w:val="nil"/>
              <w:right w:val="single" w:sz="12" w:space="0" w:color="auto"/>
            </w:tcBorders>
          </w:tcPr>
          <w:p w14:paraId="3190B863" w14:textId="77777777" w:rsidR="00FC521A" w:rsidRPr="00CE6819" w:rsidRDefault="00FC521A" w:rsidP="00D01F96">
            <w:pPr>
              <w:jc w:val="center"/>
              <w:rPr>
                <w:rFonts w:ascii="Calibri" w:hAnsi="Calibri" w:cs="Calibri"/>
                <w:color w:val="000000"/>
                <w:sz w:val="24"/>
                <w:szCs w:val="24"/>
                <w:rtl/>
              </w:rPr>
            </w:pPr>
            <w:r w:rsidRPr="00CE6819">
              <w:rPr>
                <w:rFonts w:ascii="Calibri" w:hAnsi="Calibri" w:cs="Calibri" w:hint="cs"/>
                <w:color w:val="000000"/>
                <w:sz w:val="24"/>
                <w:szCs w:val="24"/>
                <w:rtl/>
              </w:rPr>
              <w:t>23%</w:t>
            </w:r>
          </w:p>
        </w:tc>
      </w:tr>
      <w:tr w:rsidR="00FC521A" w:rsidRPr="00CE6819" w14:paraId="0DC696DD" w14:textId="77777777" w:rsidTr="00165BAD">
        <w:trPr>
          <w:trHeight w:hRule="exact" w:val="340"/>
        </w:trPr>
        <w:tc>
          <w:tcPr>
            <w:tcW w:w="960" w:type="dxa"/>
            <w:tcBorders>
              <w:top w:val="nil"/>
              <w:left w:val="single" w:sz="12" w:space="0" w:color="auto"/>
              <w:bottom w:val="nil"/>
              <w:right w:val="nil"/>
            </w:tcBorders>
            <w:shd w:val="clear" w:color="auto" w:fill="auto"/>
            <w:noWrap/>
            <w:vAlign w:val="bottom"/>
            <w:hideMark/>
          </w:tcPr>
          <w:p w14:paraId="1A0EA2A0" w14:textId="77777777" w:rsidR="00FC521A" w:rsidRPr="00CE6819" w:rsidRDefault="00FC521A" w:rsidP="00D01F96">
            <w:pPr>
              <w:rPr>
                <w:rFonts w:ascii="Calibri" w:hAnsi="Calibri" w:cs="Calibri"/>
                <w:color w:val="000000"/>
                <w:sz w:val="24"/>
                <w:szCs w:val="24"/>
              </w:rPr>
            </w:pPr>
            <w:r w:rsidRPr="00CE6819">
              <w:rPr>
                <w:rFonts w:ascii="Calibri" w:hAnsi="Calibri" w:cs="Calibri"/>
                <w:color w:val="000000"/>
                <w:sz w:val="24"/>
                <w:szCs w:val="24"/>
              </w:rPr>
              <w:t>2017</w:t>
            </w:r>
          </w:p>
        </w:tc>
        <w:tc>
          <w:tcPr>
            <w:tcW w:w="1360" w:type="dxa"/>
            <w:tcBorders>
              <w:top w:val="nil"/>
              <w:left w:val="nil"/>
              <w:bottom w:val="nil"/>
              <w:right w:val="single" w:sz="12" w:space="0" w:color="auto"/>
            </w:tcBorders>
          </w:tcPr>
          <w:p w14:paraId="3E8183A1" w14:textId="77777777" w:rsidR="00FC521A" w:rsidRPr="00CE6819" w:rsidRDefault="00FC521A" w:rsidP="00D01F96">
            <w:pPr>
              <w:jc w:val="center"/>
              <w:rPr>
                <w:rFonts w:ascii="Calibri" w:hAnsi="Calibri" w:cs="Calibri"/>
                <w:color w:val="000000"/>
                <w:sz w:val="24"/>
                <w:szCs w:val="24"/>
              </w:rPr>
            </w:pPr>
            <w:r w:rsidRPr="00CE6819">
              <w:rPr>
                <w:rFonts w:ascii="Calibri" w:hAnsi="Calibri" w:cs="Calibri" w:hint="cs"/>
                <w:color w:val="000000"/>
                <w:sz w:val="24"/>
                <w:szCs w:val="24"/>
                <w:rtl/>
              </w:rPr>
              <w:t>210</w:t>
            </w:r>
          </w:p>
        </w:tc>
        <w:tc>
          <w:tcPr>
            <w:tcW w:w="1360" w:type="dxa"/>
            <w:tcBorders>
              <w:top w:val="nil"/>
              <w:left w:val="nil"/>
              <w:bottom w:val="nil"/>
              <w:right w:val="nil"/>
            </w:tcBorders>
            <w:vAlign w:val="bottom"/>
          </w:tcPr>
          <w:p w14:paraId="09A3977A" w14:textId="77777777" w:rsidR="00FC521A" w:rsidRPr="00CE6819" w:rsidRDefault="00FC521A" w:rsidP="00D01F96">
            <w:pPr>
              <w:jc w:val="center"/>
              <w:rPr>
                <w:rFonts w:ascii="Calibri" w:hAnsi="Calibri" w:cs="Calibri"/>
                <w:color w:val="000000"/>
                <w:sz w:val="24"/>
                <w:szCs w:val="24"/>
                <w:rtl/>
              </w:rPr>
            </w:pPr>
            <w:r w:rsidRPr="00CE6819">
              <w:rPr>
                <w:rFonts w:ascii="Calibri" w:hAnsi="Calibri" w:cs="Calibri"/>
                <w:color w:val="000000"/>
                <w:sz w:val="24"/>
                <w:szCs w:val="24"/>
              </w:rPr>
              <w:t>50</w:t>
            </w:r>
          </w:p>
        </w:tc>
        <w:tc>
          <w:tcPr>
            <w:tcW w:w="1360" w:type="dxa"/>
            <w:tcBorders>
              <w:top w:val="nil"/>
              <w:left w:val="nil"/>
              <w:bottom w:val="nil"/>
              <w:right w:val="single" w:sz="12" w:space="0" w:color="auto"/>
            </w:tcBorders>
          </w:tcPr>
          <w:p w14:paraId="63F6CA95" w14:textId="77777777" w:rsidR="00FC521A" w:rsidRPr="00CE6819" w:rsidRDefault="00FC521A" w:rsidP="00D01F96">
            <w:pPr>
              <w:jc w:val="center"/>
              <w:rPr>
                <w:rFonts w:ascii="Calibri" w:hAnsi="Calibri" w:cs="Calibri"/>
                <w:color w:val="000000"/>
                <w:sz w:val="24"/>
                <w:szCs w:val="24"/>
                <w:rtl/>
              </w:rPr>
            </w:pPr>
            <w:r w:rsidRPr="00CE6819">
              <w:rPr>
                <w:rFonts w:ascii="Calibri" w:hAnsi="Calibri" w:cs="Calibri" w:hint="cs"/>
                <w:color w:val="000000"/>
                <w:sz w:val="24"/>
                <w:szCs w:val="24"/>
                <w:rtl/>
              </w:rPr>
              <w:t>24%</w:t>
            </w:r>
          </w:p>
        </w:tc>
      </w:tr>
      <w:tr w:rsidR="00FC521A" w:rsidRPr="00CE6819" w14:paraId="473968FE" w14:textId="77777777" w:rsidTr="00165BAD">
        <w:trPr>
          <w:trHeight w:hRule="exact" w:val="340"/>
        </w:trPr>
        <w:tc>
          <w:tcPr>
            <w:tcW w:w="960" w:type="dxa"/>
            <w:tcBorders>
              <w:top w:val="nil"/>
              <w:left w:val="single" w:sz="12" w:space="0" w:color="auto"/>
              <w:bottom w:val="nil"/>
              <w:right w:val="nil"/>
            </w:tcBorders>
            <w:shd w:val="clear" w:color="auto" w:fill="auto"/>
            <w:noWrap/>
            <w:vAlign w:val="bottom"/>
          </w:tcPr>
          <w:p w14:paraId="169662DF" w14:textId="77777777" w:rsidR="00FC521A" w:rsidRPr="00CE6819" w:rsidRDefault="00FC521A" w:rsidP="00D01F96">
            <w:pPr>
              <w:rPr>
                <w:rFonts w:ascii="Calibri" w:hAnsi="Calibri" w:cs="Calibri"/>
                <w:color w:val="000000"/>
                <w:sz w:val="24"/>
                <w:szCs w:val="24"/>
              </w:rPr>
            </w:pPr>
            <w:r w:rsidRPr="00CE6819">
              <w:rPr>
                <w:rFonts w:ascii="Calibri" w:hAnsi="Calibri" w:cs="Calibri"/>
                <w:color w:val="000000"/>
                <w:sz w:val="24"/>
                <w:szCs w:val="24"/>
              </w:rPr>
              <w:t>2018</w:t>
            </w:r>
          </w:p>
        </w:tc>
        <w:tc>
          <w:tcPr>
            <w:tcW w:w="1360" w:type="dxa"/>
            <w:tcBorders>
              <w:top w:val="nil"/>
              <w:left w:val="nil"/>
              <w:bottom w:val="nil"/>
              <w:right w:val="single" w:sz="12" w:space="0" w:color="auto"/>
            </w:tcBorders>
          </w:tcPr>
          <w:p w14:paraId="225BBC89" w14:textId="77777777" w:rsidR="00FC521A" w:rsidRPr="00CE6819" w:rsidRDefault="00FC521A" w:rsidP="00D01F96">
            <w:pPr>
              <w:jc w:val="center"/>
              <w:rPr>
                <w:rFonts w:ascii="Calibri" w:hAnsi="Calibri" w:cs="Calibri"/>
                <w:color w:val="000000"/>
                <w:sz w:val="24"/>
                <w:szCs w:val="24"/>
                <w:u w:val="single"/>
                <w:rtl/>
              </w:rPr>
            </w:pPr>
            <w:r w:rsidRPr="00CE6819">
              <w:rPr>
                <w:rFonts w:ascii="Calibri" w:hAnsi="Calibri" w:cs="Calibri" w:hint="cs"/>
                <w:color w:val="000000"/>
                <w:sz w:val="24"/>
                <w:szCs w:val="24"/>
                <w:u w:val="single"/>
                <w:rtl/>
              </w:rPr>
              <w:t>258</w:t>
            </w:r>
          </w:p>
        </w:tc>
        <w:tc>
          <w:tcPr>
            <w:tcW w:w="1360" w:type="dxa"/>
            <w:tcBorders>
              <w:top w:val="nil"/>
              <w:left w:val="nil"/>
              <w:bottom w:val="nil"/>
              <w:right w:val="nil"/>
            </w:tcBorders>
            <w:vAlign w:val="bottom"/>
          </w:tcPr>
          <w:p w14:paraId="345C9E19" w14:textId="77777777" w:rsidR="00FC521A" w:rsidRPr="00CE6819" w:rsidRDefault="00FC521A" w:rsidP="00D01F96">
            <w:pPr>
              <w:jc w:val="center"/>
              <w:rPr>
                <w:rFonts w:ascii="Calibri" w:hAnsi="Calibri" w:cs="Calibri"/>
                <w:color w:val="000000"/>
                <w:sz w:val="24"/>
                <w:szCs w:val="24"/>
                <w:u w:val="single"/>
                <w:rtl/>
              </w:rPr>
            </w:pPr>
            <w:r w:rsidRPr="00CE6819">
              <w:rPr>
                <w:rFonts w:ascii="Calibri" w:hAnsi="Calibri" w:cs="Calibri" w:hint="cs"/>
                <w:color w:val="000000"/>
                <w:sz w:val="24"/>
                <w:szCs w:val="24"/>
                <w:u w:val="single"/>
                <w:rtl/>
              </w:rPr>
              <w:t>82</w:t>
            </w:r>
          </w:p>
        </w:tc>
        <w:tc>
          <w:tcPr>
            <w:tcW w:w="1360" w:type="dxa"/>
            <w:tcBorders>
              <w:top w:val="nil"/>
              <w:left w:val="nil"/>
              <w:bottom w:val="nil"/>
              <w:right w:val="single" w:sz="12" w:space="0" w:color="auto"/>
            </w:tcBorders>
          </w:tcPr>
          <w:p w14:paraId="602A061D" w14:textId="77777777" w:rsidR="00FC521A" w:rsidRPr="00CE6819" w:rsidRDefault="00FC521A" w:rsidP="00D01F96">
            <w:pPr>
              <w:jc w:val="center"/>
              <w:rPr>
                <w:rFonts w:ascii="Calibri" w:hAnsi="Calibri" w:cs="Calibri"/>
                <w:color w:val="000000"/>
                <w:sz w:val="24"/>
                <w:szCs w:val="24"/>
                <w:u w:val="single"/>
                <w:rtl/>
              </w:rPr>
            </w:pPr>
            <w:r w:rsidRPr="00CE6819">
              <w:rPr>
                <w:rFonts w:ascii="Calibri" w:hAnsi="Calibri" w:cs="Calibri" w:hint="cs"/>
                <w:color w:val="000000"/>
                <w:sz w:val="24"/>
                <w:szCs w:val="24"/>
                <w:u w:val="single"/>
                <w:rtl/>
              </w:rPr>
              <w:t>32%</w:t>
            </w:r>
          </w:p>
        </w:tc>
      </w:tr>
      <w:tr w:rsidR="00FC521A" w:rsidRPr="00CE6819" w14:paraId="592E4826" w14:textId="77777777" w:rsidTr="00165BAD">
        <w:trPr>
          <w:trHeight w:hRule="exact" w:val="340"/>
        </w:trPr>
        <w:tc>
          <w:tcPr>
            <w:tcW w:w="960" w:type="dxa"/>
            <w:tcBorders>
              <w:top w:val="nil"/>
              <w:left w:val="single" w:sz="12" w:space="0" w:color="auto"/>
              <w:bottom w:val="single" w:sz="12" w:space="0" w:color="auto"/>
              <w:right w:val="nil"/>
            </w:tcBorders>
            <w:shd w:val="clear" w:color="auto" w:fill="auto"/>
            <w:noWrap/>
            <w:vAlign w:val="bottom"/>
            <w:hideMark/>
          </w:tcPr>
          <w:p w14:paraId="007DA5AE" w14:textId="77777777" w:rsidR="00FC521A" w:rsidRPr="00CE6819" w:rsidRDefault="00FC521A" w:rsidP="00D01F96">
            <w:pPr>
              <w:rPr>
                <w:rFonts w:ascii="Calibri" w:hAnsi="Calibri" w:cs="Calibri"/>
                <w:color w:val="000000"/>
                <w:sz w:val="24"/>
                <w:szCs w:val="24"/>
              </w:rPr>
            </w:pPr>
            <w:r w:rsidRPr="00CE6819">
              <w:rPr>
                <w:rFonts w:ascii="Calibri" w:hAnsi="Calibri" w:cs="Calibri"/>
                <w:color w:val="000000"/>
                <w:sz w:val="24"/>
                <w:szCs w:val="24"/>
              </w:rPr>
              <w:t>Total</w:t>
            </w:r>
          </w:p>
        </w:tc>
        <w:tc>
          <w:tcPr>
            <w:tcW w:w="1360" w:type="dxa"/>
            <w:tcBorders>
              <w:top w:val="nil"/>
              <w:left w:val="nil"/>
              <w:bottom w:val="single" w:sz="12" w:space="0" w:color="auto"/>
              <w:right w:val="single" w:sz="12" w:space="0" w:color="auto"/>
            </w:tcBorders>
          </w:tcPr>
          <w:p w14:paraId="6F49A9AC" w14:textId="77777777" w:rsidR="00FC521A" w:rsidRPr="00CE6819" w:rsidRDefault="00FC521A" w:rsidP="00D01F96">
            <w:pPr>
              <w:jc w:val="center"/>
              <w:rPr>
                <w:rFonts w:ascii="Calibri" w:hAnsi="Calibri" w:cs="Calibri"/>
                <w:color w:val="000000"/>
                <w:sz w:val="24"/>
                <w:szCs w:val="24"/>
                <w:rtl/>
              </w:rPr>
            </w:pPr>
            <w:r w:rsidRPr="00CE6819">
              <w:rPr>
                <w:rFonts w:ascii="Calibri" w:hAnsi="Calibri" w:cs="Calibri" w:hint="cs"/>
                <w:color w:val="000000"/>
                <w:sz w:val="24"/>
                <w:szCs w:val="24"/>
                <w:rtl/>
              </w:rPr>
              <w:t>1,356</w:t>
            </w:r>
          </w:p>
        </w:tc>
        <w:tc>
          <w:tcPr>
            <w:tcW w:w="1360" w:type="dxa"/>
            <w:tcBorders>
              <w:top w:val="nil"/>
              <w:left w:val="nil"/>
              <w:bottom w:val="single" w:sz="12" w:space="0" w:color="auto"/>
              <w:right w:val="nil"/>
            </w:tcBorders>
            <w:vAlign w:val="bottom"/>
          </w:tcPr>
          <w:p w14:paraId="77FF24CB" w14:textId="77777777" w:rsidR="00FC521A" w:rsidRPr="00CE6819" w:rsidRDefault="00FC521A" w:rsidP="00D01F96">
            <w:pPr>
              <w:jc w:val="center"/>
              <w:rPr>
                <w:rFonts w:ascii="Calibri" w:hAnsi="Calibri" w:cs="Calibri"/>
                <w:color w:val="000000"/>
                <w:sz w:val="24"/>
                <w:szCs w:val="24"/>
                <w:rtl/>
              </w:rPr>
            </w:pPr>
            <w:r w:rsidRPr="00CE6819">
              <w:rPr>
                <w:rFonts w:ascii="Calibri" w:hAnsi="Calibri" w:cs="Calibri" w:hint="cs"/>
                <w:color w:val="000000"/>
                <w:sz w:val="24"/>
                <w:szCs w:val="24"/>
                <w:rtl/>
              </w:rPr>
              <w:t>310</w:t>
            </w:r>
          </w:p>
        </w:tc>
        <w:tc>
          <w:tcPr>
            <w:tcW w:w="1360" w:type="dxa"/>
            <w:tcBorders>
              <w:top w:val="nil"/>
              <w:left w:val="nil"/>
              <w:bottom w:val="single" w:sz="12" w:space="0" w:color="auto"/>
              <w:right w:val="single" w:sz="12" w:space="0" w:color="auto"/>
            </w:tcBorders>
          </w:tcPr>
          <w:p w14:paraId="12336820" w14:textId="77777777" w:rsidR="00FC521A" w:rsidRPr="00CE6819" w:rsidRDefault="00FC521A" w:rsidP="00D01F96">
            <w:pPr>
              <w:jc w:val="center"/>
              <w:rPr>
                <w:rFonts w:ascii="Calibri" w:hAnsi="Calibri" w:cs="Calibri"/>
                <w:color w:val="000000"/>
                <w:sz w:val="24"/>
                <w:szCs w:val="24"/>
                <w:rtl/>
              </w:rPr>
            </w:pPr>
            <w:r w:rsidRPr="00CE6819">
              <w:rPr>
                <w:rFonts w:ascii="Calibri" w:hAnsi="Calibri" w:cs="Calibri" w:hint="cs"/>
                <w:color w:val="000000"/>
                <w:sz w:val="24"/>
                <w:szCs w:val="24"/>
                <w:rtl/>
              </w:rPr>
              <w:t>23%</w:t>
            </w:r>
          </w:p>
        </w:tc>
      </w:tr>
    </w:tbl>
    <w:p w14:paraId="67CCEB53" w14:textId="77777777" w:rsidR="003F070C" w:rsidRPr="00CE6819" w:rsidRDefault="003F070C" w:rsidP="00D01F96">
      <w:pPr>
        <w:autoSpaceDE w:val="0"/>
        <w:autoSpaceDN w:val="0"/>
        <w:adjustRightInd w:val="0"/>
        <w:spacing w:line="360" w:lineRule="auto"/>
        <w:jc w:val="both"/>
        <w:rPr>
          <w:sz w:val="24"/>
          <w:szCs w:val="24"/>
          <w:rtl/>
        </w:rPr>
      </w:pPr>
    </w:p>
    <w:p w14:paraId="7443E601" w14:textId="5B53C543" w:rsidR="008821FE" w:rsidRPr="00CE6819" w:rsidRDefault="00227CAB" w:rsidP="00D01F96">
      <w:pPr>
        <w:bidi w:val="0"/>
        <w:spacing w:line="360" w:lineRule="auto"/>
        <w:rPr>
          <w:rStyle w:val="tlid-translation"/>
          <w:sz w:val="24"/>
          <w:szCs w:val="24"/>
          <w:lang w:val="en"/>
        </w:rPr>
      </w:pPr>
      <w:r w:rsidRPr="00CE6819">
        <w:rPr>
          <w:rStyle w:val="tlid-translation"/>
          <w:sz w:val="24"/>
          <w:szCs w:val="24"/>
          <w:lang w:val="en"/>
        </w:rPr>
        <w:t>Table 2 presents descriptive statistics of the market value of the firms in our database. A prominent feature is the</w:t>
      </w:r>
      <w:r w:rsidR="007521A6" w:rsidRPr="00CE6819">
        <w:rPr>
          <w:rStyle w:val="tlid-translation"/>
          <w:sz w:val="24"/>
          <w:szCs w:val="24"/>
          <w:lang w:val="en"/>
        </w:rPr>
        <w:t xml:space="preserve">ir relatively </w:t>
      </w:r>
      <w:r w:rsidRPr="00CE6819">
        <w:rPr>
          <w:rStyle w:val="tlid-translation"/>
          <w:sz w:val="24"/>
          <w:szCs w:val="24"/>
          <w:lang w:val="en"/>
        </w:rPr>
        <w:t xml:space="preserve">low market </w:t>
      </w:r>
      <w:r w:rsidR="007521A6" w:rsidRPr="00CE6819">
        <w:rPr>
          <w:rStyle w:val="tlid-translation"/>
          <w:sz w:val="24"/>
          <w:szCs w:val="24"/>
          <w:lang w:val="en"/>
        </w:rPr>
        <w:t>capitalization</w:t>
      </w:r>
      <w:r w:rsidRPr="00CE6819">
        <w:rPr>
          <w:rStyle w:val="tlid-translation"/>
          <w:sz w:val="24"/>
          <w:szCs w:val="24"/>
          <w:lang w:val="en"/>
        </w:rPr>
        <w:t>. The average market value of $539 million is relatively low in compared to the average market value of companies issued in those years, which was $1,419 million.</w:t>
      </w:r>
      <w:r w:rsidRPr="00CE6819">
        <w:rPr>
          <w:rStyle w:val="FootnoteReference"/>
          <w:sz w:val="24"/>
          <w:szCs w:val="24"/>
          <w:lang w:val="en"/>
        </w:rPr>
        <w:footnoteReference w:id="5"/>
      </w:r>
      <w:r w:rsidRPr="00CE6819">
        <w:rPr>
          <w:rStyle w:val="tlid-translation"/>
          <w:sz w:val="24"/>
          <w:szCs w:val="24"/>
          <w:lang w:val="en"/>
        </w:rPr>
        <w:t xml:space="preserve"> </w:t>
      </w:r>
    </w:p>
    <w:p w14:paraId="4F135387" w14:textId="33783810" w:rsidR="00227CAB" w:rsidRPr="00CE6819" w:rsidRDefault="00227CAB" w:rsidP="00D01F96">
      <w:pPr>
        <w:bidi w:val="0"/>
        <w:spacing w:line="360" w:lineRule="auto"/>
        <w:rPr>
          <w:rStyle w:val="tlid-translation"/>
          <w:sz w:val="24"/>
          <w:szCs w:val="24"/>
          <w:lang w:val="en"/>
        </w:rPr>
      </w:pPr>
    </w:p>
    <w:p w14:paraId="1445159D" w14:textId="77777777" w:rsidR="00227CAB" w:rsidRPr="00CE6819" w:rsidRDefault="00227CAB" w:rsidP="00D01F96">
      <w:pPr>
        <w:bidi w:val="0"/>
        <w:spacing w:line="360" w:lineRule="auto"/>
        <w:rPr>
          <w:rFonts w:asciiTheme="minorBidi" w:eastAsia="Times New Roman" w:hAnsiTheme="minorBidi"/>
          <w:b/>
          <w:bCs/>
          <w:color w:val="000000"/>
          <w:sz w:val="24"/>
          <w:szCs w:val="24"/>
        </w:rPr>
      </w:pPr>
      <w:r w:rsidRPr="00CE6819">
        <w:rPr>
          <w:rFonts w:asciiTheme="minorBidi" w:eastAsia="Times New Roman" w:hAnsiTheme="minorBidi"/>
          <w:b/>
          <w:bCs/>
          <w:color w:val="000000"/>
          <w:sz w:val="24"/>
          <w:szCs w:val="24"/>
        </w:rPr>
        <w:t>Table 2: Market Value statistic at December of the IPO Year (M$)</w:t>
      </w:r>
    </w:p>
    <w:tbl>
      <w:tblPr>
        <w:tblW w:w="2878" w:type="dxa"/>
        <w:tblInd w:w="93" w:type="dxa"/>
        <w:tblBorders>
          <w:top w:val="single" w:sz="12" w:space="0" w:color="auto"/>
          <w:left w:val="single" w:sz="12" w:space="0" w:color="auto"/>
          <w:bottom w:val="single" w:sz="18" w:space="0" w:color="auto"/>
          <w:right w:val="single" w:sz="12" w:space="0" w:color="auto"/>
        </w:tblBorders>
        <w:tblLook w:val="04A0" w:firstRow="1" w:lastRow="0" w:firstColumn="1" w:lastColumn="0" w:noHBand="0" w:noVBand="1"/>
      </w:tblPr>
      <w:tblGrid>
        <w:gridCol w:w="1630"/>
        <w:gridCol w:w="1248"/>
      </w:tblGrid>
      <w:tr w:rsidR="00227CAB" w:rsidRPr="00CE6819" w14:paraId="596EA819" w14:textId="77777777" w:rsidTr="00EC3C7C">
        <w:trPr>
          <w:trHeight w:val="315"/>
        </w:trPr>
        <w:tc>
          <w:tcPr>
            <w:tcW w:w="1630" w:type="dxa"/>
            <w:shd w:val="clear" w:color="auto" w:fill="auto"/>
            <w:noWrap/>
            <w:vAlign w:val="bottom"/>
            <w:hideMark/>
          </w:tcPr>
          <w:p w14:paraId="01C7DD62" w14:textId="77777777" w:rsidR="00227CAB" w:rsidRPr="00B86865" w:rsidRDefault="00227CAB" w:rsidP="00D01F96">
            <w:pPr>
              <w:spacing w:after="0" w:line="240" w:lineRule="auto"/>
              <w:jc w:val="right"/>
              <w:rPr>
                <w:rFonts w:asciiTheme="minorBidi" w:eastAsia="Times New Roman" w:hAnsiTheme="minorBidi"/>
                <w:color w:val="000000"/>
                <w:sz w:val="20"/>
                <w:szCs w:val="20"/>
              </w:rPr>
            </w:pPr>
            <w:r w:rsidRPr="00B86865">
              <w:rPr>
                <w:rFonts w:asciiTheme="minorBidi" w:eastAsia="Times New Roman" w:hAnsiTheme="minorBidi"/>
                <w:color w:val="000000"/>
                <w:sz w:val="20"/>
                <w:szCs w:val="20"/>
              </w:rPr>
              <w:t>Average</w:t>
            </w:r>
          </w:p>
        </w:tc>
        <w:tc>
          <w:tcPr>
            <w:tcW w:w="1248" w:type="dxa"/>
            <w:shd w:val="clear" w:color="auto" w:fill="auto"/>
            <w:noWrap/>
            <w:vAlign w:val="bottom"/>
            <w:hideMark/>
          </w:tcPr>
          <w:p w14:paraId="6B849C57" w14:textId="77777777" w:rsidR="00227CAB" w:rsidRPr="00B86865" w:rsidRDefault="00227CAB" w:rsidP="00D01F96">
            <w:pPr>
              <w:spacing w:after="0" w:line="240" w:lineRule="auto"/>
              <w:jc w:val="right"/>
              <w:rPr>
                <w:rFonts w:asciiTheme="minorBidi" w:eastAsia="Times New Roman" w:hAnsiTheme="minorBidi"/>
                <w:color w:val="000000"/>
                <w:sz w:val="20"/>
                <w:szCs w:val="20"/>
                <w:rtl/>
              </w:rPr>
            </w:pPr>
            <w:r w:rsidRPr="00B86865">
              <w:rPr>
                <w:rFonts w:asciiTheme="minorBidi" w:eastAsia="Times New Roman" w:hAnsiTheme="minorBidi"/>
                <w:color w:val="000000"/>
                <w:sz w:val="20"/>
                <w:szCs w:val="20"/>
              </w:rPr>
              <w:t>538.7</w:t>
            </w:r>
          </w:p>
        </w:tc>
      </w:tr>
      <w:tr w:rsidR="00227CAB" w:rsidRPr="00CE6819" w14:paraId="722791DC" w14:textId="77777777" w:rsidTr="00EC3C7C">
        <w:trPr>
          <w:trHeight w:val="300"/>
        </w:trPr>
        <w:tc>
          <w:tcPr>
            <w:tcW w:w="1630" w:type="dxa"/>
            <w:shd w:val="clear" w:color="auto" w:fill="auto"/>
            <w:noWrap/>
            <w:vAlign w:val="bottom"/>
            <w:hideMark/>
          </w:tcPr>
          <w:p w14:paraId="0533A69F" w14:textId="77777777" w:rsidR="00227CAB" w:rsidRPr="00B86865" w:rsidRDefault="00227CAB" w:rsidP="00D01F96">
            <w:pPr>
              <w:spacing w:after="0" w:line="240" w:lineRule="auto"/>
              <w:jc w:val="right"/>
              <w:rPr>
                <w:rFonts w:asciiTheme="minorBidi" w:eastAsia="Times New Roman" w:hAnsiTheme="minorBidi"/>
                <w:color w:val="000000"/>
                <w:sz w:val="20"/>
                <w:szCs w:val="20"/>
              </w:rPr>
            </w:pPr>
            <w:r w:rsidRPr="00B86865">
              <w:rPr>
                <w:rFonts w:asciiTheme="minorBidi" w:eastAsia="Times New Roman" w:hAnsiTheme="minorBidi"/>
                <w:color w:val="000000"/>
                <w:sz w:val="20"/>
                <w:szCs w:val="20"/>
              </w:rPr>
              <w:t>Std. Dev.</w:t>
            </w:r>
          </w:p>
        </w:tc>
        <w:tc>
          <w:tcPr>
            <w:tcW w:w="1248" w:type="dxa"/>
            <w:shd w:val="clear" w:color="auto" w:fill="auto"/>
            <w:noWrap/>
            <w:vAlign w:val="bottom"/>
            <w:hideMark/>
          </w:tcPr>
          <w:p w14:paraId="298BC594" w14:textId="77777777" w:rsidR="00227CAB" w:rsidRPr="00B86865" w:rsidRDefault="00227CAB" w:rsidP="00D01F96">
            <w:pPr>
              <w:spacing w:after="0" w:line="240" w:lineRule="auto"/>
              <w:jc w:val="right"/>
              <w:rPr>
                <w:rFonts w:asciiTheme="minorBidi" w:eastAsia="Times New Roman" w:hAnsiTheme="minorBidi"/>
                <w:color w:val="000000"/>
                <w:sz w:val="20"/>
                <w:szCs w:val="20"/>
              </w:rPr>
            </w:pPr>
            <w:r w:rsidRPr="00B86865">
              <w:rPr>
                <w:rFonts w:asciiTheme="minorBidi" w:eastAsia="Times New Roman" w:hAnsiTheme="minorBidi"/>
                <w:color w:val="000000"/>
                <w:sz w:val="20"/>
                <w:szCs w:val="20"/>
              </w:rPr>
              <w:t>931.9</w:t>
            </w:r>
          </w:p>
        </w:tc>
      </w:tr>
      <w:tr w:rsidR="00227CAB" w:rsidRPr="00CE6819" w14:paraId="63191C74" w14:textId="77777777" w:rsidTr="00EC3C7C">
        <w:trPr>
          <w:trHeight w:val="300"/>
        </w:trPr>
        <w:tc>
          <w:tcPr>
            <w:tcW w:w="1630" w:type="dxa"/>
            <w:shd w:val="clear" w:color="auto" w:fill="auto"/>
            <w:noWrap/>
            <w:vAlign w:val="bottom"/>
            <w:hideMark/>
          </w:tcPr>
          <w:p w14:paraId="73138F9E" w14:textId="77777777" w:rsidR="00227CAB" w:rsidRPr="00B86865" w:rsidRDefault="00227CAB" w:rsidP="00D01F96">
            <w:pPr>
              <w:spacing w:after="0" w:line="240" w:lineRule="auto"/>
              <w:jc w:val="right"/>
              <w:rPr>
                <w:rFonts w:asciiTheme="minorBidi" w:eastAsia="Times New Roman" w:hAnsiTheme="minorBidi"/>
                <w:color w:val="000000"/>
                <w:sz w:val="20"/>
                <w:szCs w:val="20"/>
              </w:rPr>
            </w:pPr>
            <w:r w:rsidRPr="00B86865">
              <w:rPr>
                <w:rFonts w:asciiTheme="minorBidi" w:eastAsia="Times New Roman" w:hAnsiTheme="minorBidi"/>
                <w:color w:val="000000"/>
                <w:sz w:val="20"/>
                <w:szCs w:val="20"/>
              </w:rPr>
              <w:t>Max</w:t>
            </w:r>
          </w:p>
        </w:tc>
        <w:tc>
          <w:tcPr>
            <w:tcW w:w="1248" w:type="dxa"/>
            <w:shd w:val="clear" w:color="auto" w:fill="auto"/>
            <w:noWrap/>
            <w:vAlign w:val="bottom"/>
            <w:hideMark/>
          </w:tcPr>
          <w:p w14:paraId="5079936A" w14:textId="77777777" w:rsidR="00227CAB" w:rsidRPr="00B86865" w:rsidRDefault="00227CAB" w:rsidP="00D01F96">
            <w:pPr>
              <w:spacing w:after="0" w:line="240" w:lineRule="auto"/>
              <w:jc w:val="right"/>
              <w:rPr>
                <w:rFonts w:asciiTheme="minorBidi" w:eastAsia="Times New Roman" w:hAnsiTheme="minorBidi"/>
                <w:color w:val="000000"/>
                <w:sz w:val="20"/>
                <w:szCs w:val="20"/>
              </w:rPr>
            </w:pPr>
            <w:r w:rsidRPr="00B86865">
              <w:rPr>
                <w:rFonts w:asciiTheme="minorBidi" w:eastAsia="Times New Roman" w:hAnsiTheme="minorBidi"/>
                <w:color w:val="000000"/>
                <w:sz w:val="20"/>
                <w:szCs w:val="20"/>
              </w:rPr>
              <w:t>11,528.2</w:t>
            </w:r>
          </w:p>
        </w:tc>
      </w:tr>
      <w:tr w:rsidR="00227CAB" w:rsidRPr="00CE6819" w14:paraId="0836A1B0" w14:textId="77777777" w:rsidTr="00EC3C7C">
        <w:trPr>
          <w:trHeight w:val="300"/>
        </w:trPr>
        <w:tc>
          <w:tcPr>
            <w:tcW w:w="1630" w:type="dxa"/>
            <w:shd w:val="clear" w:color="auto" w:fill="auto"/>
            <w:noWrap/>
            <w:vAlign w:val="bottom"/>
            <w:hideMark/>
          </w:tcPr>
          <w:p w14:paraId="55656AE7" w14:textId="77777777" w:rsidR="00227CAB" w:rsidRPr="00B86865" w:rsidRDefault="00227CAB" w:rsidP="00D01F96">
            <w:pPr>
              <w:spacing w:after="0" w:line="240" w:lineRule="auto"/>
              <w:jc w:val="right"/>
              <w:rPr>
                <w:rFonts w:asciiTheme="minorBidi" w:eastAsia="Times New Roman" w:hAnsiTheme="minorBidi"/>
                <w:color w:val="000000"/>
                <w:sz w:val="20"/>
                <w:szCs w:val="20"/>
              </w:rPr>
            </w:pPr>
            <w:r w:rsidRPr="00B86865">
              <w:rPr>
                <w:rFonts w:asciiTheme="minorBidi" w:eastAsia="Times New Roman" w:hAnsiTheme="minorBidi"/>
                <w:color w:val="000000"/>
                <w:sz w:val="20"/>
                <w:szCs w:val="20"/>
              </w:rPr>
              <w:t>Min</w:t>
            </w:r>
          </w:p>
        </w:tc>
        <w:tc>
          <w:tcPr>
            <w:tcW w:w="1248" w:type="dxa"/>
            <w:shd w:val="clear" w:color="auto" w:fill="auto"/>
            <w:noWrap/>
            <w:vAlign w:val="bottom"/>
            <w:hideMark/>
          </w:tcPr>
          <w:p w14:paraId="2EC2F4D0" w14:textId="77777777" w:rsidR="00227CAB" w:rsidRPr="00B86865" w:rsidRDefault="00227CAB" w:rsidP="00D01F96">
            <w:pPr>
              <w:spacing w:after="0" w:line="240" w:lineRule="auto"/>
              <w:jc w:val="right"/>
              <w:rPr>
                <w:rFonts w:asciiTheme="minorBidi" w:eastAsia="Times New Roman" w:hAnsiTheme="minorBidi"/>
                <w:color w:val="000000"/>
                <w:sz w:val="20"/>
                <w:szCs w:val="20"/>
              </w:rPr>
            </w:pPr>
            <w:r w:rsidRPr="00B86865">
              <w:rPr>
                <w:rFonts w:asciiTheme="minorBidi" w:eastAsia="Times New Roman" w:hAnsiTheme="minorBidi"/>
                <w:color w:val="000000"/>
                <w:sz w:val="20"/>
                <w:szCs w:val="20"/>
              </w:rPr>
              <w:t>1.3</w:t>
            </w:r>
          </w:p>
        </w:tc>
      </w:tr>
      <w:tr w:rsidR="00227CAB" w:rsidRPr="00CE6819" w14:paraId="53C7BDBA" w14:textId="77777777" w:rsidTr="00EC3C7C">
        <w:trPr>
          <w:trHeight w:val="300"/>
        </w:trPr>
        <w:tc>
          <w:tcPr>
            <w:tcW w:w="1630" w:type="dxa"/>
            <w:shd w:val="clear" w:color="auto" w:fill="auto"/>
            <w:noWrap/>
            <w:vAlign w:val="bottom"/>
            <w:hideMark/>
          </w:tcPr>
          <w:p w14:paraId="32E59369" w14:textId="77777777" w:rsidR="00227CAB" w:rsidRPr="00B86865" w:rsidRDefault="00227CAB" w:rsidP="00D01F96">
            <w:pPr>
              <w:spacing w:after="0" w:line="240" w:lineRule="auto"/>
              <w:jc w:val="right"/>
              <w:rPr>
                <w:rFonts w:asciiTheme="minorBidi" w:eastAsia="Times New Roman" w:hAnsiTheme="minorBidi"/>
                <w:color w:val="000000"/>
                <w:sz w:val="20"/>
                <w:szCs w:val="20"/>
              </w:rPr>
            </w:pPr>
            <w:r w:rsidRPr="00B86865">
              <w:rPr>
                <w:rFonts w:asciiTheme="minorBidi" w:eastAsia="Times New Roman" w:hAnsiTheme="minorBidi"/>
                <w:color w:val="000000"/>
                <w:sz w:val="20"/>
                <w:szCs w:val="20"/>
              </w:rPr>
              <w:t>Median</w:t>
            </w:r>
          </w:p>
        </w:tc>
        <w:tc>
          <w:tcPr>
            <w:tcW w:w="1248" w:type="dxa"/>
            <w:shd w:val="clear" w:color="auto" w:fill="auto"/>
            <w:noWrap/>
            <w:vAlign w:val="bottom"/>
            <w:hideMark/>
          </w:tcPr>
          <w:p w14:paraId="2C54FF02" w14:textId="77777777" w:rsidR="00227CAB" w:rsidRPr="00B86865" w:rsidRDefault="00227CAB" w:rsidP="00D01F96">
            <w:pPr>
              <w:spacing w:after="0" w:line="240" w:lineRule="auto"/>
              <w:jc w:val="right"/>
              <w:rPr>
                <w:rFonts w:asciiTheme="minorBidi" w:eastAsia="Times New Roman" w:hAnsiTheme="minorBidi"/>
                <w:color w:val="000000"/>
                <w:sz w:val="20"/>
                <w:szCs w:val="20"/>
              </w:rPr>
            </w:pPr>
            <w:r w:rsidRPr="00B86865">
              <w:rPr>
                <w:rFonts w:asciiTheme="minorBidi" w:eastAsia="Times New Roman" w:hAnsiTheme="minorBidi"/>
                <w:color w:val="000000"/>
                <w:sz w:val="20"/>
                <w:szCs w:val="20"/>
              </w:rPr>
              <w:t>296.1</w:t>
            </w:r>
          </w:p>
        </w:tc>
      </w:tr>
    </w:tbl>
    <w:p w14:paraId="260B855F" w14:textId="5A84D6BB" w:rsidR="00227CAB" w:rsidRPr="00CE6819" w:rsidRDefault="00227CAB" w:rsidP="00D01F96">
      <w:pPr>
        <w:bidi w:val="0"/>
        <w:spacing w:line="360" w:lineRule="auto"/>
        <w:rPr>
          <w:rStyle w:val="tlid-translation"/>
          <w:sz w:val="24"/>
          <w:szCs w:val="24"/>
        </w:rPr>
      </w:pPr>
    </w:p>
    <w:p w14:paraId="6D5CA5D1" w14:textId="155DC3E8" w:rsidR="00205333" w:rsidRPr="00CE6819" w:rsidRDefault="00205333" w:rsidP="00D01F96">
      <w:pPr>
        <w:bidi w:val="0"/>
        <w:spacing w:line="360" w:lineRule="auto"/>
        <w:rPr>
          <w:rStyle w:val="tlid-translation"/>
          <w:sz w:val="24"/>
          <w:szCs w:val="24"/>
          <w:lang w:val="en"/>
        </w:rPr>
      </w:pPr>
      <w:r w:rsidRPr="00CE6819">
        <w:rPr>
          <w:rStyle w:val="tlid-translation"/>
          <w:sz w:val="24"/>
          <w:szCs w:val="24"/>
          <w:lang w:val="en"/>
        </w:rPr>
        <w:t>We calculated CAAR for the 18 months after the IPO and conducted a few sets of regressions. All calculations were performed for the entire sample and for the subsamples of large and small firms.</w:t>
      </w:r>
    </w:p>
    <w:p w14:paraId="49314D09" w14:textId="442E905F" w:rsidR="007521A6" w:rsidRPr="00CE6819" w:rsidRDefault="00707A3C" w:rsidP="00D01F96">
      <w:pPr>
        <w:bidi w:val="0"/>
        <w:spacing w:line="360" w:lineRule="auto"/>
        <w:rPr>
          <w:rStyle w:val="tlid-translation"/>
          <w:b/>
          <w:bCs/>
          <w:sz w:val="24"/>
          <w:szCs w:val="24"/>
          <w:lang w:val="en"/>
        </w:rPr>
      </w:pPr>
      <w:r w:rsidRPr="00CE6819">
        <w:rPr>
          <w:rStyle w:val="tlid-translation"/>
          <w:b/>
          <w:bCs/>
          <w:sz w:val="24"/>
          <w:szCs w:val="24"/>
          <w:lang w:val="en"/>
        </w:rPr>
        <w:t>2.3 CAAR Analysis</w:t>
      </w:r>
    </w:p>
    <w:p w14:paraId="03447ACB" w14:textId="74CB0FE4" w:rsidR="006642A7" w:rsidRPr="00CE6819" w:rsidRDefault="00205333" w:rsidP="00D01F96">
      <w:pPr>
        <w:bidi w:val="0"/>
        <w:spacing w:line="360" w:lineRule="auto"/>
        <w:jc w:val="both"/>
        <w:rPr>
          <w:sz w:val="24"/>
          <w:szCs w:val="24"/>
        </w:rPr>
      </w:pPr>
      <w:r w:rsidRPr="00CE6819">
        <w:rPr>
          <w:sz w:val="24"/>
          <w:szCs w:val="24"/>
        </w:rPr>
        <w:t>The event study approach was employed to examine market reaction to IPO events. The actual date of the IPO was marked as t=0 and the daily stock prices were applied for the period t=0,</w:t>
      </w:r>
      <w:r w:rsidR="006642A7" w:rsidRPr="00CE6819">
        <w:rPr>
          <w:sz w:val="24"/>
          <w:szCs w:val="24"/>
        </w:rPr>
        <w:t>.</w:t>
      </w:r>
      <w:r w:rsidRPr="00CE6819">
        <w:rPr>
          <w:sz w:val="24"/>
          <w:szCs w:val="24"/>
        </w:rPr>
        <w:t>..,</w:t>
      </w:r>
      <w:r w:rsidR="00707A3C" w:rsidRPr="00CE6819">
        <w:rPr>
          <w:sz w:val="24"/>
          <w:szCs w:val="24"/>
        </w:rPr>
        <w:t>37</w:t>
      </w:r>
      <w:r w:rsidRPr="00CE6819">
        <w:rPr>
          <w:sz w:val="24"/>
          <w:szCs w:val="24"/>
        </w:rPr>
        <w:t>5 (</w:t>
      </w:r>
      <w:r w:rsidR="007521A6" w:rsidRPr="00CE6819">
        <w:rPr>
          <w:sz w:val="24"/>
          <w:szCs w:val="24"/>
        </w:rPr>
        <w:t xml:space="preserve">eighteen months </w:t>
      </w:r>
      <w:r w:rsidRPr="00CE6819">
        <w:rPr>
          <w:sz w:val="24"/>
          <w:szCs w:val="24"/>
        </w:rPr>
        <w:t xml:space="preserve">post-IPO), to calculate daily logarithmic returns. Two return benchmarks were utilized: the IXJ Healthcare Index, and the S&amp;P </w:t>
      </w:r>
      <w:r w:rsidRPr="00CE6819">
        <w:rPr>
          <w:sz w:val="24"/>
          <w:szCs w:val="24"/>
        </w:rPr>
        <w:lastRenderedPageBreak/>
        <w:t>500 Market Index. The Abnormal Return (AR) was calculated by subtracting the benchmark returns from the stock return.</w:t>
      </w:r>
      <w:r w:rsidR="008122C1" w:rsidRPr="00CE6819">
        <w:rPr>
          <w:sz w:val="24"/>
          <w:szCs w:val="24"/>
        </w:rPr>
        <w:t xml:space="preserve"> And </w:t>
      </w:r>
      <w:r w:rsidR="00E75E78" w:rsidRPr="00CE6819">
        <w:rPr>
          <w:sz w:val="24"/>
          <w:szCs w:val="24"/>
        </w:rPr>
        <w:t xml:space="preserve">CAAR was calculated by </w:t>
      </w:r>
      <w:r w:rsidR="008122C1" w:rsidRPr="00CE6819">
        <w:rPr>
          <w:sz w:val="24"/>
          <w:szCs w:val="24"/>
        </w:rPr>
        <w:t>aggr</w:t>
      </w:r>
      <w:r w:rsidR="00E75E78" w:rsidRPr="00CE6819">
        <w:rPr>
          <w:sz w:val="24"/>
          <w:szCs w:val="24"/>
        </w:rPr>
        <w:t>e</w:t>
      </w:r>
      <w:r w:rsidR="008122C1" w:rsidRPr="00CE6819">
        <w:rPr>
          <w:sz w:val="24"/>
          <w:szCs w:val="24"/>
        </w:rPr>
        <w:t>g</w:t>
      </w:r>
      <w:r w:rsidR="00E75E78" w:rsidRPr="00CE6819">
        <w:rPr>
          <w:sz w:val="24"/>
          <w:szCs w:val="24"/>
        </w:rPr>
        <w:t xml:space="preserve">ating daily AR and averaging across all the firms in the database. </w:t>
      </w:r>
      <w:r w:rsidRPr="00CE6819">
        <w:rPr>
          <w:sz w:val="24"/>
          <w:szCs w:val="24"/>
        </w:rPr>
        <w:t xml:space="preserve"> As no stock prices exist prior to the IPO, conditional return using the market model was not calculated. </w:t>
      </w:r>
    </w:p>
    <w:p w14:paraId="0CF6D610" w14:textId="0AF89A51" w:rsidR="00205333" w:rsidRPr="00CE6819" w:rsidRDefault="00205333" w:rsidP="00D01F96">
      <w:pPr>
        <w:autoSpaceDE w:val="0"/>
        <w:autoSpaceDN w:val="0"/>
        <w:bidi w:val="0"/>
        <w:adjustRightInd w:val="0"/>
        <w:spacing w:after="240" w:line="360" w:lineRule="auto"/>
        <w:jc w:val="both"/>
        <w:rPr>
          <w:sz w:val="24"/>
          <w:szCs w:val="24"/>
        </w:rPr>
      </w:pPr>
      <w:r w:rsidRPr="00CE6819">
        <w:rPr>
          <w:sz w:val="24"/>
          <w:szCs w:val="24"/>
        </w:rPr>
        <w:t>In addition, normalized trading volumes were computed as a proxy for market attention. For each firm in the sample, the natural logarithm of the daily trading volume throughout the period t=0,..,</w:t>
      </w:r>
      <w:r w:rsidRPr="00CE6819" w:rsidDel="0058797A">
        <w:rPr>
          <w:sz w:val="24"/>
          <w:szCs w:val="24"/>
        </w:rPr>
        <w:t xml:space="preserve"> </w:t>
      </w:r>
      <w:r w:rsidR="006642A7" w:rsidRPr="00CE6819">
        <w:rPr>
          <w:rFonts w:hint="cs"/>
          <w:sz w:val="24"/>
          <w:szCs w:val="24"/>
          <w:rtl/>
        </w:rPr>
        <w:t>37</w:t>
      </w:r>
      <w:r w:rsidRPr="00CE6819">
        <w:rPr>
          <w:sz w:val="24"/>
          <w:szCs w:val="24"/>
        </w:rPr>
        <w:t xml:space="preserve">5 was recorded, and each observation was normalized by subtracting the mean and dividing by the standard deviation calculated over the period. Then, the average across all firms for each day relative to the IPO date was calculated. </w:t>
      </w:r>
    </w:p>
    <w:p w14:paraId="747ED8DC" w14:textId="6A0D4D41" w:rsidR="00205333" w:rsidRPr="00CE6819" w:rsidRDefault="00205333" w:rsidP="00D01F96">
      <w:pPr>
        <w:pStyle w:val="Default"/>
        <w:spacing w:line="360" w:lineRule="auto"/>
        <w:jc w:val="both"/>
        <w:rPr>
          <w:b/>
          <w:color w:val="auto"/>
        </w:rPr>
      </w:pPr>
      <w:r w:rsidRPr="00CE6819">
        <w:rPr>
          <w:rFonts w:hint="cs"/>
          <w:bCs/>
          <w:color w:val="auto"/>
          <w:rtl/>
        </w:rPr>
        <w:t>2</w:t>
      </w:r>
      <w:r w:rsidRPr="00CE6819">
        <w:rPr>
          <w:b/>
          <w:color w:val="auto"/>
        </w:rPr>
        <w:t>.</w:t>
      </w:r>
      <w:r w:rsidR="00F3054C" w:rsidRPr="00CE6819">
        <w:rPr>
          <w:b/>
          <w:color w:val="auto"/>
        </w:rPr>
        <w:t>4</w:t>
      </w:r>
      <w:r w:rsidRPr="00CE6819">
        <w:rPr>
          <w:b/>
          <w:color w:val="auto"/>
        </w:rPr>
        <w:t xml:space="preserve"> </w:t>
      </w:r>
      <w:r w:rsidR="006642A7" w:rsidRPr="00CE6819">
        <w:rPr>
          <w:b/>
          <w:color w:val="auto"/>
        </w:rPr>
        <w:t xml:space="preserve">CAAR </w:t>
      </w:r>
      <w:r w:rsidRPr="00CE6819">
        <w:rPr>
          <w:b/>
          <w:color w:val="auto"/>
        </w:rPr>
        <w:t xml:space="preserve">Results </w:t>
      </w:r>
      <w:r w:rsidR="006642A7" w:rsidRPr="00CE6819">
        <w:rPr>
          <w:b/>
          <w:color w:val="auto"/>
        </w:rPr>
        <w:t>and discussion</w:t>
      </w:r>
    </w:p>
    <w:p w14:paraId="26E6BE00" w14:textId="794EEF4A" w:rsidR="006642A7" w:rsidRPr="00CE6819" w:rsidRDefault="006642A7" w:rsidP="00D01F96">
      <w:pPr>
        <w:autoSpaceDE w:val="0"/>
        <w:autoSpaceDN w:val="0"/>
        <w:bidi w:val="0"/>
        <w:adjustRightInd w:val="0"/>
        <w:spacing w:line="360" w:lineRule="auto"/>
        <w:jc w:val="both"/>
        <w:rPr>
          <w:sz w:val="24"/>
          <w:szCs w:val="24"/>
        </w:rPr>
      </w:pPr>
      <w:r w:rsidRPr="00CE6819">
        <w:rPr>
          <w:sz w:val="24"/>
          <w:szCs w:val="24"/>
        </w:rPr>
        <w:t xml:space="preserve">The CAAR results for the entire sample and the two sub samples are displayed in Table 3. Panel A display </w:t>
      </w:r>
      <w:r w:rsidR="00937A46" w:rsidRPr="00CE6819">
        <w:rPr>
          <w:sz w:val="24"/>
          <w:szCs w:val="24"/>
        </w:rPr>
        <w:t>CAAR</w:t>
      </w:r>
      <w:r w:rsidRPr="00CE6819">
        <w:rPr>
          <w:sz w:val="24"/>
          <w:szCs w:val="24"/>
        </w:rPr>
        <w:t xml:space="preserve"> for selected time periods during the eighteen months post-IPO</w:t>
      </w:r>
      <w:r w:rsidR="00937A46" w:rsidRPr="00CE6819">
        <w:rPr>
          <w:sz w:val="24"/>
          <w:szCs w:val="24"/>
        </w:rPr>
        <w:t>,</w:t>
      </w:r>
      <w:r w:rsidRPr="00CE6819">
        <w:rPr>
          <w:sz w:val="24"/>
          <w:szCs w:val="24"/>
        </w:rPr>
        <w:t xml:space="preserve"> Panel B contains gra</w:t>
      </w:r>
      <w:r w:rsidR="0055294B" w:rsidRPr="00CE6819">
        <w:rPr>
          <w:sz w:val="24"/>
          <w:szCs w:val="24"/>
        </w:rPr>
        <w:t>phical</w:t>
      </w:r>
      <w:r w:rsidRPr="00CE6819">
        <w:rPr>
          <w:sz w:val="24"/>
          <w:szCs w:val="24"/>
        </w:rPr>
        <w:t xml:space="preserve"> display</w:t>
      </w:r>
      <w:r w:rsidR="0055294B" w:rsidRPr="00CE6819">
        <w:rPr>
          <w:sz w:val="24"/>
          <w:szCs w:val="24"/>
        </w:rPr>
        <w:t xml:space="preserve"> of the</w:t>
      </w:r>
      <w:r w:rsidRPr="00CE6819">
        <w:rPr>
          <w:sz w:val="24"/>
          <w:szCs w:val="24"/>
        </w:rPr>
        <w:t xml:space="preserve"> CAAR</w:t>
      </w:r>
      <w:r w:rsidR="0055294B" w:rsidRPr="00CE6819">
        <w:rPr>
          <w:sz w:val="24"/>
          <w:szCs w:val="24"/>
        </w:rPr>
        <w:t xml:space="preserve"> and the normalized trading volumes</w:t>
      </w:r>
      <w:r w:rsidRPr="00CE6819">
        <w:rPr>
          <w:sz w:val="24"/>
          <w:szCs w:val="24"/>
        </w:rPr>
        <w:t>.</w:t>
      </w:r>
      <w:r w:rsidR="006652CE" w:rsidRPr="006652CE">
        <w:rPr>
          <w:sz w:val="24"/>
          <w:szCs w:val="24"/>
        </w:rPr>
        <w:t xml:space="preserve"> </w:t>
      </w:r>
      <w:r w:rsidR="006652CE" w:rsidRPr="00CE6819">
        <w:rPr>
          <w:sz w:val="24"/>
          <w:szCs w:val="24"/>
        </w:rPr>
        <w:t xml:space="preserve">  Panel C present</w:t>
      </w:r>
      <w:r w:rsidR="006652CE">
        <w:rPr>
          <w:sz w:val="24"/>
          <w:szCs w:val="24"/>
        </w:rPr>
        <w:t>s the sheer</w:t>
      </w:r>
      <w:r w:rsidR="006652CE" w:rsidRPr="00CE6819">
        <w:rPr>
          <w:sz w:val="24"/>
          <w:szCs w:val="24"/>
        </w:rPr>
        <w:t xml:space="preserve"> trading volumes for the entire sample and for the two sub samples</w:t>
      </w:r>
      <w:r w:rsidR="007153CA">
        <w:rPr>
          <w:sz w:val="24"/>
          <w:szCs w:val="24"/>
        </w:rPr>
        <w:t xml:space="preserve">.  </w:t>
      </w:r>
      <w:r w:rsidR="002E2C38" w:rsidRPr="00CE6819">
        <w:rPr>
          <w:sz w:val="24"/>
          <w:szCs w:val="24"/>
        </w:rPr>
        <w:t>CAAR</w:t>
      </w:r>
      <w:r w:rsidRPr="00CE6819">
        <w:rPr>
          <w:sz w:val="24"/>
          <w:szCs w:val="24"/>
        </w:rPr>
        <w:t xml:space="preserve"> </w:t>
      </w:r>
      <w:r w:rsidR="0055294B" w:rsidRPr="00CE6819">
        <w:rPr>
          <w:sz w:val="24"/>
          <w:szCs w:val="24"/>
        </w:rPr>
        <w:t>were calculated</w:t>
      </w:r>
      <w:r w:rsidRPr="00CE6819">
        <w:rPr>
          <w:sz w:val="24"/>
          <w:szCs w:val="24"/>
        </w:rPr>
        <w:t xml:space="preserve"> for the two benchmarks of market and sector indices. As the CAAR results relative to the two benchmarks are similar, </w:t>
      </w:r>
      <w:r w:rsidR="0055294B" w:rsidRPr="00CE6819">
        <w:rPr>
          <w:sz w:val="24"/>
          <w:szCs w:val="24"/>
        </w:rPr>
        <w:t>only the results for the sector index are displayed</w:t>
      </w:r>
    </w:p>
    <w:p w14:paraId="2CEFEF9B" w14:textId="77777777" w:rsidR="00937A46" w:rsidRPr="00CE6819" w:rsidRDefault="00937A46" w:rsidP="00D01F96">
      <w:pPr>
        <w:bidi w:val="0"/>
        <w:spacing w:line="360" w:lineRule="auto"/>
        <w:rPr>
          <w:rFonts w:asciiTheme="minorBidi" w:hAnsiTheme="minorBidi"/>
          <w:b/>
          <w:bCs/>
          <w:color w:val="FF0000"/>
          <w:sz w:val="24"/>
          <w:szCs w:val="24"/>
          <w:rtl/>
        </w:rPr>
      </w:pPr>
      <w:r w:rsidRPr="00CE6819">
        <w:rPr>
          <w:rFonts w:asciiTheme="minorBidi" w:hAnsiTheme="minorBidi"/>
          <w:b/>
          <w:bCs/>
          <w:color w:val="FF0000"/>
          <w:sz w:val="24"/>
          <w:szCs w:val="24"/>
        </w:rPr>
        <w:t>Table 3: Post-IPO CAARs, 1 to 375 Days</w:t>
      </w:r>
    </w:p>
    <w:p w14:paraId="0BC7D205" w14:textId="7B413511" w:rsidR="00937A46" w:rsidRPr="00CE6819" w:rsidRDefault="00937A46" w:rsidP="00D01F96">
      <w:pPr>
        <w:bidi w:val="0"/>
        <w:spacing w:line="360" w:lineRule="auto"/>
        <w:rPr>
          <w:rFonts w:asciiTheme="minorBidi" w:hAnsiTheme="minorBidi"/>
          <w:sz w:val="24"/>
          <w:szCs w:val="24"/>
          <w:rtl/>
        </w:rPr>
      </w:pPr>
      <w:r w:rsidRPr="00CE6819">
        <w:rPr>
          <w:rFonts w:asciiTheme="minorBidi" w:hAnsiTheme="minorBidi" w:hint="cs"/>
          <w:sz w:val="24"/>
          <w:szCs w:val="24"/>
        </w:rPr>
        <w:t>P</w:t>
      </w:r>
      <w:r w:rsidRPr="00CE6819">
        <w:rPr>
          <w:rFonts w:asciiTheme="minorBidi" w:hAnsiTheme="minorBidi"/>
          <w:sz w:val="24"/>
          <w:szCs w:val="24"/>
        </w:rPr>
        <w:t>anel A: CAAR Results for selected time periods post IPO</w:t>
      </w:r>
    </w:p>
    <w:tbl>
      <w:tblPr>
        <w:tblW w:w="7560" w:type="dxa"/>
        <w:tblLook w:val="04A0" w:firstRow="1" w:lastRow="0" w:firstColumn="1" w:lastColumn="0" w:noHBand="0" w:noVBand="1"/>
      </w:tblPr>
      <w:tblGrid>
        <w:gridCol w:w="1080"/>
        <w:gridCol w:w="1080"/>
        <w:gridCol w:w="1080"/>
        <w:gridCol w:w="1080"/>
        <w:gridCol w:w="1080"/>
        <w:gridCol w:w="1080"/>
        <w:gridCol w:w="1080"/>
      </w:tblGrid>
      <w:tr w:rsidR="00937A46" w:rsidRPr="00CE6819" w14:paraId="7B2A54D7" w14:textId="77777777" w:rsidTr="00EC3C7C">
        <w:trPr>
          <w:trHeight w:val="465"/>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7346DFC" w14:textId="77777777" w:rsidR="00937A46" w:rsidRPr="00CE6819" w:rsidRDefault="00937A46" w:rsidP="00D01F96">
            <w:pPr>
              <w:bidi w:val="0"/>
              <w:spacing w:after="0" w:line="240" w:lineRule="auto"/>
              <w:jc w:val="center"/>
              <w:rPr>
                <w:rFonts w:ascii="Times New Roman" w:eastAsia="Times New Roman" w:hAnsi="Times New Roman" w:cs="Times New Roman"/>
                <w:color w:val="000000"/>
                <w:sz w:val="24"/>
                <w:szCs w:val="24"/>
              </w:rPr>
            </w:pPr>
            <w:r w:rsidRPr="00CE6819">
              <w:rPr>
                <w:rFonts w:ascii="Times New Roman" w:eastAsia="Times New Roman" w:hAnsi="Times New Roman" w:cs="Times New Roman"/>
                <w:color w:val="000000"/>
                <w:sz w:val="24"/>
                <w:szCs w:val="24"/>
              </w:rPr>
              <w:t>Days relative to event</w:t>
            </w:r>
          </w:p>
        </w:tc>
        <w:tc>
          <w:tcPr>
            <w:tcW w:w="2160" w:type="dxa"/>
            <w:gridSpan w:val="2"/>
            <w:tcBorders>
              <w:top w:val="single" w:sz="8" w:space="0" w:color="auto"/>
              <w:left w:val="nil"/>
              <w:bottom w:val="single" w:sz="8" w:space="0" w:color="auto"/>
              <w:right w:val="single" w:sz="8" w:space="0" w:color="000000"/>
            </w:tcBorders>
            <w:shd w:val="clear" w:color="auto" w:fill="auto"/>
            <w:vAlign w:val="center"/>
            <w:hideMark/>
          </w:tcPr>
          <w:p w14:paraId="216C1366" w14:textId="77777777" w:rsidR="00937A46" w:rsidRPr="00CE6819" w:rsidRDefault="00937A46" w:rsidP="00D01F96">
            <w:pPr>
              <w:bidi w:val="0"/>
              <w:spacing w:after="0" w:line="240" w:lineRule="auto"/>
              <w:jc w:val="center"/>
              <w:rPr>
                <w:rFonts w:ascii="Times New Roman" w:eastAsia="Times New Roman" w:hAnsi="Times New Roman" w:cs="Times New Roman"/>
                <w:b/>
                <w:bCs/>
                <w:color w:val="000000"/>
                <w:sz w:val="24"/>
                <w:szCs w:val="24"/>
              </w:rPr>
            </w:pPr>
            <w:r w:rsidRPr="00CE6819">
              <w:rPr>
                <w:rFonts w:ascii="Times New Roman" w:eastAsia="Times New Roman" w:hAnsi="Times New Roman" w:cs="Times New Roman"/>
                <w:b/>
                <w:bCs/>
                <w:color w:val="000000"/>
                <w:sz w:val="24"/>
                <w:szCs w:val="24"/>
              </w:rPr>
              <w:t>The Entire Sample</w:t>
            </w:r>
          </w:p>
        </w:tc>
        <w:tc>
          <w:tcPr>
            <w:tcW w:w="2160" w:type="dxa"/>
            <w:gridSpan w:val="2"/>
            <w:tcBorders>
              <w:top w:val="single" w:sz="8" w:space="0" w:color="auto"/>
              <w:left w:val="nil"/>
              <w:bottom w:val="single" w:sz="8" w:space="0" w:color="auto"/>
              <w:right w:val="single" w:sz="8" w:space="0" w:color="000000"/>
            </w:tcBorders>
            <w:shd w:val="clear" w:color="auto" w:fill="auto"/>
            <w:vAlign w:val="center"/>
            <w:hideMark/>
          </w:tcPr>
          <w:p w14:paraId="4A30E208" w14:textId="77777777" w:rsidR="00937A46" w:rsidRPr="00CE6819" w:rsidRDefault="00937A46" w:rsidP="00D01F96">
            <w:pPr>
              <w:bidi w:val="0"/>
              <w:spacing w:after="0" w:line="240" w:lineRule="auto"/>
              <w:jc w:val="center"/>
              <w:rPr>
                <w:rFonts w:ascii="Times New Roman" w:eastAsia="Times New Roman" w:hAnsi="Times New Roman" w:cs="Times New Roman"/>
                <w:b/>
                <w:bCs/>
                <w:color w:val="000000"/>
                <w:sz w:val="24"/>
                <w:szCs w:val="24"/>
              </w:rPr>
            </w:pPr>
            <w:r w:rsidRPr="00CE6819">
              <w:rPr>
                <w:rFonts w:ascii="Times New Roman" w:eastAsia="Times New Roman" w:hAnsi="Times New Roman" w:cs="Times New Roman"/>
                <w:b/>
                <w:bCs/>
                <w:color w:val="000000"/>
                <w:sz w:val="24"/>
                <w:szCs w:val="24"/>
              </w:rPr>
              <w:t>Market Value&lt;$500M</w:t>
            </w:r>
          </w:p>
        </w:tc>
        <w:tc>
          <w:tcPr>
            <w:tcW w:w="2160" w:type="dxa"/>
            <w:gridSpan w:val="2"/>
            <w:tcBorders>
              <w:top w:val="single" w:sz="8" w:space="0" w:color="auto"/>
              <w:left w:val="nil"/>
              <w:bottom w:val="single" w:sz="8" w:space="0" w:color="auto"/>
              <w:right w:val="single" w:sz="8" w:space="0" w:color="000000"/>
            </w:tcBorders>
            <w:shd w:val="clear" w:color="auto" w:fill="auto"/>
            <w:vAlign w:val="center"/>
            <w:hideMark/>
          </w:tcPr>
          <w:p w14:paraId="505C2CAA" w14:textId="77777777" w:rsidR="00937A46" w:rsidRPr="00CE6819" w:rsidRDefault="00937A46" w:rsidP="00D01F96">
            <w:pPr>
              <w:bidi w:val="0"/>
              <w:spacing w:after="0" w:line="240" w:lineRule="auto"/>
              <w:jc w:val="center"/>
              <w:rPr>
                <w:rFonts w:ascii="Times New Roman" w:eastAsia="Times New Roman" w:hAnsi="Times New Roman" w:cs="Times New Roman"/>
                <w:b/>
                <w:bCs/>
                <w:color w:val="000000"/>
                <w:sz w:val="24"/>
                <w:szCs w:val="24"/>
              </w:rPr>
            </w:pPr>
            <w:r w:rsidRPr="00CE6819">
              <w:rPr>
                <w:rFonts w:ascii="Times New Roman" w:eastAsia="Times New Roman" w:hAnsi="Times New Roman" w:cs="Times New Roman"/>
                <w:b/>
                <w:bCs/>
                <w:color w:val="000000"/>
                <w:sz w:val="24"/>
                <w:szCs w:val="24"/>
              </w:rPr>
              <w:t>Market Value&lt;$500M</w:t>
            </w:r>
          </w:p>
        </w:tc>
      </w:tr>
      <w:tr w:rsidR="00937A46" w:rsidRPr="00CE6819" w14:paraId="76B411B2" w14:textId="77777777" w:rsidTr="00EC3C7C">
        <w:trPr>
          <w:trHeight w:val="300"/>
        </w:trPr>
        <w:tc>
          <w:tcPr>
            <w:tcW w:w="1080" w:type="dxa"/>
            <w:vMerge/>
            <w:tcBorders>
              <w:top w:val="single" w:sz="8" w:space="0" w:color="auto"/>
              <w:left w:val="single" w:sz="8" w:space="0" w:color="auto"/>
              <w:bottom w:val="single" w:sz="8" w:space="0" w:color="000000"/>
              <w:right w:val="single" w:sz="8" w:space="0" w:color="auto"/>
            </w:tcBorders>
            <w:vAlign w:val="center"/>
            <w:hideMark/>
          </w:tcPr>
          <w:p w14:paraId="2205A934" w14:textId="77777777" w:rsidR="00937A46" w:rsidRPr="00CE6819" w:rsidRDefault="00937A46" w:rsidP="00D01F96">
            <w:pPr>
              <w:bidi w:val="0"/>
              <w:spacing w:after="0" w:line="240" w:lineRule="auto"/>
              <w:rPr>
                <w:rFonts w:ascii="Times New Roman" w:eastAsia="Times New Roman" w:hAnsi="Times New Roman" w:cs="Times New Roman"/>
                <w:color w:val="000000"/>
                <w:sz w:val="24"/>
                <w:szCs w:val="24"/>
              </w:rPr>
            </w:pPr>
          </w:p>
        </w:tc>
        <w:tc>
          <w:tcPr>
            <w:tcW w:w="1080" w:type="dxa"/>
            <w:tcBorders>
              <w:top w:val="nil"/>
              <w:left w:val="nil"/>
              <w:bottom w:val="single" w:sz="8" w:space="0" w:color="auto"/>
              <w:right w:val="single" w:sz="8" w:space="0" w:color="auto"/>
            </w:tcBorders>
            <w:shd w:val="clear" w:color="auto" w:fill="auto"/>
            <w:vAlign w:val="center"/>
            <w:hideMark/>
          </w:tcPr>
          <w:p w14:paraId="4E38F559" w14:textId="77777777" w:rsidR="00937A46" w:rsidRPr="00CE6819" w:rsidRDefault="00937A46" w:rsidP="00D01F96">
            <w:pPr>
              <w:bidi w:val="0"/>
              <w:spacing w:after="0" w:line="240" w:lineRule="auto"/>
              <w:jc w:val="center"/>
              <w:rPr>
                <w:rFonts w:ascii="Times New Roman" w:eastAsia="Times New Roman" w:hAnsi="Times New Roman" w:cs="Times New Roman"/>
                <w:color w:val="000000"/>
                <w:sz w:val="24"/>
                <w:szCs w:val="24"/>
              </w:rPr>
            </w:pPr>
            <w:r w:rsidRPr="00CE6819">
              <w:rPr>
                <w:rFonts w:ascii="Times New Roman" w:eastAsia="Times New Roman" w:hAnsi="Times New Roman" w:cs="Times New Roman"/>
                <w:color w:val="000000"/>
                <w:sz w:val="24"/>
                <w:szCs w:val="24"/>
              </w:rPr>
              <w:t>CAAR, %</w:t>
            </w:r>
          </w:p>
        </w:tc>
        <w:tc>
          <w:tcPr>
            <w:tcW w:w="1080" w:type="dxa"/>
            <w:tcBorders>
              <w:top w:val="nil"/>
              <w:left w:val="nil"/>
              <w:bottom w:val="single" w:sz="8" w:space="0" w:color="auto"/>
              <w:right w:val="single" w:sz="8" w:space="0" w:color="auto"/>
            </w:tcBorders>
            <w:shd w:val="clear" w:color="auto" w:fill="auto"/>
            <w:vAlign w:val="center"/>
            <w:hideMark/>
          </w:tcPr>
          <w:p w14:paraId="7A293FC7" w14:textId="77777777" w:rsidR="00937A46" w:rsidRPr="00CE6819" w:rsidRDefault="00937A46" w:rsidP="00D01F96">
            <w:pPr>
              <w:bidi w:val="0"/>
              <w:spacing w:after="0" w:line="240" w:lineRule="auto"/>
              <w:jc w:val="center"/>
              <w:rPr>
                <w:rFonts w:ascii="Times New Roman" w:eastAsia="Times New Roman" w:hAnsi="Times New Roman" w:cs="Times New Roman"/>
                <w:color w:val="000000"/>
                <w:sz w:val="24"/>
                <w:szCs w:val="24"/>
              </w:rPr>
            </w:pPr>
            <w:r w:rsidRPr="00CE6819">
              <w:rPr>
                <w:rFonts w:ascii="Times New Roman" w:eastAsia="Times New Roman" w:hAnsi="Times New Roman" w:cs="Times New Roman"/>
                <w:color w:val="000000"/>
                <w:sz w:val="24"/>
                <w:szCs w:val="24"/>
              </w:rPr>
              <w:t>t-statistic</w:t>
            </w:r>
          </w:p>
        </w:tc>
        <w:tc>
          <w:tcPr>
            <w:tcW w:w="1080" w:type="dxa"/>
            <w:tcBorders>
              <w:top w:val="nil"/>
              <w:left w:val="nil"/>
              <w:bottom w:val="single" w:sz="8" w:space="0" w:color="auto"/>
              <w:right w:val="single" w:sz="8" w:space="0" w:color="auto"/>
            </w:tcBorders>
            <w:shd w:val="clear" w:color="auto" w:fill="auto"/>
            <w:vAlign w:val="center"/>
            <w:hideMark/>
          </w:tcPr>
          <w:p w14:paraId="1B80BD71" w14:textId="77777777" w:rsidR="00937A46" w:rsidRPr="00CE6819" w:rsidRDefault="00937A46" w:rsidP="00D01F96">
            <w:pPr>
              <w:bidi w:val="0"/>
              <w:spacing w:after="0" w:line="240" w:lineRule="auto"/>
              <w:jc w:val="center"/>
              <w:rPr>
                <w:rFonts w:ascii="Times New Roman" w:eastAsia="Times New Roman" w:hAnsi="Times New Roman" w:cs="Times New Roman"/>
                <w:color w:val="000000"/>
                <w:sz w:val="24"/>
                <w:szCs w:val="24"/>
              </w:rPr>
            </w:pPr>
            <w:r w:rsidRPr="00CE6819">
              <w:rPr>
                <w:rFonts w:ascii="Times New Roman" w:eastAsia="Times New Roman" w:hAnsi="Times New Roman" w:cs="Times New Roman"/>
                <w:color w:val="000000"/>
                <w:sz w:val="24"/>
                <w:szCs w:val="24"/>
              </w:rPr>
              <w:t>CAAR, %</w:t>
            </w:r>
          </w:p>
        </w:tc>
        <w:tc>
          <w:tcPr>
            <w:tcW w:w="1080" w:type="dxa"/>
            <w:tcBorders>
              <w:top w:val="nil"/>
              <w:left w:val="nil"/>
              <w:bottom w:val="single" w:sz="8" w:space="0" w:color="auto"/>
              <w:right w:val="single" w:sz="8" w:space="0" w:color="auto"/>
            </w:tcBorders>
            <w:shd w:val="clear" w:color="auto" w:fill="auto"/>
            <w:vAlign w:val="center"/>
            <w:hideMark/>
          </w:tcPr>
          <w:p w14:paraId="34F04D2D" w14:textId="77777777" w:rsidR="00937A46" w:rsidRPr="00CE6819" w:rsidRDefault="00937A46" w:rsidP="00D01F96">
            <w:pPr>
              <w:bidi w:val="0"/>
              <w:spacing w:after="0" w:line="240" w:lineRule="auto"/>
              <w:jc w:val="center"/>
              <w:rPr>
                <w:rFonts w:ascii="Times New Roman" w:eastAsia="Times New Roman" w:hAnsi="Times New Roman" w:cs="Times New Roman"/>
                <w:color w:val="000000"/>
                <w:sz w:val="24"/>
                <w:szCs w:val="24"/>
              </w:rPr>
            </w:pPr>
            <w:r w:rsidRPr="00CE6819">
              <w:rPr>
                <w:rFonts w:ascii="Times New Roman" w:eastAsia="Times New Roman" w:hAnsi="Times New Roman" w:cs="Times New Roman"/>
                <w:color w:val="000000"/>
                <w:sz w:val="24"/>
                <w:szCs w:val="24"/>
              </w:rPr>
              <w:t>t-statistic</w:t>
            </w:r>
          </w:p>
        </w:tc>
        <w:tc>
          <w:tcPr>
            <w:tcW w:w="1080" w:type="dxa"/>
            <w:tcBorders>
              <w:top w:val="nil"/>
              <w:left w:val="nil"/>
              <w:bottom w:val="single" w:sz="8" w:space="0" w:color="auto"/>
              <w:right w:val="single" w:sz="8" w:space="0" w:color="auto"/>
            </w:tcBorders>
            <w:shd w:val="clear" w:color="auto" w:fill="auto"/>
            <w:vAlign w:val="center"/>
            <w:hideMark/>
          </w:tcPr>
          <w:p w14:paraId="01CD88E0" w14:textId="77777777" w:rsidR="00937A46" w:rsidRPr="00CE6819" w:rsidRDefault="00937A46" w:rsidP="00D01F96">
            <w:pPr>
              <w:bidi w:val="0"/>
              <w:spacing w:after="0" w:line="240" w:lineRule="auto"/>
              <w:jc w:val="center"/>
              <w:rPr>
                <w:rFonts w:ascii="Times New Roman" w:eastAsia="Times New Roman" w:hAnsi="Times New Roman" w:cs="Times New Roman"/>
                <w:color w:val="000000"/>
                <w:sz w:val="24"/>
                <w:szCs w:val="24"/>
              </w:rPr>
            </w:pPr>
            <w:r w:rsidRPr="00CE6819">
              <w:rPr>
                <w:rFonts w:ascii="Times New Roman" w:eastAsia="Times New Roman" w:hAnsi="Times New Roman" w:cs="Times New Roman"/>
                <w:color w:val="000000"/>
                <w:sz w:val="24"/>
                <w:szCs w:val="24"/>
              </w:rPr>
              <w:t>CAAR, %</w:t>
            </w:r>
          </w:p>
        </w:tc>
        <w:tc>
          <w:tcPr>
            <w:tcW w:w="1080" w:type="dxa"/>
            <w:tcBorders>
              <w:top w:val="nil"/>
              <w:left w:val="nil"/>
              <w:bottom w:val="single" w:sz="8" w:space="0" w:color="auto"/>
              <w:right w:val="single" w:sz="8" w:space="0" w:color="auto"/>
            </w:tcBorders>
            <w:shd w:val="clear" w:color="auto" w:fill="auto"/>
            <w:vAlign w:val="center"/>
            <w:hideMark/>
          </w:tcPr>
          <w:p w14:paraId="45089E77" w14:textId="77777777" w:rsidR="00937A46" w:rsidRPr="00CE6819" w:rsidRDefault="00937A46" w:rsidP="00D01F96">
            <w:pPr>
              <w:bidi w:val="0"/>
              <w:spacing w:after="0" w:line="240" w:lineRule="auto"/>
              <w:jc w:val="center"/>
              <w:rPr>
                <w:rFonts w:ascii="Times New Roman" w:eastAsia="Times New Roman" w:hAnsi="Times New Roman" w:cs="Times New Roman"/>
                <w:color w:val="000000"/>
                <w:sz w:val="24"/>
                <w:szCs w:val="24"/>
              </w:rPr>
            </w:pPr>
            <w:r w:rsidRPr="00CE6819">
              <w:rPr>
                <w:rFonts w:ascii="Times New Roman" w:eastAsia="Times New Roman" w:hAnsi="Times New Roman" w:cs="Times New Roman"/>
                <w:color w:val="000000"/>
                <w:sz w:val="24"/>
                <w:szCs w:val="24"/>
              </w:rPr>
              <w:t>t-statistic</w:t>
            </w:r>
          </w:p>
        </w:tc>
      </w:tr>
      <w:tr w:rsidR="00937A46" w:rsidRPr="00CE6819" w14:paraId="0C337225" w14:textId="77777777" w:rsidTr="00EC3C7C">
        <w:trPr>
          <w:trHeight w:val="300"/>
        </w:trPr>
        <w:tc>
          <w:tcPr>
            <w:tcW w:w="1080" w:type="dxa"/>
            <w:tcBorders>
              <w:top w:val="nil"/>
              <w:left w:val="single" w:sz="8" w:space="0" w:color="auto"/>
              <w:bottom w:val="nil"/>
              <w:right w:val="single" w:sz="8" w:space="0" w:color="auto"/>
            </w:tcBorders>
            <w:shd w:val="clear" w:color="auto" w:fill="auto"/>
            <w:vAlign w:val="center"/>
            <w:hideMark/>
          </w:tcPr>
          <w:p w14:paraId="7517E208" w14:textId="77777777" w:rsidR="00937A46" w:rsidRPr="00B86865" w:rsidRDefault="00937A46" w:rsidP="00D01F96">
            <w:pPr>
              <w:bidi w:val="0"/>
              <w:spacing w:after="0" w:line="240" w:lineRule="auto"/>
              <w:jc w:val="center"/>
              <w:rPr>
                <w:rFonts w:ascii="Times New Roman" w:eastAsia="Times New Roman" w:hAnsi="Times New Roman" w:cs="Times New Roman"/>
                <w:color w:val="000000"/>
                <w:sz w:val="20"/>
                <w:szCs w:val="20"/>
              </w:rPr>
            </w:pPr>
            <w:r w:rsidRPr="00B86865">
              <w:rPr>
                <w:rFonts w:ascii="Times New Roman" w:eastAsia="Times New Roman" w:hAnsi="Times New Roman" w:cs="Times New Roman"/>
                <w:color w:val="000000"/>
                <w:sz w:val="20"/>
                <w:szCs w:val="20"/>
              </w:rPr>
              <w:t>1 to 10</w:t>
            </w:r>
          </w:p>
        </w:tc>
        <w:tc>
          <w:tcPr>
            <w:tcW w:w="1080" w:type="dxa"/>
            <w:tcBorders>
              <w:top w:val="nil"/>
              <w:left w:val="nil"/>
              <w:bottom w:val="nil"/>
              <w:right w:val="single" w:sz="8" w:space="0" w:color="auto"/>
            </w:tcBorders>
            <w:shd w:val="clear" w:color="auto" w:fill="auto"/>
            <w:vAlign w:val="center"/>
            <w:hideMark/>
          </w:tcPr>
          <w:p w14:paraId="30473D3A" w14:textId="77777777" w:rsidR="00937A46" w:rsidRPr="00B86865" w:rsidRDefault="00937A46" w:rsidP="00D01F96">
            <w:pPr>
              <w:bidi w:val="0"/>
              <w:spacing w:after="0" w:line="240" w:lineRule="auto"/>
              <w:jc w:val="center"/>
              <w:rPr>
                <w:rFonts w:ascii="Times New Roman" w:eastAsia="Times New Roman" w:hAnsi="Times New Roman" w:cs="Times New Roman"/>
                <w:color w:val="000000"/>
                <w:sz w:val="20"/>
                <w:szCs w:val="20"/>
              </w:rPr>
            </w:pPr>
            <w:r w:rsidRPr="00B86865">
              <w:rPr>
                <w:rFonts w:ascii="Times New Roman" w:eastAsia="Times New Roman" w:hAnsi="Times New Roman" w:cs="Times New Roman"/>
                <w:color w:val="000000"/>
                <w:sz w:val="20"/>
                <w:szCs w:val="20"/>
              </w:rPr>
              <w:t>0.77%</w:t>
            </w:r>
          </w:p>
        </w:tc>
        <w:tc>
          <w:tcPr>
            <w:tcW w:w="1080" w:type="dxa"/>
            <w:tcBorders>
              <w:top w:val="nil"/>
              <w:left w:val="nil"/>
              <w:bottom w:val="nil"/>
              <w:right w:val="single" w:sz="8" w:space="0" w:color="auto"/>
            </w:tcBorders>
            <w:shd w:val="clear" w:color="auto" w:fill="auto"/>
            <w:noWrap/>
            <w:vAlign w:val="center"/>
            <w:hideMark/>
          </w:tcPr>
          <w:p w14:paraId="38049856" w14:textId="77777777" w:rsidR="00937A46" w:rsidRPr="00B86865" w:rsidRDefault="00937A46" w:rsidP="00D01F96">
            <w:pPr>
              <w:bidi w:val="0"/>
              <w:spacing w:after="0" w:line="240" w:lineRule="auto"/>
              <w:jc w:val="center"/>
              <w:rPr>
                <w:rFonts w:ascii="Times New Roman" w:eastAsia="Times New Roman" w:hAnsi="Times New Roman" w:cs="Times New Roman"/>
                <w:color w:val="000000"/>
                <w:sz w:val="20"/>
                <w:szCs w:val="20"/>
              </w:rPr>
            </w:pPr>
            <w:r w:rsidRPr="00B86865">
              <w:rPr>
                <w:rFonts w:ascii="Times New Roman" w:eastAsia="Times New Roman" w:hAnsi="Times New Roman" w:cs="Times New Roman"/>
                <w:color w:val="000000"/>
                <w:sz w:val="20"/>
                <w:szCs w:val="20"/>
              </w:rPr>
              <w:t>0.84</w:t>
            </w:r>
          </w:p>
        </w:tc>
        <w:tc>
          <w:tcPr>
            <w:tcW w:w="1080" w:type="dxa"/>
            <w:tcBorders>
              <w:top w:val="nil"/>
              <w:left w:val="nil"/>
              <w:bottom w:val="nil"/>
              <w:right w:val="single" w:sz="8" w:space="0" w:color="auto"/>
            </w:tcBorders>
            <w:shd w:val="clear" w:color="auto" w:fill="auto"/>
            <w:vAlign w:val="center"/>
            <w:hideMark/>
          </w:tcPr>
          <w:p w14:paraId="2354F2E9" w14:textId="77777777" w:rsidR="00937A46" w:rsidRPr="00B86865" w:rsidRDefault="00937A46" w:rsidP="00D01F96">
            <w:pPr>
              <w:bidi w:val="0"/>
              <w:spacing w:after="0" w:line="240" w:lineRule="auto"/>
              <w:jc w:val="center"/>
              <w:rPr>
                <w:rFonts w:ascii="Times New Roman" w:eastAsia="Times New Roman" w:hAnsi="Times New Roman" w:cs="Times New Roman"/>
                <w:color w:val="000000"/>
                <w:sz w:val="20"/>
                <w:szCs w:val="20"/>
              </w:rPr>
            </w:pPr>
            <w:r w:rsidRPr="00B86865">
              <w:rPr>
                <w:rFonts w:ascii="Times New Roman" w:eastAsia="Times New Roman" w:hAnsi="Times New Roman" w:cs="Times New Roman"/>
                <w:color w:val="000000"/>
                <w:sz w:val="20"/>
                <w:szCs w:val="20"/>
              </w:rPr>
              <w:t>-0.11%</w:t>
            </w:r>
          </w:p>
        </w:tc>
        <w:tc>
          <w:tcPr>
            <w:tcW w:w="1080" w:type="dxa"/>
            <w:tcBorders>
              <w:top w:val="nil"/>
              <w:left w:val="nil"/>
              <w:bottom w:val="nil"/>
              <w:right w:val="single" w:sz="8" w:space="0" w:color="auto"/>
            </w:tcBorders>
            <w:shd w:val="clear" w:color="auto" w:fill="auto"/>
            <w:noWrap/>
            <w:vAlign w:val="center"/>
            <w:hideMark/>
          </w:tcPr>
          <w:p w14:paraId="0CF79C0E" w14:textId="77777777" w:rsidR="00937A46" w:rsidRPr="00B86865" w:rsidRDefault="00937A46" w:rsidP="00D01F96">
            <w:pPr>
              <w:bidi w:val="0"/>
              <w:spacing w:after="0" w:line="240" w:lineRule="auto"/>
              <w:jc w:val="center"/>
              <w:rPr>
                <w:rFonts w:ascii="Times New Roman" w:eastAsia="Times New Roman" w:hAnsi="Times New Roman" w:cs="Times New Roman"/>
                <w:color w:val="000000"/>
                <w:sz w:val="20"/>
                <w:szCs w:val="20"/>
              </w:rPr>
            </w:pPr>
            <w:r w:rsidRPr="00B86865">
              <w:rPr>
                <w:rFonts w:ascii="Times New Roman" w:eastAsia="Times New Roman" w:hAnsi="Times New Roman" w:cs="Times New Roman"/>
                <w:color w:val="000000"/>
                <w:sz w:val="20"/>
                <w:szCs w:val="20"/>
              </w:rPr>
              <w:t>-0.12</w:t>
            </w:r>
          </w:p>
        </w:tc>
        <w:tc>
          <w:tcPr>
            <w:tcW w:w="1080" w:type="dxa"/>
            <w:tcBorders>
              <w:top w:val="nil"/>
              <w:left w:val="nil"/>
              <w:bottom w:val="nil"/>
              <w:right w:val="single" w:sz="8" w:space="0" w:color="auto"/>
            </w:tcBorders>
            <w:shd w:val="clear" w:color="auto" w:fill="auto"/>
            <w:vAlign w:val="center"/>
            <w:hideMark/>
          </w:tcPr>
          <w:p w14:paraId="122A7C89" w14:textId="77777777" w:rsidR="00937A46" w:rsidRPr="00B86865" w:rsidRDefault="00937A46" w:rsidP="00D01F96">
            <w:pPr>
              <w:bidi w:val="0"/>
              <w:spacing w:after="0" w:line="240" w:lineRule="auto"/>
              <w:jc w:val="center"/>
              <w:rPr>
                <w:rFonts w:ascii="Times New Roman" w:eastAsia="Times New Roman" w:hAnsi="Times New Roman" w:cs="Times New Roman"/>
                <w:color w:val="000000"/>
                <w:sz w:val="20"/>
                <w:szCs w:val="20"/>
              </w:rPr>
            </w:pPr>
            <w:r w:rsidRPr="00B86865">
              <w:rPr>
                <w:rFonts w:ascii="Times New Roman" w:eastAsia="Times New Roman" w:hAnsi="Times New Roman" w:cs="Times New Roman"/>
                <w:color w:val="000000"/>
                <w:sz w:val="20"/>
                <w:szCs w:val="20"/>
              </w:rPr>
              <w:t>2.70%</w:t>
            </w:r>
          </w:p>
        </w:tc>
        <w:tc>
          <w:tcPr>
            <w:tcW w:w="1080" w:type="dxa"/>
            <w:tcBorders>
              <w:top w:val="nil"/>
              <w:left w:val="nil"/>
              <w:bottom w:val="nil"/>
              <w:right w:val="single" w:sz="8" w:space="0" w:color="auto"/>
            </w:tcBorders>
            <w:shd w:val="clear" w:color="auto" w:fill="auto"/>
            <w:noWrap/>
            <w:vAlign w:val="center"/>
            <w:hideMark/>
          </w:tcPr>
          <w:p w14:paraId="02F85722" w14:textId="77777777" w:rsidR="00937A46" w:rsidRPr="00B86865" w:rsidRDefault="00937A46" w:rsidP="00D01F96">
            <w:pPr>
              <w:bidi w:val="0"/>
              <w:spacing w:after="0" w:line="240" w:lineRule="auto"/>
              <w:jc w:val="center"/>
              <w:rPr>
                <w:rFonts w:ascii="Times New Roman" w:eastAsia="Times New Roman" w:hAnsi="Times New Roman" w:cs="Times New Roman"/>
                <w:color w:val="000000"/>
                <w:sz w:val="20"/>
                <w:szCs w:val="20"/>
              </w:rPr>
            </w:pPr>
            <w:r w:rsidRPr="00B86865">
              <w:rPr>
                <w:rFonts w:ascii="Times New Roman" w:eastAsia="Times New Roman" w:hAnsi="Times New Roman" w:cs="Times New Roman"/>
                <w:color w:val="000000"/>
                <w:sz w:val="20"/>
                <w:szCs w:val="20"/>
              </w:rPr>
              <w:t>1.5</w:t>
            </w:r>
          </w:p>
        </w:tc>
      </w:tr>
      <w:tr w:rsidR="00937A46" w:rsidRPr="00CE6819" w14:paraId="3DF002FF" w14:textId="77777777" w:rsidTr="00EC3C7C">
        <w:trPr>
          <w:trHeight w:val="300"/>
        </w:trPr>
        <w:tc>
          <w:tcPr>
            <w:tcW w:w="1080" w:type="dxa"/>
            <w:tcBorders>
              <w:top w:val="nil"/>
              <w:left w:val="single" w:sz="8" w:space="0" w:color="auto"/>
              <w:bottom w:val="nil"/>
              <w:right w:val="single" w:sz="8" w:space="0" w:color="auto"/>
            </w:tcBorders>
            <w:shd w:val="clear" w:color="auto" w:fill="auto"/>
            <w:vAlign w:val="center"/>
            <w:hideMark/>
          </w:tcPr>
          <w:p w14:paraId="2CAEB12A" w14:textId="77777777" w:rsidR="00937A46" w:rsidRPr="00B86865" w:rsidRDefault="00937A46" w:rsidP="00D01F96">
            <w:pPr>
              <w:bidi w:val="0"/>
              <w:spacing w:after="0" w:line="240" w:lineRule="auto"/>
              <w:jc w:val="center"/>
              <w:rPr>
                <w:rFonts w:ascii="Times New Roman" w:eastAsia="Times New Roman" w:hAnsi="Times New Roman" w:cs="Times New Roman"/>
                <w:color w:val="000000"/>
                <w:sz w:val="20"/>
                <w:szCs w:val="20"/>
              </w:rPr>
            </w:pPr>
            <w:r w:rsidRPr="00B86865">
              <w:rPr>
                <w:rFonts w:ascii="Times New Roman" w:eastAsia="Times New Roman" w:hAnsi="Times New Roman" w:cs="Times New Roman"/>
                <w:color w:val="000000"/>
                <w:sz w:val="20"/>
                <w:szCs w:val="20"/>
              </w:rPr>
              <w:t>1 to 20</w:t>
            </w:r>
          </w:p>
        </w:tc>
        <w:tc>
          <w:tcPr>
            <w:tcW w:w="1080" w:type="dxa"/>
            <w:tcBorders>
              <w:top w:val="nil"/>
              <w:left w:val="nil"/>
              <w:bottom w:val="nil"/>
              <w:right w:val="single" w:sz="8" w:space="0" w:color="auto"/>
            </w:tcBorders>
            <w:shd w:val="clear" w:color="auto" w:fill="auto"/>
            <w:vAlign w:val="center"/>
            <w:hideMark/>
          </w:tcPr>
          <w:p w14:paraId="44CF59D0" w14:textId="77777777" w:rsidR="00937A46" w:rsidRPr="00B86865" w:rsidRDefault="00937A46" w:rsidP="00D01F96">
            <w:pPr>
              <w:bidi w:val="0"/>
              <w:spacing w:after="0" w:line="240" w:lineRule="auto"/>
              <w:jc w:val="center"/>
              <w:rPr>
                <w:rFonts w:ascii="Times New Roman" w:eastAsia="Times New Roman" w:hAnsi="Times New Roman" w:cs="Times New Roman"/>
                <w:color w:val="000000"/>
                <w:sz w:val="20"/>
                <w:szCs w:val="20"/>
              </w:rPr>
            </w:pPr>
            <w:r w:rsidRPr="00B86865">
              <w:rPr>
                <w:rFonts w:ascii="Times New Roman" w:eastAsia="Times New Roman" w:hAnsi="Times New Roman" w:cs="Times New Roman"/>
                <w:color w:val="000000"/>
                <w:sz w:val="20"/>
                <w:szCs w:val="20"/>
              </w:rPr>
              <w:t>3.03%</w:t>
            </w:r>
          </w:p>
        </w:tc>
        <w:tc>
          <w:tcPr>
            <w:tcW w:w="1080" w:type="dxa"/>
            <w:tcBorders>
              <w:top w:val="nil"/>
              <w:left w:val="nil"/>
              <w:bottom w:val="nil"/>
              <w:right w:val="single" w:sz="8" w:space="0" w:color="auto"/>
            </w:tcBorders>
            <w:shd w:val="clear" w:color="auto" w:fill="auto"/>
            <w:noWrap/>
            <w:vAlign w:val="center"/>
            <w:hideMark/>
          </w:tcPr>
          <w:p w14:paraId="61B548AE" w14:textId="77777777" w:rsidR="00937A46" w:rsidRPr="00B86865" w:rsidRDefault="00937A46" w:rsidP="00D01F96">
            <w:pPr>
              <w:bidi w:val="0"/>
              <w:spacing w:after="0" w:line="240" w:lineRule="auto"/>
              <w:jc w:val="center"/>
              <w:rPr>
                <w:rFonts w:ascii="Times New Roman" w:eastAsia="Times New Roman" w:hAnsi="Times New Roman" w:cs="Times New Roman"/>
                <w:color w:val="000000"/>
                <w:sz w:val="20"/>
                <w:szCs w:val="20"/>
              </w:rPr>
            </w:pPr>
            <w:r w:rsidRPr="00B86865">
              <w:rPr>
                <w:rFonts w:ascii="Times New Roman" w:eastAsia="Times New Roman" w:hAnsi="Times New Roman" w:cs="Times New Roman"/>
                <w:color w:val="000000"/>
                <w:sz w:val="20"/>
                <w:szCs w:val="20"/>
              </w:rPr>
              <w:t>2.54</w:t>
            </w:r>
          </w:p>
        </w:tc>
        <w:tc>
          <w:tcPr>
            <w:tcW w:w="1080" w:type="dxa"/>
            <w:tcBorders>
              <w:top w:val="nil"/>
              <w:left w:val="nil"/>
              <w:bottom w:val="nil"/>
              <w:right w:val="single" w:sz="8" w:space="0" w:color="auto"/>
            </w:tcBorders>
            <w:shd w:val="clear" w:color="auto" w:fill="auto"/>
            <w:vAlign w:val="center"/>
            <w:hideMark/>
          </w:tcPr>
          <w:p w14:paraId="02B221B8" w14:textId="77777777" w:rsidR="00937A46" w:rsidRPr="00B86865" w:rsidRDefault="00937A46" w:rsidP="00D01F96">
            <w:pPr>
              <w:bidi w:val="0"/>
              <w:spacing w:after="0" w:line="240" w:lineRule="auto"/>
              <w:jc w:val="center"/>
              <w:rPr>
                <w:rFonts w:ascii="Times New Roman" w:eastAsia="Times New Roman" w:hAnsi="Times New Roman" w:cs="Times New Roman"/>
                <w:color w:val="000000"/>
                <w:sz w:val="20"/>
                <w:szCs w:val="20"/>
              </w:rPr>
            </w:pPr>
            <w:r w:rsidRPr="00B86865">
              <w:rPr>
                <w:rFonts w:ascii="Times New Roman" w:eastAsia="Times New Roman" w:hAnsi="Times New Roman" w:cs="Times New Roman"/>
                <w:color w:val="000000"/>
                <w:sz w:val="20"/>
                <w:szCs w:val="20"/>
              </w:rPr>
              <w:t>1.31%</w:t>
            </w:r>
          </w:p>
        </w:tc>
        <w:tc>
          <w:tcPr>
            <w:tcW w:w="1080" w:type="dxa"/>
            <w:tcBorders>
              <w:top w:val="nil"/>
              <w:left w:val="nil"/>
              <w:bottom w:val="nil"/>
              <w:right w:val="single" w:sz="8" w:space="0" w:color="auto"/>
            </w:tcBorders>
            <w:shd w:val="clear" w:color="auto" w:fill="auto"/>
            <w:noWrap/>
            <w:vAlign w:val="center"/>
            <w:hideMark/>
          </w:tcPr>
          <w:p w14:paraId="06C42F8B" w14:textId="77777777" w:rsidR="00937A46" w:rsidRPr="00B86865" w:rsidRDefault="00937A46" w:rsidP="00D01F96">
            <w:pPr>
              <w:bidi w:val="0"/>
              <w:spacing w:after="0" w:line="240" w:lineRule="auto"/>
              <w:jc w:val="center"/>
              <w:rPr>
                <w:rFonts w:ascii="Times New Roman" w:eastAsia="Times New Roman" w:hAnsi="Times New Roman" w:cs="Times New Roman"/>
                <w:color w:val="000000"/>
                <w:sz w:val="20"/>
                <w:szCs w:val="20"/>
              </w:rPr>
            </w:pPr>
            <w:r w:rsidRPr="00B86865">
              <w:rPr>
                <w:rFonts w:ascii="Times New Roman" w:eastAsia="Times New Roman" w:hAnsi="Times New Roman" w:cs="Times New Roman"/>
                <w:color w:val="000000"/>
                <w:sz w:val="20"/>
                <w:szCs w:val="20"/>
              </w:rPr>
              <w:t>1.23</w:t>
            </w:r>
          </w:p>
        </w:tc>
        <w:tc>
          <w:tcPr>
            <w:tcW w:w="1080" w:type="dxa"/>
            <w:tcBorders>
              <w:top w:val="nil"/>
              <w:left w:val="nil"/>
              <w:bottom w:val="nil"/>
              <w:right w:val="single" w:sz="8" w:space="0" w:color="auto"/>
            </w:tcBorders>
            <w:shd w:val="clear" w:color="auto" w:fill="auto"/>
            <w:vAlign w:val="center"/>
            <w:hideMark/>
          </w:tcPr>
          <w:p w14:paraId="2F60949B" w14:textId="77777777" w:rsidR="00937A46" w:rsidRPr="00B86865" w:rsidRDefault="00937A46" w:rsidP="00D01F96">
            <w:pPr>
              <w:bidi w:val="0"/>
              <w:spacing w:after="0" w:line="240" w:lineRule="auto"/>
              <w:jc w:val="center"/>
              <w:rPr>
                <w:rFonts w:ascii="Times New Roman" w:eastAsia="Times New Roman" w:hAnsi="Times New Roman" w:cs="Times New Roman"/>
                <w:color w:val="000000"/>
                <w:sz w:val="20"/>
                <w:szCs w:val="20"/>
              </w:rPr>
            </w:pPr>
            <w:r w:rsidRPr="00B86865">
              <w:rPr>
                <w:rFonts w:ascii="Times New Roman" w:eastAsia="Times New Roman" w:hAnsi="Times New Roman" w:cs="Times New Roman"/>
                <w:color w:val="000000"/>
                <w:sz w:val="20"/>
                <w:szCs w:val="20"/>
              </w:rPr>
              <w:t>6.81%</w:t>
            </w:r>
          </w:p>
        </w:tc>
        <w:tc>
          <w:tcPr>
            <w:tcW w:w="1080" w:type="dxa"/>
            <w:tcBorders>
              <w:top w:val="nil"/>
              <w:left w:val="nil"/>
              <w:bottom w:val="nil"/>
              <w:right w:val="single" w:sz="8" w:space="0" w:color="auto"/>
            </w:tcBorders>
            <w:shd w:val="clear" w:color="auto" w:fill="auto"/>
            <w:noWrap/>
            <w:vAlign w:val="center"/>
            <w:hideMark/>
          </w:tcPr>
          <w:p w14:paraId="2731D61E" w14:textId="77777777" w:rsidR="00937A46" w:rsidRPr="00B86865" w:rsidRDefault="00937A46" w:rsidP="00D01F96">
            <w:pPr>
              <w:bidi w:val="0"/>
              <w:spacing w:after="0" w:line="240" w:lineRule="auto"/>
              <w:jc w:val="center"/>
              <w:rPr>
                <w:rFonts w:ascii="Times New Roman" w:eastAsia="Times New Roman" w:hAnsi="Times New Roman" w:cs="Times New Roman"/>
                <w:color w:val="000000"/>
                <w:sz w:val="20"/>
                <w:szCs w:val="20"/>
              </w:rPr>
            </w:pPr>
            <w:r w:rsidRPr="00B86865">
              <w:rPr>
                <w:rFonts w:ascii="Times New Roman" w:eastAsia="Times New Roman" w:hAnsi="Times New Roman" w:cs="Times New Roman"/>
                <w:color w:val="000000"/>
                <w:sz w:val="20"/>
                <w:szCs w:val="20"/>
              </w:rPr>
              <w:t>2.9</w:t>
            </w:r>
          </w:p>
        </w:tc>
      </w:tr>
      <w:tr w:rsidR="00937A46" w:rsidRPr="00CE6819" w14:paraId="69D961A2" w14:textId="77777777" w:rsidTr="00EC3C7C">
        <w:trPr>
          <w:trHeight w:val="300"/>
        </w:trPr>
        <w:tc>
          <w:tcPr>
            <w:tcW w:w="1080" w:type="dxa"/>
            <w:tcBorders>
              <w:top w:val="nil"/>
              <w:left w:val="single" w:sz="8" w:space="0" w:color="auto"/>
              <w:bottom w:val="nil"/>
              <w:right w:val="single" w:sz="8" w:space="0" w:color="auto"/>
            </w:tcBorders>
            <w:shd w:val="clear" w:color="auto" w:fill="auto"/>
            <w:vAlign w:val="center"/>
            <w:hideMark/>
          </w:tcPr>
          <w:p w14:paraId="3BAFB469" w14:textId="77777777" w:rsidR="00937A46" w:rsidRPr="00B86865" w:rsidRDefault="00937A46" w:rsidP="00D01F96">
            <w:pPr>
              <w:bidi w:val="0"/>
              <w:spacing w:after="0" w:line="240" w:lineRule="auto"/>
              <w:jc w:val="center"/>
              <w:rPr>
                <w:rFonts w:ascii="Times New Roman" w:eastAsia="Times New Roman" w:hAnsi="Times New Roman" w:cs="Times New Roman"/>
                <w:color w:val="000000"/>
                <w:sz w:val="20"/>
                <w:szCs w:val="20"/>
              </w:rPr>
            </w:pPr>
            <w:r w:rsidRPr="00B86865">
              <w:rPr>
                <w:rFonts w:ascii="Times New Roman" w:eastAsia="Times New Roman" w:hAnsi="Times New Roman" w:cs="Times New Roman"/>
                <w:color w:val="000000"/>
                <w:sz w:val="20"/>
                <w:szCs w:val="20"/>
              </w:rPr>
              <w:t>1 to 50</w:t>
            </w:r>
          </w:p>
        </w:tc>
        <w:tc>
          <w:tcPr>
            <w:tcW w:w="1080" w:type="dxa"/>
            <w:tcBorders>
              <w:top w:val="nil"/>
              <w:left w:val="nil"/>
              <w:bottom w:val="nil"/>
              <w:right w:val="single" w:sz="8" w:space="0" w:color="auto"/>
            </w:tcBorders>
            <w:shd w:val="clear" w:color="auto" w:fill="auto"/>
            <w:vAlign w:val="center"/>
            <w:hideMark/>
          </w:tcPr>
          <w:p w14:paraId="5EA8F21D" w14:textId="77777777" w:rsidR="00937A46" w:rsidRPr="00B86865" w:rsidRDefault="00937A46" w:rsidP="00D01F96">
            <w:pPr>
              <w:bidi w:val="0"/>
              <w:spacing w:after="0" w:line="240" w:lineRule="auto"/>
              <w:jc w:val="center"/>
              <w:rPr>
                <w:rFonts w:ascii="Times New Roman" w:eastAsia="Times New Roman" w:hAnsi="Times New Roman" w:cs="Times New Roman"/>
                <w:color w:val="000000"/>
                <w:sz w:val="20"/>
                <w:szCs w:val="20"/>
              </w:rPr>
            </w:pPr>
            <w:r w:rsidRPr="00B86865">
              <w:rPr>
                <w:rFonts w:ascii="Times New Roman" w:eastAsia="Times New Roman" w:hAnsi="Times New Roman" w:cs="Times New Roman"/>
                <w:color w:val="000000"/>
                <w:sz w:val="20"/>
                <w:szCs w:val="20"/>
              </w:rPr>
              <w:t>-1.63%</w:t>
            </w:r>
          </w:p>
        </w:tc>
        <w:tc>
          <w:tcPr>
            <w:tcW w:w="1080" w:type="dxa"/>
            <w:tcBorders>
              <w:top w:val="nil"/>
              <w:left w:val="nil"/>
              <w:bottom w:val="nil"/>
              <w:right w:val="single" w:sz="8" w:space="0" w:color="auto"/>
            </w:tcBorders>
            <w:shd w:val="clear" w:color="auto" w:fill="auto"/>
            <w:noWrap/>
            <w:vAlign w:val="center"/>
            <w:hideMark/>
          </w:tcPr>
          <w:p w14:paraId="125D37CD" w14:textId="77777777" w:rsidR="00937A46" w:rsidRPr="00B86865" w:rsidRDefault="00937A46" w:rsidP="00D01F96">
            <w:pPr>
              <w:bidi w:val="0"/>
              <w:spacing w:after="0" w:line="240" w:lineRule="auto"/>
              <w:jc w:val="center"/>
              <w:rPr>
                <w:rFonts w:ascii="Times New Roman" w:eastAsia="Times New Roman" w:hAnsi="Times New Roman" w:cs="Times New Roman"/>
                <w:color w:val="000000"/>
                <w:sz w:val="20"/>
                <w:szCs w:val="20"/>
              </w:rPr>
            </w:pPr>
            <w:r w:rsidRPr="00B86865">
              <w:rPr>
                <w:rFonts w:ascii="Times New Roman" w:eastAsia="Times New Roman" w:hAnsi="Times New Roman" w:cs="Times New Roman"/>
                <w:color w:val="000000"/>
                <w:sz w:val="20"/>
                <w:szCs w:val="20"/>
              </w:rPr>
              <w:t>-0.73</w:t>
            </w:r>
          </w:p>
        </w:tc>
        <w:tc>
          <w:tcPr>
            <w:tcW w:w="1080" w:type="dxa"/>
            <w:tcBorders>
              <w:top w:val="nil"/>
              <w:left w:val="nil"/>
              <w:bottom w:val="nil"/>
              <w:right w:val="single" w:sz="8" w:space="0" w:color="auto"/>
            </w:tcBorders>
            <w:shd w:val="clear" w:color="auto" w:fill="auto"/>
            <w:vAlign w:val="center"/>
            <w:hideMark/>
          </w:tcPr>
          <w:p w14:paraId="1D327137" w14:textId="77777777" w:rsidR="00937A46" w:rsidRPr="00B86865" w:rsidRDefault="00937A46" w:rsidP="00D01F96">
            <w:pPr>
              <w:bidi w:val="0"/>
              <w:spacing w:after="0" w:line="240" w:lineRule="auto"/>
              <w:jc w:val="center"/>
              <w:rPr>
                <w:rFonts w:ascii="Times New Roman" w:eastAsia="Times New Roman" w:hAnsi="Times New Roman" w:cs="Times New Roman"/>
                <w:color w:val="000000"/>
                <w:sz w:val="20"/>
                <w:szCs w:val="20"/>
              </w:rPr>
            </w:pPr>
            <w:r w:rsidRPr="00B86865">
              <w:rPr>
                <w:rFonts w:ascii="Times New Roman" w:eastAsia="Times New Roman" w:hAnsi="Times New Roman" w:cs="Times New Roman"/>
                <w:color w:val="000000"/>
                <w:sz w:val="20"/>
                <w:szCs w:val="20"/>
              </w:rPr>
              <w:t>-7.01%</w:t>
            </w:r>
          </w:p>
        </w:tc>
        <w:tc>
          <w:tcPr>
            <w:tcW w:w="1080" w:type="dxa"/>
            <w:tcBorders>
              <w:top w:val="nil"/>
              <w:left w:val="nil"/>
              <w:bottom w:val="nil"/>
              <w:right w:val="single" w:sz="8" w:space="0" w:color="auto"/>
            </w:tcBorders>
            <w:shd w:val="clear" w:color="auto" w:fill="auto"/>
            <w:noWrap/>
            <w:vAlign w:val="center"/>
            <w:hideMark/>
          </w:tcPr>
          <w:p w14:paraId="332E183C" w14:textId="77777777" w:rsidR="00937A46" w:rsidRPr="00B86865" w:rsidRDefault="00937A46" w:rsidP="00D01F96">
            <w:pPr>
              <w:bidi w:val="0"/>
              <w:spacing w:after="0" w:line="240" w:lineRule="auto"/>
              <w:jc w:val="center"/>
              <w:rPr>
                <w:rFonts w:ascii="Times New Roman" w:eastAsia="Times New Roman" w:hAnsi="Times New Roman" w:cs="Times New Roman"/>
                <w:color w:val="000000"/>
                <w:sz w:val="20"/>
                <w:szCs w:val="20"/>
              </w:rPr>
            </w:pPr>
            <w:r w:rsidRPr="00B86865">
              <w:rPr>
                <w:rFonts w:ascii="Times New Roman" w:eastAsia="Times New Roman" w:hAnsi="Times New Roman" w:cs="Times New Roman"/>
                <w:color w:val="000000"/>
                <w:sz w:val="20"/>
                <w:szCs w:val="20"/>
              </w:rPr>
              <w:t>-2.79</w:t>
            </w:r>
          </w:p>
        </w:tc>
        <w:tc>
          <w:tcPr>
            <w:tcW w:w="1080" w:type="dxa"/>
            <w:tcBorders>
              <w:top w:val="nil"/>
              <w:left w:val="nil"/>
              <w:bottom w:val="nil"/>
              <w:right w:val="single" w:sz="8" w:space="0" w:color="auto"/>
            </w:tcBorders>
            <w:shd w:val="clear" w:color="auto" w:fill="auto"/>
            <w:vAlign w:val="center"/>
            <w:hideMark/>
          </w:tcPr>
          <w:p w14:paraId="0A6473B1" w14:textId="77777777" w:rsidR="00937A46" w:rsidRPr="00B86865" w:rsidRDefault="00937A46" w:rsidP="00D01F96">
            <w:pPr>
              <w:bidi w:val="0"/>
              <w:spacing w:after="0" w:line="240" w:lineRule="auto"/>
              <w:jc w:val="center"/>
              <w:rPr>
                <w:rFonts w:ascii="Times New Roman" w:eastAsia="Times New Roman" w:hAnsi="Times New Roman" w:cs="Times New Roman"/>
                <w:color w:val="000000"/>
                <w:sz w:val="20"/>
                <w:szCs w:val="20"/>
              </w:rPr>
            </w:pPr>
            <w:r w:rsidRPr="00B86865">
              <w:rPr>
                <w:rFonts w:ascii="Times New Roman" w:eastAsia="Times New Roman" w:hAnsi="Times New Roman" w:cs="Times New Roman"/>
                <w:color w:val="000000"/>
                <w:sz w:val="20"/>
                <w:szCs w:val="20"/>
              </w:rPr>
              <w:t>10.17%</w:t>
            </w:r>
          </w:p>
        </w:tc>
        <w:tc>
          <w:tcPr>
            <w:tcW w:w="1080" w:type="dxa"/>
            <w:tcBorders>
              <w:top w:val="nil"/>
              <w:left w:val="nil"/>
              <w:bottom w:val="nil"/>
              <w:right w:val="single" w:sz="8" w:space="0" w:color="auto"/>
            </w:tcBorders>
            <w:shd w:val="clear" w:color="auto" w:fill="auto"/>
            <w:noWrap/>
            <w:vAlign w:val="center"/>
            <w:hideMark/>
          </w:tcPr>
          <w:p w14:paraId="4AB70220" w14:textId="77777777" w:rsidR="00937A46" w:rsidRPr="00B86865" w:rsidRDefault="00937A46" w:rsidP="00D01F96">
            <w:pPr>
              <w:bidi w:val="0"/>
              <w:spacing w:after="0" w:line="240" w:lineRule="auto"/>
              <w:jc w:val="center"/>
              <w:rPr>
                <w:rFonts w:ascii="Times New Roman" w:eastAsia="Times New Roman" w:hAnsi="Times New Roman" w:cs="Times New Roman"/>
                <w:color w:val="000000"/>
                <w:sz w:val="20"/>
                <w:szCs w:val="20"/>
              </w:rPr>
            </w:pPr>
            <w:r w:rsidRPr="00B86865">
              <w:rPr>
                <w:rFonts w:ascii="Times New Roman" w:eastAsia="Times New Roman" w:hAnsi="Times New Roman" w:cs="Times New Roman"/>
                <w:color w:val="000000"/>
                <w:sz w:val="20"/>
                <w:szCs w:val="20"/>
              </w:rPr>
              <w:t>2.81</w:t>
            </w:r>
          </w:p>
        </w:tc>
      </w:tr>
      <w:tr w:rsidR="00937A46" w:rsidRPr="00CE6819" w14:paraId="4AD215EB" w14:textId="77777777" w:rsidTr="00EC3C7C">
        <w:trPr>
          <w:trHeight w:val="300"/>
        </w:trPr>
        <w:tc>
          <w:tcPr>
            <w:tcW w:w="1080" w:type="dxa"/>
            <w:tcBorders>
              <w:top w:val="nil"/>
              <w:left w:val="single" w:sz="8" w:space="0" w:color="auto"/>
              <w:bottom w:val="nil"/>
              <w:right w:val="single" w:sz="8" w:space="0" w:color="auto"/>
            </w:tcBorders>
            <w:shd w:val="clear" w:color="auto" w:fill="auto"/>
            <w:vAlign w:val="center"/>
            <w:hideMark/>
          </w:tcPr>
          <w:p w14:paraId="53838627" w14:textId="77777777" w:rsidR="00937A46" w:rsidRPr="00B86865" w:rsidRDefault="00937A46" w:rsidP="00D01F96">
            <w:pPr>
              <w:bidi w:val="0"/>
              <w:spacing w:after="0" w:line="240" w:lineRule="auto"/>
              <w:jc w:val="center"/>
              <w:rPr>
                <w:rFonts w:ascii="Times New Roman" w:eastAsia="Times New Roman" w:hAnsi="Times New Roman" w:cs="Times New Roman"/>
                <w:color w:val="000000"/>
                <w:sz w:val="20"/>
                <w:szCs w:val="20"/>
              </w:rPr>
            </w:pPr>
            <w:bookmarkStart w:id="0" w:name="_Hlk33461571"/>
            <w:r w:rsidRPr="00B86865">
              <w:rPr>
                <w:rFonts w:ascii="Times New Roman" w:eastAsia="Times New Roman" w:hAnsi="Times New Roman" w:cs="Times New Roman"/>
                <w:color w:val="000000"/>
                <w:sz w:val="20"/>
                <w:szCs w:val="20"/>
              </w:rPr>
              <w:t>1 to 100</w:t>
            </w:r>
          </w:p>
        </w:tc>
        <w:tc>
          <w:tcPr>
            <w:tcW w:w="1080" w:type="dxa"/>
            <w:tcBorders>
              <w:top w:val="nil"/>
              <w:left w:val="nil"/>
              <w:bottom w:val="nil"/>
              <w:right w:val="single" w:sz="8" w:space="0" w:color="auto"/>
            </w:tcBorders>
            <w:shd w:val="clear" w:color="auto" w:fill="auto"/>
            <w:vAlign w:val="center"/>
            <w:hideMark/>
          </w:tcPr>
          <w:p w14:paraId="77BE5B22" w14:textId="77777777" w:rsidR="00937A46" w:rsidRPr="00B86865" w:rsidRDefault="00937A46" w:rsidP="00D01F96">
            <w:pPr>
              <w:bidi w:val="0"/>
              <w:spacing w:after="0" w:line="240" w:lineRule="auto"/>
              <w:jc w:val="center"/>
              <w:rPr>
                <w:rFonts w:ascii="Times New Roman" w:eastAsia="Times New Roman" w:hAnsi="Times New Roman" w:cs="Times New Roman"/>
                <w:color w:val="000000"/>
                <w:sz w:val="20"/>
                <w:szCs w:val="20"/>
              </w:rPr>
            </w:pPr>
            <w:r w:rsidRPr="00B86865">
              <w:rPr>
                <w:rFonts w:ascii="Times New Roman" w:eastAsia="Times New Roman" w:hAnsi="Times New Roman" w:cs="Times New Roman"/>
                <w:color w:val="000000"/>
                <w:sz w:val="20"/>
                <w:szCs w:val="20"/>
              </w:rPr>
              <w:t>-7.01%</w:t>
            </w:r>
          </w:p>
        </w:tc>
        <w:tc>
          <w:tcPr>
            <w:tcW w:w="1080" w:type="dxa"/>
            <w:tcBorders>
              <w:top w:val="nil"/>
              <w:left w:val="nil"/>
              <w:bottom w:val="nil"/>
              <w:right w:val="single" w:sz="8" w:space="0" w:color="auto"/>
            </w:tcBorders>
            <w:shd w:val="clear" w:color="auto" w:fill="auto"/>
            <w:noWrap/>
            <w:vAlign w:val="center"/>
            <w:hideMark/>
          </w:tcPr>
          <w:p w14:paraId="5CBB26CE" w14:textId="77777777" w:rsidR="00937A46" w:rsidRPr="00B86865" w:rsidRDefault="00937A46" w:rsidP="00D01F96">
            <w:pPr>
              <w:bidi w:val="0"/>
              <w:spacing w:after="0" w:line="240" w:lineRule="auto"/>
              <w:jc w:val="center"/>
              <w:rPr>
                <w:rFonts w:ascii="Times New Roman" w:eastAsia="Times New Roman" w:hAnsi="Times New Roman" w:cs="Times New Roman"/>
                <w:color w:val="000000"/>
                <w:sz w:val="20"/>
                <w:szCs w:val="20"/>
              </w:rPr>
            </w:pPr>
            <w:r w:rsidRPr="00B86865">
              <w:rPr>
                <w:rFonts w:ascii="Times New Roman" w:eastAsia="Times New Roman" w:hAnsi="Times New Roman" w:cs="Times New Roman"/>
                <w:color w:val="000000"/>
                <w:sz w:val="20"/>
                <w:szCs w:val="20"/>
              </w:rPr>
              <w:t>-2.08</w:t>
            </w:r>
          </w:p>
        </w:tc>
        <w:tc>
          <w:tcPr>
            <w:tcW w:w="1080" w:type="dxa"/>
            <w:tcBorders>
              <w:top w:val="nil"/>
              <w:left w:val="nil"/>
              <w:bottom w:val="nil"/>
              <w:right w:val="single" w:sz="8" w:space="0" w:color="auto"/>
            </w:tcBorders>
            <w:shd w:val="clear" w:color="auto" w:fill="auto"/>
            <w:vAlign w:val="center"/>
            <w:hideMark/>
          </w:tcPr>
          <w:p w14:paraId="12CC85A1" w14:textId="77777777" w:rsidR="00937A46" w:rsidRPr="00B86865" w:rsidRDefault="00937A46" w:rsidP="00D01F96">
            <w:pPr>
              <w:bidi w:val="0"/>
              <w:spacing w:after="0" w:line="240" w:lineRule="auto"/>
              <w:jc w:val="center"/>
              <w:rPr>
                <w:rFonts w:ascii="Times New Roman" w:eastAsia="Times New Roman" w:hAnsi="Times New Roman" w:cs="Times New Roman"/>
                <w:color w:val="000000"/>
                <w:sz w:val="20"/>
                <w:szCs w:val="20"/>
              </w:rPr>
            </w:pPr>
            <w:r w:rsidRPr="00B86865">
              <w:rPr>
                <w:rFonts w:ascii="Times New Roman" w:eastAsia="Times New Roman" w:hAnsi="Times New Roman" w:cs="Times New Roman"/>
                <w:color w:val="000000"/>
                <w:sz w:val="20"/>
                <w:szCs w:val="20"/>
              </w:rPr>
              <w:t>-16.81%</w:t>
            </w:r>
          </w:p>
        </w:tc>
        <w:tc>
          <w:tcPr>
            <w:tcW w:w="1080" w:type="dxa"/>
            <w:tcBorders>
              <w:top w:val="nil"/>
              <w:left w:val="nil"/>
              <w:bottom w:val="nil"/>
              <w:right w:val="single" w:sz="8" w:space="0" w:color="auto"/>
            </w:tcBorders>
            <w:shd w:val="clear" w:color="auto" w:fill="auto"/>
            <w:noWrap/>
            <w:vAlign w:val="center"/>
            <w:hideMark/>
          </w:tcPr>
          <w:p w14:paraId="4B2F2E54" w14:textId="77777777" w:rsidR="00937A46" w:rsidRPr="00B86865" w:rsidRDefault="00937A46" w:rsidP="00D01F96">
            <w:pPr>
              <w:bidi w:val="0"/>
              <w:spacing w:after="0" w:line="240" w:lineRule="auto"/>
              <w:jc w:val="center"/>
              <w:rPr>
                <w:rFonts w:ascii="Times New Roman" w:eastAsia="Times New Roman" w:hAnsi="Times New Roman" w:cs="Times New Roman"/>
                <w:color w:val="000000"/>
                <w:sz w:val="20"/>
                <w:szCs w:val="20"/>
              </w:rPr>
            </w:pPr>
            <w:r w:rsidRPr="00B86865">
              <w:rPr>
                <w:rFonts w:ascii="Times New Roman" w:eastAsia="Times New Roman" w:hAnsi="Times New Roman" w:cs="Times New Roman"/>
                <w:color w:val="000000"/>
                <w:sz w:val="20"/>
                <w:szCs w:val="20"/>
              </w:rPr>
              <w:t>-4.4</w:t>
            </w:r>
          </w:p>
        </w:tc>
        <w:tc>
          <w:tcPr>
            <w:tcW w:w="1080" w:type="dxa"/>
            <w:tcBorders>
              <w:top w:val="nil"/>
              <w:left w:val="nil"/>
              <w:bottom w:val="nil"/>
              <w:right w:val="single" w:sz="8" w:space="0" w:color="auto"/>
            </w:tcBorders>
            <w:shd w:val="clear" w:color="auto" w:fill="auto"/>
            <w:vAlign w:val="center"/>
            <w:hideMark/>
          </w:tcPr>
          <w:p w14:paraId="6C11393C" w14:textId="77777777" w:rsidR="00937A46" w:rsidRPr="00B86865" w:rsidRDefault="00937A46" w:rsidP="00D01F96">
            <w:pPr>
              <w:bidi w:val="0"/>
              <w:spacing w:after="0" w:line="240" w:lineRule="auto"/>
              <w:jc w:val="center"/>
              <w:rPr>
                <w:rFonts w:ascii="Times New Roman" w:eastAsia="Times New Roman" w:hAnsi="Times New Roman" w:cs="Times New Roman"/>
                <w:color w:val="000000"/>
                <w:sz w:val="20"/>
                <w:szCs w:val="20"/>
              </w:rPr>
            </w:pPr>
            <w:r w:rsidRPr="00B86865">
              <w:rPr>
                <w:rFonts w:ascii="Times New Roman" w:eastAsia="Times New Roman" w:hAnsi="Times New Roman" w:cs="Times New Roman"/>
                <w:color w:val="000000"/>
                <w:sz w:val="20"/>
                <w:szCs w:val="20"/>
              </w:rPr>
              <w:t>14.53%</w:t>
            </w:r>
          </w:p>
        </w:tc>
        <w:tc>
          <w:tcPr>
            <w:tcW w:w="1080" w:type="dxa"/>
            <w:tcBorders>
              <w:top w:val="nil"/>
              <w:left w:val="nil"/>
              <w:bottom w:val="nil"/>
              <w:right w:val="single" w:sz="8" w:space="0" w:color="auto"/>
            </w:tcBorders>
            <w:shd w:val="clear" w:color="auto" w:fill="auto"/>
            <w:noWrap/>
            <w:vAlign w:val="center"/>
            <w:hideMark/>
          </w:tcPr>
          <w:p w14:paraId="6BCDA223" w14:textId="77777777" w:rsidR="00937A46" w:rsidRPr="00B86865" w:rsidRDefault="00937A46" w:rsidP="00D01F96">
            <w:pPr>
              <w:bidi w:val="0"/>
              <w:spacing w:after="0" w:line="240" w:lineRule="auto"/>
              <w:jc w:val="center"/>
              <w:rPr>
                <w:rFonts w:ascii="Times New Roman" w:eastAsia="Times New Roman" w:hAnsi="Times New Roman" w:cs="Times New Roman"/>
                <w:color w:val="000000"/>
                <w:sz w:val="20"/>
                <w:szCs w:val="20"/>
              </w:rPr>
            </w:pPr>
            <w:r w:rsidRPr="00B86865">
              <w:rPr>
                <w:rFonts w:ascii="Times New Roman" w:eastAsia="Times New Roman" w:hAnsi="Times New Roman" w:cs="Times New Roman"/>
                <w:color w:val="000000"/>
                <w:sz w:val="20"/>
                <w:szCs w:val="20"/>
              </w:rPr>
              <w:t>2.82</w:t>
            </w:r>
          </w:p>
        </w:tc>
      </w:tr>
      <w:bookmarkEnd w:id="0"/>
      <w:tr w:rsidR="00937A46" w:rsidRPr="00CE6819" w14:paraId="6D3E031D" w14:textId="77777777" w:rsidTr="00EC3C7C">
        <w:trPr>
          <w:trHeight w:val="300"/>
        </w:trPr>
        <w:tc>
          <w:tcPr>
            <w:tcW w:w="1080" w:type="dxa"/>
            <w:tcBorders>
              <w:top w:val="nil"/>
              <w:left w:val="single" w:sz="8" w:space="0" w:color="auto"/>
              <w:bottom w:val="nil"/>
              <w:right w:val="single" w:sz="8" w:space="0" w:color="auto"/>
            </w:tcBorders>
            <w:shd w:val="clear" w:color="auto" w:fill="auto"/>
            <w:vAlign w:val="center"/>
            <w:hideMark/>
          </w:tcPr>
          <w:p w14:paraId="789FC64A" w14:textId="77777777" w:rsidR="00937A46" w:rsidRPr="00B86865" w:rsidRDefault="00937A46" w:rsidP="00D01F96">
            <w:pPr>
              <w:bidi w:val="0"/>
              <w:spacing w:after="0" w:line="240" w:lineRule="auto"/>
              <w:jc w:val="center"/>
              <w:rPr>
                <w:rFonts w:ascii="Times New Roman" w:eastAsia="Times New Roman" w:hAnsi="Times New Roman" w:cs="Times New Roman"/>
                <w:color w:val="000000"/>
                <w:sz w:val="20"/>
                <w:szCs w:val="20"/>
              </w:rPr>
            </w:pPr>
            <w:r w:rsidRPr="00B86865">
              <w:rPr>
                <w:rFonts w:ascii="Times New Roman" w:eastAsia="Times New Roman" w:hAnsi="Times New Roman" w:cs="Times New Roman"/>
                <w:color w:val="000000"/>
                <w:sz w:val="20"/>
                <w:szCs w:val="20"/>
              </w:rPr>
              <w:t>1 to 150</w:t>
            </w:r>
          </w:p>
        </w:tc>
        <w:tc>
          <w:tcPr>
            <w:tcW w:w="1080" w:type="dxa"/>
            <w:tcBorders>
              <w:top w:val="nil"/>
              <w:left w:val="nil"/>
              <w:bottom w:val="nil"/>
              <w:right w:val="single" w:sz="8" w:space="0" w:color="auto"/>
            </w:tcBorders>
            <w:shd w:val="clear" w:color="auto" w:fill="auto"/>
            <w:vAlign w:val="center"/>
            <w:hideMark/>
          </w:tcPr>
          <w:p w14:paraId="2486F0A2" w14:textId="77777777" w:rsidR="00937A46" w:rsidRPr="00B86865" w:rsidRDefault="00937A46" w:rsidP="00D01F96">
            <w:pPr>
              <w:bidi w:val="0"/>
              <w:spacing w:after="0" w:line="240" w:lineRule="auto"/>
              <w:jc w:val="center"/>
              <w:rPr>
                <w:rFonts w:ascii="Times New Roman" w:eastAsia="Times New Roman" w:hAnsi="Times New Roman" w:cs="Times New Roman"/>
                <w:color w:val="000000"/>
                <w:sz w:val="20"/>
                <w:szCs w:val="20"/>
              </w:rPr>
            </w:pPr>
            <w:r w:rsidRPr="00B86865">
              <w:rPr>
                <w:rFonts w:ascii="Times New Roman" w:eastAsia="Times New Roman" w:hAnsi="Times New Roman" w:cs="Times New Roman"/>
                <w:color w:val="000000"/>
                <w:sz w:val="20"/>
                <w:szCs w:val="20"/>
              </w:rPr>
              <w:t>-15.53%</w:t>
            </w:r>
          </w:p>
        </w:tc>
        <w:tc>
          <w:tcPr>
            <w:tcW w:w="1080" w:type="dxa"/>
            <w:tcBorders>
              <w:top w:val="nil"/>
              <w:left w:val="nil"/>
              <w:bottom w:val="nil"/>
              <w:right w:val="single" w:sz="8" w:space="0" w:color="auto"/>
            </w:tcBorders>
            <w:shd w:val="clear" w:color="auto" w:fill="auto"/>
            <w:noWrap/>
            <w:vAlign w:val="center"/>
            <w:hideMark/>
          </w:tcPr>
          <w:p w14:paraId="67CA321E" w14:textId="77777777" w:rsidR="00937A46" w:rsidRPr="00B86865" w:rsidRDefault="00937A46" w:rsidP="00D01F96">
            <w:pPr>
              <w:bidi w:val="0"/>
              <w:spacing w:after="0" w:line="240" w:lineRule="auto"/>
              <w:jc w:val="center"/>
              <w:rPr>
                <w:rFonts w:ascii="Times New Roman" w:eastAsia="Times New Roman" w:hAnsi="Times New Roman" w:cs="Times New Roman"/>
                <w:color w:val="000000"/>
                <w:sz w:val="20"/>
                <w:szCs w:val="20"/>
              </w:rPr>
            </w:pPr>
            <w:r w:rsidRPr="00B86865">
              <w:rPr>
                <w:rFonts w:ascii="Times New Roman" w:eastAsia="Times New Roman" w:hAnsi="Times New Roman" w:cs="Times New Roman"/>
                <w:color w:val="000000"/>
                <w:sz w:val="20"/>
                <w:szCs w:val="20"/>
              </w:rPr>
              <w:t>-3.71</w:t>
            </w:r>
          </w:p>
        </w:tc>
        <w:tc>
          <w:tcPr>
            <w:tcW w:w="1080" w:type="dxa"/>
            <w:tcBorders>
              <w:top w:val="nil"/>
              <w:left w:val="nil"/>
              <w:bottom w:val="nil"/>
              <w:right w:val="single" w:sz="8" w:space="0" w:color="auto"/>
            </w:tcBorders>
            <w:shd w:val="clear" w:color="auto" w:fill="auto"/>
            <w:vAlign w:val="center"/>
            <w:hideMark/>
          </w:tcPr>
          <w:p w14:paraId="52F19CBD" w14:textId="77777777" w:rsidR="00937A46" w:rsidRPr="00B86865" w:rsidRDefault="00937A46" w:rsidP="00D01F96">
            <w:pPr>
              <w:bidi w:val="0"/>
              <w:spacing w:after="0" w:line="240" w:lineRule="auto"/>
              <w:jc w:val="center"/>
              <w:rPr>
                <w:rFonts w:ascii="Times New Roman" w:eastAsia="Times New Roman" w:hAnsi="Times New Roman" w:cs="Times New Roman"/>
                <w:color w:val="000000"/>
                <w:sz w:val="20"/>
                <w:szCs w:val="20"/>
              </w:rPr>
            </w:pPr>
            <w:r w:rsidRPr="00B86865">
              <w:rPr>
                <w:rFonts w:ascii="Times New Roman" w:eastAsia="Times New Roman" w:hAnsi="Times New Roman" w:cs="Times New Roman"/>
                <w:color w:val="000000"/>
                <w:sz w:val="20"/>
                <w:szCs w:val="20"/>
              </w:rPr>
              <w:t>-27.70%</w:t>
            </w:r>
          </w:p>
        </w:tc>
        <w:tc>
          <w:tcPr>
            <w:tcW w:w="1080" w:type="dxa"/>
            <w:tcBorders>
              <w:top w:val="nil"/>
              <w:left w:val="nil"/>
              <w:bottom w:val="nil"/>
              <w:right w:val="single" w:sz="8" w:space="0" w:color="auto"/>
            </w:tcBorders>
            <w:shd w:val="clear" w:color="auto" w:fill="auto"/>
            <w:noWrap/>
            <w:vAlign w:val="center"/>
            <w:hideMark/>
          </w:tcPr>
          <w:p w14:paraId="1A16D175" w14:textId="77777777" w:rsidR="00937A46" w:rsidRPr="00B86865" w:rsidRDefault="00937A46" w:rsidP="00D01F96">
            <w:pPr>
              <w:bidi w:val="0"/>
              <w:spacing w:after="0" w:line="240" w:lineRule="auto"/>
              <w:jc w:val="center"/>
              <w:rPr>
                <w:rFonts w:ascii="Times New Roman" w:eastAsia="Times New Roman" w:hAnsi="Times New Roman" w:cs="Times New Roman"/>
                <w:color w:val="000000"/>
                <w:sz w:val="20"/>
                <w:szCs w:val="20"/>
              </w:rPr>
            </w:pPr>
            <w:r w:rsidRPr="00B86865">
              <w:rPr>
                <w:rFonts w:ascii="Times New Roman" w:eastAsia="Times New Roman" w:hAnsi="Times New Roman" w:cs="Times New Roman"/>
                <w:color w:val="000000"/>
                <w:sz w:val="20"/>
                <w:szCs w:val="20"/>
              </w:rPr>
              <w:t>-5.57</w:t>
            </w:r>
          </w:p>
        </w:tc>
        <w:tc>
          <w:tcPr>
            <w:tcW w:w="1080" w:type="dxa"/>
            <w:tcBorders>
              <w:top w:val="nil"/>
              <w:left w:val="nil"/>
              <w:bottom w:val="nil"/>
              <w:right w:val="single" w:sz="8" w:space="0" w:color="auto"/>
            </w:tcBorders>
            <w:shd w:val="clear" w:color="auto" w:fill="auto"/>
            <w:vAlign w:val="center"/>
            <w:hideMark/>
          </w:tcPr>
          <w:p w14:paraId="786E4453" w14:textId="77777777" w:rsidR="00937A46" w:rsidRPr="00B86865" w:rsidRDefault="00937A46" w:rsidP="00D01F96">
            <w:pPr>
              <w:bidi w:val="0"/>
              <w:spacing w:after="0" w:line="240" w:lineRule="auto"/>
              <w:jc w:val="center"/>
              <w:rPr>
                <w:rFonts w:ascii="Times New Roman" w:eastAsia="Times New Roman" w:hAnsi="Times New Roman" w:cs="Times New Roman"/>
                <w:color w:val="000000"/>
                <w:sz w:val="20"/>
                <w:szCs w:val="20"/>
              </w:rPr>
            </w:pPr>
            <w:r w:rsidRPr="00B86865">
              <w:rPr>
                <w:rFonts w:ascii="Times New Roman" w:eastAsia="Times New Roman" w:hAnsi="Times New Roman" w:cs="Times New Roman"/>
                <w:color w:val="000000"/>
                <w:sz w:val="20"/>
                <w:szCs w:val="20"/>
              </w:rPr>
              <w:t>11.19%</w:t>
            </w:r>
          </w:p>
        </w:tc>
        <w:tc>
          <w:tcPr>
            <w:tcW w:w="1080" w:type="dxa"/>
            <w:tcBorders>
              <w:top w:val="nil"/>
              <w:left w:val="nil"/>
              <w:bottom w:val="nil"/>
              <w:right w:val="single" w:sz="8" w:space="0" w:color="auto"/>
            </w:tcBorders>
            <w:shd w:val="clear" w:color="auto" w:fill="auto"/>
            <w:noWrap/>
            <w:vAlign w:val="center"/>
            <w:hideMark/>
          </w:tcPr>
          <w:p w14:paraId="394027A7" w14:textId="77777777" w:rsidR="00937A46" w:rsidRPr="00B86865" w:rsidRDefault="00937A46" w:rsidP="00D01F96">
            <w:pPr>
              <w:bidi w:val="0"/>
              <w:spacing w:after="0" w:line="240" w:lineRule="auto"/>
              <w:jc w:val="center"/>
              <w:rPr>
                <w:rFonts w:ascii="Times New Roman" w:eastAsia="Times New Roman" w:hAnsi="Times New Roman" w:cs="Times New Roman"/>
                <w:color w:val="000000"/>
                <w:sz w:val="20"/>
                <w:szCs w:val="20"/>
              </w:rPr>
            </w:pPr>
            <w:r w:rsidRPr="00B86865">
              <w:rPr>
                <w:rFonts w:ascii="Times New Roman" w:eastAsia="Times New Roman" w:hAnsi="Times New Roman" w:cs="Times New Roman"/>
                <w:color w:val="000000"/>
                <w:sz w:val="20"/>
                <w:szCs w:val="20"/>
              </w:rPr>
              <w:t>1.81</w:t>
            </w:r>
          </w:p>
        </w:tc>
      </w:tr>
      <w:tr w:rsidR="00937A46" w:rsidRPr="00CE6819" w14:paraId="4FE2EB0A" w14:textId="77777777" w:rsidTr="00EC3C7C">
        <w:trPr>
          <w:trHeight w:val="300"/>
        </w:trPr>
        <w:tc>
          <w:tcPr>
            <w:tcW w:w="1080" w:type="dxa"/>
            <w:tcBorders>
              <w:top w:val="nil"/>
              <w:left w:val="single" w:sz="8" w:space="0" w:color="auto"/>
              <w:bottom w:val="nil"/>
              <w:right w:val="single" w:sz="8" w:space="0" w:color="auto"/>
            </w:tcBorders>
            <w:shd w:val="clear" w:color="auto" w:fill="auto"/>
            <w:vAlign w:val="center"/>
            <w:hideMark/>
          </w:tcPr>
          <w:p w14:paraId="7F0A5A61" w14:textId="77777777" w:rsidR="00937A46" w:rsidRPr="00B86865" w:rsidRDefault="00937A46" w:rsidP="00D01F96">
            <w:pPr>
              <w:bidi w:val="0"/>
              <w:spacing w:after="0" w:line="240" w:lineRule="auto"/>
              <w:jc w:val="center"/>
              <w:rPr>
                <w:rFonts w:ascii="Times New Roman" w:eastAsia="Times New Roman" w:hAnsi="Times New Roman" w:cs="Times New Roman"/>
                <w:color w:val="000000"/>
                <w:sz w:val="20"/>
                <w:szCs w:val="20"/>
              </w:rPr>
            </w:pPr>
            <w:r w:rsidRPr="00B86865">
              <w:rPr>
                <w:rFonts w:ascii="Times New Roman" w:eastAsia="Times New Roman" w:hAnsi="Times New Roman" w:cs="Times New Roman"/>
                <w:color w:val="000000"/>
                <w:sz w:val="20"/>
                <w:szCs w:val="20"/>
              </w:rPr>
              <w:t>1 to 200</w:t>
            </w:r>
          </w:p>
        </w:tc>
        <w:tc>
          <w:tcPr>
            <w:tcW w:w="1080" w:type="dxa"/>
            <w:tcBorders>
              <w:top w:val="nil"/>
              <w:left w:val="nil"/>
              <w:bottom w:val="nil"/>
              <w:right w:val="single" w:sz="8" w:space="0" w:color="auto"/>
            </w:tcBorders>
            <w:shd w:val="clear" w:color="auto" w:fill="auto"/>
            <w:vAlign w:val="center"/>
            <w:hideMark/>
          </w:tcPr>
          <w:p w14:paraId="4B3A3C57" w14:textId="77777777" w:rsidR="00937A46" w:rsidRPr="00B86865" w:rsidRDefault="00937A46" w:rsidP="00D01F96">
            <w:pPr>
              <w:bidi w:val="0"/>
              <w:spacing w:after="0" w:line="240" w:lineRule="auto"/>
              <w:jc w:val="center"/>
              <w:rPr>
                <w:rFonts w:ascii="Times New Roman" w:eastAsia="Times New Roman" w:hAnsi="Times New Roman" w:cs="Times New Roman"/>
                <w:color w:val="000000"/>
                <w:sz w:val="20"/>
                <w:szCs w:val="20"/>
              </w:rPr>
            </w:pPr>
            <w:r w:rsidRPr="00B86865">
              <w:rPr>
                <w:rFonts w:ascii="Times New Roman" w:eastAsia="Times New Roman" w:hAnsi="Times New Roman" w:cs="Times New Roman"/>
                <w:color w:val="000000"/>
                <w:sz w:val="20"/>
                <w:szCs w:val="20"/>
              </w:rPr>
              <w:t>-21.84%</w:t>
            </w:r>
          </w:p>
        </w:tc>
        <w:tc>
          <w:tcPr>
            <w:tcW w:w="1080" w:type="dxa"/>
            <w:tcBorders>
              <w:top w:val="nil"/>
              <w:left w:val="nil"/>
              <w:bottom w:val="nil"/>
              <w:right w:val="single" w:sz="8" w:space="0" w:color="auto"/>
            </w:tcBorders>
            <w:shd w:val="clear" w:color="auto" w:fill="auto"/>
            <w:noWrap/>
            <w:vAlign w:val="center"/>
            <w:hideMark/>
          </w:tcPr>
          <w:p w14:paraId="1429AE40" w14:textId="77777777" w:rsidR="00937A46" w:rsidRPr="00B86865" w:rsidRDefault="00937A46" w:rsidP="00D01F96">
            <w:pPr>
              <w:bidi w:val="0"/>
              <w:spacing w:after="0" w:line="240" w:lineRule="auto"/>
              <w:jc w:val="center"/>
              <w:rPr>
                <w:rFonts w:ascii="Times New Roman" w:eastAsia="Times New Roman" w:hAnsi="Times New Roman" w:cs="Times New Roman"/>
                <w:color w:val="000000"/>
                <w:sz w:val="20"/>
                <w:szCs w:val="20"/>
              </w:rPr>
            </w:pPr>
            <w:r w:rsidRPr="00B86865">
              <w:rPr>
                <w:rFonts w:ascii="Times New Roman" w:eastAsia="Times New Roman" w:hAnsi="Times New Roman" w:cs="Times New Roman"/>
                <w:color w:val="000000"/>
                <w:sz w:val="20"/>
                <w:szCs w:val="20"/>
              </w:rPr>
              <w:t>-4.56</w:t>
            </w:r>
          </w:p>
        </w:tc>
        <w:tc>
          <w:tcPr>
            <w:tcW w:w="1080" w:type="dxa"/>
            <w:tcBorders>
              <w:top w:val="nil"/>
              <w:left w:val="nil"/>
              <w:bottom w:val="nil"/>
              <w:right w:val="nil"/>
            </w:tcBorders>
            <w:shd w:val="clear" w:color="auto" w:fill="auto"/>
            <w:vAlign w:val="center"/>
            <w:hideMark/>
          </w:tcPr>
          <w:p w14:paraId="1E0E7C28" w14:textId="77777777" w:rsidR="00937A46" w:rsidRPr="00B86865" w:rsidRDefault="00937A46" w:rsidP="00D01F96">
            <w:pPr>
              <w:bidi w:val="0"/>
              <w:spacing w:after="0" w:line="240" w:lineRule="auto"/>
              <w:jc w:val="center"/>
              <w:rPr>
                <w:rFonts w:ascii="Times New Roman" w:eastAsia="Times New Roman" w:hAnsi="Times New Roman" w:cs="Times New Roman"/>
                <w:color w:val="000000"/>
                <w:sz w:val="20"/>
                <w:szCs w:val="20"/>
              </w:rPr>
            </w:pPr>
            <w:r w:rsidRPr="00B86865">
              <w:rPr>
                <w:rFonts w:ascii="Times New Roman" w:eastAsia="Times New Roman" w:hAnsi="Times New Roman" w:cs="Times New Roman"/>
                <w:color w:val="000000"/>
                <w:sz w:val="20"/>
                <w:szCs w:val="20"/>
              </w:rPr>
              <w:t>-37.53%</w:t>
            </w:r>
          </w:p>
        </w:tc>
        <w:tc>
          <w:tcPr>
            <w:tcW w:w="1080" w:type="dxa"/>
            <w:tcBorders>
              <w:top w:val="nil"/>
              <w:left w:val="single" w:sz="8" w:space="0" w:color="auto"/>
              <w:bottom w:val="nil"/>
              <w:right w:val="single" w:sz="8" w:space="0" w:color="auto"/>
            </w:tcBorders>
            <w:shd w:val="clear" w:color="auto" w:fill="auto"/>
            <w:noWrap/>
            <w:vAlign w:val="center"/>
            <w:hideMark/>
          </w:tcPr>
          <w:p w14:paraId="2CBDD922" w14:textId="77777777" w:rsidR="00937A46" w:rsidRPr="00B86865" w:rsidRDefault="00937A46" w:rsidP="00D01F96">
            <w:pPr>
              <w:bidi w:val="0"/>
              <w:spacing w:after="0" w:line="240" w:lineRule="auto"/>
              <w:jc w:val="center"/>
              <w:rPr>
                <w:rFonts w:ascii="Times New Roman" w:eastAsia="Times New Roman" w:hAnsi="Times New Roman" w:cs="Times New Roman"/>
                <w:color w:val="000000"/>
                <w:sz w:val="20"/>
                <w:szCs w:val="20"/>
              </w:rPr>
            </w:pPr>
            <w:r w:rsidRPr="00B86865">
              <w:rPr>
                <w:rFonts w:ascii="Times New Roman" w:eastAsia="Times New Roman" w:hAnsi="Times New Roman" w:cs="Times New Roman"/>
                <w:color w:val="000000"/>
                <w:sz w:val="20"/>
                <w:szCs w:val="20"/>
              </w:rPr>
              <w:t>-6.68</w:t>
            </w:r>
          </w:p>
        </w:tc>
        <w:tc>
          <w:tcPr>
            <w:tcW w:w="1080" w:type="dxa"/>
            <w:tcBorders>
              <w:top w:val="nil"/>
              <w:left w:val="nil"/>
              <w:bottom w:val="nil"/>
              <w:right w:val="nil"/>
            </w:tcBorders>
            <w:shd w:val="clear" w:color="auto" w:fill="auto"/>
            <w:vAlign w:val="center"/>
            <w:hideMark/>
          </w:tcPr>
          <w:p w14:paraId="0A3FB596" w14:textId="77777777" w:rsidR="00937A46" w:rsidRPr="00B86865" w:rsidRDefault="00937A46" w:rsidP="00D01F96">
            <w:pPr>
              <w:bidi w:val="0"/>
              <w:spacing w:after="0" w:line="240" w:lineRule="auto"/>
              <w:jc w:val="center"/>
              <w:rPr>
                <w:rFonts w:ascii="Times New Roman" w:eastAsia="Times New Roman" w:hAnsi="Times New Roman" w:cs="Times New Roman"/>
                <w:color w:val="000000"/>
                <w:sz w:val="20"/>
                <w:szCs w:val="20"/>
              </w:rPr>
            </w:pPr>
            <w:r w:rsidRPr="00B86865">
              <w:rPr>
                <w:rFonts w:ascii="Times New Roman" w:eastAsia="Times New Roman" w:hAnsi="Times New Roman" w:cs="Times New Roman"/>
                <w:color w:val="000000"/>
                <w:sz w:val="20"/>
                <w:szCs w:val="20"/>
              </w:rPr>
              <w:t>12.64%</w:t>
            </w:r>
          </w:p>
        </w:tc>
        <w:tc>
          <w:tcPr>
            <w:tcW w:w="1080" w:type="dxa"/>
            <w:tcBorders>
              <w:top w:val="nil"/>
              <w:left w:val="single" w:sz="8" w:space="0" w:color="auto"/>
              <w:bottom w:val="nil"/>
              <w:right w:val="single" w:sz="8" w:space="0" w:color="auto"/>
            </w:tcBorders>
            <w:shd w:val="clear" w:color="auto" w:fill="auto"/>
            <w:noWrap/>
            <w:vAlign w:val="center"/>
            <w:hideMark/>
          </w:tcPr>
          <w:p w14:paraId="4925F2DD" w14:textId="77777777" w:rsidR="00937A46" w:rsidRPr="00B86865" w:rsidRDefault="00937A46" w:rsidP="00D01F96">
            <w:pPr>
              <w:bidi w:val="0"/>
              <w:spacing w:after="0" w:line="240" w:lineRule="auto"/>
              <w:jc w:val="center"/>
              <w:rPr>
                <w:rFonts w:ascii="Times New Roman" w:eastAsia="Times New Roman" w:hAnsi="Times New Roman" w:cs="Times New Roman"/>
                <w:color w:val="000000"/>
                <w:sz w:val="20"/>
                <w:szCs w:val="20"/>
              </w:rPr>
            </w:pPr>
            <w:r w:rsidRPr="00B86865">
              <w:rPr>
                <w:rFonts w:ascii="Times New Roman" w:eastAsia="Times New Roman" w:hAnsi="Times New Roman" w:cs="Times New Roman"/>
                <w:color w:val="000000"/>
                <w:sz w:val="20"/>
                <w:szCs w:val="20"/>
              </w:rPr>
              <w:t>1.74</w:t>
            </w:r>
          </w:p>
        </w:tc>
      </w:tr>
      <w:tr w:rsidR="00937A46" w:rsidRPr="00CE6819" w14:paraId="6AD4CC7E" w14:textId="77777777" w:rsidTr="00EC3C7C">
        <w:trPr>
          <w:trHeight w:val="300"/>
        </w:trPr>
        <w:tc>
          <w:tcPr>
            <w:tcW w:w="1080" w:type="dxa"/>
            <w:tcBorders>
              <w:top w:val="nil"/>
              <w:left w:val="single" w:sz="8" w:space="0" w:color="auto"/>
              <w:bottom w:val="nil"/>
              <w:right w:val="single" w:sz="8" w:space="0" w:color="auto"/>
            </w:tcBorders>
            <w:shd w:val="clear" w:color="auto" w:fill="auto"/>
            <w:vAlign w:val="center"/>
            <w:hideMark/>
          </w:tcPr>
          <w:p w14:paraId="4F5FC7E8" w14:textId="77777777" w:rsidR="00937A46" w:rsidRPr="00B86865" w:rsidRDefault="00937A46" w:rsidP="00D01F96">
            <w:pPr>
              <w:bidi w:val="0"/>
              <w:spacing w:after="0" w:line="240" w:lineRule="auto"/>
              <w:jc w:val="center"/>
              <w:rPr>
                <w:rFonts w:ascii="Times New Roman" w:eastAsia="Times New Roman" w:hAnsi="Times New Roman" w:cs="Times New Roman"/>
                <w:color w:val="000000"/>
                <w:sz w:val="20"/>
                <w:szCs w:val="20"/>
              </w:rPr>
            </w:pPr>
            <w:r w:rsidRPr="00B86865">
              <w:rPr>
                <w:rFonts w:ascii="Times New Roman" w:eastAsia="Times New Roman" w:hAnsi="Times New Roman" w:cs="Times New Roman"/>
                <w:color w:val="000000"/>
                <w:sz w:val="20"/>
                <w:szCs w:val="20"/>
              </w:rPr>
              <w:t>1 to 250</w:t>
            </w:r>
          </w:p>
        </w:tc>
        <w:tc>
          <w:tcPr>
            <w:tcW w:w="1080" w:type="dxa"/>
            <w:tcBorders>
              <w:top w:val="nil"/>
              <w:left w:val="nil"/>
              <w:bottom w:val="nil"/>
              <w:right w:val="single" w:sz="8" w:space="0" w:color="auto"/>
            </w:tcBorders>
            <w:shd w:val="clear" w:color="auto" w:fill="auto"/>
            <w:vAlign w:val="center"/>
            <w:hideMark/>
          </w:tcPr>
          <w:p w14:paraId="2884F0FD" w14:textId="77777777" w:rsidR="00937A46" w:rsidRPr="00B86865" w:rsidRDefault="00937A46" w:rsidP="00D01F96">
            <w:pPr>
              <w:bidi w:val="0"/>
              <w:spacing w:after="0" w:line="240" w:lineRule="auto"/>
              <w:jc w:val="center"/>
              <w:rPr>
                <w:rFonts w:ascii="Times New Roman" w:eastAsia="Times New Roman" w:hAnsi="Times New Roman" w:cs="Times New Roman"/>
                <w:color w:val="000000"/>
                <w:sz w:val="20"/>
                <w:szCs w:val="20"/>
              </w:rPr>
            </w:pPr>
            <w:r w:rsidRPr="00B86865">
              <w:rPr>
                <w:rFonts w:ascii="Times New Roman" w:eastAsia="Times New Roman" w:hAnsi="Times New Roman" w:cs="Times New Roman"/>
                <w:color w:val="000000"/>
                <w:sz w:val="20"/>
                <w:szCs w:val="20"/>
              </w:rPr>
              <w:t>-25.80%</w:t>
            </w:r>
          </w:p>
        </w:tc>
        <w:tc>
          <w:tcPr>
            <w:tcW w:w="1080" w:type="dxa"/>
            <w:tcBorders>
              <w:top w:val="nil"/>
              <w:left w:val="nil"/>
              <w:bottom w:val="nil"/>
              <w:right w:val="single" w:sz="8" w:space="0" w:color="auto"/>
            </w:tcBorders>
            <w:shd w:val="clear" w:color="auto" w:fill="auto"/>
            <w:noWrap/>
            <w:vAlign w:val="center"/>
            <w:hideMark/>
          </w:tcPr>
          <w:p w14:paraId="0F1DEE5C" w14:textId="77777777" w:rsidR="00937A46" w:rsidRPr="00B86865" w:rsidRDefault="00937A46" w:rsidP="00D01F96">
            <w:pPr>
              <w:bidi w:val="0"/>
              <w:spacing w:after="0" w:line="240" w:lineRule="auto"/>
              <w:jc w:val="center"/>
              <w:rPr>
                <w:rFonts w:ascii="Times New Roman" w:eastAsia="Times New Roman" w:hAnsi="Times New Roman" w:cs="Times New Roman"/>
                <w:color w:val="000000"/>
                <w:sz w:val="20"/>
                <w:szCs w:val="20"/>
              </w:rPr>
            </w:pPr>
            <w:r w:rsidRPr="00B86865">
              <w:rPr>
                <w:rFonts w:ascii="Times New Roman" w:eastAsia="Times New Roman" w:hAnsi="Times New Roman" w:cs="Times New Roman"/>
                <w:color w:val="000000"/>
                <w:sz w:val="20"/>
                <w:szCs w:val="20"/>
              </w:rPr>
              <w:t>-5.05</w:t>
            </w:r>
          </w:p>
        </w:tc>
        <w:tc>
          <w:tcPr>
            <w:tcW w:w="1080" w:type="dxa"/>
            <w:tcBorders>
              <w:top w:val="nil"/>
              <w:left w:val="nil"/>
              <w:bottom w:val="nil"/>
              <w:right w:val="nil"/>
            </w:tcBorders>
            <w:shd w:val="clear" w:color="auto" w:fill="auto"/>
            <w:vAlign w:val="center"/>
            <w:hideMark/>
          </w:tcPr>
          <w:p w14:paraId="0A4DE7BD" w14:textId="77777777" w:rsidR="00937A46" w:rsidRPr="00B86865" w:rsidRDefault="00937A46" w:rsidP="00D01F96">
            <w:pPr>
              <w:bidi w:val="0"/>
              <w:spacing w:after="0" w:line="240" w:lineRule="auto"/>
              <w:jc w:val="center"/>
              <w:rPr>
                <w:rFonts w:ascii="Times New Roman" w:eastAsia="Times New Roman" w:hAnsi="Times New Roman" w:cs="Times New Roman"/>
                <w:color w:val="000000"/>
                <w:sz w:val="20"/>
                <w:szCs w:val="20"/>
              </w:rPr>
            </w:pPr>
            <w:r w:rsidRPr="00B86865">
              <w:rPr>
                <w:rFonts w:ascii="Times New Roman" w:eastAsia="Times New Roman" w:hAnsi="Times New Roman" w:cs="Times New Roman"/>
                <w:color w:val="000000"/>
                <w:sz w:val="20"/>
                <w:szCs w:val="20"/>
              </w:rPr>
              <w:t>-40.88%</w:t>
            </w:r>
          </w:p>
        </w:tc>
        <w:tc>
          <w:tcPr>
            <w:tcW w:w="1080" w:type="dxa"/>
            <w:tcBorders>
              <w:top w:val="nil"/>
              <w:left w:val="single" w:sz="8" w:space="0" w:color="auto"/>
              <w:bottom w:val="nil"/>
              <w:right w:val="single" w:sz="8" w:space="0" w:color="auto"/>
            </w:tcBorders>
            <w:shd w:val="clear" w:color="auto" w:fill="auto"/>
            <w:noWrap/>
            <w:vAlign w:val="center"/>
            <w:hideMark/>
          </w:tcPr>
          <w:p w14:paraId="69BFE67E" w14:textId="77777777" w:rsidR="00937A46" w:rsidRPr="00B86865" w:rsidRDefault="00937A46" w:rsidP="00D01F96">
            <w:pPr>
              <w:bidi w:val="0"/>
              <w:spacing w:after="0" w:line="240" w:lineRule="auto"/>
              <w:jc w:val="center"/>
              <w:rPr>
                <w:rFonts w:ascii="Times New Roman" w:eastAsia="Times New Roman" w:hAnsi="Times New Roman" w:cs="Times New Roman"/>
                <w:color w:val="000000"/>
                <w:sz w:val="20"/>
                <w:szCs w:val="20"/>
              </w:rPr>
            </w:pPr>
            <w:r w:rsidRPr="00B86865">
              <w:rPr>
                <w:rFonts w:ascii="Times New Roman" w:eastAsia="Times New Roman" w:hAnsi="Times New Roman" w:cs="Times New Roman"/>
                <w:color w:val="000000"/>
                <w:sz w:val="20"/>
                <w:szCs w:val="20"/>
              </w:rPr>
              <w:t>-6.64</w:t>
            </w:r>
          </w:p>
        </w:tc>
        <w:tc>
          <w:tcPr>
            <w:tcW w:w="1080" w:type="dxa"/>
            <w:tcBorders>
              <w:top w:val="nil"/>
              <w:left w:val="nil"/>
              <w:bottom w:val="nil"/>
              <w:right w:val="nil"/>
            </w:tcBorders>
            <w:shd w:val="clear" w:color="auto" w:fill="auto"/>
            <w:vAlign w:val="center"/>
            <w:hideMark/>
          </w:tcPr>
          <w:p w14:paraId="01FA6FC1" w14:textId="77777777" w:rsidR="00937A46" w:rsidRPr="00B86865" w:rsidRDefault="00937A46" w:rsidP="00D01F96">
            <w:pPr>
              <w:bidi w:val="0"/>
              <w:spacing w:after="0" w:line="240" w:lineRule="auto"/>
              <w:jc w:val="center"/>
              <w:rPr>
                <w:rFonts w:ascii="Times New Roman" w:eastAsia="Times New Roman" w:hAnsi="Times New Roman" w:cs="Times New Roman"/>
                <w:color w:val="000000"/>
                <w:sz w:val="20"/>
                <w:szCs w:val="20"/>
              </w:rPr>
            </w:pPr>
            <w:r w:rsidRPr="00B86865">
              <w:rPr>
                <w:rFonts w:ascii="Times New Roman" w:eastAsia="Times New Roman" w:hAnsi="Times New Roman" w:cs="Times New Roman"/>
                <w:color w:val="000000"/>
                <w:sz w:val="20"/>
                <w:szCs w:val="20"/>
              </w:rPr>
              <w:t>7.34%</w:t>
            </w:r>
          </w:p>
        </w:tc>
        <w:tc>
          <w:tcPr>
            <w:tcW w:w="1080" w:type="dxa"/>
            <w:tcBorders>
              <w:top w:val="nil"/>
              <w:left w:val="single" w:sz="8" w:space="0" w:color="auto"/>
              <w:bottom w:val="nil"/>
              <w:right w:val="single" w:sz="8" w:space="0" w:color="auto"/>
            </w:tcBorders>
            <w:shd w:val="clear" w:color="auto" w:fill="auto"/>
            <w:noWrap/>
            <w:vAlign w:val="center"/>
            <w:hideMark/>
          </w:tcPr>
          <w:p w14:paraId="7F9DFBE0" w14:textId="77777777" w:rsidR="00937A46" w:rsidRPr="00B86865" w:rsidRDefault="00937A46" w:rsidP="00D01F96">
            <w:pPr>
              <w:bidi w:val="0"/>
              <w:spacing w:after="0" w:line="240" w:lineRule="auto"/>
              <w:jc w:val="center"/>
              <w:rPr>
                <w:rFonts w:ascii="Times New Roman" w:eastAsia="Times New Roman" w:hAnsi="Times New Roman" w:cs="Times New Roman"/>
                <w:color w:val="000000"/>
                <w:sz w:val="20"/>
                <w:szCs w:val="20"/>
              </w:rPr>
            </w:pPr>
            <w:r w:rsidRPr="00B86865">
              <w:rPr>
                <w:rFonts w:ascii="Times New Roman" w:eastAsia="Times New Roman" w:hAnsi="Times New Roman" w:cs="Times New Roman"/>
                <w:color w:val="000000"/>
                <w:sz w:val="20"/>
                <w:szCs w:val="20"/>
              </w:rPr>
              <w:t>0.92</w:t>
            </w:r>
          </w:p>
        </w:tc>
      </w:tr>
      <w:tr w:rsidR="00937A46" w:rsidRPr="00CE6819" w14:paraId="6192BF19" w14:textId="77777777" w:rsidTr="00EC3C7C">
        <w:trPr>
          <w:trHeight w:val="315"/>
        </w:trPr>
        <w:tc>
          <w:tcPr>
            <w:tcW w:w="1080" w:type="dxa"/>
            <w:tcBorders>
              <w:top w:val="nil"/>
              <w:left w:val="single" w:sz="8" w:space="0" w:color="auto"/>
              <w:bottom w:val="single" w:sz="8" w:space="0" w:color="auto"/>
              <w:right w:val="single" w:sz="8" w:space="0" w:color="auto"/>
            </w:tcBorders>
            <w:shd w:val="clear" w:color="auto" w:fill="auto"/>
            <w:vAlign w:val="center"/>
            <w:hideMark/>
          </w:tcPr>
          <w:p w14:paraId="00B5E1F5" w14:textId="77777777" w:rsidR="00937A46" w:rsidRPr="00B86865" w:rsidRDefault="00937A46" w:rsidP="00D01F96">
            <w:pPr>
              <w:bidi w:val="0"/>
              <w:spacing w:after="0" w:line="240" w:lineRule="auto"/>
              <w:jc w:val="center"/>
              <w:rPr>
                <w:rFonts w:ascii="Times New Roman" w:eastAsia="Times New Roman" w:hAnsi="Times New Roman" w:cs="Times New Roman"/>
                <w:color w:val="000000"/>
                <w:sz w:val="20"/>
                <w:szCs w:val="20"/>
              </w:rPr>
            </w:pPr>
            <w:r w:rsidRPr="00B86865">
              <w:rPr>
                <w:rFonts w:ascii="Times New Roman" w:eastAsia="Times New Roman" w:hAnsi="Times New Roman" w:cs="Times New Roman"/>
                <w:color w:val="000000"/>
                <w:sz w:val="20"/>
                <w:szCs w:val="20"/>
              </w:rPr>
              <w:t>1 to 375</w:t>
            </w:r>
          </w:p>
        </w:tc>
        <w:tc>
          <w:tcPr>
            <w:tcW w:w="1080" w:type="dxa"/>
            <w:tcBorders>
              <w:top w:val="nil"/>
              <w:left w:val="nil"/>
              <w:bottom w:val="single" w:sz="8" w:space="0" w:color="auto"/>
              <w:right w:val="nil"/>
            </w:tcBorders>
            <w:shd w:val="clear" w:color="auto" w:fill="auto"/>
            <w:noWrap/>
            <w:vAlign w:val="center"/>
            <w:hideMark/>
          </w:tcPr>
          <w:p w14:paraId="5CAA21EF" w14:textId="77777777" w:rsidR="00937A46" w:rsidRPr="00B86865" w:rsidRDefault="00937A46" w:rsidP="00D01F96">
            <w:pPr>
              <w:bidi w:val="0"/>
              <w:spacing w:after="0" w:line="240" w:lineRule="auto"/>
              <w:jc w:val="center"/>
              <w:rPr>
                <w:rFonts w:ascii="Times New Roman" w:eastAsia="Times New Roman" w:hAnsi="Times New Roman" w:cs="Times New Roman"/>
                <w:color w:val="000000"/>
                <w:sz w:val="20"/>
                <w:szCs w:val="20"/>
              </w:rPr>
            </w:pPr>
            <w:r w:rsidRPr="00B86865">
              <w:rPr>
                <w:rFonts w:ascii="Times New Roman" w:eastAsia="Times New Roman" w:hAnsi="Times New Roman" w:cs="Times New Roman"/>
                <w:color w:val="000000"/>
                <w:sz w:val="20"/>
                <w:szCs w:val="20"/>
              </w:rPr>
              <w:t>-43.94%</w:t>
            </w:r>
          </w:p>
        </w:tc>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05E4B4EE" w14:textId="77777777" w:rsidR="00937A46" w:rsidRPr="00B86865" w:rsidRDefault="00937A46" w:rsidP="00D01F96">
            <w:pPr>
              <w:bidi w:val="0"/>
              <w:spacing w:after="0" w:line="240" w:lineRule="auto"/>
              <w:jc w:val="center"/>
              <w:rPr>
                <w:rFonts w:ascii="Times New Roman" w:eastAsia="Times New Roman" w:hAnsi="Times New Roman" w:cs="Times New Roman"/>
                <w:color w:val="000000"/>
                <w:sz w:val="20"/>
                <w:szCs w:val="20"/>
              </w:rPr>
            </w:pPr>
            <w:r w:rsidRPr="00B86865">
              <w:rPr>
                <w:rFonts w:ascii="Times New Roman" w:eastAsia="Times New Roman" w:hAnsi="Times New Roman" w:cs="Times New Roman"/>
                <w:color w:val="000000"/>
                <w:sz w:val="20"/>
                <w:szCs w:val="20"/>
              </w:rPr>
              <w:t>-6.91</w:t>
            </w:r>
          </w:p>
        </w:tc>
        <w:tc>
          <w:tcPr>
            <w:tcW w:w="1080" w:type="dxa"/>
            <w:tcBorders>
              <w:top w:val="nil"/>
              <w:left w:val="nil"/>
              <w:bottom w:val="single" w:sz="8" w:space="0" w:color="auto"/>
              <w:right w:val="nil"/>
            </w:tcBorders>
            <w:shd w:val="clear" w:color="auto" w:fill="auto"/>
            <w:noWrap/>
            <w:vAlign w:val="center"/>
            <w:hideMark/>
          </w:tcPr>
          <w:p w14:paraId="31FDCB01" w14:textId="77777777" w:rsidR="00937A46" w:rsidRPr="00B86865" w:rsidRDefault="00937A46" w:rsidP="00D01F96">
            <w:pPr>
              <w:bidi w:val="0"/>
              <w:spacing w:after="0" w:line="240" w:lineRule="auto"/>
              <w:jc w:val="center"/>
              <w:rPr>
                <w:rFonts w:ascii="Times New Roman" w:eastAsia="Times New Roman" w:hAnsi="Times New Roman" w:cs="Times New Roman"/>
                <w:color w:val="000000"/>
                <w:sz w:val="20"/>
                <w:szCs w:val="20"/>
              </w:rPr>
            </w:pPr>
            <w:r w:rsidRPr="00B86865">
              <w:rPr>
                <w:rFonts w:ascii="Times New Roman" w:eastAsia="Times New Roman" w:hAnsi="Times New Roman" w:cs="Times New Roman"/>
                <w:color w:val="000000"/>
                <w:sz w:val="20"/>
                <w:szCs w:val="20"/>
              </w:rPr>
              <w:t>-62.26%</w:t>
            </w:r>
          </w:p>
        </w:tc>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7061B635" w14:textId="77777777" w:rsidR="00937A46" w:rsidRPr="00B86865" w:rsidRDefault="00937A46" w:rsidP="00D01F96">
            <w:pPr>
              <w:bidi w:val="0"/>
              <w:spacing w:after="0" w:line="240" w:lineRule="auto"/>
              <w:jc w:val="center"/>
              <w:rPr>
                <w:rFonts w:ascii="Times New Roman" w:eastAsia="Times New Roman" w:hAnsi="Times New Roman" w:cs="Times New Roman"/>
                <w:color w:val="000000"/>
                <w:sz w:val="20"/>
                <w:szCs w:val="20"/>
              </w:rPr>
            </w:pPr>
            <w:r w:rsidRPr="00B86865">
              <w:rPr>
                <w:rFonts w:ascii="Times New Roman" w:eastAsia="Times New Roman" w:hAnsi="Times New Roman" w:cs="Times New Roman"/>
                <w:color w:val="000000"/>
                <w:sz w:val="20"/>
                <w:szCs w:val="20"/>
              </w:rPr>
              <w:t>-7.98</w:t>
            </w:r>
          </w:p>
        </w:tc>
        <w:tc>
          <w:tcPr>
            <w:tcW w:w="1080" w:type="dxa"/>
            <w:tcBorders>
              <w:top w:val="nil"/>
              <w:left w:val="nil"/>
              <w:bottom w:val="single" w:sz="8" w:space="0" w:color="auto"/>
              <w:right w:val="nil"/>
            </w:tcBorders>
            <w:shd w:val="clear" w:color="auto" w:fill="auto"/>
            <w:noWrap/>
            <w:vAlign w:val="center"/>
            <w:hideMark/>
          </w:tcPr>
          <w:p w14:paraId="6F980F14" w14:textId="77777777" w:rsidR="00937A46" w:rsidRPr="00B86865" w:rsidRDefault="00937A46" w:rsidP="00D01F96">
            <w:pPr>
              <w:bidi w:val="0"/>
              <w:spacing w:after="0" w:line="240" w:lineRule="auto"/>
              <w:jc w:val="center"/>
              <w:rPr>
                <w:rFonts w:ascii="Times New Roman" w:eastAsia="Times New Roman" w:hAnsi="Times New Roman" w:cs="Times New Roman"/>
                <w:color w:val="000000"/>
                <w:sz w:val="20"/>
                <w:szCs w:val="20"/>
              </w:rPr>
            </w:pPr>
            <w:r w:rsidRPr="00B86865">
              <w:rPr>
                <w:rFonts w:ascii="Times New Roman" w:eastAsia="Times New Roman" w:hAnsi="Times New Roman" w:cs="Times New Roman"/>
                <w:color w:val="000000"/>
                <w:sz w:val="20"/>
                <w:szCs w:val="20"/>
              </w:rPr>
              <w:t>-3.49%</w:t>
            </w:r>
          </w:p>
        </w:tc>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37876DF9" w14:textId="77777777" w:rsidR="00937A46" w:rsidRPr="00B86865" w:rsidRDefault="00937A46" w:rsidP="00D01F96">
            <w:pPr>
              <w:bidi w:val="0"/>
              <w:spacing w:after="0" w:line="240" w:lineRule="auto"/>
              <w:jc w:val="center"/>
              <w:rPr>
                <w:rFonts w:ascii="Times New Roman" w:eastAsia="Times New Roman" w:hAnsi="Times New Roman" w:cs="Times New Roman"/>
                <w:color w:val="000000"/>
                <w:sz w:val="20"/>
                <w:szCs w:val="20"/>
              </w:rPr>
            </w:pPr>
            <w:r w:rsidRPr="00B86865">
              <w:rPr>
                <w:rFonts w:ascii="Times New Roman" w:eastAsia="Times New Roman" w:hAnsi="Times New Roman" w:cs="Times New Roman"/>
                <w:color w:val="000000"/>
                <w:sz w:val="20"/>
                <w:szCs w:val="20"/>
              </w:rPr>
              <w:t>-0.36</w:t>
            </w:r>
          </w:p>
        </w:tc>
      </w:tr>
    </w:tbl>
    <w:p w14:paraId="7D13DD5D" w14:textId="671B10AA" w:rsidR="006642A7" w:rsidRPr="00CE6819" w:rsidRDefault="006642A7" w:rsidP="00D01F96">
      <w:pPr>
        <w:autoSpaceDE w:val="0"/>
        <w:autoSpaceDN w:val="0"/>
        <w:adjustRightInd w:val="0"/>
        <w:spacing w:line="360" w:lineRule="auto"/>
        <w:jc w:val="both"/>
        <w:rPr>
          <w:sz w:val="24"/>
          <w:szCs w:val="24"/>
        </w:rPr>
      </w:pPr>
    </w:p>
    <w:p w14:paraId="60FB843D" w14:textId="4A24DE9A" w:rsidR="00937A46" w:rsidRPr="00CE6819" w:rsidRDefault="00937A46" w:rsidP="00D01F96">
      <w:pPr>
        <w:spacing w:line="360" w:lineRule="auto"/>
        <w:jc w:val="right"/>
        <w:rPr>
          <w:rFonts w:asciiTheme="minorBidi" w:hAnsiTheme="minorBidi"/>
          <w:sz w:val="24"/>
          <w:szCs w:val="24"/>
        </w:rPr>
      </w:pPr>
      <w:r w:rsidRPr="00CE6819">
        <w:rPr>
          <w:rFonts w:asciiTheme="minorBidi" w:hAnsiTheme="minorBidi" w:hint="cs"/>
          <w:sz w:val="24"/>
          <w:szCs w:val="24"/>
        </w:rPr>
        <w:lastRenderedPageBreak/>
        <w:t>P</w:t>
      </w:r>
      <w:r w:rsidRPr="00CE6819">
        <w:rPr>
          <w:rFonts w:asciiTheme="minorBidi" w:hAnsiTheme="minorBidi"/>
          <w:sz w:val="24"/>
          <w:szCs w:val="24"/>
        </w:rPr>
        <w:t xml:space="preserve">anel B: CAAR Graphic display </w:t>
      </w:r>
    </w:p>
    <w:p w14:paraId="037C949D" w14:textId="70E030EC" w:rsidR="00455F2C" w:rsidRPr="00CE6819" w:rsidRDefault="00455F2C" w:rsidP="00D01F96">
      <w:pPr>
        <w:spacing w:line="360" w:lineRule="auto"/>
        <w:jc w:val="right"/>
        <w:rPr>
          <w:rFonts w:asciiTheme="minorBidi" w:hAnsiTheme="minorBidi"/>
          <w:sz w:val="24"/>
          <w:szCs w:val="24"/>
          <w:rtl/>
        </w:rPr>
      </w:pPr>
      <w:r w:rsidRPr="00CE6819">
        <w:rPr>
          <w:rFonts w:hint="cs"/>
          <w:noProof/>
          <w:sz w:val="24"/>
          <w:szCs w:val="24"/>
          <w:rtl/>
        </w:rPr>
        <w:drawing>
          <wp:inline distT="0" distB="0" distL="0" distR="0" wp14:anchorId="6DD603B9" wp14:editId="56F6A447">
            <wp:extent cx="5274310" cy="152400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1524000"/>
                    </a:xfrm>
                    <a:prstGeom prst="rect">
                      <a:avLst/>
                    </a:prstGeom>
                    <a:noFill/>
                    <a:ln>
                      <a:noFill/>
                    </a:ln>
                  </pic:spPr>
                </pic:pic>
              </a:graphicData>
            </a:graphic>
          </wp:inline>
        </w:drawing>
      </w:r>
    </w:p>
    <w:p w14:paraId="4A0584F7" w14:textId="4DD3BA35" w:rsidR="00455F2C" w:rsidRDefault="0030345C" w:rsidP="00D01F96">
      <w:pPr>
        <w:spacing w:line="360" w:lineRule="auto"/>
        <w:jc w:val="right"/>
        <w:rPr>
          <w:rFonts w:asciiTheme="minorBidi" w:hAnsiTheme="minorBidi"/>
          <w:sz w:val="24"/>
          <w:szCs w:val="24"/>
        </w:rPr>
      </w:pPr>
      <w:r w:rsidRPr="00CE6819">
        <w:rPr>
          <w:rFonts w:asciiTheme="minorBidi" w:hAnsiTheme="minorBidi" w:hint="cs"/>
          <w:sz w:val="24"/>
          <w:szCs w:val="24"/>
        </w:rPr>
        <w:t>P</w:t>
      </w:r>
      <w:r w:rsidRPr="00CE6819">
        <w:rPr>
          <w:rFonts w:asciiTheme="minorBidi" w:hAnsiTheme="minorBidi"/>
          <w:sz w:val="24"/>
          <w:szCs w:val="24"/>
        </w:rPr>
        <w:t>anel C</w:t>
      </w:r>
    </w:p>
    <w:p w14:paraId="117CC531" w14:textId="381F1A98" w:rsidR="00455F2C" w:rsidRPr="00CE6819" w:rsidRDefault="0030345C" w:rsidP="00D01F96">
      <w:pPr>
        <w:spacing w:line="360" w:lineRule="auto"/>
        <w:jc w:val="right"/>
        <w:rPr>
          <w:rFonts w:asciiTheme="minorBidi" w:hAnsiTheme="minorBidi"/>
          <w:sz w:val="24"/>
          <w:szCs w:val="24"/>
          <w:rtl/>
        </w:rPr>
      </w:pPr>
      <w:r w:rsidRPr="00CE6819">
        <w:rPr>
          <w:rFonts w:asciiTheme="minorBidi" w:hAnsiTheme="minorBidi"/>
          <w:noProof/>
          <w:sz w:val="24"/>
          <w:szCs w:val="24"/>
        </w:rPr>
        <w:drawing>
          <wp:inline distT="0" distB="0" distL="0" distR="0" wp14:anchorId="64761D50" wp14:editId="3105FD50">
            <wp:extent cx="4645660" cy="2405482"/>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57345" cy="2411532"/>
                    </a:xfrm>
                    <a:prstGeom prst="rect">
                      <a:avLst/>
                    </a:prstGeom>
                    <a:noFill/>
                  </pic:spPr>
                </pic:pic>
              </a:graphicData>
            </a:graphic>
          </wp:inline>
        </w:drawing>
      </w:r>
    </w:p>
    <w:p w14:paraId="4890858C" w14:textId="5264501A" w:rsidR="00937A46" w:rsidRPr="00CE6819" w:rsidRDefault="00937A46" w:rsidP="00D01F96">
      <w:pPr>
        <w:jc w:val="right"/>
        <w:rPr>
          <w:sz w:val="24"/>
          <w:szCs w:val="24"/>
        </w:rPr>
      </w:pPr>
      <w:r w:rsidRPr="00CE6819">
        <w:rPr>
          <w:sz w:val="24"/>
          <w:szCs w:val="24"/>
        </w:rPr>
        <w:t xml:space="preserve">Note: Table </w:t>
      </w:r>
      <w:r w:rsidR="006652CE">
        <w:rPr>
          <w:sz w:val="24"/>
          <w:szCs w:val="24"/>
        </w:rPr>
        <w:t xml:space="preserve">3 </w:t>
      </w:r>
      <w:r w:rsidRPr="00CE6819">
        <w:rPr>
          <w:sz w:val="24"/>
          <w:szCs w:val="24"/>
        </w:rPr>
        <w:t xml:space="preserve">presents CAAR </w:t>
      </w:r>
      <w:r w:rsidR="006652CE">
        <w:rPr>
          <w:sz w:val="24"/>
          <w:szCs w:val="24"/>
        </w:rPr>
        <w:t xml:space="preserve">and trading volume </w:t>
      </w:r>
      <w:r w:rsidRPr="00CE6819">
        <w:rPr>
          <w:sz w:val="24"/>
          <w:szCs w:val="24"/>
        </w:rPr>
        <w:t>results for selected</w:t>
      </w:r>
      <w:r w:rsidR="006652CE">
        <w:rPr>
          <w:sz w:val="24"/>
          <w:szCs w:val="24"/>
        </w:rPr>
        <w:t xml:space="preserve"> time</w:t>
      </w:r>
      <w:r w:rsidRPr="00CE6819">
        <w:rPr>
          <w:sz w:val="24"/>
          <w:szCs w:val="24"/>
        </w:rPr>
        <w:t xml:space="preserve"> periods after the IPO</w:t>
      </w:r>
      <w:r w:rsidR="006652CE">
        <w:rPr>
          <w:sz w:val="24"/>
          <w:szCs w:val="24"/>
        </w:rPr>
        <w:t>.</w:t>
      </w:r>
      <w:r w:rsidRPr="00CE6819">
        <w:rPr>
          <w:sz w:val="24"/>
          <w:szCs w:val="24"/>
        </w:rPr>
        <w:t xml:space="preserve"> The </w:t>
      </w:r>
      <w:r w:rsidR="006652CE">
        <w:rPr>
          <w:sz w:val="24"/>
          <w:szCs w:val="24"/>
        </w:rPr>
        <w:t>e</w:t>
      </w:r>
      <w:r w:rsidRPr="00CE6819">
        <w:rPr>
          <w:sz w:val="24"/>
          <w:szCs w:val="24"/>
        </w:rPr>
        <w:t xml:space="preserve">ntire sample contains 310 firms. The sub sample of </w:t>
      </w:r>
      <w:r w:rsidR="006652CE">
        <w:rPr>
          <w:sz w:val="24"/>
          <w:szCs w:val="24"/>
        </w:rPr>
        <w:t xml:space="preserve">small </w:t>
      </w:r>
      <w:r w:rsidRPr="00CE6819">
        <w:rPr>
          <w:sz w:val="24"/>
          <w:szCs w:val="24"/>
        </w:rPr>
        <w:t>firms with MV&lt;$500</w:t>
      </w:r>
      <w:r w:rsidR="006652CE">
        <w:rPr>
          <w:sz w:val="24"/>
          <w:szCs w:val="24"/>
        </w:rPr>
        <w:t xml:space="preserve"> million</w:t>
      </w:r>
      <w:r w:rsidRPr="00CE6819">
        <w:rPr>
          <w:sz w:val="24"/>
          <w:szCs w:val="24"/>
        </w:rPr>
        <w:t xml:space="preserve"> contain 213 firms (69%) and the sub sample of</w:t>
      </w:r>
      <w:r w:rsidR="006652CE">
        <w:rPr>
          <w:sz w:val="24"/>
          <w:szCs w:val="24"/>
        </w:rPr>
        <w:t xml:space="preserve"> large </w:t>
      </w:r>
      <w:r w:rsidRPr="00CE6819">
        <w:rPr>
          <w:sz w:val="24"/>
          <w:szCs w:val="24"/>
        </w:rPr>
        <w:t>firms with MV&gt;$500</w:t>
      </w:r>
      <w:r w:rsidR="006652CE">
        <w:rPr>
          <w:sz w:val="24"/>
          <w:szCs w:val="24"/>
        </w:rPr>
        <w:t xml:space="preserve"> million</w:t>
      </w:r>
      <w:r w:rsidRPr="00CE6819">
        <w:rPr>
          <w:sz w:val="24"/>
          <w:szCs w:val="24"/>
        </w:rPr>
        <w:t xml:space="preserve"> contains 97 firms (31%). </w:t>
      </w:r>
    </w:p>
    <w:p w14:paraId="4DF9A3B3" w14:textId="77777777" w:rsidR="003026A0" w:rsidRDefault="003026A0" w:rsidP="00D01F96">
      <w:pPr>
        <w:autoSpaceDE w:val="0"/>
        <w:autoSpaceDN w:val="0"/>
        <w:bidi w:val="0"/>
        <w:adjustRightInd w:val="0"/>
        <w:spacing w:after="240" w:line="360" w:lineRule="auto"/>
        <w:jc w:val="both"/>
        <w:rPr>
          <w:sz w:val="24"/>
          <w:szCs w:val="24"/>
        </w:rPr>
      </w:pPr>
    </w:p>
    <w:p w14:paraId="7E20310B" w14:textId="02F864FA" w:rsidR="006642A7" w:rsidRPr="00CE6819" w:rsidRDefault="006642A7" w:rsidP="003026A0">
      <w:pPr>
        <w:autoSpaceDE w:val="0"/>
        <w:autoSpaceDN w:val="0"/>
        <w:bidi w:val="0"/>
        <w:adjustRightInd w:val="0"/>
        <w:spacing w:after="240" w:line="360" w:lineRule="auto"/>
        <w:jc w:val="both"/>
        <w:rPr>
          <w:sz w:val="24"/>
          <w:szCs w:val="24"/>
          <w:rtl/>
        </w:rPr>
      </w:pPr>
      <w:r w:rsidRPr="00CE6819">
        <w:rPr>
          <w:sz w:val="24"/>
          <w:szCs w:val="24"/>
        </w:rPr>
        <w:t>As shown</w:t>
      </w:r>
      <w:r w:rsidRPr="00CE6819">
        <w:rPr>
          <w:rFonts w:hint="cs"/>
          <w:sz w:val="24"/>
          <w:szCs w:val="24"/>
          <w:rtl/>
        </w:rPr>
        <w:t xml:space="preserve"> </w:t>
      </w:r>
      <w:r w:rsidRPr="00CE6819">
        <w:rPr>
          <w:sz w:val="24"/>
          <w:szCs w:val="24"/>
        </w:rPr>
        <w:t xml:space="preserve">in Panel A of Table 3, </w:t>
      </w:r>
      <w:r w:rsidR="00AB37C3" w:rsidRPr="00CE6819">
        <w:rPr>
          <w:sz w:val="24"/>
          <w:szCs w:val="24"/>
        </w:rPr>
        <w:t xml:space="preserve">for the entire sample, </w:t>
      </w:r>
      <w:r w:rsidRPr="00CE6819">
        <w:rPr>
          <w:sz w:val="24"/>
          <w:szCs w:val="24"/>
        </w:rPr>
        <w:t xml:space="preserve">CAAR </w:t>
      </w:r>
      <w:r w:rsidR="00071492" w:rsidRPr="00CE6819">
        <w:rPr>
          <w:sz w:val="24"/>
          <w:szCs w:val="24"/>
        </w:rPr>
        <w:t>of</w:t>
      </w:r>
      <w:r w:rsidRPr="00CE6819">
        <w:rPr>
          <w:sz w:val="24"/>
          <w:szCs w:val="24"/>
        </w:rPr>
        <w:t xml:space="preserve"> the first 20 trading days post-IPO is positive, significant, and equals 3.</w:t>
      </w:r>
      <w:r w:rsidR="00937A46" w:rsidRPr="00CE6819">
        <w:rPr>
          <w:sz w:val="24"/>
          <w:szCs w:val="24"/>
        </w:rPr>
        <w:t>03</w:t>
      </w:r>
      <w:r w:rsidRPr="00CE6819">
        <w:rPr>
          <w:sz w:val="24"/>
          <w:szCs w:val="24"/>
        </w:rPr>
        <w:t>% (t = 2.</w:t>
      </w:r>
      <w:r w:rsidR="00937A46" w:rsidRPr="00CE6819">
        <w:rPr>
          <w:sz w:val="24"/>
          <w:szCs w:val="24"/>
        </w:rPr>
        <w:t>54</w:t>
      </w:r>
      <w:r w:rsidRPr="00CE6819">
        <w:rPr>
          <w:sz w:val="24"/>
          <w:szCs w:val="24"/>
        </w:rPr>
        <w:t>)</w:t>
      </w:r>
      <w:r w:rsidR="00AB37C3" w:rsidRPr="00CE6819">
        <w:rPr>
          <w:sz w:val="24"/>
          <w:szCs w:val="24"/>
        </w:rPr>
        <w:t>,</w:t>
      </w:r>
      <w:r w:rsidRPr="00CE6819">
        <w:rPr>
          <w:sz w:val="24"/>
          <w:szCs w:val="24"/>
        </w:rPr>
        <w:t xml:space="preserve"> After 20 trading days, performance began to decrease, diminishing </w:t>
      </w:r>
      <w:r w:rsidR="00AB37C3" w:rsidRPr="00CE6819">
        <w:rPr>
          <w:sz w:val="24"/>
          <w:szCs w:val="24"/>
        </w:rPr>
        <w:t>quickly.</w:t>
      </w:r>
      <w:r w:rsidRPr="00CE6819">
        <w:rPr>
          <w:sz w:val="24"/>
          <w:szCs w:val="24"/>
        </w:rPr>
        <w:t xml:space="preserve"> </w:t>
      </w:r>
      <w:r w:rsidR="00AB37C3" w:rsidRPr="00CE6819">
        <w:rPr>
          <w:sz w:val="24"/>
          <w:szCs w:val="24"/>
        </w:rPr>
        <w:t>In</w:t>
      </w:r>
      <w:r w:rsidRPr="00CE6819">
        <w:rPr>
          <w:sz w:val="24"/>
          <w:szCs w:val="24"/>
        </w:rPr>
        <w:t xml:space="preserve"> the </w:t>
      </w:r>
      <w:r w:rsidR="00AB37C3" w:rsidRPr="00CE6819">
        <w:rPr>
          <w:sz w:val="24"/>
          <w:szCs w:val="24"/>
        </w:rPr>
        <w:t>10</w:t>
      </w:r>
      <w:r w:rsidRPr="00CE6819">
        <w:rPr>
          <w:sz w:val="24"/>
          <w:szCs w:val="24"/>
        </w:rPr>
        <w:t>0</w:t>
      </w:r>
      <w:r w:rsidRPr="00CE6819">
        <w:rPr>
          <w:sz w:val="24"/>
          <w:szCs w:val="24"/>
          <w:vertAlign w:val="superscript"/>
        </w:rPr>
        <w:t>th</w:t>
      </w:r>
      <w:r w:rsidRPr="00CE6819">
        <w:rPr>
          <w:sz w:val="24"/>
          <w:szCs w:val="24"/>
        </w:rPr>
        <w:t xml:space="preserve"> trading day, CAAR = </w:t>
      </w:r>
      <w:r w:rsidR="00AB37C3" w:rsidRPr="00CE6819">
        <w:rPr>
          <w:sz w:val="24"/>
          <w:szCs w:val="24"/>
        </w:rPr>
        <w:t>-7.01</w:t>
      </w:r>
      <w:r w:rsidRPr="00CE6819">
        <w:rPr>
          <w:sz w:val="24"/>
          <w:szCs w:val="24"/>
        </w:rPr>
        <w:t xml:space="preserve">% (t = </w:t>
      </w:r>
      <w:r w:rsidR="00AB37C3" w:rsidRPr="00CE6819">
        <w:rPr>
          <w:sz w:val="24"/>
          <w:szCs w:val="24"/>
        </w:rPr>
        <w:t>-2</w:t>
      </w:r>
      <w:r w:rsidRPr="00CE6819">
        <w:rPr>
          <w:sz w:val="24"/>
          <w:szCs w:val="24"/>
        </w:rPr>
        <w:t>.0</w:t>
      </w:r>
      <w:r w:rsidR="00AB37C3" w:rsidRPr="00CE6819">
        <w:rPr>
          <w:sz w:val="24"/>
          <w:szCs w:val="24"/>
        </w:rPr>
        <w:t>8</w:t>
      </w:r>
      <w:r w:rsidRPr="00CE6819">
        <w:rPr>
          <w:sz w:val="24"/>
          <w:szCs w:val="24"/>
        </w:rPr>
        <w:t xml:space="preserve">); </w:t>
      </w:r>
      <w:r w:rsidR="00AB37C3" w:rsidRPr="00CE6819">
        <w:rPr>
          <w:sz w:val="24"/>
          <w:szCs w:val="24"/>
        </w:rPr>
        <w:t>375</w:t>
      </w:r>
      <w:r w:rsidRPr="00CE6819">
        <w:rPr>
          <w:sz w:val="24"/>
          <w:szCs w:val="24"/>
        </w:rPr>
        <w:t xml:space="preserve"> trading days post-IPO CAAR = -</w:t>
      </w:r>
      <w:r w:rsidR="00AB37C3" w:rsidRPr="00CE6819">
        <w:rPr>
          <w:sz w:val="24"/>
          <w:szCs w:val="24"/>
        </w:rPr>
        <w:t>43.94</w:t>
      </w:r>
      <w:r w:rsidRPr="00CE6819">
        <w:rPr>
          <w:sz w:val="24"/>
          <w:szCs w:val="24"/>
        </w:rPr>
        <w:t>% (t = -</w:t>
      </w:r>
      <w:r w:rsidR="00AB37C3" w:rsidRPr="00CE6819">
        <w:rPr>
          <w:sz w:val="24"/>
          <w:szCs w:val="24"/>
        </w:rPr>
        <w:t>6</w:t>
      </w:r>
      <w:r w:rsidRPr="00CE6819">
        <w:rPr>
          <w:sz w:val="24"/>
          <w:szCs w:val="24"/>
        </w:rPr>
        <w:t>.</w:t>
      </w:r>
      <w:r w:rsidR="00AB37C3" w:rsidRPr="00CE6819">
        <w:rPr>
          <w:sz w:val="24"/>
          <w:szCs w:val="24"/>
        </w:rPr>
        <w:t>91</w:t>
      </w:r>
      <w:r w:rsidRPr="00CE6819">
        <w:rPr>
          <w:sz w:val="24"/>
          <w:szCs w:val="24"/>
        </w:rPr>
        <w:t>). These results are consistent with previous literature and support hypothesis H</w:t>
      </w:r>
      <w:r w:rsidR="00AB37C3" w:rsidRPr="00CE6819">
        <w:rPr>
          <w:sz w:val="24"/>
          <w:szCs w:val="24"/>
        </w:rPr>
        <w:t>1</w:t>
      </w:r>
      <w:r w:rsidRPr="00CE6819">
        <w:rPr>
          <w:sz w:val="24"/>
          <w:szCs w:val="24"/>
        </w:rPr>
        <w:t xml:space="preserve">. </w:t>
      </w:r>
    </w:p>
    <w:p w14:paraId="5DBC8E99" w14:textId="7BD5B56E" w:rsidR="00A24B51" w:rsidRPr="00CE6819" w:rsidRDefault="00A24B51" w:rsidP="00D01F96">
      <w:pPr>
        <w:bidi w:val="0"/>
        <w:spacing w:after="0" w:line="360" w:lineRule="auto"/>
        <w:rPr>
          <w:rFonts w:eastAsia="Times New Roman" w:cstheme="minorHAnsi"/>
          <w:sz w:val="24"/>
          <w:szCs w:val="24"/>
        </w:rPr>
      </w:pPr>
      <w:r w:rsidRPr="00CE6819">
        <w:rPr>
          <w:rFonts w:eastAsia="Times New Roman" w:cstheme="minorHAnsi"/>
          <w:sz w:val="24"/>
          <w:szCs w:val="24"/>
          <w:lang w:val="en"/>
        </w:rPr>
        <w:t>When analyzing the sub-samples, the overall picture changes dramatically</w:t>
      </w:r>
      <w:r w:rsidR="00767483">
        <w:rPr>
          <w:rFonts w:eastAsia="Times New Roman" w:cstheme="minorHAnsi"/>
          <w:sz w:val="24"/>
          <w:szCs w:val="24"/>
        </w:rPr>
        <w:t>.</w:t>
      </w:r>
    </w:p>
    <w:p w14:paraId="428E8339" w14:textId="386F7F47" w:rsidR="002E2C38" w:rsidRPr="00CE6819" w:rsidRDefault="00A24B51" w:rsidP="00D01F96">
      <w:pPr>
        <w:bidi w:val="0"/>
        <w:spacing w:line="360" w:lineRule="auto"/>
        <w:jc w:val="both"/>
        <w:rPr>
          <w:sz w:val="24"/>
          <w:szCs w:val="24"/>
        </w:rPr>
      </w:pPr>
      <w:r w:rsidRPr="00CE6819">
        <w:rPr>
          <w:rFonts w:cstheme="minorHAnsi"/>
          <w:sz w:val="24"/>
          <w:szCs w:val="24"/>
        </w:rPr>
        <w:t xml:space="preserve"> With respect to small companies, CAAR for the first 20 trading days post-IPO was positive yet not significant, with CAAR = 1.31% (t = 1.23). Fifty trading days post-IPO, </w:t>
      </w:r>
      <w:r w:rsidRPr="00CE6819">
        <w:rPr>
          <w:rFonts w:cstheme="minorHAnsi"/>
          <w:sz w:val="24"/>
          <w:szCs w:val="24"/>
        </w:rPr>
        <w:lastRenderedPageBreak/>
        <w:t>CAAR was negative and significant, at -7.01%, (t = -2.79); 100 trading days post- IPO, CAAR was -16.81%, (t = -4.4); until</w:t>
      </w:r>
      <w:r w:rsidR="005D7378" w:rsidRPr="00CE6819">
        <w:rPr>
          <w:rFonts w:cstheme="minorHAnsi"/>
          <w:sz w:val="24"/>
          <w:szCs w:val="24"/>
        </w:rPr>
        <w:t xml:space="preserve"> -</w:t>
      </w:r>
      <w:r w:rsidRPr="00CE6819">
        <w:rPr>
          <w:rFonts w:cstheme="minorHAnsi"/>
          <w:sz w:val="24"/>
          <w:szCs w:val="24"/>
        </w:rPr>
        <w:t>62.</w:t>
      </w:r>
      <w:r w:rsidRPr="00CE6819">
        <w:rPr>
          <w:rFonts w:cstheme="minorHAnsi"/>
          <w:sz w:val="24"/>
          <w:szCs w:val="24"/>
          <w:rtl/>
        </w:rPr>
        <w:t xml:space="preserve"> 2</w:t>
      </w:r>
      <w:r w:rsidRPr="00CE6819">
        <w:rPr>
          <w:rFonts w:cstheme="minorHAnsi"/>
          <w:sz w:val="24"/>
          <w:szCs w:val="24"/>
        </w:rPr>
        <w:t>% (t = -</w:t>
      </w:r>
      <w:r w:rsidRPr="00CE6819">
        <w:rPr>
          <w:rFonts w:cstheme="minorHAnsi"/>
          <w:sz w:val="24"/>
          <w:szCs w:val="24"/>
          <w:rtl/>
        </w:rPr>
        <w:t>7</w:t>
      </w:r>
      <w:r w:rsidRPr="00CE6819">
        <w:rPr>
          <w:rFonts w:cstheme="minorHAnsi"/>
          <w:sz w:val="24"/>
          <w:szCs w:val="24"/>
        </w:rPr>
        <w:t>.</w:t>
      </w:r>
      <w:r w:rsidRPr="00CE6819">
        <w:rPr>
          <w:rFonts w:cstheme="minorHAnsi"/>
          <w:sz w:val="24"/>
          <w:szCs w:val="24"/>
          <w:rtl/>
        </w:rPr>
        <w:t>98</w:t>
      </w:r>
      <w:r w:rsidRPr="00CE6819">
        <w:rPr>
          <w:rFonts w:cstheme="minorHAnsi"/>
          <w:sz w:val="24"/>
          <w:szCs w:val="24"/>
        </w:rPr>
        <w:t xml:space="preserve">) 375 trading days post IPO. </w:t>
      </w:r>
      <w:r w:rsidR="002E2C38" w:rsidRPr="00CE6819">
        <w:rPr>
          <w:sz w:val="24"/>
          <w:szCs w:val="24"/>
        </w:rPr>
        <w:t xml:space="preserve">The results for large firms reveal a completely different picture. After 20 trading days, CAAR was positive and significant, with CAAR = 6.81%, (t = 2. 9); after 50 trading days, CAAR = 10.17%, (t = 2.81); </w:t>
      </w:r>
      <w:r w:rsidR="002E2C38" w:rsidRPr="00CE6819">
        <w:rPr>
          <w:rStyle w:val="tlid-translation"/>
          <w:sz w:val="24"/>
          <w:szCs w:val="24"/>
        </w:rPr>
        <w:t>CAAR reaches its peak of 15.93% on day 1</w:t>
      </w:r>
      <w:r w:rsidR="0054458B" w:rsidRPr="00CE6819">
        <w:rPr>
          <w:rStyle w:val="tlid-translation"/>
          <w:sz w:val="24"/>
          <w:szCs w:val="24"/>
        </w:rPr>
        <w:t>0</w:t>
      </w:r>
      <w:r w:rsidR="002E2C38" w:rsidRPr="00CE6819">
        <w:rPr>
          <w:rStyle w:val="tlid-translation"/>
          <w:sz w:val="24"/>
          <w:szCs w:val="24"/>
        </w:rPr>
        <w:t xml:space="preserve">5 post-IPO and begins to decline from that point </w:t>
      </w:r>
      <w:r w:rsidR="0054458B" w:rsidRPr="00CE6819">
        <w:rPr>
          <w:rStyle w:val="tlid-translation"/>
          <w:sz w:val="24"/>
          <w:szCs w:val="24"/>
        </w:rPr>
        <w:t xml:space="preserve">onward. After a year the CAAR is 7.34% (t=0.92) </w:t>
      </w:r>
      <w:r w:rsidR="002E2C38" w:rsidRPr="00CE6819">
        <w:rPr>
          <w:rStyle w:val="tlid-translation"/>
          <w:sz w:val="24"/>
          <w:szCs w:val="24"/>
        </w:rPr>
        <w:t xml:space="preserve">until it disappears completely </w:t>
      </w:r>
      <w:r w:rsidR="0054458B" w:rsidRPr="00CE6819">
        <w:rPr>
          <w:rStyle w:val="tlid-translation"/>
          <w:sz w:val="24"/>
          <w:szCs w:val="24"/>
        </w:rPr>
        <w:t>315</w:t>
      </w:r>
      <w:r w:rsidR="002E2C38" w:rsidRPr="00CE6819">
        <w:rPr>
          <w:rStyle w:val="tlid-translation"/>
          <w:sz w:val="24"/>
          <w:szCs w:val="24"/>
        </w:rPr>
        <w:t xml:space="preserve"> days post-IPO</w:t>
      </w:r>
      <w:r w:rsidR="0054458B" w:rsidRPr="00CE6819">
        <w:rPr>
          <w:sz w:val="24"/>
          <w:szCs w:val="24"/>
        </w:rPr>
        <w:t xml:space="preserve">. As was claimed in H2 large firms perform better than small ones, however 18 months after the IPO, both small and large firms present negative CAAR. </w:t>
      </w:r>
      <w:r w:rsidR="005C1802" w:rsidRPr="00CE6819">
        <w:rPr>
          <w:sz w:val="24"/>
          <w:szCs w:val="24"/>
        </w:rPr>
        <w:t>Therefore,</w:t>
      </w:r>
      <w:r w:rsidR="00C43768" w:rsidRPr="00CE6819">
        <w:rPr>
          <w:sz w:val="24"/>
          <w:szCs w:val="24"/>
        </w:rPr>
        <w:t xml:space="preserve"> </w:t>
      </w:r>
      <w:r w:rsidR="0054458B" w:rsidRPr="00CE6819">
        <w:rPr>
          <w:sz w:val="24"/>
          <w:szCs w:val="24"/>
        </w:rPr>
        <w:t xml:space="preserve">hypothesis </w:t>
      </w:r>
      <w:r w:rsidR="00767483">
        <w:rPr>
          <w:sz w:val="24"/>
          <w:szCs w:val="24"/>
        </w:rPr>
        <w:t>H</w:t>
      </w:r>
      <w:r w:rsidR="0054458B" w:rsidRPr="00CE6819">
        <w:rPr>
          <w:sz w:val="24"/>
          <w:szCs w:val="24"/>
        </w:rPr>
        <w:t xml:space="preserve">2 proved to be right only for the </w:t>
      </w:r>
      <w:r w:rsidR="00767483">
        <w:rPr>
          <w:sz w:val="24"/>
          <w:szCs w:val="24"/>
        </w:rPr>
        <w:t>first year post IPO</w:t>
      </w:r>
      <w:r w:rsidR="0054458B" w:rsidRPr="00CE6819">
        <w:rPr>
          <w:sz w:val="24"/>
          <w:szCs w:val="24"/>
        </w:rPr>
        <w:t>.</w:t>
      </w:r>
    </w:p>
    <w:p w14:paraId="30CB5138" w14:textId="1CC36DD4" w:rsidR="0054458B" w:rsidRPr="00CE6819" w:rsidRDefault="00FD0796" w:rsidP="00D01F96">
      <w:pPr>
        <w:bidi w:val="0"/>
        <w:spacing w:line="360" w:lineRule="auto"/>
        <w:jc w:val="both"/>
        <w:rPr>
          <w:rStyle w:val="tlid-translation"/>
          <w:sz w:val="24"/>
          <w:szCs w:val="24"/>
          <w:lang w:val="en"/>
        </w:rPr>
      </w:pPr>
      <w:r w:rsidRPr="00CE6819">
        <w:rPr>
          <w:sz w:val="24"/>
          <w:szCs w:val="24"/>
        </w:rPr>
        <w:t xml:space="preserve">Panel B shows that the CAAR decline was consistent from day 20 onward for small firms but much more volatile for large ones. </w:t>
      </w:r>
      <w:r w:rsidR="00C43768" w:rsidRPr="00CE6819">
        <w:rPr>
          <w:rStyle w:val="tlid-translation"/>
          <w:sz w:val="24"/>
          <w:szCs w:val="24"/>
          <w:lang w:val="en"/>
        </w:rPr>
        <w:t>In terms of trading volume, the IPO day was characterized by the highest trading volume</w:t>
      </w:r>
      <w:r w:rsidR="005C1802" w:rsidRPr="00CE6819">
        <w:rPr>
          <w:rStyle w:val="tlid-translation"/>
          <w:sz w:val="24"/>
          <w:szCs w:val="24"/>
          <w:lang w:val="en"/>
        </w:rPr>
        <w:t>. It</w:t>
      </w:r>
      <w:r w:rsidR="00C43768" w:rsidRPr="00CE6819">
        <w:rPr>
          <w:rStyle w:val="tlid-translation"/>
          <w:sz w:val="24"/>
          <w:szCs w:val="24"/>
          <w:lang w:val="en"/>
        </w:rPr>
        <w:t xml:space="preserve"> was 15 times higher than the average trading during the </w:t>
      </w:r>
      <w:r w:rsidR="005C1802" w:rsidRPr="00CE6819">
        <w:rPr>
          <w:rStyle w:val="tlid-translation"/>
          <w:sz w:val="24"/>
          <w:szCs w:val="24"/>
          <w:lang w:val="en"/>
        </w:rPr>
        <w:t>whole measuring period</w:t>
      </w:r>
      <w:r w:rsidR="00C43768" w:rsidRPr="00CE6819">
        <w:rPr>
          <w:rStyle w:val="tlid-translation"/>
          <w:sz w:val="24"/>
          <w:szCs w:val="24"/>
          <w:lang w:val="en"/>
        </w:rPr>
        <w:t>, indicating the great hype immediately after the IPO. Trading volume declines significantly after this day</w:t>
      </w:r>
      <w:r w:rsidR="00372D88">
        <w:rPr>
          <w:rStyle w:val="tlid-translation"/>
          <w:sz w:val="24"/>
          <w:szCs w:val="24"/>
          <w:lang w:val="en"/>
        </w:rPr>
        <w:t>.</w:t>
      </w:r>
      <w:r w:rsidR="00C43768" w:rsidRPr="00CE6819">
        <w:rPr>
          <w:sz w:val="24"/>
          <w:szCs w:val="24"/>
          <w:lang w:val="en"/>
        </w:rPr>
        <w:br/>
      </w:r>
      <w:r w:rsidR="00372D88">
        <w:rPr>
          <w:rStyle w:val="tlid-translation"/>
          <w:sz w:val="24"/>
          <w:szCs w:val="24"/>
          <w:lang w:val="en"/>
        </w:rPr>
        <w:t xml:space="preserve">As shown in Panel C, the </w:t>
      </w:r>
      <w:r w:rsidR="005C1802" w:rsidRPr="00CE6819">
        <w:rPr>
          <w:rStyle w:val="tlid-translation"/>
          <w:sz w:val="24"/>
          <w:szCs w:val="24"/>
          <w:lang w:val="en"/>
        </w:rPr>
        <w:t>trading volume</w:t>
      </w:r>
      <w:r w:rsidR="00372D88">
        <w:rPr>
          <w:rStyle w:val="tlid-translation"/>
          <w:sz w:val="24"/>
          <w:szCs w:val="24"/>
          <w:lang w:val="en"/>
        </w:rPr>
        <w:t xml:space="preserve"> of</w:t>
      </w:r>
      <w:r w:rsidR="005C1802" w:rsidRPr="00CE6819">
        <w:rPr>
          <w:rStyle w:val="tlid-translation"/>
          <w:sz w:val="24"/>
          <w:szCs w:val="24"/>
          <w:lang w:val="en"/>
        </w:rPr>
        <w:t xml:space="preserve"> </w:t>
      </w:r>
      <w:r w:rsidR="00372D88" w:rsidRPr="00CE6819">
        <w:rPr>
          <w:rStyle w:val="tlid-translation"/>
          <w:sz w:val="24"/>
          <w:szCs w:val="24"/>
          <w:lang w:val="en"/>
        </w:rPr>
        <w:t xml:space="preserve">large companies </w:t>
      </w:r>
      <w:r w:rsidR="005C1802" w:rsidRPr="00CE6819">
        <w:rPr>
          <w:rStyle w:val="tlid-translation"/>
          <w:sz w:val="24"/>
          <w:szCs w:val="24"/>
          <w:lang w:val="en"/>
        </w:rPr>
        <w:t>wa</w:t>
      </w:r>
      <w:r w:rsidR="00C43768" w:rsidRPr="00CE6819">
        <w:rPr>
          <w:rStyle w:val="tlid-translation"/>
          <w:sz w:val="24"/>
          <w:szCs w:val="24"/>
          <w:lang w:val="en"/>
        </w:rPr>
        <w:t xml:space="preserve">s greater on average 2.6 times than the trading volume of small </w:t>
      </w:r>
      <w:r w:rsidR="00372D88">
        <w:rPr>
          <w:rStyle w:val="tlid-translation"/>
          <w:sz w:val="24"/>
          <w:szCs w:val="24"/>
          <w:lang w:val="en"/>
        </w:rPr>
        <w:t>ones</w:t>
      </w:r>
      <w:r w:rsidR="00C43768" w:rsidRPr="00CE6819">
        <w:rPr>
          <w:rStyle w:val="tlid-translation"/>
          <w:sz w:val="24"/>
          <w:szCs w:val="24"/>
          <w:lang w:val="en"/>
        </w:rPr>
        <w:t xml:space="preserve"> throughout the</w:t>
      </w:r>
      <w:r w:rsidR="005C1802" w:rsidRPr="00CE6819">
        <w:rPr>
          <w:rStyle w:val="tlid-translation"/>
          <w:sz w:val="24"/>
          <w:szCs w:val="24"/>
          <w:lang w:val="en"/>
        </w:rPr>
        <w:t xml:space="preserve"> 18 months</w:t>
      </w:r>
      <w:r w:rsidR="00C43768" w:rsidRPr="00CE6819">
        <w:rPr>
          <w:rStyle w:val="tlid-translation"/>
          <w:sz w:val="24"/>
          <w:szCs w:val="24"/>
          <w:lang w:val="en"/>
        </w:rPr>
        <w:t xml:space="preserve"> period</w:t>
      </w:r>
      <w:r w:rsidR="00A0160E" w:rsidRPr="00CE6819">
        <w:rPr>
          <w:rStyle w:val="tlid-translation"/>
          <w:sz w:val="24"/>
          <w:szCs w:val="24"/>
          <w:lang w:val="en"/>
        </w:rPr>
        <w:t xml:space="preserve"> </w:t>
      </w:r>
      <w:r w:rsidR="00372D88">
        <w:rPr>
          <w:rStyle w:val="tlid-translation"/>
          <w:sz w:val="24"/>
          <w:szCs w:val="24"/>
          <w:lang w:val="en"/>
        </w:rPr>
        <w:t>.</w:t>
      </w:r>
    </w:p>
    <w:p w14:paraId="1584101A" w14:textId="7B7ECBF8" w:rsidR="00071492" w:rsidRPr="00CE6819" w:rsidRDefault="00F3054C" w:rsidP="00D01F96">
      <w:pPr>
        <w:bidi w:val="0"/>
        <w:spacing w:line="360" w:lineRule="auto"/>
        <w:jc w:val="both"/>
        <w:rPr>
          <w:b/>
          <w:bCs/>
          <w:sz w:val="24"/>
          <w:szCs w:val="24"/>
        </w:rPr>
      </w:pPr>
      <w:r w:rsidRPr="00CE6819">
        <w:rPr>
          <w:b/>
          <w:bCs/>
          <w:sz w:val="24"/>
          <w:szCs w:val="24"/>
        </w:rPr>
        <w:t>2.5 Regressions Equation</w:t>
      </w:r>
    </w:p>
    <w:p w14:paraId="6BFD9D0C" w14:textId="7F3132F4" w:rsidR="00F3054C" w:rsidRPr="00CE6819" w:rsidRDefault="00505AEE" w:rsidP="00D01F96">
      <w:pPr>
        <w:bidi w:val="0"/>
        <w:spacing w:line="360" w:lineRule="auto"/>
        <w:rPr>
          <w:b/>
          <w:bCs/>
          <w:sz w:val="24"/>
          <w:szCs w:val="24"/>
          <w:lang w:val="en"/>
        </w:rPr>
      </w:pPr>
      <w:r w:rsidRPr="00CE6819">
        <w:rPr>
          <w:rStyle w:val="tlid-translation"/>
          <w:sz w:val="24"/>
          <w:szCs w:val="24"/>
          <w:lang w:val="en"/>
        </w:rPr>
        <w:t>According to the hypotheses in section 2.1</w:t>
      </w:r>
      <w:r w:rsidRPr="00CE6819">
        <w:rPr>
          <w:sz w:val="24"/>
          <w:szCs w:val="24"/>
          <w:lang w:val="en"/>
        </w:rPr>
        <w:t xml:space="preserve"> </w:t>
      </w:r>
      <w:r w:rsidRPr="00CE6819">
        <w:rPr>
          <w:rStyle w:val="tlid-translation"/>
          <w:sz w:val="24"/>
          <w:szCs w:val="24"/>
          <w:lang w:val="en"/>
        </w:rPr>
        <w:t>The extended regression equation</w:t>
      </w:r>
      <w:r w:rsidR="00CE1AA2" w:rsidRPr="00CE6819">
        <w:rPr>
          <w:rStyle w:val="tlid-translation"/>
          <w:sz w:val="24"/>
          <w:szCs w:val="24"/>
          <w:lang w:val="en"/>
        </w:rPr>
        <w:t>s</w:t>
      </w:r>
      <w:r w:rsidRPr="00CE6819">
        <w:rPr>
          <w:rStyle w:val="tlid-translation"/>
          <w:sz w:val="24"/>
          <w:szCs w:val="24"/>
          <w:lang w:val="en"/>
        </w:rPr>
        <w:t xml:space="preserve"> w</w:t>
      </w:r>
      <w:r w:rsidR="00CE1AA2" w:rsidRPr="00CE6819">
        <w:rPr>
          <w:rStyle w:val="tlid-translation"/>
          <w:sz w:val="24"/>
          <w:szCs w:val="24"/>
          <w:lang w:val="en"/>
        </w:rPr>
        <w:t>ere</w:t>
      </w:r>
      <w:r w:rsidR="001351CB" w:rsidRPr="00CE6819">
        <w:rPr>
          <w:rStyle w:val="FootnoteReference"/>
          <w:sz w:val="24"/>
          <w:szCs w:val="24"/>
          <w:lang w:val="en"/>
        </w:rPr>
        <w:footnoteReference w:id="6"/>
      </w:r>
      <w:r w:rsidRPr="00CE6819">
        <w:rPr>
          <w:rStyle w:val="tlid-translation"/>
          <w:sz w:val="24"/>
          <w:szCs w:val="24"/>
          <w:lang w:val="en"/>
        </w:rPr>
        <w:t>:</w:t>
      </w:r>
    </w:p>
    <w:p w14:paraId="019F1E45" w14:textId="19C82FC4" w:rsidR="00BD4B7B" w:rsidRPr="00CE6819" w:rsidRDefault="00BD4B7B" w:rsidP="00D01F96">
      <w:pPr>
        <w:rPr>
          <w:i/>
          <w:sz w:val="24"/>
          <w:szCs w:val="24"/>
          <w:rtl/>
        </w:rPr>
      </w:pPr>
      <m:oMathPara>
        <m:oMath>
          <m:r>
            <m:rPr>
              <m:sty m:val="p"/>
            </m:rPr>
            <w:rPr>
              <w:rFonts w:ascii="Cambria Math" w:hAnsi="Cambria Math"/>
              <w:sz w:val="24"/>
              <w:szCs w:val="24"/>
            </w:rPr>
            <m:t>R</m:t>
          </m:r>
          <m:r>
            <w:rPr>
              <w:rFonts w:ascii="Cambria Math" w:hAnsi="Cambria Math"/>
              <w:sz w:val="24"/>
              <w:szCs w:val="24"/>
            </w:rPr>
            <m:t>eturn(time</m:t>
          </m:r>
          <m:r>
            <w:rPr>
              <w:rFonts w:ascii="Cambria Math" w:hAnsi="Cambria Math"/>
              <w:sz w:val="24"/>
              <w:szCs w:val="24"/>
            </w:rPr>
            <m:t>_period</m:t>
          </m:r>
          <m:r>
            <w:rPr>
              <w:rFonts w:ascii="Cambria Math" w:hAnsi="Cambria Math"/>
              <w:sz w:val="24"/>
              <w:szCs w:val="24"/>
            </w:rPr>
            <m:t>)/AR</m:t>
          </m:r>
          <m:d>
            <m:dPr>
              <m:ctrlPr>
                <w:rPr>
                  <w:rFonts w:ascii="Cambria Math" w:hAnsi="Cambria Math"/>
                  <w:i/>
                  <w:sz w:val="24"/>
                  <w:szCs w:val="24"/>
                </w:rPr>
              </m:ctrlPr>
            </m:dPr>
            <m:e>
              <m:r>
                <w:rPr>
                  <w:rFonts w:ascii="Cambria Math" w:hAnsi="Cambria Math"/>
                  <w:sz w:val="24"/>
                  <w:szCs w:val="24"/>
                </w:rPr>
                <m:t>time</m:t>
              </m:r>
              <m:r>
                <w:rPr>
                  <w:rFonts w:ascii="Cambria Math" w:hAnsi="Cambria Math"/>
                  <w:sz w:val="24"/>
                  <w:szCs w:val="24"/>
                </w:rPr>
                <m:t>_period</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m:t>
              </m:r>
            </m:sub>
          </m:sSub>
          <m:r>
            <w:rPr>
              <w:rFonts w:ascii="Cambria Math" w:hAnsi="Cambria Math"/>
              <w:sz w:val="24"/>
              <w:szCs w:val="24"/>
            </w:rPr>
            <m:t>Ln</m:t>
          </m:r>
          <m:d>
            <m:dPr>
              <m:ctrlPr>
                <w:rPr>
                  <w:rFonts w:ascii="Cambria Math" w:hAnsi="Cambria Math"/>
                  <w:i/>
                  <w:sz w:val="24"/>
                  <w:szCs w:val="24"/>
                </w:rPr>
              </m:ctrlPr>
            </m:dPr>
            <m:e>
              <m:r>
                <w:rPr>
                  <w:rFonts w:ascii="Cambria Math" w:hAnsi="Cambria Math"/>
                  <w:sz w:val="24"/>
                  <w:szCs w:val="24"/>
                </w:rPr>
                <m:t>MV</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2</m:t>
              </m:r>
            </m:sub>
          </m:sSub>
          <m:r>
            <w:rPr>
              <w:rFonts w:ascii="Cambria Math" w:hAnsi="Cambria Math"/>
              <w:sz w:val="24"/>
              <w:szCs w:val="24"/>
            </w:rPr>
            <m:t>Ln</m:t>
          </m:r>
          <m:d>
            <m:dPr>
              <m:ctrlPr>
                <w:rPr>
                  <w:rFonts w:ascii="Cambria Math" w:hAnsi="Cambria Math"/>
                  <w:i/>
                  <w:sz w:val="24"/>
                  <w:szCs w:val="24"/>
                </w:rPr>
              </m:ctrlPr>
            </m:dPr>
            <m:e>
              <m:r>
                <w:rPr>
                  <w:rFonts w:ascii="Cambria Math" w:hAnsi="Cambria Math"/>
                  <w:sz w:val="24"/>
                  <w:szCs w:val="24"/>
                </w:rPr>
                <m:t>Prcds</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3</m:t>
              </m:r>
            </m:sub>
          </m:sSub>
          <m:r>
            <w:rPr>
              <w:rFonts w:ascii="Cambria Math" w:hAnsi="Cambria Math"/>
              <w:sz w:val="24"/>
              <w:szCs w:val="24"/>
            </w:rPr>
            <m:t>Prcds</m:t>
          </m:r>
          <m:d>
            <m:dPr>
              <m:ctrlPr>
                <w:rPr>
                  <w:rFonts w:ascii="Cambria Math" w:hAnsi="Cambria Math"/>
                  <w:i/>
                  <w:sz w:val="24"/>
                  <w:szCs w:val="24"/>
                </w:rPr>
              </m:ctrlPr>
            </m:dPr>
            <m:e>
              <m:r>
                <w:rPr>
                  <w:rFonts w:ascii="Cambria Math" w:hAnsi="Cambria Math"/>
                  <w:sz w:val="24"/>
                  <w:szCs w:val="24"/>
                </w:rPr>
                <m: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4</m:t>
              </m:r>
            </m:sub>
          </m:sSub>
          <m:r>
            <w:rPr>
              <w:rFonts w:ascii="Cambria Math" w:hAnsi="Cambria Math"/>
              <w:sz w:val="24"/>
              <w:szCs w:val="24"/>
            </w:rPr>
            <m:t>Year2013+..+</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8</m:t>
              </m:r>
            </m:sub>
          </m:sSub>
          <m:r>
            <w:rPr>
              <w:rFonts w:ascii="Cambria Math" w:hAnsi="Cambria Math"/>
              <w:sz w:val="24"/>
              <w:szCs w:val="24"/>
            </w:rPr>
            <m:t>Year2017+</m:t>
          </m:r>
          <m:sSub>
            <m:sSubPr>
              <m:ctrlPr>
                <w:rPr>
                  <w:rFonts w:ascii="Cambria Math" w:hAnsi="Cambria Math"/>
                  <w:i/>
                  <w:sz w:val="24"/>
                  <w:szCs w:val="24"/>
                </w:rPr>
              </m:ctrlPr>
            </m:sSubPr>
            <m:e>
              <m:sSub>
                <m:sSubPr>
                  <m:ctrlPr>
                    <w:rPr>
                      <w:rFonts w:ascii="Cambria Math" w:hAnsi="Cambria Math"/>
                      <w:sz w:val="24"/>
                      <w:szCs w:val="24"/>
                    </w:rPr>
                  </m:ctrlPr>
                </m:sSubPr>
                <m:e>
                  <m:r>
                    <w:rPr>
                      <w:rFonts w:ascii="Cambria Math" w:hAnsi="Cambria Math"/>
                      <w:sz w:val="24"/>
                      <w:szCs w:val="24"/>
                    </w:rPr>
                    <m:t>β</m:t>
                  </m:r>
                </m:e>
                <m:sub>
                  <m:r>
                    <w:rPr>
                      <w:rFonts w:ascii="Cambria Math" w:hAnsi="Cambria Math"/>
                      <w:sz w:val="24"/>
                      <w:szCs w:val="24"/>
                    </w:rPr>
                    <m:t>9</m:t>
                  </m:r>
                </m:sub>
              </m:sSub>
              <m:r>
                <w:rPr>
                  <w:rFonts w:ascii="Cambria Math" w:hAnsi="Cambria Math"/>
                  <w:sz w:val="24"/>
                  <w:szCs w:val="24"/>
                </w:rPr>
                <m:t>Is RP+</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10</m:t>
                  </m:r>
                </m:sub>
              </m:sSub>
              <m:r>
                <w:rPr>
                  <w:rFonts w:ascii="Cambria Math" w:hAnsi="Cambria Math"/>
                  <w:sz w:val="24"/>
                  <w:szCs w:val="24"/>
                </w:rPr>
                <m:t>Is PC+</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11</m:t>
                  </m:r>
                </m:sub>
              </m:sSub>
              <m:r>
                <w:rPr>
                  <w:rFonts w:ascii="Cambria Math" w:hAnsi="Cambria Math"/>
                  <w:sz w:val="24"/>
                  <w:szCs w:val="24"/>
                </w:rPr>
                <m:t>Is I+</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12</m:t>
                  </m:r>
                </m:sub>
              </m:sSub>
              <m:r>
                <w:rPr>
                  <w:rFonts w:ascii="Cambria Math" w:hAnsi="Cambria Math"/>
                  <w:sz w:val="24"/>
                  <w:szCs w:val="24"/>
                </w:rPr>
                <m:t>Is II+</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13</m:t>
                  </m:r>
                </m:sub>
              </m:sSub>
              <m:r>
                <w:rPr>
                  <w:rFonts w:ascii="Cambria Math" w:hAnsi="Cambria Math"/>
                  <w:sz w:val="24"/>
                  <w:szCs w:val="24"/>
                </w:rPr>
                <m:t>Is III+</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14</m:t>
                  </m:r>
                </m:sub>
              </m:sSub>
              <m:r>
                <w:rPr>
                  <w:rFonts w:ascii="Cambria Math" w:hAnsi="Cambria Math"/>
                  <w:sz w:val="24"/>
                  <w:szCs w:val="24"/>
                </w:rPr>
                <m:t>Is Mrkt+β</m:t>
              </m:r>
            </m:e>
            <m:sub>
              <m:r>
                <w:rPr>
                  <w:rFonts w:ascii="Cambria Math" w:hAnsi="Cambria Math"/>
                  <w:sz w:val="24"/>
                  <w:szCs w:val="24"/>
                </w:rPr>
                <m:t>15</m:t>
              </m:r>
            </m:sub>
          </m:sSub>
          <m:r>
            <w:rPr>
              <w:rFonts w:ascii="Cambria Math" w:hAnsi="Cambria Math"/>
              <w:sz w:val="24"/>
              <w:szCs w:val="24"/>
            </w:rPr>
            <m:t>Prd RP+</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16</m:t>
              </m:r>
            </m:sub>
          </m:sSub>
          <m:r>
            <w:rPr>
              <w:rFonts w:ascii="Cambria Math" w:hAnsi="Cambria Math"/>
              <w:sz w:val="24"/>
              <w:szCs w:val="24"/>
            </w:rPr>
            <m:t>Prd PC+</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17</m:t>
              </m:r>
            </m:sub>
          </m:sSub>
          <m:r>
            <w:rPr>
              <w:rFonts w:ascii="Cambria Math" w:hAnsi="Cambria Math"/>
              <w:sz w:val="24"/>
              <w:szCs w:val="24"/>
            </w:rPr>
            <m:t>PrdI+</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18</m:t>
              </m:r>
            </m:sub>
          </m:sSub>
          <m:r>
            <w:rPr>
              <w:rFonts w:ascii="Cambria Math" w:hAnsi="Cambria Math"/>
              <w:sz w:val="24"/>
              <w:szCs w:val="24"/>
            </w:rPr>
            <m:t>Prd II+</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19</m:t>
              </m:r>
            </m:sub>
          </m:sSub>
          <m:r>
            <w:rPr>
              <w:rFonts w:ascii="Cambria Math" w:hAnsi="Cambria Math"/>
              <w:sz w:val="24"/>
              <w:szCs w:val="24"/>
            </w:rPr>
            <m:t>Prd III+</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20</m:t>
              </m:r>
            </m:sub>
          </m:sSub>
          <m:r>
            <w:rPr>
              <w:rFonts w:ascii="Cambria Math" w:hAnsi="Cambria Math"/>
              <w:sz w:val="24"/>
              <w:szCs w:val="24"/>
            </w:rPr>
            <m:t>Prd Mrkt</m:t>
          </m:r>
          <m:r>
            <m:rPr>
              <m:sty m:val="p"/>
            </m:rP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21</m:t>
              </m:r>
            </m:sub>
          </m:sSub>
          <m:r>
            <w:rPr>
              <w:rFonts w:ascii="Cambria Math" w:hAnsi="Cambria Math"/>
              <w:sz w:val="24"/>
              <w:szCs w:val="24"/>
            </w:rPr>
            <m:t>TPrd+</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22</m:t>
              </m:r>
            </m:sub>
          </m:sSub>
          <m:r>
            <w:rPr>
              <w:rFonts w:ascii="Cambria Math" w:hAnsi="Cambria Math"/>
              <w:sz w:val="24"/>
              <w:szCs w:val="24"/>
            </w:rPr>
            <m:t>Is Onco+</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23</m:t>
              </m:r>
            </m:sub>
          </m:sSub>
          <m:r>
            <w:rPr>
              <w:rFonts w:ascii="Cambria Math" w:hAnsi="Cambria Math"/>
              <w:sz w:val="24"/>
              <w:szCs w:val="24"/>
            </w:rPr>
            <m:t>Is Crdio+</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24</m:t>
              </m:r>
            </m:sub>
          </m:sSub>
          <m:r>
            <w:rPr>
              <w:rFonts w:ascii="Cambria Math" w:hAnsi="Cambria Math"/>
              <w:sz w:val="24"/>
              <w:szCs w:val="24"/>
            </w:rPr>
            <m:t>Prd Onco+</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25</m:t>
              </m:r>
            </m:sub>
          </m:sSub>
          <m:r>
            <w:rPr>
              <w:rFonts w:ascii="Cambria Math" w:hAnsi="Cambria Math"/>
              <w:sz w:val="24"/>
              <w:szCs w:val="24"/>
            </w:rPr>
            <m:t>PrdCrdio</m:t>
          </m:r>
        </m:oMath>
      </m:oMathPara>
    </w:p>
    <w:p w14:paraId="7F20BDA7" w14:textId="34345A7C" w:rsidR="001351CB" w:rsidRPr="00CE6819" w:rsidRDefault="00CE1AA2" w:rsidP="00D01F96">
      <w:pPr>
        <w:bidi w:val="0"/>
        <w:spacing w:line="360" w:lineRule="auto"/>
        <w:rPr>
          <w:rStyle w:val="tlid-translation"/>
          <w:sz w:val="24"/>
          <w:szCs w:val="24"/>
        </w:rPr>
      </w:pPr>
      <w:r w:rsidRPr="00CE6819">
        <w:rPr>
          <w:rStyle w:val="tlid-translation"/>
          <w:sz w:val="24"/>
          <w:szCs w:val="24"/>
          <w:lang w:val="en"/>
        </w:rPr>
        <w:t xml:space="preserve">The explained variable was return or AR. </w:t>
      </w:r>
      <w:r w:rsidR="004D347C" w:rsidRPr="00CE6819">
        <w:rPr>
          <w:rStyle w:val="tlid-translation"/>
          <w:sz w:val="24"/>
          <w:szCs w:val="24"/>
          <w:lang w:val="en"/>
        </w:rPr>
        <w:t>AR</w:t>
      </w:r>
      <w:r w:rsidRPr="00CE6819">
        <w:rPr>
          <w:rStyle w:val="tlid-translation"/>
          <w:sz w:val="24"/>
          <w:szCs w:val="24"/>
          <w:lang w:val="en"/>
        </w:rPr>
        <w:t xml:space="preserve"> w</w:t>
      </w:r>
      <w:r w:rsidR="004D347C" w:rsidRPr="00CE6819">
        <w:rPr>
          <w:rStyle w:val="tlid-translation"/>
          <w:sz w:val="24"/>
          <w:szCs w:val="24"/>
          <w:lang w:val="en"/>
        </w:rPr>
        <w:t>as</w:t>
      </w:r>
      <w:r w:rsidRPr="00CE6819">
        <w:rPr>
          <w:rStyle w:val="tlid-translation"/>
          <w:sz w:val="24"/>
          <w:szCs w:val="24"/>
          <w:lang w:val="en"/>
        </w:rPr>
        <w:t xml:space="preserve"> calculated </w:t>
      </w:r>
      <w:r w:rsidR="00545441" w:rsidRPr="00CE6819">
        <w:rPr>
          <w:sz w:val="24"/>
          <w:szCs w:val="24"/>
        </w:rPr>
        <w:t>for two benchmarks</w:t>
      </w:r>
      <w:r w:rsidR="000D757F" w:rsidRPr="00CE6819">
        <w:rPr>
          <w:sz w:val="24"/>
          <w:szCs w:val="24"/>
        </w:rPr>
        <w:t>:</w:t>
      </w:r>
      <w:r w:rsidR="00545441" w:rsidRPr="00CE6819">
        <w:rPr>
          <w:sz w:val="24"/>
          <w:szCs w:val="24"/>
        </w:rPr>
        <w:t xml:space="preserve"> </w:t>
      </w:r>
      <w:r w:rsidR="000D757F" w:rsidRPr="00CE6819">
        <w:rPr>
          <w:rStyle w:val="tlid-translation"/>
          <w:sz w:val="24"/>
          <w:szCs w:val="24"/>
          <w:lang w:val="en"/>
        </w:rPr>
        <w:t>The</w:t>
      </w:r>
      <w:r w:rsidRPr="00CE6819">
        <w:rPr>
          <w:rStyle w:val="tlid-translation"/>
          <w:sz w:val="24"/>
          <w:szCs w:val="24"/>
          <w:lang w:val="en"/>
        </w:rPr>
        <w:t xml:space="preserve"> S &amp; P500 market index and the Pharma Sector Index IXJ.</w:t>
      </w:r>
      <w:r w:rsidRPr="00CE6819">
        <w:rPr>
          <w:sz w:val="24"/>
          <w:szCs w:val="24"/>
          <w:lang w:val="en"/>
        </w:rPr>
        <w:br/>
      </w:r>
      <w:r w:rsidRPr="00CE6819">
        <w:rPr>
          <w:rStyle w:val="tlid-translation"/>
          <w:sz w:val="24"/>
          <w:szCs w:val="24"/>
          <w:lang w:val="en"/>
        </w:rPr>
        <w:t>The explanatory variables were:</w:t>
      </w:r>
      <w:r w:rsidRPr="00CE6819">
        <w:rPr>
          <w:sz w:val="24"/>
          <w:szCs w:val="24"/>
          <w:lang w:val="en"/>
        </w:rPr>
        <w:br/>
      </w:r>
      <w:r w:rsidRPr="00CE6819">
        <w:rPr>
          <w:rStyle w:val="tlid-translation"/>
          <w:sz w:val="24"/>
          <w:szCs w:val="24"/>
          <w:lang w:val="en"/>
        </w:rPr>
        <w:lastRenderedPageBreak/>
        <w:t xml:space="preserve">MV (Ln) - the natural logarithm of </w:t>
      </w:r>
      <w:r w:rsidR="000D757F" w:rsidRPr="00CE6819">
        <w:rPr>
          <w:rStyle w:val="tlid-translation"/>
          <w:sz w:val="24"/>
          <w:szCs w:val="24"/>
          <w:lang w:val="en"/>
        </w:rPr>
        <w:t>a</w:t>
      </w:r>
      <w:r w:rsidRPr="00CE6819">
        <w:rPr>
          <w:rStyle w:val="tlid-translation"/>
          <w:sz w:val="24"/>
          <w:szCs w:val="24"/>
          <w:lang w:val="en"/>
        </w:rPr>
        <w:t xml:space="preserve"> </w:t>
      </w:r>
      <w:r w:rsidR="000D757F" w:rsidRPr="00CE6819">
        <w:rPr>
          <w:rStyle w:val="tlid-translation"/>
          <w:sz w:val="24"/>
          <w:szCs w:val="24"/>
          <w:lang w:val="en"/>
        </w:rPr>
        <w:t>firms'</w:t>
      </w:r>
      <w:r w:rsidRPr="00CE6819">
        <w:rPr>
          <w:rStyle w:val="tlid-translation"/>
          <w:sz w:val="24"/>
          <w:szCs w:val="24"/>
          <w:lang w:val="en"/>
        </w:rPr>
        <w:t xml:space="preserve"> </w:t>
      </w:r>
      <w:r w:rsidR="000D757F" w:rsidRPr="00CE6819">
        <w:rPr>
          <w:rStyle w:val="tlid-translation"/>
          <w:sz w:val="24"/>
          <w:szCs w:val="24"/>
          <w:lang w:val="en"/>
        </w:rPr>
        <w:t xml:space="preserve">market </w:t>
      </w:r>
      <w:r w:rsidRPr="00CE6819">
        <w:rPr>
          <w:rStyle w:val="tlid-translation"/>
          <w:sz w:val="24"/>
          <w:szCs w:val="24"/>
          <w:lang w:val="en"/>
        </w:rPr>
        <w:t>value. Ln (</w:t>
      </w:r>
      <w:r w:rsidR="009728C1">
        <w:rPr>
          <w:rStyle w:val="tlid-translation"/>
          <w:sz w:val="24"/>
          <w:szCs w:val="24"/>
          <w:lang w:val="en"/>
        </w:rPr>
        <w:t>Prcds</w:t>
      </w:r>
      <w:r w:rsidRPr="00CE6819">
        <w:rPr>
          <w:rStyle w:val="tlid-translation"/>
          <w:sz w:val="24"/>
          <w:szCs w:val="24"/>
          <w:lang w:val="en"/>
        </w:rPr>
        <w:t xml:space="preserve">) </w:t>
      </w:r>
      <w:r w:rsidR="000D757F" w:rsidRPr="00CE6819">
        <w:rPr>
          <w:rStyle w:val="tlid-translation"/>
          <w:sz w:val="24"/>
          <w:szCs w:val="24"/>
          <w:lang w:val="en"/>
        </w:rPr>
        <w:t>is</w:t>
      </w:r>
      <w:r w:rsidRPr="00CE6819">
        <w:rPr>
          <w:rStyle w:val="tlid-translation"/>
          <w:sz w:val="24"/>
          <w:szCs w:val="24"/>
          <w:lang w:val="en"/>
        </w:rPr>
        <w:t xml:space="preserve"> the natural logarithm of the amount of money raised in the IPO</w:t>
      </w:r>
      <w:r w:rsidR="000D757F" w:rsidRPr="00CE6819">
        <w:rPr>
          <w:rStyle w:val="tlid-translation"/>
          <w:sz w:val="24"/>
          <w:szCs w:val="24"/>
          <w:lang w:val="en"/>
        </w:rPr>
        <w:t>,</w:t>
      </w:r>
      <w:r w:rsidRPr="00CE6819">
        <w:rPr>
          <w:rStyle w:val="tlid-translation"/>
          <w:sz w:val="24"/>
          <w:szCs w:val="24"/>
          <w:lang w:val="en"/>
        </w:rPr>
        <w:t xml:space="preserve"> </w:t>
      </w:r>
      <w:r w:rsidR="009728C1">
        <w:rPr>
          <w:rStyle w:val="tlid-translation"/>
          <w:sz w:val="24"/>
          <w:szCs w:val="24"/>
          <w:lang w:val="en"/>
        </w:rPr>
        <w:t>Prcds</w:t>
      </w:r>
      <w:r w:rsidR="000D757F" w:rsidRPr="00CE6819">
        <w:rPr>
          <w:rStyle w:val="tlid-translation"/>
          <w:sz w:val="24"/>
          <w:szCs w:val="24"/>
          <w:lang w:val="en"/>
        </w:rPr>
        <w:t xml:space="preserve">(%) </w:t>
      </w:r>
      <w:r w:rsidRPr="00CE6819">
        <w:rPr>
          <w:rStyle w:val="tlid-translation"/>
          <w:sz w:val="24"/>
          <w:szCs w:val="24"/>
          <w:lang w:val="en"/>
        </w:rPr>
        <w:t xml:space="preserve">the amount raised as a percentage of the </w:t>
      </w:r>
      <w:r w:rsidR="000D757F" w:rsidRPr="00CE6819">
        <w:rPr>
          <w:rStyle w:val="tlid-translation"/>
          <w:sz w:val="24"/>
          <w:szCs w:val="24"/>
          <w:lang w:val="en"/>
        </w:rPr>
        <w:t>firm's market</w:t>
      </w:r>
      <w:r w:rsidRPr="00CE6819">
        <w:rPr>
          <w:rStyle w:val="tlid-translation"/>
          <w:sz w:val="24"/>
          <w:szCs w:val="24"/>
          <w:lang w:val="en"/>
        </w:rPr>
        <w:t xml:space="preserve"> value</w:t>
      </w:r>
      <w:r w:rsidR="000D757F" w:rsidRPr="00CE6819">
        <w:rPr>
          <w:rStyle w:val="tlid-translation"/>
          <w:sz w:val="24"/>
          <w:szCs w:val="24"/>
          <w:lang w:val="en"/>
        </w:rPr>
        <w:t>.</w:t>
      </w:r>
      <w:r w:rsidR="002E3E53" w:rsidRPr="00CE6819">
        <w:rPr>
          <w:sz w:val="24"/>
          <w:szCs w:val="24"/>
          <w:lang w:val="en"/>
        </w:rPr>
        <w:t xml:space="preserve"> </w:t>
      </w:r>
      <w:r w:rsidR="002E3E53" w:rsidRPr="00CE6819">
        <w:rPr>
          <w:rStyle w:val="tlid-translation"/>
          <w:sz w:val="24"/>
          <w:szCs w:val="24"/>
          <w:lang w:val="en"/>
        </w:rPr>
        <w:t>Year2013 to Year2017 are dummy variables for the issue</w:t>
      </w:r>
      <w:r w:rsidR="00D06973">
        <w:rPr>
          <w:rStyle w:val="tlid-translation"/>
          <w:sz w:val="24"/>
          <w:szCs w:val="24"/>
          <w:lang w:val="en"/>
        </w:rPr>
        <w:t>d</w:t>
      </w:r>
      <w:r w:rsidR="002E3E53" w:rsidRPr="00CE6819">
        <w:rPr>
          <w:rStyle w:val="tlid-translation"/>
          <w:sz w:val="24"/>
          <w:szCs w:val="24"/>
          <w:lang w:val="en"/>
        </w:rPr>
        <w:t xml:space="preserve"> years, Year2013 gets 1 for 2013 and 0 otherwise and so on. RP stands for Research </w:t>
      </w:r>
      <w:r w:rsidR="00D06973">
        <w:rPr>
          <w:rStyle w:val="tlid-translation"/>
          <w:sz w:val="24"/>
          <w:szCs w:val="24"/>
          <w:lang w:val="en"/>
        </w:rPr>
        <w:t>P</w:t>
      </w:r>
      <w:r w:rsidR="002E3E53" w:rsidRPr="00CE6819">
        <w:rPr>
          <w:rStyle w:val="tlid-translation"/>
          <w:sz w:val="24"/>
          <w:szCs w:val="24"/>
          <w:lang w:val="en"/>
        </w:rPr>
        <w:t xml:space="preserve">roject, PC stands for Pre-Clinical, I, II and III are for phases I through III respectively, and Mrkt stands for the market stage. The next set of variables beginning with </w:t>
      </w:r>
      <w:r w:rsidR="00D06973">
        <w:rPr>
          <w:rStyle w:val="tlid-translation"/>
          <w:sz w:val="24"/>
          <w:szCs w:val="24"/>
          <w:lang w:val="en"/>
        </w:rPr>
        <w:t>"</w:t>
      </w:r>
      <w:r w:rsidR="002E3E53" w:rsidRPr="00CE6819">
        <w:rPr>
          <w:rStyle w:val="tlid-translation"/>
          <w:sz w:val="24"/>
          <w:szCs w:val="24"/>
          <w:lang w:val="en"/>
        </w:rPr>
        <w:t>Is</w:t>
      </w:r>
      <w:r w:rsidR="00D06973">
        <w:rPr>
          <w:rStyle w:val="tlid-translation"/>
          <w:sz w:val="24"/>
          <w:szCs w:val="24"/>
          <w:lang w:val="en"/>
        </w:rPr>
        <w:t>"</w:t>
      </w:r>
      <w:r w:rsidR="002E3E53" w:rsidRPr="00CE6819">
        <w:rPr>
          <w:rStyle w:val="tlid-translation"/>
          <w:sz w:val="24"/>
          <w:szCs w:val="24"/>
          <w:lang w:val="en"/>
        </w:rPr>
        <w:t xml:space="preserve"> are a set of dummy variables for the firm's drug regulatory stages. The dummy variable gets 1 if the </w:t>
      </w:r>
      <w:r w:rsidR="0087693F" w:rsidRPr="00CE6819">
        <w:rPr>
          <w:rStyle w:val="tlid-translation"/>
          <w:sz w:val="24"/>
          <w:szCs w:val="24"/>
          <w:lang w:val="en"/>
        </w:rPr>
        <w:t>firm</w:t>
      </w:r>
      <w:r w:rsidR="002E3E53" w:rsidRPr="00CE6819">
        <w:rPr>
          <w:rStyle w:val="tlid-translation"/>
          <w:sz w:val="24"/>
          <w:szCs w:val="24"/>
          <w:lang w:val="en"/>
        </w:rPr>
        <w:t xml:space="preserve"> has products at this stage and 0 otherwise. The next set of variables from Prd RP to Prd Mrkt are the number of products at each regulatory stage.</w:t>
      </w:r>
      <w:r w:rsidR="0080471D" w:rsidRPr="00CE6819">
        <w:rPr>
          <w:sz w:val="24"/>
          <w:szCs w:val="24"/>
          <w:lang w:val="en"/>
        </w:rPr>
        <w:t xml:space="preserve"> </w:t>
      </w:r>
      <w:r w:rsidR="0087693F" w:rsidRPr="00CE6819">
        <w:rPr>
          <w:rStyle w:val="tlid-translation"/>
          <w:sz w:val="24"/>
          <w:szCs w:val="24"/>
          <w:lang w:val="en"/>
        </w:rPr>
        <w:t xml:space="preserve">It should be noted </w:t>
      </w:r>
      <w:r w:rsidR="0080471D" w:rsidRPr="00CE6819">
        <w:rPr>
          <w:rStyle w:val="tlid-translation"/>
          <w:sz w:val="24"/>
          <w:szCs w:val="24"/>
          <w:lang w:val="en"/>
        </w:rPr>
        <w:t>a</w:t>
      </w:r>
      <w:r w:rsidR="0087693F" w:rsidRPr="00CE6819">
        <w:rPr>
          <w:rStyle w:val="tlid-translation"/>
          <w:sz w:val="24"/>
          <w:szCs w:val="24"/>
          <w:lang w:val="en"/>
        </w:rPr>
        <w:t xml:space="preserve"> </w:t>
      </w:r>
      <w:r w:rsidR="0080471D" w:rsidRPr="00CE6819">
        <w:rPr>
          <w:rStyle w:val="tlid-translation"/>
          <w:sz w:val="24"/>
          <w:szCs w:val="24"/>
          <w:lang w:val="en"/>
        </w:rPr>
        <w:t>firm</w:t>
      </w:r>
      <w:r w:rsidR="0087693F" w:rsidRPr="00CE6819">
        <w:rPr>
          <w:rStyle w:val="tlid-translation"/>
          <w:sz w:val="24"/>
          <w:szCs w:val="24"/>
          <w:lang w:val="en"/>
        </w:rPr>
        <w:t xml:space="preserve"> can have several products in different regulatory stages</w:t>
      </w:r>
      <w:r w:rsidR="0080471D" w:rsidRPr="00CE6819">
        <w:rPr>
          <w:sz w:val="24"/>
          <w:szCs w:val="24"/>
          <w:lang w:val="en"/>
        </w:rPr>
        <w:t>.</w:t>
      </w:r>
      <w:r w:rsidR="00D06973">
        <w:rPr>
          <w:rStyle w:val="tlid-translation"/>
          <w:sz w:val="24"/>
          <w:szCs w:val="24"/>
          <w:lang w:val="en"/>
        </w:rPr>
        <w:t xml:space="preserve"> </w:t>
      </w:r>
      <w:r w:rsidR="0087693F" w:rsidRPr="00CE6819">
        <w:rPr>
          <w:rStyle w:val="tlid-translation"/>
          <w:sz w:val="24"/>
          <w:szCs w:val="24"/>
          <w:lang w:val="en"/>
        </w:rPr>
        <w:t xml:space="preserve">T Prd - is the total number of products </w:t>
      </w:r>
      <w:r w:rsidR="00D06973">
        <w:rPr>
          <w:rStyle w:val="tlid-translation"/>
          <w:sz w:val="24"/>
          <w:szCs w:val="24"/>
          <w:lang w:val="en"/>
        </w:rPr>
        <w:t>for a firm</w:t>
      </w:r>
      <w:r w:rsidR="0087693F" w:rsidRPr="00CE6819">
        <w:rPr>
          <w:rStyle w:val="tlid-translation"/>
          <w:sz w:val="24"/>
          <w:szCs w:val="24"/>
          <w:lang w:val="en"/>
        </w:rPr>
        <w:t xml:space="preserve">. Is Onco </w:t>
      </w:r>
      <w:r w:rsidR="0080471D" w:rsidRPr="00CE6819">
        <w:rPr>
          <w:rStyle w:val="tlid-translation"/>
          <w:sz w:val="24"/>
          <w:szCs w:val="24"/>
          <w:lang w:val="en"/>
        </w:rPr>
        <w:t xml:space="preserve">(Is Crdio) is </w:t>
      </w:r>
      <w:r w:rsidR="0087693F" w:rsidRPr="00CE6819">
        <w:rPr>
          <w:rStyle w:val="tlid-translation"/>
          <w:sz w:val="24"/>
          <w:szCs w:val="24"/>
          <w:lang w:val="en"/>
        </w:rPr>
        <w:t xml:space="preserve">a dummy variable that receives 1 if the company has oncology </w:t>
      </w:r>
      <w:r w:rsidR="0080471D" w:rsidRPr="00CE6819">
        <w:rPr>
          <w:rStyle w:val="tlid-translation"/>
          <w:sz w:val="24"/>
          <w:szCs w:val="24"/>
          <w:lang w:val="en"/>
        </w:rPr>
        <w:t xml:space="preserve">(cardiologic) </w:t>
      </w:r>
      <w:r w:rsidR="0087693F" w:rsidRPr="00CE6819">
        <w:rPr>
          <w:rStyle w:val="tlid-translation"/>
          <w:sz w:val="24"/>
          <w:szCs w:val="24"/>
          <w:lang w:val="en"/>
        </w:rPr>
        <w:t xml:space="preserve">products and 0 otherwise. </w:t>
      </w:r>
      <w:r w:rsidR="00D06973">
        <w:rPr>
          <w:rStyle w:val="tlid-translation"/>
          <w:sz w:val="24"/>
          <w:szCs w:val="24"/>
          <w:lang w:val="en"/>
        </w:rPr>
        <w:t>PrdOnco (PrdCrdio)</w:t>
      </w:r>
      <w:r w:rsidR="0087693F" w:rsidRPr="00CE6819">
        <w:rPr>
          <w:rStyle w:val="tlid-translation"/>
          <w:sz w:val="24"/>
          <w:szCs w:val="24"/>
          <w:lang w:val="en"/>
        </w:rPr>
        <w:t xml:space="preserve"> are the number of products in the field of oncology and cardiology respectively. These variables were measured on the day of issue.</w:t>
      </w:r>
      <w:r w:rsidR="0080471D" w:rsidRPr="00CE6819">
        <w:rPr>
          <w:rStyle w:val="tlid-translation"/>
          <w:sz w:val="24"/>
          <w:szCs w:val="24"/>
          <w:lang w:val="en"/>
        </w:rPr>
        <w:t xml:space="preserve"> </w:t>
      </w:r>
    </w:p>
    <w:p w14:paraId="5A493A10" w14:textId="65E7E86F" w:rsidR="00D24309" w:rsidRPr="00CE6819" w:rsidRDefault="00D24309" w:rsidP="00D01F96">
      <w:pPr>
        <w:bidi w:val="0"/>
        <w:spacing w:line="360" w:lineRule="auto"/>
        <w:rPr>
          <w:rStyle w:val="tlid-translation"/>
          <w:sz w:val="24"/>
          <w:szCs w:val="24"/>
          <w:lang w:val="en"/>
        </w:rPr>
      </w:pPr>
      <w:r w:rsidRPr="00CE6819">
        <w:rPr>
          <w:rStyle w:val="tlid-translation"/>
          <w:sz w:val="24"/>
          <w:szCs w:val="24"/>
          <w:lang w:val="en"/>
        </w:rPr>
        <w:t>The number of observations in this section is lower than in the previous, due to the partial availability of data.</w:t>
      </w:r>
      <w:r w:rsidRPr="00CE6819">
        <w:rPr>
          <w:rStyle w:val="tlid-translation"/>
          <w:sz w:val="24"/>
          <w:szCs w:val="24"/>
          <w:lang w:val="en"/>
        </w:rPr>
        <w:br/>
        <w:t xml:space="preserve">We performed 3 sets of OLS regressions that differed within the time period of the explained variable that was 6, 12, and 18 months </w:t>
      </w:r>
      <w:r w:rsidR="00D06973">
        <w:rPr>
          <w:rStyle w:val="tlid-translation"/>
          <w:sz w:val="24"/>
          <w:szCs w:val="24"/>
          <w:lang w:val="en"/>
        </w:rPr>
        <w:t>post</w:t>
      </w:r>
      <w:r w:rsidRPr="00CE6819">
        <w:rPr>
          <w:rStyle w:val="tlid-translation"/>
          <w:sz w:val="24"/>
          <w:szCs w:val="24"/>
          <w:lang w:val="en"/>
        </w:rPr>
        <w:t xml:space="preserve"> IPO</w:t>
      </w:r>
      <w:r w:rsidR="00D06973">
        <w:rPr>
          <w:rStyle w:val="tlid-translation"/>
          <w:sz w:val="24"/>
          <w:szCs w:val="24"/>
          <w:lang w:val="en"/>
        </w:rPr>
        <w:t xml:space="preserve"> date</w:t>
      </w:r>
      <w:r w:rsidRPr="00CE6819">
        <w:rPr>
          <w:rStyle w:val="tlid-translation"/>
          <w:sz w:val="24"/>
          <w:szCs w:val="24"/>
          <w:lang w:val="en"/>
        </w:rPr>
        <w:t xml:space="preserve">. We conducted these regressions for the entire sample and for the subsamples of large and small firms. </w:t>
      </w:r>
    </w:p>
    <w:p w14:paraId="6CE92D8C" w14:textId="5E69DEA7" w:rsidR="00221213" w:rsidRPr="00CE6819" w:rsidRDefault="00221213" w:rsidP="00D01F96">
      <w:pPr>
        <w:bidi w:val="0"/>
        <w:spacing w:line="360" w:lineRule="auto"/>
        <w:rPr>
          <w:rStyle w:val="tlid-translation"/>
          <w:sz w:val="24"/>
          <w:szCs w:val="24"/>
        </w:rPr>
      </w:pPr>
      <w:r w:rsidRPr="00CE6819">
        <w:rPr>
          <w:rStyle w:val="tlid-translation"/>
          <w:b/>
          <w:bCs/>
          <w:sz w:val="24"/>
          <w:szCs w:val="24"/>
        </w:rPr>
        <w:t xml:space="preserve">2.6 </w:t>
      </w:r>
      <w:r w:rsidRPr="00CE6819">
        <w:rPr>
          <w:rStyle w:val="tlid-translation"/>
          <w:b/>
          <w:bCs/>
          <w:sz w:val="24"/>
          <w:szCs w:val="24"/>
          <w:lang w:val="en"/>
        </w:rPr>
        <w:t>Regression results and discussion</w:t>
      </w:r>
      <w:r w:rsidRPr="00CE6819">
        <w:rPr>
          <w:b/>
          <w:bCs/>
          <w:sz w:val="24"/>
          <w:szCs w:val="24"/>
          <w:lang w:val="en"/>
        </w:rPr>
        <w:br/>
      </w:r>
      <w:r w:rsidR="00FF72DE" w:rsidRPr="00CE6819">
        <w:rPr>
          <w:rStyle w:val="tlid-translation"/>
          <w:sz w:val="24"/>
          <w:szCs w:val="24"/>
          <w:lang w:val="en"/>
        </w:rPr>
        <w:t xml:space="preserve">we will present results </w:t>
      </w:r>
      <w:r w:rsidR="00D06973" w:rsidRPr="00CE6819">
        <w:rPr>
          <w:rStyle w:val="tlid-translation"/>
          <w:sz w:val="24"/>
          <w:szCs w:val="24"/>
          <w:lang w:val="en"/>
        </w:rPr>
        <w:t xml:space="preserve">only </w:t>
      </w:r>
      <w:r w:rsidR="00FF72DE" w:rsidRPr="00CE6819">
        <w:rPr>
          <w:rStyle w:val="tlid-translation"/>
          <w:sz w:val="24"/>
          <w:szCs w:val="24"/>
          <w:lang w:val="en"/>
        </w:rPr>
        <w:t>for the sector index, due to great similarity in results for AR for the two benchmark indices. The results of the reduced models are presented in Table 4.</w:t>
      </w:r>
      <w:r w:rsidR="00265F6B" w:rsidRPr="00CE6819">
        <w:rPr>
          <w:rStyle w:val="tlid-translation"/>
          <w:sz w:val="24"/>
          <w:szCs w:val="24"/>
          <w:lang w:val="en"/>
        </w:rPr>
        <w:t xml:space="preserve"> Panels A, B and C of table 4 are for the six, twelve and eighteen months after the IPO respectively. </w:t>
      </w:r>
      <w:r w:rsidRPr="00CE6819">
        <w:rPr>
          <w:rStyle w:val="tlid-translation"/>
          <w:sz w:val="24"/>
          <w:szCs w:val="24"/>
          <w:lang w:val="en"/>
        </w:rPr>
        <w:t>We will refer below to th</w:t>
      </w:r>
      <w:r w:rsidR="00FF72DE" w:rsidRPr="00CE6819">
        <w:rPr>
          <w:rStyle w:val="tlid-translation"/>
          <w:sz w:val="24"/>
          <w:szCs w:val="24"/>
          <w:lang w:val="en"/>
        </w:rPr>
        <w:t xml:space="preserve">e </w:t>
      </w:r>
      <w:r w:rsidRPr="00CE6819">
        <w:rPr>
          <w:rStyle w:val="tlid-translation"/>
          <w:sz w:val="24"/>
          <w:szCs w:val="24"/>
          <w:lang w:val="en"/>
        </w:rPr>
        <w:t>results of the return variable</w:t>
      </w:r>
      <w:r w:rsidR="00265F6B" w:rsidRPr="00CE6819">
        <w:rPr>
          <w:rStyle w:val="tlid-translation"/>
          <w:sz w:val="24"/>
          <w:szCs w:val="24"/>
          <w:lang w:val="en"/>
        </w:rPr>
        <w:t xml:space="preserve"> because of the similarity of results for the AR and return</w:t>
      </w:r>
      <w:r w:rsidR="00FF72DE" w:rsidRPr="00CE6819">
        <w:rPr>
          <w:rStyle w:val="tlid-translation"/>
          <w:sz w:val="24"/>
          <w:szCs w:val="24"/>
          <w:lang w:val="en"/>
        </w:rPr>
        <w:t>.</w:t>
      </w:r>
    </w:p>
    <w:p w14:paraId="0C1D8873" w14:textId="7C208346" w:rsidR="005B7A36" w:rsidRPr="00CE6819" w:rsidRDefault="005B7A36" w:rsidP="00D01F96">
      <w:pPr>
        <w:bidi w:val="0"/>
        <w:spacing w:after="0" w:line="240" w:lineRule="auto"/>
        <w:rPr>
          <w:rFonts w:ascii="Arial" w:eastAsia="Times New Roman" w:hAnsi="Arial" w:cs="Arial"/>
          <w:b/>
          <w:bCs/>
          <w:color w:val="FF0000"/>
          <w:sz w:val="24"/>
          <w:szCs w:val="24"/>
        </w:rPr>
      </w:pPr>
      <w:r w:rsidRPr="00CE6819">
        <w:rPr>
          <w:rFonts w:ascii="Arial" w:eastAsia="Times New Roman" w:hAnsi="Arial" w:cs="Arial"/>
          <w:b/>
          <w:bCs/>
          <w:color w:val="FF0000"/>
          <w:sz w:val="24"/>
          <w:szCs w:val="24"/>
        </w:rPr>
        <w:t>Table 4: Regressions Results</w:t>
      </w:r>
    </w:p>
    <w:p w14:paraId="6B00B79F" w14:textId="4C0F1537" w:rsidR="005B7A36" w:rsidRPr="00CE6819" w:rsidRDefault="005B7A36" w:rsidP="00D01F96">
      <w:pPr>
        <w:bidi w:val="0"/>
        <w:spacing w:after="0" w:line="240" w:lineRule="auto"/>
        <w:rPr>
          <w:rFonts w:ascii="Arial" w:eastAsia="Times New Roman" w:hAnsi="Arial" w:cs="Arial"/>
          <w:b/>
          <w:bCs/>
          <w:color w:val="FF0000"/>
          <w:sz w:val="24"/>
          <w:szCs w:val="24"/>
        </w:rPr>
      </w:pPr>
      <w:r w:rsidRPr="00CE6819">
        <w:rPr>
          <w:rFonts w:ascii="Arial" w:eastAsia="Times New Roman" w:hAnsi="Arial" w:cs="Arial"/>
          <w:b/>
          <w:bCs/>
          <w:color w:val="FF0000"/>
          <w:sz w:val="24"/>
          <w:szCs w:val="24"/>
        </w:rPr>
        <w:t xml:space="preserve">Panel A: </w:t>
      </w:r>
      <w:r w:rsidR="00E729D2" w:rsidRPr="00CE6819">
        <w:rPr>
          <w:rFonts w:ascii="Arial" w:eastAsia="Times New Roman" w:hAnsi="Arial" w:cs="Arial"/>
          <w:b/>
          <w:bCs/>
          <w:color w:val="FF0000"/>
          <w:sz w:val="24"/>
          <w:szCs w:val="24"/>
        </w:rPr>
        <w:t>S</w:t>
      </w:r>
      <w:r w:rsidRPr="00CE6819">
        <w:rPr>
          <w:rFonts w:ascii="Arial" w:eastAsia="Times New Roman" w:hAnsi="Arial" w:cs="Arial"/>
          <w:b/>
          <w:bCs/>
          <w:color w:val="FF0000"/>
          <w:sz w:val="24"/>
          <w:szCs w:val="24"/>
        </w:rPr>
        <w:t>ix months following the IPO</w:t>
      </w:r>
    </w:p>
    <w:p w14:paraId="1591418E" w14:textId="77777777" w:rsidR="005B7A36" w:rsidRPr="00CE6819" w:rsidRDefault="005B7A36" w:rsidP="00D01F96">
      <w:pPr>
        <w:bidi w:val="0"/>
        <w:spacing w:after="0" w:line="240" w:lineRule="auto"/>
        <w:rPr>
          <w:rFonts w:ascii="Arial" w:eastAsia="Times New Roman" w:hAnsi="Arial" w:cs="Arial"/>
          <w:color w:val="000000"/>
          <w:sz w:val="24"/>
          <w:szCs w:val="24"/>
        </w:rPr>
      </w:pPr>
      <w:r w:rsidRPr="00CE6819">
        <w:rPr>
          <w:rFonts w:ascii="Arial" w:eastAsia="Times New Roman" w:hAnsi="Arial" w:cs="Arial"/>
          <w:color w:val="000000"/>
          <w:sz w:val="24"/>
          <w:szCs w:val="24"/>
        </w:rPr>
        <w:t> </w:t>
      </w:r>
    </w:p>
    <w:tbl>
      <w:tblPr>
        <w:tblW w:w="8916" w:type="dxa"/>
        <w:tblLook w:val="04A0" w:firstRow="1" w:lastRow="0" w:firstColumn="1" w:lastColumn="0" w:noHBand="0" w:noVBand="1"/>
      </w:tblPr>
      <w:tblGrid>
        <w:gridCol w:w="1261"/>
        <w:gridCol w:w="1276"/>
        <w:gridCol w:w="1276"/>
        <w:gridCol w:w="1275"/>
        <w:gridCol w:w="1276"/>
        <w:gridCol w:w="1276"/>
        <w:gridCol w:w="1276"/>
      </w:tblGrid>
      <w:tr w:rsidR="005B7A36" w:rsidRPr="00CE6819" w14:paraId="4FF9E791" w14:textId="77777777" w:rsidTr="00EC3C7C">
        <w:trPr>
          <w:trHeight w:val="330"/>
        </w:trPr>
        <w:tc>
          <w:tcPr>
            <w:tcW w:w="1261" w:type="dxa"/>
            <w:tcBorders>
              <w:top w:val="single" w:sz="12" w:space="0" w:color="auto"/>
              <w:left w:val="single" w:sz="12" w:space="0" w:color="auto"/>
              <w:bottom w:val="nil"/>
              <w:right w:val="nil"/>
            </w:tcBorders>
            <w:shd w:val="clear" w:color="000000" w:fill="FFFFFF"/>
            <w:noWrap/>
            <w:vAlign w:val="bottom"/>
            <w:hideMark/>
          </w:tcPr>
          <w:p w14:paraId="008CA28E" w14:textId="77777777" w:rsidR="005B7A36" w:rsidRPr="00CE6819" w:rsidRDefault="005B7A36" w:rsidP="00D01F96">
            <w:pPr>
              <w:bidi w:val="0"/>
              <w:spacing w:after="0" w:line="240" w:lineRule="auto"/>
              <w:rPr>
                <w:rFonts w:ascii="Arial" w:eastAsia="Times New Roman" w:hAnsi="Arial" w:cs="Arial"/>
                <w:color w:val="000000"/>
                <w:sz w:val="24"/>
                <w:szCs w:val="24"/>
              </w:rPr>
            </w:pPr>
            <w:r w:rsidRPr="00CE6819">
              <w:rPr>
                <w:rFonts w:ascii="Arial" w:eastAsia="Times New Roman" w:hAnsi="Arial" w:cs="Arial"/>
                <w:color w:val="000000"/>
                <w:sz w:val="24"/>
                <w:szCs w:val="24"/>
              </w:rPr>
              <w:t> </w:t>
            </w:r>
          </w:p>
        </w:tc>
        <w:tc>
          <w:tcPr>
            <w:tcW w:w="2552" w:type="dxa"/>
            <w:gridSpan w:val="2"/>
            <w:tcBorders>
              <w:top w:val="single" w:sz="12" w:space="0" w:color="auto"/>
              <w:left w:val="single" w:sz="12" w:space="0" w:color="auto"/>
              <w:bottom w:val="single" w:sz="12" w:space="0" w:color="auto"/>
              <w:right w:val="single" w:sz="12" w:space="0" w:color="000000"/>
            </w:tcBorders>
            <w:shd w:val="clear" w:color="000000" w:fill="FFFFFF"/>
            <w:noWrap/>
            <w:vAlign w:val="bottom"/>
            <w:hideMark/>
          </w:tcPr>
          <w:p w14:paraId="2E44DD61" w14:textId="77777777" w:rsidR="005B7A36" w:rsidRPr="00CE6819" w:rsidRDefault="005B7A36" w:rsidP="00D01F96">
            <w:pPr>
              <w:bidi w:val="0"/>
              <w:spacing w:after="0" w:line="240" w:lineRule="auto"/>
              <w:jc w:val="center"/>
              <w:rPr>
                <w:rFonts w:ascii="Arial" w:eastAsia="Times New Roman" w:hAnsi="Arial" w:cs="Arial"/>
                <w:b/>
                <w:bCs/>
                <w:color w:val="000000"/>
                <w:sz w:val="24"/>
                <w:szCs w:val="24"/>
              </w:rPr>
            </w:pPr>
            <w:r w:rsidRPr="00CE6819">
              <w:rPr>
                <w:rFonts w:ascii="Arial" w:eastAsia="Times New Roman" w:hAnsi="Arial" w:cs="Arial"/>
                <w:b/>
                <w:bCs/>
                <w:color w:val="000000"/>
                <w:sz w:val="24"/>
                <w:szCs w:val="24"/>
              </w:rPr>
              <w:t>The Entire Sample</w:t>
            </w:r>
          </w:p>
        </w:tc>
        <w:tc>
          <w:tcPr>
            <w:tcW w:w="2551" w:type="dxa"/>
            <w:gridSpan w:val="2"/>
            <w:tcBorders>
              <w:top w:val="single" w:sz="12" w:space="0" w:color="auto"/>
              <w:left w:val="nil"/>
              <w:bottom w:val="single" w:sz="12" w:space="0" w:color="auto"/>
              <w:right w:val="single" w:sz="12" w:space="0" w:color="000000"/>
            </w:tcBorders>
            <w:shd w:val="clear" w:color="000000" w:fill="FFFFFF"/>
            <w:noWrap/>
            <w:vAlign w:val="bottom"/>
            <w:hideMark/>
          </w:tcPr>
          <w:p w14:paraId="22EDAA22" w14:textId="77777777" w:rsidR="005B7A36" w:rsidRPr="00CE6819" w:rsidRDefault="005B7A36" w:rsidP="00D01F96">
            <w:pPr>
              <w:bidi w:val="0"/>
              <w:spacing w:after="0" w:line="240" w:lineRule="auto"/>
              <w:jc w:val="center"/>
              <w:rPr>
                <w:rFonts w:ascii="Arial" w:eastAsia="Times New Roman" w:hAnsi="Arial" w:cs="Arial"/>
                <w:b/>
                <w:bCs/>
                <w:color w:val="000000"/>
                <w:sz w:val="24"/>
                <w:szCs w:val="24"/>
              </w:rPr>
            </w:pPr>
            <w:r w:rsidRPr="00CE6819">
              <w:rPr>
                <w:rFonts w:ascii="Arial" w:eastAsia="Times New Roman" w:hAnsi="Arial" w:cs="Arial"/>
                <w:b/>
                <w:bCs/>
                <w:color w:val="000000"/>
                <w:sz w:val="24"/>
                <w:szCs w:val="24"/>
              </w:rPr>
              <w:t>Market Value &lt; $500M</w:t>
            </w:r>
          </w:p>
        </w:tc>
        <w:tc>
          <w:tcPr>
            <w:tcW w:w="2552" w:type="dxa"/>
            <w:gridSpan w:val="2"/>
            <w:tcBorders>
              <w:top w:val="single" w:sz="12" w:space="0" w:color="auto"/>
              <w:left w:val="nil"/>
              <w:bottom w:val="single" w:sz="12" w:space="0" w:color="auto"/>
              <w:right w:val="single" w:sz="12" w:space="0" w:color="000000"/>
            </w:tcBorders>
            <w:shd w:val="clear" w:color="000000" w:fill="FFFFFF"/>
            <w:noWrap/>
            <w:vAlign w:val="bottom"/>
            <w:hideMark/>
          </w:tcPr>
          <w:p w14:paraId="12A49BCE" w14:textId="77777777" w:rsidR="005B7A36" w:rsidRPr="00CE6819" w:rsidRDefault="005B7A36" w:rsidP="00D01F96">
            <w:pPr>
              <w:bidi w:val="0"/>
              <w:spacing w:after="0" w:line="240" w:lineRule="auto"/>
              <w:jc w:val="center"/>
              <w:rPr>
                <w:rFonts w:ascii="Arial" w:eastAsia="Times New Roman" w:hAnsi="Arial" w:cs="Arial"/>
                <w:b/>
                <w:bCs/>
                <w:color w:val="000000"/>
                <w:sz w:val="24"/>
                <w:szCs w:val="24"/>
              </w:rPr>
            </w:pPr>
            <w:r w:rsidRPr="00CE6819">
              <w:rPr>
                <w:rFonts w:ascii="Arial" w:eastAsia="Times New Roman" w:hAnsi="Arial" w:cs="Arial"/>
                <w:b/>
                <w:bCs/>
                <w:color w:val="000000"/>
                <w:sz w:val="24"/>
                <w:szCs w:val="24"/>
              </w:rPr>
              <w:t>Market Value &gt; $500M</w:t>
            </w:r>
          </w:p>
        </w:tc>
      </w:tr>
      <w:tr w:rsidR="005B7A36" w:rsidRPr="00CE6819" w14:paraId="49DF8BDA" w14:textId="77777777" w:rsidTr="00EC3C7C">
        <w:trPr>
          <w:trHeight w:val="300"/>
        </w:trPr>
        <w:tc>
          <w:tcPr>
            <w:tcW w:w="1261" w:type="dxa"/>
            <w:tcBorders>
              <w:top w:val="single" w:sz="12" w:space="0" w:color="auto"/>
              <w:left w:val="single" w:sz="12" w:space="0" w:color="auto"/>
              <w:bottom w:val="single" w:sz="4" w:space="0" w:color="auto"/>
              <w:right w:val="nil"/>
            </w:tcBorders>
            <w:shd w:val="clear" w:color="000000" w:fill="FFFFFF"/>
            <w:noWrap/>
            <w:vAlign w:val="bottom"/>
            <w:hideMark/>
          </w:tcPr>
          <w:p w14:paraId="413590F0" w14:textId="77777777" w:rsidR="005B7A36" w:rsidRPr="00CE6819" w:rsidRDefault="005B7A36" w:rsidP="00D01F96">
            <w:pPr>
              <w:bidi w:val="0"/>
              <w:spacing w:after="0" w:line="240" w:lineRule="auto"/>
              <w:rPr>
                <w:rFonts w:ascii="Arial" w:eastAsia="Times New Roman" w:hAnsi="Arial" w:cs="Arial"/>
                <w:color w:val="000000"/>
                <w:sz w:val="24"/>
                <w:szCs w:val="24"/>
              </w:rPr>
            </w:pPr>
            <w:r w:rsidRPr="00CE6819">
              <w:rPr>
                <w:rFonts w:ascii="Arial" w:eastAsia="Times New Roman" w:hAnsi="Arial" w:cs="Arial"/>
                <w:color w:val="000000"/>
                <w:sz w:val="24"/>
                <w:szCs w:val="24"/>
              </w:rPr>
              <w:t> </w:t>
            </w:r>
          </w:p>
        </w:tc>
        <w:tc>
          <w:tcPr>
            <w:tcW w:w="1276" w:type="dxa"/>
            <w:tcBorders>
              <w:top w:val="nil"/>
              <w:left w:val="single" w:sz="12" w:space="0" w:color="auto"/>
              <w:bottom w:val="single" w:sz="4" w:space="0" w:color="auto"/>
              <w:right w:val="nil"/>
            </w:tcBorders>
            <w:shd w:val="clear" w:color="000000" w:fill="FFFFFF"/>
            <w:noWrap/>
            <w:vAlign w:val="bottom"/>
            <w:hideMark/>
          </w:tcPr>
          <w:p w14:paraId="3F060E85" w14:textId="77777777" w:rsidR="005B7A36" w:rsidRPr="00CE6819" w:rsidRDefault="005B7A36" w:rsidP="00D01F96">
            <w:pPr>
              <w:bidi w:val="0"/>
              <w:spacing w:after="0" w:line="240" w:lineRule="auto"/>
              <w:jc w:val="center"/>
              <w:rPr>
                <w:rFonts w:ascii="Arial" w:eastAsia="Times New Roman" w:hAnsi="Arial" w:cs="Arial"/>
                <w:color w:val="000000"/>
                <w:sz w:val="24"/>
                <w:szCs w:val="24"/>
              </w:rPr>
            </w:pPr>
            <w:r w:rsidRPr="00CE6819">
              <w:rPr>
                <w:rFonts w:ascii="Arial" w:eastAsia="Times New Roman" w:hAnsi="Arial" w:cs="Arial"/>
                <w:color w:val="000000"/>
                <w:sz w:val="24"/>
                <w:szCs w:val="24"/>
              </w:rPr>
              <w:t xml:space="preserve">Return </w:t>
            </w:r>
          </w:p>
        </w:tc>
        <w:tc>
          <w:tcPr>
            <w:tcW w:w="1276" w:type="dxa"/>
            <w:tcBorders>
              <w:top w:val="nil"/>
              <w:left w:val="single" w:sz="4" w:space="0" w:color="auto"/>
              <w:bottom w:val="single" w:sz="4" w:space="0" w:color="auto"/>
              <w:right w:val="single" w:sz="12" w:space="0" w:color="auto"/>
            </w:tcBorders>
            <w:shd w:val="clear" w:color="000000" w:fill="FFFFFF"/>
            <w:noWrap/>
            <w:vAlign w:val="bottom"/>
            <w:hideMark/>
          </w:tcPr>
          <w:p w14:paraId="6667DB28" w14:textId="77777777" w:rsidR="005B7A36" w:rsidRPr="00CE6819" w:rsidRDefault="005B7A36" w:rsidP="00D01F96">
            <w:pPr>
              <w:bidi w:val="0"/>
              <w:spacing w:after="0" w:line="240" w:lineRule="auto"/>
              <w:jc w:val="center"/>
              <w:rPr>
                <w:rFonts w:ascii="Arial" w:eastAsia="Times New Roman" w:hAnsi="Arial" w:cs="Arial"/>
                <w:color w:val="000000"/>
                <w:sz w:val="24"/>
                <w:szCs w:val="24"/>
              </w:rPr>
            </w:pPr>
            <w:r w:rsidRPr="00CE6819">
              <w:rPr>
                <w:rFonts w:ascii="Arial" w:eastAsia="Times New Roman" w:hAnsi="Arial" w:cs="Arial"/>
                <w:color w:val="000000"/>
                <w:sz w:val="24"/>
                <w:szCs w:val="24"/>
              </w:rPr>
              <w:t>AR to Sector</w:t>
            </w:r>
          </w:p>
        </w:tc>
        <w:tc>
          <w:tcPr>
            <w:tcW w:w="1275" w:type="dxa"/>
            <w:tcBorders>
              <w:top w:val="nil"/>
              <w:left w:val="nil"/>
              <w:bottom w:val="single" w:sz="4" w:space="0" w:color="auto"/>
              <w:right w:val="nil"/>
            </w:tcBorders>
            <w:shd w:val="clear" w:color="000000" w:fill="FFFFFF"/>
            <w:noWrap/>
            <w:vAlign w:val="bottom"/>
            <w:hideMark/>
          </w:tcPr>
          <w:p w14:paraId="394F7B60" w14:textId="77777777" w:rsidR="005B7A36" w:rsidRPr="00CE6819" w:rsidRDefault="005B7A36" w:rsidP="00D01F96">
            <w:pPr>
              <w:bidi w:val="0"/>
              <w:spacing w:after="0" w:line="240" w:lineRule="auto"/>
              <w:jc w:val="center"/>
              <w:rPr>
                <w:rFonts w:ascii="Arial" w:eastAsia="Times New Roman" w:hAnsi="Arial" w:cs="Arial"/>
                <w:color w:val="000000"/>
                <w:sz w:val="24"/>
                <w:szCs w:val="24"/>
              </w:rPr>
            </w:pPr>
            <w:r w:rsidRPr="00CE6819">
              <w:rPr>
                <w:rFonts w:ascii="Arial" w:eastAsia="Times New Roman" w:hAnsi="Arial" w:cs="Arial"/>
                <w:color w:val="000000"/>
                <w:sz w:val="24"/>
                <w:szCs w:val="24"/>
              </w:rPr>
              <w:t>Return</w:t>
            </w:r>
          </w:p>
        </w:tc>
        <w:tc>
          <w:tcPr>
            <w:tcW w:w="1276" w:type="dxa"/>
            <w:tcBorders>
              <w:top w:val="nil"/>
              <w:left w:val="single" w:sz="4" w:space="0" w:color="auto"/>
              <w:bottom w:val="single" w:sz="4" w:space="0" w:color="auto"/>
              <w:right w:val="single" w:sz="12" w:space="0" w:color="auto"/>
            </w:tcBorders>
            <w:shd w:val="clear" w:color="000000" w:fill="FFFFFF"/>
            <w:noWrap/>
            <w:vAlign w:val="bottom"/>
            <w:hideMark/>
          </w:tcPr>
          <w:p w14:paraId="393CF6A7" w14:textId="77777777" w:rsidR="005B7A36" w:rsidRPr="00CE6819" w:rsidRDefault="005B7A36" w:rsidP="00D01F96">
            <w:pPr>
              <w:bidi w:val="0"/>
              <w:spacing w:after="0" w:line="240" w:lineRule="auto"/>
              <w:jc w:val="center"/>
              <w:rPr>
                <w:rFonts w:ascii="Arial" w:eastAsia="Times New Roman" w:hAnsi="Arial" w:cs="Arial"/>
                <w:color w:val="000000"/>
                <w:sz w:val="24"/>
                <w:szCs w:val="24"/>
              </w:rPr>
            </w:pPr>
            <w:r w:rsidRPr="00CE6819">
              <w:rPr>
                <w:rFonts w:ascii="Arial" w:eastAsia="Times New Roman" w:hAnsi="Arial" w:cs="Arial"/>
                <w:color w:val="000000"/>
                <w:sz w:val="24"/>
                <w:szCs w:val="24"/>
              </w:rPr>
              <w:t>AR to Sector</w:t>
            </w:r>
          </w:p>
        </w:tc>
        <w:tc>
          <w:tcPr>
            <w:tcW w:w="1276" w:type="dxa"/>
            <w:tcBorders>
              <w:top w:val="nil"/>
              <w:left w:val="nil"/>
              <w:bottom w:val="single" w:sz="4" w:space="0" w:color="auto"/>
              <w:right w:val="nil"/>
            </w:tcBorders>
            <w:shd w:val="clear" w:color="000000" w:fill="FFFFFF"/>
            <w:noWrap/>
            <w:vAlign w:val="bottom"/>
            <w:hideMark/>
          </w:tcPr>
          <w:p w14:paraId="72CF4A45" w14:textId="77777777" w:rsidR="005B7A36" w:rsidRPr="00CE6819" w:rsidRDefault="005B7A36" w:rsidP="00D01F96">
            <w:pPr>
              <w:bidi w:val="0"/>
              <w:spacing w:after="0" w:line="240" w:lineRule="auto"/>
              <w:jc w:val="center"/>
              <w:rPr>
                <w:rFonts w:ascii="Arial" w:eastAsia="Times New Roman" w:hAnsi="Arial" w:cs="Arial"/>
                <w:color w:val="000000"/>
                <w:sz w:val="24"/>
                <w:szCs w:val="24"/>
              </w:rPr>
            </w:pPr>
            <w:r w:rsidRPr="00CE6819">
              <w:rPr>
                <w:rFonts w:ascii="Arial" w:eastAsia="Times New Roman" w:hAnsi="Arial" w:cs="Arial"/>
                <w:color w:val="000000"/>
                <w:sz w:val="24"/>
                <w:szCs w:val="24"/>
              </w:rPr>
              <w:t>Return</w:t>
            </w:r>
          </w:p>
        </w:tc>
        <w:tc>
          <w:tcPr>
            <w:tcW w:w="1276" w:type="dxa"/>
            <w:tcBorders>
              <w:top w:val="nil"/>
              <w:left w:val="single" w:sz="4" w:space="0" w:color="auto"/>
              <w:bottom w:val="single" w:sz="4" w:space="0" w:color="auto"/>
              <w:right w:val="single" w:sz="12" w:space="0" w:color="auto"/>
            </w:tcBorders>
            <w:shd w:val="clear" w:color="000000" w:fill="FFFFFF"/>
            <w:noWrap/>
            <w:vAlign w:val="bottom"/>
            <w:hideMark/>
          </w:tcPr>
          <w:p w14:paraId="15611E99" w14:textId="77777777" w:rsidR="005B7A36" w:rsidRPr="00CE6819" w:rsidRDefault="005B7A36" w:rsidP="00D01F96">
            <w:pPr>
              <w:bidi w:val="0"/>
              <w:spacing w:after="0" w:line="240" w:lineRule="auto"/>
              <w:jc w:val="center"/>
              <w:rPr>
                <w:rFonts w:ascii="Arial" w:eastAsia="Times New Roman" w:hAnsi="Arial" w:cs="Arial"/>
                <w:color w:val="000000"/>
                <w:sz w:val="24"/>
                <w:szCs w:val="24"/>
              </w:rPr>
            </w:pPr>
            <w:r w:rsidRPr="00CE6819">
              <w:rPr>
                <w:rFonts w:ascii="Arial" w:eastAsia="Times New Roman" w:hAnsi="Arial" w:cs="Arial"/>
                <w:color w:val="000000"/>
                <w:sz w:val="24"/>
                <w:szCs w:val="24"/>
              </w:rPr>
              <w:t>AR to Sector</w:t>
            </w:r>
          </w:p>
        </w:tc>
      </w:tr>
      <w:tr w:rsidR="005B7A36" w:rsidRPr="00CE6819" w14:paraId="5A03CFEB" w14:textId="77777777" w:rsidTr="00EC3C7C">
        <w:trPr>
          <w:trHeight w:val="285"/>
        </w:trPr>
        <w:tc>
          <w:tcPr>
            <w:tcW w:w="1261" w:type="dxa"/>
            <w:tcBorders>
              <w:top w:val="nil"/>
              <w:left w:val="single" w:sz="12" w:space="0" w:color="auto"/>
              <w:bottom w:val="nil"/>
              <w:right w:val="nil"/>
            </w:tcBorders>
            <w:shd w:val="clear" w:color="000000" w:fill="FFFFFF"/>
            <w:noWrap/>
            <w:vAlign w:val="bottom"/>
            <w:hideMark/>
          </w:tcPr>
          <w:p w14:paraId="200513D9" w14:textId="77777777" w:rsidR="005B7A36" w:rsidRPr="00FC0EC8" w:rsidRDefault="005B7A36" w:rsidP="00D01F96">
            <w:pPr>
              <w:bidi w:val="0"/>
              <w:spacing w:after="0" w:line="240" w:lineRule="auto"/>
              <w:rPr>
                <w:rFonts w:ascii="Arial" w:eastAsia="Times New Roman" w:hAnsi="Arial" w:cs="Arial"/>
                <w:color w:val="000000"/>
                <w:sz w:val="20"/>
                <w:szCs w:val="20"/>
              </w:rPr>
            </w:pPr>
            <w:r w:rsidRPr="00FC0EC8">
              <w:rPr>
                <w:rFonts w:ascii="Arial" w:eastAsia="Times New Roman" w:hAnsi="Arial" w:cs="Arial"/>
                <w:color w:val="000000"/>
                <w:sz w:val="20"/>
                <w:szCs w:val="20"/>
              </w:rPr>
              <w:lastRenderedPageBreak/>
              <w:t>Intercept</w:t>
            </w:r>
          </w:p>
        </w:tc>
        <w:tc>
          <w:tcPr>
            <w:tcW w:w="1276" w:type="dxa"/>
            <w:tcBorders>
              <w:top w:val="nil"/>
              <w:left w:val="single" w:sz="12" w:space="0" w:color="auto"/>
              <w:bottom w:val="nil"/>
              <w:right w:val="nil"/>
            </w:tcBorders>
            <w:shd w:val="clear" w:color="000000" w:fill="FFFFFF"/>
            <w:noWrap/>
            <w:vAlign w:val="center"/>
            <w:hideMark/>
          </w:tcPr>
          <w:p w14:paraId="7DD723A6"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-0.13 (0.63)</w:t>
            </w:r>
          </w:p>
        </w:tc>
        <w:tc>
          <w:tcPr>
            <w:tcW w:w="1276" w:type="dxa"/>
            <w:tcBorders>
              <w:top w:val="nil"/>
              <w:left w:val="single" w:sz="4" w:space="0" w:color="auto"/>
              <w:bottom w:val="nil"/>
              <w:right w:val="single" w:sz="12" w:space="0" w:color="auto"/>
            </w:tcBorders>
            <w:shd w:val="clear" w:color="000000" w:fill="FFFFFF"/>
            <w:noWrap/>
            <w:vAlign w:val="center"/>
            <w:hideMark/>
          </w:tcPr>
          <w:p w14:paraId="417FA3DF"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-0.19 (0.48)</w:t>
            </w:r>
          </w:p>
        </w:tc>
        <w:tc>
          <w:tcPr>
            <w:tcW w:w="1275" w:type="dxa"/>
            <w:tcBorders>
              <w:top w:val="nil"/>
              <w:left w:val="nil"/>
              <w:bottom w:val="nil"/>
              <w:right w:val="nil"/>
            </w:tcBorders>
            <w:shd w:val="clear" w:color="000000" w:fill="FFFFFF"/>
            <w:noWrap/>
            <w:vAlign w:val="center"/>
            <w:hideMark/>
          </w:tcPr>
          <w:p w14:paraId="58BE728F"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-0.2 (0.48)</w:t>
            </w:r>
          </w:p>
        </w:tc>
        <w:tc>
          <w:tcPr>
            <w:tcW w:w="1276" w:type="dxa"/>
            <w:tcBorders>
              <w:top w:val="nil"/>
              <w:left w:val="single" w:sz="4" w:space="0" w:color="auto"/>
              <w:bottom w:val="nil"/>
              <w:right w:val="single" w:sz="12" w:space="0" w:color="auto"/>
            </w:tcBorders>
            <w:shd w:val="clear" w:color="000000" w:fill="FFFFFF"/>
            <w:noWrap/>
            <w:vAlign w:val="center"/>
            <w:hideMark/>
          </w:tcPr>
          <w:p w14:paraId="1D3DBBE8"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-0.27 (0.35)</w:t>
            </w:r>
          </w:p>
        </w:tc>
        <w:tc>
          <w:tcPr>
            <w:tcW w:w="1276" w:type="dxa"/>
            <w:tcBorders>
              <w:top w:val="nil"/>
              <w:left w:val="nil"/>
              <w:bottom w:val="nil"/>
              <w:right w:val="nil"/>
            </w:tcBorders>
            <w:shd w:val="clear" w:color="000000" w:fill="FFFFFF"/>
            <w:noWrap/>
            <w:vAlign w:val="center"/>
            <w:hideMark/>
          </w:tcPr>
          <w:p w14:paraId="645E7298"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0.46 (0.66)</w:t>
            </w:r>
          </w:p>
        </w:tc>
        <w:tc>
          <w:tcPr>
            <w:tcW w:w="1276" w:type="dxa"/>
            <w:tcBorders>
              <w:top w:val="nil"/>
              <w:left w:val="single" w:sz="4" w:space="0" w:color="auto"/>
              <w:bottom w:val="nil"/>
              <w:right w:val="single" w:sz="12" w:space="0" w:color="auto"/>
            </w:tcBorders>
            <w:shd w:val="clear" w:color="000000" w:fill="FFFFFF"/>
            <w:noWrap/>
            <w:vAlign w:val="center"/>
            <w:hideMark/>
          </w:tcPr>
          <w:p w14:paraId="165F1DB8"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0.36 (0.73)</w:t>
            </w:r>
          </w:p>
        </w:tc>
      </w:tr>
      <w:tr w:rsidR="005B7A36" w:rsidRPr="00CE6819" w14:paraId="05C96554" w14:textId="77777777" w:rsidTr="00EC3C7C">
        <w:trPr>
          <w:trHeight w:val="285"/>
        </w:trPr>
        <w:tc>
          <w:tcPr>
            <w:tcW w:w="1261" w:type="dxa"/>
            <w:tcBorders>
              <w:top w:val="nil"/>
              <w:left w:val="single" w:sz="12" w:space="0" w:color="auto"/>
              <w:bottom w:val="nil"/>
              <w:right w:val="nil"/>
            </w:tcBorders>
            <w:shd w:val="clear" w:color="000000" w:fill="FFFFFF"/>
            <w:noWrap/>
            <w:vAlign w:val="bottom"/>
            <w:hideMark/>
          </w:tcPr>
          <w:p w14:paraId="5F4C4D6D" w14:textId="77777777" w:rsidR="005B7A36" w:rsidRPr="00FC0EC8" w:rsidRDefault="005B7A36" w:rsidP="00D01F96">
            <w:pPr>
              <w:bidi w:val="0"/>
              <w:spacing w:after="0" w:line="240" w:lineRule="auto"/>
              <w:rPr>
                <w:rFonts w:ascii="Arial" w:eastAsia="Times New Roman" w:hAnsi="Arial" w:cs="Arial"/>
                <w:color w:val="000000"/>
                <w:sz w:val="20"/>
                <w:szCs w:val="20"/>
              </w:rPr>
            </w:pPr>
            <w:r w:rsidRPr="00FC0EC8">
              <w:rPr>
                <w:rFonts w:ascii="Arial" w:eastAsia="Times New Roman" w:hAnsi="Arial" w:cs="Arial"/>
                <w:color w:val="000000"/>
                <w:sz w:val="20"/>
                <w:szCs w:val="20"/>
              </w:rPr>
              <w:t>Ln(MV)</w:t>
            </w:r>
          </w:p>
        </w:tc>
        <w:tc>
          <w:tcPr>
            <w:tcW w:w="1276" w:type="dxa"/>
            <w:tcBorders>
              <w:top w:val="nil"/>
              <w:left w:val="single" w:sz="12" w:space="0" w:color="auto"/>
              <w:bottom w:val="nil"/>
              <w:right w:val="nil"/>
            </w:tcBorders>
            <w:shd w:val="clear" w:color="000000" w:fill="FFFFFF"/>
            <w:noWrap/>
            <w:vAlign w:val="center"/>
            <w:hideMark/>
          </w:tcPr>
          <w:p w14:paraId="0D432D63"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0.42 (0.00)</w:t>
            </w:r>
          </w:p>
        </w:tc>
        <w:tc>
          <w:tcPr>
            <w:tcW w:w="1276" w:type="dxa"/>
            <w:tcBorders>
              <w:top w:val="nil"/>
              <w:left w:val="single" w:sz="4" w:space="0" w:color="auto"/>
              <w:bottom w:val="nil"/>
              <w:right w:val="single" w:sz="12" w:space="0" w:color="auto"/>
            </w:tcBorders>
            <w:shd w:val="clear" w:color="000000" w:fill="FFFFFF"/>
            <w:noWrap/>
            <w:vAlign w:val="center"/>
            <w:hideMark/>
          </w:tcPr>
          <w:p w14:paraId="6530D9D2"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0.41 (0.00)</w:t>
            </w:r>
          </w:p>
        </w:tc>
        <w:tc>
          <w:tcPr>
            <w:tcW w:w="1275" w:type="dxa"/>
            <w:tcBorders>
              <w:top w:val="nil"/>
              <w:left w:val="nil"/>
              <w:bottom w:val="nil"/>
              <w:right w:val="nil"/>
            </w:tcBorders>
            <w:shd w:val="clear" w:color="000000" w:fill="FFFFFF"/>
            <w:noWrap/>
            <w:vAlign w:val="center"/>
            <w:hideMark/>
          </w:tcPr>
          <w:p w14:paraId="1E214999"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0.23 (0.00)</w:t>
            </w:r>
          </w:p>
        </w:tc>
        <w:tc>
          <w:tcPr>
            <w:tcW w:w="1276" w:type="dxa"/>
            <w:tcBorders>
              <w:top w:val="nil"/>
              <w:left w:val="single" w:sz="4" w:space="0" w:color="auto"/>
              <w:bottom w:val="nil"/>
              <w:right w:val="single" w:sz="12" w:space="0" w:color="auto"/>
            </w:tcBorders>
            <w:shd w:val="clear" w:color="000000" w:fill="FFFFFF"/>
            <w:noWrap/>
            <w:vAlign w:val="center"/>
            <w:hideMark/>
          </w:tcPr>
          <w:p w14:paraId="7E11332B"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0.24 (0.00)</w:t>
            </w:r>
          </w:p>
        </w:tc>
        <w:tc>
          <w:tcPr>
            <w:tcW w:w="1276" w:type="dxa"/>
            <w:tcBorders>
              <w:top w:val="nil"/>
              <w:left w:val="nil"/>
              <w:bottom w:val="nil"/>
              <w:right w:val="nil"/>
            </w:tcBorders>
            <w:shd w:val="clear" w:color="000000" w:fill="FFFFFF"/>
            <w:noWrap/>
            <w:vAlign w:val="center"/>
            <w:hideMark/>
          </w:tcPr>
          <w:p w14:paraId="74E4E87C"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0.70 (0.00)</w:t>
            </w:r>
          </w:p>
        </w:tc>
        <w:tc>
          <w:tcPr>
            <w:tcW w:w="1276" w:type="dxa"/>
            <w:tcBorders>
              <w:top w:val="nil"/>
              <w:left w:val="single" w:sz="4" w:space="0" w:color="auto"/>
              <w:bottom w:val="nil"/>
              <w:right w:val="single" w:sz="12" w:space="0" w:color="auto"/>
            </w:tcBorders>
            <w:shd w:val="clear" w:color="000000" w:fill="FFFFFF"/>
            <w:noWrap/>
            <w:vAlign w:val="center"/>
            <w:hideMark/>
          </w:tcPr>
          <w:p w14:paraId="0CB7E498"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0.68 (0.00)</w:t>
            </w:r>
          </w:p>
        </w:tc>
      </w:tr>
      <w:tr w:rsidR="005B7A36" w:rsidRPr="00CE6819" w14:paraId="13848951" w14:textId="77777777" w:rsidTr="00EC3C7C">
        <w:trPr>
          <w:trHeight w:val="285"/>
        </w:trPr>
        <w:tc>
          <w:tcPr>
            <w:tcW w:w="1261" w:type="dxa"/>
            <w:tcBorders>
              <w:top w:val="nil"/>
              <w:left w:val="single" w:sz="12" w:space="0" w:color="auto"/>
              <w:bottom w:val="nil"/>
              <w:right w:val="nil"/>
            </w:tcBorders>
            <w:shd w:val="clear" w:color="000000" w:fill="FFFFFF"/>
            <w:noWrap/>
            <w:vAlign w:val="bottom"/>
            <w:hideMark/>
          </w:tcPr>
          <w:p w14:paraId="1A40ED48" w14:textId="21111924" w:rsidR="005B7A36" w:rsidRPr="00FC0EC8" w:rsidRDefault="005B7A36" w:rsidP="00D01F96">
            <w:pPr>
              <w:bidi w:val="0"/>
              <w:spacing w:after="0" w:line="240" w:lineRule="auto"/>
              <w:rPr>
                <w:rFonts w:ascii="Arial" w:eastAsia="Times New Roman" w:hAnsi="Arial" w:cs="Arial"/>
                <w:color w:val="000000"/>
                <w:sz w:val="20"/>
                <w:szCs w:val="20"/>
              </w:rPr>
            </w:pPr>
            <w:r w:rsidRPr="00FC0EC8">
              <w:rPr>
                <w:rFonts w:ascii="Arial" w:eastAsia="Times New Roman" w:hAnsi="Arial" w:cs="Arial"/>
                <w:color w:val="000000"/>
                <w:sz w:val="20"/>
                <w:szCs w:val="20"/>
              </w:rPr>
              <w:t>Ln(</w:t>
            </w:r>
            <w:r w:rsidR="009728C1" w:rsidRPr="00FC0EC8">
              <w:rPr>
                <w:rFonts w:ascii="Arial" w:eastAsia="Times New Roman" w:hAnsi="Arial" w:cs="Arial"/>
                <w:color w:val="000000"/>
                <w:sz w:val="20"/>
                <w:szCs w:val="20"/>
              </w:rPr>
              <w:t>Prcds</w:t>
            </w:r>
            <w:r w:rsidRPr="00FC0EC8">
              <w:rPr>
                <w:rFonts w:ascii="Arial" w:eastAsia="Times New Roman" w:hAnsi="Arial" w:cs="Arial"/>
                <w:color w:val="000000"/>
                <w:sz w:val="20"/>
                <w:szCs w:val="20"/>
              </w:rPr>
              <w:t>)</w:t>
            </w:r>
          </w:p>
        </w:tc>
        <w:tc>
          <w:tcPr>
            <w:tcW w:w="1276" w:type="dxa"/>
            <w:tcBorders>
              <w:top w:val="nil"/>
              <w:left w:val="single" w:sz="12" w:space="0" w:color="auto"/>
              <w:bottom w:val="nil"/>
              <w:right w:val="nil"/>
            </w:tcBorders>
            <w:shd w:val="clear" w:color="000000" w:fill="FFFFFF"/>
            <w:noWrap/>
            <w:vAlign w:val="center"/>
            <w:hideMark/>
          </w:tcPr>
          <w:p w14:paraId="47DBAB9D"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-0.49 (0.00)</w:t>
            </w:r>
          </w:p>
        </w:tc>
        <w:tc>
          <w:tcPr>
            <w:tcW w:w="1276" w:type="dxa"/>
            <w:tcBorders>
              <w:top w:val="nil"/>
              <w:left w:val="single" w:sz="4" w:space="0" w:color="auto"/>
              <w:bottom w:val="nil"/>
              <w:right w:val="single" w:sz="12" w:space="0" w:color="auto"/>
            </w:tcBorders>
            <w:shd w:val="clear" w:color="000000" w:fill="FFFFFF"/>
            <w:noWrap/>
            <w:vAlign w:val="center"/>
            <w:hideMark/>
          </w:tcPr>
          <w:p w14:paraId="51537250"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-0.48 (0.00)</w:t>
            </w:r>
          </w:p>
        </w:tc>
        <w:tc>
          <w:tcPr>
            <w:tcW w:w="1275" w:type="dxa"/>
            <w:tcBorders>
              <w:top w:val="nil"/>
              <w:left w:val="nil"/>
              <w:bottom w:val="nil"/>
              <w:right w:val="nil"/>
            </w:tcBorders>
            <w:shd w:val="clear" w:color="000000" w:fill="FFFFFF"/>
            <w:noWrap/>
            <w:vAlign w:val="center"/>
            <w:hideMark/>
          </w:tcPr>
          <w:p w14:paraId="09553D75"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-0.26 (0.00)</w:t>
            </w:r>
          </w:p>
        </w:tc>
        <w:tc>
          <w:tcPr>
            <w:tcW w:w="1276" w:type="dxa"/>
            <w:tcBorders>
              <w:top w:val="nil"/>
              <w:left w:val="single" w:sz="4" w:space="0" w:color="auto"/>
              <w:bottom w:val="nil"/>
              <w:right w:val="single" w:sz="12" w:space="0" w:color="auto"/>
            </w:tcBorders>
            <w:shd w:val="clear" w:color="000000" w:fill="FFFFFF"/>
            <w:noWrap/>
            <w:vAlign w:val="center"/>
            <w:hideMark/>
          </w:tcPr>
          <w:p w14:paraId="2623758A"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-0.25 (0.00)</w:t>
            </w:r>
          </w:p>
        </w:tc>
        <w:tc>
          <w:tcPr>
            <w:tcW w:w="1276" w:type="dxa"/>
            <w:tcBorders>
              <w:top w:val="nil"/>
              <w:left w:val="nil"/>
              <w:bottom w:val="nil"/>
              <w:right w:val="nil"/>
            </w:tcBorders>
            <w:shd w:val="clear" w:color="000000" w:fill="FFFFFF"/>
            <w:noWrap/>
            <w:vAlign w:val="center"/>
            <w:hideMark/>
          </w:tcPr>
          <w:p w14:paraId="39610646"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-0.92 (0.00)</w:t>
            </w:r>
          </w:p>
        </w:tc>
        <w:tc>
          <w:tcPr>
            <w:tcW w:w="1276" w:type="dxa"/>
            <w:tcBorders>
              <w:top w:val="nil"/>
              <w:left w:val="single" w:sz="4" w:space="0" w:color="auto"/>
              <w:bottom w:val="nil"/>
              <w:right w:val="single" w:sz="12" w:space="0" w:color="auto"/>
            </w:tcBorders>
            <w:shd w:val="clear" w:color="000000" w:fill="FFFFFF"/>
            <w:noWrap/>
            <w:vAlign w:val="center"/>
            <w:hideMark/>
          </w:tcPr>
          <w:p w14:paraId="5A3A8EC9"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-0.89 (0.00)</w:t>
            </w:r>
          </w:p>
        </w:tc>
      </w:tr>
      <w:tr w:rsidR="005B7A36" w:rsidRPr="00CE6819" w14:paraId="5093CFBE" w14:textId="77777777" w:rsidTr="00EC3C7C">
        <w:trPr>
          <w:trHeight w:val="285"/>
        </w:trPr>
        <w:tc>
          <w:tcPr>
            <w:tcW w:w="1261" w:type="dxa"/>
            <w:tcBorders>
              <w:top w:val="nil"/>
              <w:left w:val="single" w:sz="12" w:space="0" w:color="auto"/>
              <w:bottom w:val="nil"/>
              <w:right w:val="nil"/>
            </w:tcBorders>
            <w:shd w:val="clear" w:color="000000" w:fill="FFFFFF"/>
            <w:noWrap/>
            <w:vAlign w:val="bottom"/>
            <w:hideMark/>
          </w:tcPr>
          <w:p w14:paraId="5E94A92A" w14:textId="5E8DC217" w:rsidR="005B7A36" w:rsidRPr="00FC0EC8" w:rsidRDefault="009728C1" w:rsidP="00D01F96">
            <w:pPr>
              <w:bidi w:val="0"/>
              <w:spacing w:after="0" w:line="240" w:lineRule="auto"/>
              <w:rPr>
                <w:rFonts w:ascii="Arial" w:eastAsia="Times New Roman" w:hAnsi="Arial" w:cs="Arial"/>
                <w:color w:val="000000"/>
                <w:sz w:val="20"/>
                <w:szCs w:val="20"/>
              </w:rPr>
            </w:pPr>
            <w:r w:rsidRPr="00FC0EC8">
              <w:rPr>
                <w:rFonts w:ascii="Arial" w:eastAsia="Times New Roman" w:hAnsi="Arial" w:cs="Arial"/>
                <w:color w:val="000000"/>
                <w:sz w:val="20"/>
                <w:szCs w:val="20"/>
              </w:rPr>
              <w:t>Prcds</w:t>
            </w:r>
            <w:r w:rsidR="005B7A36" w:rsidRPr="00FC0EC8">
              <w:rPr>
                <w:rFonts w:ascii="Arial" w:eastAsia="Times New Roman" w:hAnsi="Arial" w:cs="Arial"/>
                <w:color w:val="000000"/>
                <w:sz w:val="20"/>
                <w:szCs w:val="20"/>
              </w:rPr>
              <w:t>(%)</w:t>
            </w:r>
          </w:p>
        </w:tc>
        <w:tc>
          <w:tcPr>
            <w:tcW w:w="1276" w:type="dxa"/>
            <w:tcBorders>
              <w:top w:val="nil"/>
              <w:left w:val="single" w:sz="12" w:space="0" w:color="auto"/>
              <w:bottom w:val="nil"/>
              <w:right w:val="nil"/>
            </w:tcBorders>
            <w:shd w:val="clear" w:color="000000" w:fill="FFFFFF"/>
            <w:noWrap/>
            <w:vAlign w:val="center"/>
            <w:hideMark/>
          </w:tcPr>
          <w:p w14:paraId="082A87B4"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0.07 (0.04)</w:t>
            </w:r>
          </w:p>
        </w:tc>
        <w:tc>
          <w:tcPr>
            <w:tcW w:w="1276" w:type="dxa"/>
            <w:tcBorders>
              <w:top w:val="nil"/>
              <w:left w:val="single" w:sz="4" w:space="0" w:color="auto"/>
              <w:bottom w:val="nil"/>
              <w:right w:val="single" w:sz="12" w:space="0" w:color="auto"/>
            </w:tcBorders>
            <w:shd w:val="clear" w:color="000000" w:fill="FFFFFF"/>
            <w:noWrap/>
            <w:vAlign w:val="center"/>
            <w:hideMark/>
          </w:tcPr>
          <w:p w14:paraId="62A4B6E4"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0.07 (0.04)</w:t>
            </w:r>
          </w:p>
        </w:tc>
        <w:tc>
          <w:tcPr>
            <w:tcW w:w="1275" w:type="dxa"/>
            <w:tcBorders>
              <w:top w:val="nil"/>
              <w:left w:val="nil"/>
              <w:bottom w:val="nil"/>
              <w:right w:val="nil"/>
            </w:tcBorders>
            <w:shd w:val="clear" w:color="000000" w:fill="FFFFFF"/>
            <w:noWrap/>
            <w:vAlign w:val="center"/>
            <w:hideMark/>
          </w:tcPr>
          <w:p w14:paraId="64093300"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 </w:t>
            </w:r>
          </w:p>
        </w:tc>
        <w:tc>
          <w:tcPr>
            <w:tcW w:w="1276" w:type="dxa"/>
            <w:tcBorders>
              <w:top w:val="nil"/>
              <w:left w:val="single" w:sz="4" w:space="0" w:color="auto"/>
              <w:bottom w:val="nil"/>
              <w:right w:val="single" w:sz="12" w:space="0" w:color="auto"/>
            </w:tcBorders>
            <w:shd w:val="clear" w:color="000000" w:fill="FFFFFF"/>
            <w:noWrap/>
            <w:vAlign w:val="center"/>
            <w:hideMark/>
          </w:tcPr>
          <w:p w14:paraId="4FF66F99"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 </w:t>
            </w:r>
          </w:p>
        </w:tc>
        <w:tc>
          <w:tcPr>
            <w:tcW w:w="1276" w:type="dxa"/>
            <w:tcBorders>
              <w:top w:val="nil"/>
              <w:left w:val="nil"/>
              <w:bottom w:val="nil"/>
              <w:right w:val="nil"/>
            </w:tcBorders>
            <w:shd w:val="clear" w:color="000000" w:fill="FFFFFF"/>
            <w:noWrap/>
            <w:vAlign w:val="center"/>
            <w:hideMark/>
          </w:tcPr>
          <w:p w14:paraId="3C24304D"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 </w:t>
            </w:r>
          </w:p>
        </w:tc>
        <w:tc>
          <w:tcPr>
            <w:tcW w:w="1276" w:type="dxa"/>
            <w:tcBorders>
              <w:top w:val="nil"/>
              <w:left w:val="single" w:sz="4" w:space="0" w:color="auto"/>
              <w:bottom w:val="nil"/>
              <w:right w:val="single" w:sz="12" w:space="0" w:color="auto"/>
            </w:tcBorders>
            <w:shd w:val="clear" w:color="000000" w:fill="FFFFFF"/>
            <w:noWrap/>
            <w:vAlign w:val="center"/>
            <w:hideMark/>
          </w:tcPr>
          <w:p w14:paraId="535DCD24"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 </w:t>
            </w:r>
          </w:p>
        </w:tc>
      </w:tr>
      <w:tr w:rsidR="005B7A36" w:rsidRPr="00CE6819" w14:paraId="7479D9A9" w14:textId="77777777" w:rsidTr="00EC3C7C">
        <w:trPr>
          <w:trHeight w:val="285"/>
        </w:trPr>
        <w:tc>
          <w:tcPr>
            <w:tcW w:w="1261" w:type="dxa"/>
            <w:tcBorders>
              <w:top w:val="nil"/>
              <w:left w:val="single" w:sz="12" w:space="0" w:color="auto"/>
              <w:bottom w:val="nil"/>
              <w:right w:val="nil"/>
            </w:tcBorders>
            <w:shd w:val="clear" w:color="000000" w:fill="FFFFFF"/>
            <w:noWrap/>
            <w:vAlign w:val="bottom"/>
            <w:hideMark/>
          </w:tcPr>
          <w:p w14:paraId="51959AEB" w14:textId="77777777" w:rsidR="005B7A36" w:rsidRPr="00FC0EC8" w:rsidRDefault="005B7A36" w:rsidP="00D01F96">
            <w:pPr>
              <w:bidi w:val="0"/>
              <w:spacing w:after="0" w:line="240" w:lineRule="auto"/>
              <w:rPr>
                <w:rFonts w:ascii="Arial" w:eastAsia="Times New Roman" w:hAnsi="Arial" w:cs="Arial"/>
                <w:color w:val="000000"/>
                <w:sz w:val="20"/>
                <w:szCs w:val="20"/>
              </w:rPr>
            </w:pPr>
            <w:r w:rsidRPr="00FC0EC8">
              <w:rPr>
                <w:rFonts w:ascii="Arial" w:eastAsia="Times New Roman" w:hAnsi="Arial" w:cs="Arial"/>
                <w:color w:val="000000"/>
                <w:sz w:val="20"/>
                <w:szCs w:val="20"/>
              </w:rPr>
              <w:t>Year 2013</w:t>
            </w:r>
          </w:p>
        </w:tc>
        <w:tc>
          <w:tcPr>
            <w:tcW w:w="1276" w:type="dxa"/>
            <w:tcBorders>
              <w:top w:val="nil"/>
              <w:left w:val="single" w:sz="12" w:space="0" w:color="auto"/>
              <w:bottom w:val="nil"/>
              <w:right w:val="nil"/>
            </w:tcBorders>
            <w:shd w:val="clear" w:color="000000" w:fill="FFFFFF"/>
            <w:noWrap/>
            <w:vAlign w:val="center"/>
            <w:hideMark/>
          </w:tcPr>
          <w:p w14:paraId="7364FC9D"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0.25 (0.05)</w:t>
            </w:r>
          </w:p>
        </w:tc>
        <w:tc>
          <w:tcPr>
            <w:tcW w:w="1276" w:type="dxa"/>
            <w:tcBorders>
              <w:top w:val="nil"/>
              <w:left w:val="single" w:sz="4" w:space="0" w:color="auto"/>
              <w:bottom w:val="nil"/>
              <w:right w:val="single" w:sz="12" w:space="0" w:color="auto"/>
            </w:tcBorders>
            <w:shd w:val="clear" w:color="000000" w:fill="FFFFFF"/>
            <w:noWrap/>
            <w:vAlign w:val="center"/>
            <w:hideMark/>
          </w:tcPr>
          <w:p w14:paraId="043C0BAC"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0.14 (0.25)</w:t>
            </w:r>
          </w:p>
        </w:tc>
        <w:tc>
          <w:tcPr>
            <w:tcW w:w="1275" w:type="dxa"/>
            <w:tcBorders>
              <w:top w:val="nil"/>
              <w:left w:val="nil"/>
              <w:bottom w:val="nil"/>
              <w:right w:val="nil"/>
            </w:tcBorders>
            <w:shd w:val="clear" w:color="000000" w:fill="FFFFFF"/>
            <w:noWrap/>
            <w:vAlign w:val="center"/>
            <w:hideMark/>
          </w:tcPr>
          <w:p w14:paraId="0E988A0C"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0.41 (0.00)</w:t>
            </w:r>
          </w:p>
        </w:tc>
        <w:tc>
          <w:tcPr>
            <w:tcW w:w="1276" w:type="dxa"/>
            <w:tcBorders>
              <w:top w:val="nil"/>
              <w:left w:val="single" w:sz="4" w:space="0" w:color="auto"/>
              <w:bottom w:val="nil"/>
              <w:right w:val="single" w:sz="12" w:space="0" w:color="auto"/>
            </w:tcBorders>
            <w:shd w:val="clear" w:color="000000" w:fill="FFFFFF"/>
            <w:noWrap/>
            <w:vAlign w:val="center"/>
            <w:hideMark/>
          </w:tcPr>
          <w:p w14:paraId="0CF4A98E"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0.31 (0.02)</w:t>
            </w:r>
          </w:p>
        </w:tc>
        <w:tc>
          <w:tcPr>
            <w:tcW w:w="1276" w:type="dxa"/>
            <w:tcBorders>
              <w:top w:val="nil"/>
              <w:left w:val="nil"/>
              <w:bottom w:val="nil"/>
              <w:right w:val="nil"/>
            </w:tcBorders>
            <w:shd w:val="clear" w:color="000000" w:fill="FFFFFF"/>
            <w:noWrap/>
            <w:vAlign w:val="center"/>
            <w:hideMark/>
          </w:tcPr>
          <w:p w14:paraId="21197318"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-0.11 (0.68)</w:t>
            </w:r>
          </w:p>
        </w:tc>
        <w:tc>
          <w:tcPr>
            <w:tcW w:w="1276" w:type="dxa"/>
            <w:tcBorders>
              <w:top w:val="nil"/>
              <w:left w:val="single" w:sz="4" w:space="0" w:color="auto"/>
              <w:bottom w:val="nil"/>
              <w:right w:val="single" w:sz="12" w:space="0" w:color="auto"/>
            </w:tcBorders>
            <w:shd w:val="clear" w:color="000000" w:fill="FFFFFF"/>
            <w:noWrap/>
            <w:vAlign w:val="center"/>
            <w:hideMark/>
          </w:tcPr>
          <w:p w14:paraId="686136A2"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-0.21 (0.42)</w:t>
            </w:r>
          </w:p>
        </w:tc>
      </w:tr>
      <w:tr w:rsidR="005B7A36" w:rsidRPr="00CE6819" w14:paraId="579B1FF6" w14:textId="77777777" w:rsidTr="00EC3C7C">
        <w:trPr>
          <w:trHeight w:val="285"/>
        </w:trPr>
        <w:tc>
          <w:tcPr>
            <w:tcW w:w="1261" w:type="dxa"/>
            <w:tcBorders>
              <w:top w:val="nil"/>
              <w:left w:val="single" w:sz="12" w:space="0" w:color="auto"/>
              <w:bottom w:val="nil"/>
              <w:right w:val="nil"/>
            </w:tcBorders>
            <w:shd w:val="clear" w:color="000000" w:fill="FFFFFF"/>
            <w:noWrap/>
            <w:vAlign w:val="bottom"/>
            <w:hideMark/>
          </w:tcPr>
          <w:p w14:paraId="01A02F6B" w14:textId="77777777" w:rsidR="005B7A36" w:rsidRPr="00FC0EC8" w:rsidRDefault="005B7A36" w:rsidP="00D01F96">
            <w:pPr>
              <w:bidi w:val="0"/>
              <w:spacing w:after="0" w:line="240" w:lineRule="auto"/>
              <w:rPr>
                <w:rFonts w:ascii="Arial" w:eastAsia="Times New Roman" w:hAnsi="Arial" w:cs="Arial"/>
                <w:color w:val="000000"/>
                <w:sz w:val="20"/>
                <w:szCs w:val="20"/>
              </w:rPr>
            </w:pPr>
            <w:r w:rsidRPr="00FC0EC8">
              <w:rPr>
                <w:rFonts w:ascii="Arial" w:eastAsia="Times New Roman" w:hAnsi="Arial" w:cs="Arial"/>
                <w:color w:val="000000"/>
                <w:sz w:val="20"/>
                <w:szCs w:val="20"/>
              </w:rPr>
              <w:t>Year 2014</w:t>
            </w:r>
          </w:p>
        </w:tc>
        <w:tc>
          <w:tcPr>
            <w:tcW w:w="1276" w:type="dxa"/>
            <w:tcBorders>
              <w:top w:val="nil"/>
              <w:left w:val="single" w:sz="12" w:space="0" w:color="auto"/>
              <w:bottom w:val="nil"/>
              <w:right w:val="nil"/>
            </w:tcBorders>
            <w:shd w:val="clear" w:color="000000" w:fill="FFFFFF"/>
            <w:noWrap/>
            <w:vAlign w:val="center"/>
            <w:hideMark/>
          </w:tcPr>
          <w:p w14:paraId="7947DBA2"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0.18 (0.08)</w:t>
            </w:r>
          </w:p>
        </w:tc>
        <w:tc>
          <w:tcPr>
            <w:tcW w:w="1276" w:type="dxa"/>
            <w:tcBorders>
              <w:top w:val="nil"/>
              <w:left w:val="single" w:sz="4" w:space="0" w:color="auto"/>
              <w:bottom w:val="nil"/>
              <w:right w:val="single" w:sz="12" w:space="0" w:color="auto"/>
            </w:tcBorders>
            <w:shd w:val="clear" w:color="000000" w:fill="FFFFFF"/>
            <w:noWrap/>
            <w:vAlign w:val="center"/>
            <w:hideMark/>
          </w:tcPr>
          <w:p w14:paraId="54C1C5CB"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0.1 (0.33)</w:t>
            </w:r>
          </w:p>
        </w:tc>
        <w:tc>
          <w:tcPr>
            <w:tcW w:w="1275" w:type="dxa"/>
            <w:tcBorders>
              <w:top w:val="nil"/>
              <w:left w:val="nil"/>
              <w:bottom w:val="nil"/>
              <w:right w:val="nil"/>
            </w:tcBorders>
            <w:shd w:val="clear" w:color="000000" w:fill="FFFFFF"/>
            <w:noWrap/>
            <w:vAlign w:val="center"/>
            <w:hideMark/>
          </w:tcPr>
          <w:p w14:paraId="28CDF05D"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0.12 (0.24)</w:t>
            </w:r>
          </w:p>
        </w:tc>
        <w:tc>
          <w:tcPr>
            <w:tcW w:w="1276" w:type="dxa"/>
            <w:tcBorders>
              <w:top w:val="nil"/>
              <w:left w:val="single" w:sz="4" w:space="0" w:color="auto"/>
              <w:bottom w:val="nil"/>
              <w:right w:val="single" w:sz="12" w:space="0" w:color="auto"/>
            </w:tcBorders>
            <w:shd w:val="clear" w:color="000000" w:fill="FFFFFF"/>
            <w:noWrap/>
            <w:vAlign w:val="center"/>
            <w:hideMark/>
          </w:tcPr>
          <w:p w14:paraId="7F8ADDAC"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0.04 (0.69)</w:t>
            </w:r>
          </w:p>
        </w:tc>
        <w:tc>
          <w:tcPr>
            <w:tcW w:w="1276" w:type="dxa"/>
            <w:tcBorders>
              <w:top w:val="nil"/>
              <w:left w:val="nil"/>
              <w:bottom w:val="nil"/>
              <w:right w:val="nil"/>
            </w:tcBorders>
            <w:shd w:val="clear" w:color="000000" w:fill="FFFFFF"/>
            <w:noWrap/>
            <w:vAlign w:val="center"/>
            <w:hideMark/>
          </w:tcPr>
          <w:p w14:paraId="0D67110A"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0.06 (0.81)</w:t>
            </w:r>
          </w:p>
        </w:tc>
        <w:tc>
          <w:tcPr>
            <w:tcW w:w="1276" w:type="dxa"/>
            <w:tcBorders>
              <w:top w:val="nil"/>
              <w:left w:val="single" w:sz="4" w:space="0" w:color="auto"/>
              <w:bottom w:val="nil"/>
              <w:right w:val="single" w:sz="12" w:space="0" w:color="auto"/>
            </w:tcBorders>
            <w:shd w:val="clear" w:color="000000" w:fill="FFFFFF"/>
            <w:noWrap/>
            <w:vAlign w:val="center"/>
            <w:hideMark/>
          </w:tcPr>
          <w:p w14:paraId="4605625B"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-0.01 (0.98)</w:t>
            </w:r>
          </w:p>
        </w:tc>
      </w:tr>
      <w:tr w:rsidR="005B7A36" w:rsidRPr="00CE6819" w14:paraId="4D29FED4" w14:textId="77777777" w:rsidTr="00EC3C7C">
        <w:trPr>
          <w:trHeight w:val="285"/>
        </w:trPr>
        <w:tc>
          <w:tcPr>
            <w:tcW w:w="1261" w:type="dxa"/>
            <w:tcBorders>
              <w:top w:val="nil"/>
              <w:left w:val="single" w:sz="12" w:space="0" w:color="auto"/>
              <w:bottom w:val="nil"/>
              <w:right w:val="nil"/>
            </w:tcBorders>
            <w:shd w:val="clear" w:color="000000" w:fill="FFFFFF"/>
            <w:noWrap/>
            <w:vAlign w:val="bottom"/>
            <w:hideMark/>
          </w:tcPr>
          <w:p w14:paraId="75261793" w14:textId="77777777" w:rsidR="005B7A36" w:rsidRPr="00FC0EC8" w:rsidRDefault="005B7A36" w:rsidP="00D01F96">
            <w:pPr>
              <w:bidi w:val="0"/>
              <w:spacing w:after="0" w:line="240" w:lineRule="auto"/>
              <w:rPr>
                <w:rFonts w:ascii="Arial" w:eastAsia="Times New Roman" w:hAnsi="Arial" w:cs="Arial"/>
                <w:color w:val="000000"/>
                <w:sz w:val="20"/>
                <w:szCs w:val="20"/>
              </w:rPr>
            </w:pPr>
            <w:r w:rsidRPr="00FC0EC8">
              <w:rPr>
                <w:rFonts w:ascii="Arial" w:eastAsia="Times New Roman" w:hAnsi="Arial" w:cs="Arial"/>
                <w:color w:val="000000"/>
                <w:sz w:val="20"/>
                <w:szCs w:val="20"/>
              </w:rPr>
              <w:t>Year 2015</w:t>
            </w:r>
          </w:p>
        </w:tc>
        <w:tc>
          <w:tcPr>
            <w:tcW w:w="1276" w:type="dxa"/>
            <w:tcBorders>
              <w:top w:val="nil"/>
              <w:left w:val="single" w:sz="12" w:space="0" w:color="auto"/>
              <w:bottom w:val="nil"/>
              <w:right w:val="nil"/>
            </w:tcBorders>
            <w:shd w:val="clear" w:color="000000" w:fill="FFFFFF"/>
            <w:noWrap/>
            <w:vAlign w:val="center"/>
            <w:hideMark/>
          </w:tcPr>
          <w:p w14:paraId="5163623B"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-0.14 (0.21)</w:t>
            </w:r>
          </w:p>
        </w:tc>
        <w:tc>
          <w:tcPr>
            <w:tcW w:w="1276" w:type="dxa"/>
            <w:tcBorders>
              <w:top w:val="nil"/>
              <w:left w:val="single" w:sz="4" w:space="0" w:color="auto"/>
              <w:bottom w:val="nil"/>
              <w:right w:val="single" w:sz="12" w:space="0" w:color="auto"/>
            </w:tcBorders>
            <w:shd w:val="clear" w:color="000000" w:fill="FFFFFF"/>
            <w:noWrap/>
            <w:vAlign w:val="center"/>
            <w:hideMark/>
          </w:tcPr>
          <w:p w14:paraId="6CBC46C6"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-0.09 (0.41)</w:t>
            </w:r>
          </w:p>
        </w:tc>
        <w:tc>
          <w:tcPr>
            <w:tcW w:w="1275" w:type="dxa"/>
            <w:tcBorders>
              <w:top w:val="nil"/>
              <w:left w:val="nil"/>
              <w:bottom w:val="nil"/>
              <w:right w:val="nil"/>
            </w:tcBorders>
            <w:shd w:val="clear" w:color="000000" w:fill="FFFFFF"/>
            <w:noWrap/>
            <w:vAlign w:val="center"/>
            <w:hideMark/>
          </w:tcPr>
          <w:p w14:paraId="0DF415DD"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-0.01 (0.92)</w:t>
            </w:r>
          </w:p>
        </w:tc>
        <w:tc>
          <w:tcPr>
            <w:tcW w:w="1276" w:type="dxa"/>
            <w:tcBorders>
              <w:top w:val="nil"/>
              <w:left w:val="single" w:sz="4" w:space="0" w:color="auto"/>
              <w:bottom w:val="nil"/>
              <w:right w:val="single" w:sz="12" w:space="0" w:color="auto"/>
            </w:tcBorders>
            <w:shd w:val="clear" w:color="000000" w:fill="FFFFFF"/>
            <w:noWrap/>
            <w:vAlign w:val="center"/>
            <w:hideMark/>
          </w:tcPr>
          <w:p w14:paraId="67F7838B"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0.03 (0.77)</w:t>
            </w:r>
          </w:p>
        </w:tc>
        <w:tc>
          <w:tcPr>
            <w:tcW w:w="1276" w:type="dxa"/>
            <w:tcBorders>
              <w:top w:val="nil"/>
              <w:left w:val="nil"/>
              <w:bottom w:val="nil"/>
              <w:right w:val="nil"/>
            </w:tcBorders>
            <w:shd w:val="clear" w:color="000000" w:fill="FFFFFF"/>
            <w:noWrap/>
            <w:vAlign w:val="center"/>
            <w:hideMark/>
          </w:tcPr>
          <w:p w14:paraId="1D7E578C"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-0.58 (0.02)</w:t>
            </w:r>
          </w:p>
        </w:tc>
        <w:tc>
          <w:tcPr>
            <w:tcW w:w="1276" w:type="dxa"/>
            <w:tcBorders>
              <w:top w:val="nil"/>
              <w:left w:val="single" w:sz="4" w:space="0" w:color="auto"/>
              <w:bottom w:val="nil"/>
              <w:right w:val="single" w:sz="12" w:space="0" w:color="auto"/>
            </w:tcBorders>
            <w:shd w:val="clear" w:color="000000" w:fill="FFFFFF"/>
            <w:noWrap/>
            <w:vAlign w:val="center"/>
            <w:hideMark/>
          </w:tcPr>
          <w:p w14:paraId="12F1467E"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-0.50 (0.04)</w:t>
            </w:r>
          </w:p>
        </w:tc>
      </w:tr>
      <w:tr w:rsidR="005B7A36" w:rsidRPr="00CE6819" w14:paraId="2C119958" w14:textId="77777777" w:rsidTr="00EC3C7C">
        <w:trPr>
          <w:trHeight w:val="285"/>
        </w:trPr>
        <w:tc>
          <w:tcPr>
            <w:tcW w:w="1261" w:type="dxa"/>
            <w:tcBorders>
              <w:top w:val="nil"/>
              <w:left w:val="single" w:sz="12" w:space="0" w:color="auto"/>
              <w:bottom w:val="nil"/>
              <w:right w:val="nil"/>
            </w:tcBorders>
            <w:shd w:val="clear" w:color="000000" w:fill="FFFFFF"/>
            <w:noWrap/>
            <w:vAlign w:val="bottom"/>
            <w:hideMark/>
          </w:tcPr>
          <w:p w14:paraId="5F21E78D" w14:textId="77777777" w:rsidR="005B7A36" w:rsidRPr="00FC0EC8" w:rsidRDefault="005B7A36" w:rsidP="00D01F96">
            <w:pPr>
              <w:bidi w:val="0"/>
              <w:spacing w:after="0" w:line="240" w:lineRule="auto"/>
              <w:rPr>
                <w:rFonts w:ascii="Arial" w:eastAsia="Times New Roman" w:hAnsi="Arial" w:cs="Arial"/>
                <w:color w:val="000000"/>
                <w:sz w:val="20"/>
                <w:szCs w:val="20"/>
              </w:rPr>
            </w:pPr>
            <w:r w:rsidRPr="00FC0EC8">
              <w:rPr>
                <w:rFonts w:ascii="Arial" w:eastAsia="Times New Roman" w:hAnsi="Arial" w:cs="Arial"/>
                <w:color w:val="000000"/>
                <w:sz w:val="20"/>
                <w:szCs w:val="20"/>
              </w:rPr>
              <w:t>Year 2016</w:t>
            </w:r>
          </w:p>
        </w:tc>
        <w:tc>
          <w:tcPr>
            <w:tcW w:w="1276" w:type="dxa"/>
            <w:tcBorders>
              <w:top w:val="nil"/>
              <w:left w:val="single" w:sz="12" w:space="0" w:color="auto"/>
              <w:bottom w:val="nil"/>
              <w:right w:val="nil"/>
            </w:tcBorders>
            <w:shd w:val="clear" w:color="000000" w:fill="FFFFFF"/>
            <w:noWrap/>
            <w:vAlign w:val="center"/>
            <w:hideMark/>
          </w:tcPr>
          <w:p w14:paraId="32BCF293"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0.27 (0.18)</w:t>
            </w:r>
          </w:p>
        </w:tc>
        <w:tc>
          <w:tcPr>
            <w:tcW w:w="1276" w:type="dxa"/>
            <w:tcBorders>
              <w:top w:val="nil"/>
              <w:left w:val="single" w:sz="4" w:space="0" w:color="auto"/>
              <w:bottom w:val="nil"/>
              <w:right w:val="single" w:sz="12" w:space="0" w:color="auto"/>
            </w:tcBorders>
            <w:shd w:val="clear" w:color="000000" w:fill="FFFFFF"/>
            <w:noWrap/>
            <w:vAlign w:val="center"/>
            <w:hideMark/>
          </w:tcPr>
          <w:p w14:paraId="15B2CFE4"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0.23 (0.25)</w:t>
            </w:r>
          </w:p>
        </w:tc>
        <w:tc>
          <w:tcPr>
            <w:tcW w:w="1275" w:type="dxa"/>
            <w:tcBorders>
              <w:top w:val="nil"/>
              <w:left w:val="nil"/>
              <w:bottom w:val="nil"/>
              <w:right w:val="nil"/>
            </w:tcBorders>
            <w:shd w:val="clear" w:color="000000" w:fill="FFFFFF"/>
            <w:noWrap/>
            <w:vAlign w:val="center"/>
            <w:hideMark/>
          </w:tcPr>
          <w:p w14:paraId="07DE132E"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0.43 (0.04)</w:t>
            </w:r>
          </w:p>
        </w:tc>
        <w:tc>
          <w:tcPr>
            <w:tcW w:w="1276" w:type="dxa"/>
            <w:tcBorders>
              <w:top w:val="nil"/>
              <w:left w:val="single" w:sz="4" w:space="0" w:color="auto"/>
              <w:bottom w:val="nil"/>
              <w:right w:val="single" w:sz="12" w:space="0" w:color="auto"/>
            </w:tcBorders>
            <w:shd w:val="clear" w:color="000000" w:fill="FFFFFF"/>
            <w:noWrap/>
            <w:vAlign w:val="center"/>
            <w:hideMark/>
          </w:tcPr>
          <w:p w14:paraId="6D928BC6"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0.40 (0.05)</w:t>
            </w:r>
          </w:p>
        </w:tc>
        <w:tc>
          <w:tcPr>
            <w:tcW w:w="1276" w:type="dxa"/>
            <w:tcBorders>
              <w:top w:val="nil"/>
              <w:left w:val="nil"/>
              <w:bottom w:val="nil"/>
              <w:right w:val="nil"/>
            </w:tcBorders>
            <w:shd w:val="clear" w:color="000000" w:fill="FFFFFF"/>
            <w:noWrap/>
            <w:vAlign w:val="center"/>
            <w:hideMark/>
          </w:tcPr>
          <w:p w14:paraId="2A091062"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0.09 (0.85)</w:t>
            </w:r>
          </w:p>
        </w:tc>
        <w:tc>
          <w:tcPr>
            <w:tcW w:w="1276" w:type="dxa"/>
            <w:tcBorders>
              <w:top w:val="nil"/>
              <w:left w:val="single" w:sz="4" w:space="0" w:color="auto"/>
              <w:bottom w:val="nil"/>
              <w:right w:val="single" w:sz="12" w:space="0" w:color="auto"/>
            </w:tcBorders>
            <w:shd w:val="clear" w:color="000000" w:fill="FFFFFF"/>
            <w:noWrap/>
            <w:vAlign w:val="center"/>
            <w:hideMark/>
          </w:tcPr>
          <w:p w14:paraId="38C65758"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-0.02 (0.97)</w:t>
            </w:r>
          </w:p>
        </w:tc>
      </w:tr>
      <w:tr w:rsidR="005B7A36" w:rsidRPr="00CE6819" w14:paraId="55A3BB8A" w14:textId="77777777" w:rsidTr="00EC3C7C">
        <w:trPr>
          <w:trHeight w:val="300"/>
        </w:trPr>
        <w:tc>
          <w:tcPr>
            <w:tcW w:w="1261" w:type="dxa"/>
            <w:tcBorders>
              <w:top w:val="nil"/>
              <w:left w:val="single" w:sz="12" w:space="0" w:color="auto"/>
              <w:bottom w:val="nil"/>
              <w:right w:val="nil"/>
            </w:tcBorders>
            <w:shd w:val="clear" w:color="000000" w:fill="FFFFFF"/>
            <w:noWrap/>
            <w:vAlign w:val="bottom"/>
            <w:hideMark/>
          </w:tcPr>
          <w:p w14:paraId="3A349EA9" w14:textId="77777777" w:rsidR="005B7A36" w:rsidRPr="00FC0EC8" w:rsidRDefault="005B7A36" w:rsidP="00D01F96">
            <w:pPr>
              <w:bidi w:val="0"/>
              <w:spacing w:after="0" w:line="240" w:lineRule="auto"/>
              <w:rPr>
                <w:rFonts w:ascii="Arial" w:eastAsia="Times New Roman" w:hAnsi="Arial" w:cs="Arial"/>
                <w:color w:val="000000"/>
                <w:sz w:val="20"/>
                <w:szCs w:val="20"/>
              </w:rPr>
            </w:pPr>
            <w:r w:rsidRPr="00FC0EC8">
              <w:rPr>
                <w:rFonts w:ascii="Arial" w:eastAsia="Times New Roman" w:hAnsi="Arial" w:cs="Arial"/>
                <w:color w:val="000000"/>
                <w:sz w:val="20"/>
                <w:szCs w:val="20"/>
              </w:rPr>
              <w:t>Year 2017</w:t>
            </w:r>
          </w:p>
        </w:tc>
        <w:tc>
          <w:tcPr>
            <w:tcW w:w="1276" w:type="dxa"/>
            <w:tcBorders>
              <w:top w:val="nil"/>
              <w:left w:val="single" w:sz="12" w:space="0" w:color="auto"/>
              <w:bottom w:val="nil"/>
              <w:right w:val="nil"/>
            </w:tcBorders>
            <w:shd w:val="clear" w:color="000000" w:fill="FFFFFF"/>
            <w:noWrap/>
            <w:vAlign w:val="center"/>
            <w:hideMark/>
          </w:tcPr>
          <w:p w14:paraId="0FB77D22"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0.1 (0.47)</w:t>
            </w:r>
          </w:p>
        </w:tc>
        <w:tc>
          <w:tcPr>
            <w:tcW w:w="1276" w:type="dxa"/>
            <w:tcBorders>
              <w:top w:val="nil"/>
              <w:left w:val="single" w:sz="4" w:space="0" w:color="auto"/>
              <w:bottom w:val="nil"/>
              <w:right w:val="single" w:sz="12" w:space="0" w:color="auto"/>
            </w:tcBorders>
            <w:shd w:val="clear" w:color="000000" w:fill="FFFFFF"/>
            <w:noWrap/>
            <w:vAlign w:val="center"/>
            <w:hideMark/>
          </w:tcPr>
          <w:p w14:paraId="0D483CA0"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0.07 (0.60)</w:t>
            </w:r>
          </w:p>
        </w:tc>
        <w:tc>
          <w:tcPr>
            <w:tcW w:w="1275" w:type="dxa"/>
            <w:tcBorders>
              <w:top w:val="nil"/>
              <w:left w:val="nil"/>
              <w:bottom w:val="nil"/>
              <w:right w:val="nil"/>
            </w:tcBorders>
            <w:shd w:val="clear" w:color="000000" w:fill="FFFFFF"/>
            <w:noWrap/>
            <w:vAlign w:val="center"/>
            <w:hideMark/>
          </w:tcPr>
          <w:p w14:paraId="274A6D3D"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0.22 (0.19)</w:t>
            </w:r>
          </w:p>
        </w:tc>
        <w:tc>
          <w:tcPr>
            <w:tcW w:w="1276" w:type="dxa"/>
            <w:tcBorders>
              <w:top w:val="nil"/>
              <w:left w:val="single" w:sz="4" w:space="0" w:color="auto"/>
              <w:bottom w:val="nil"/>
              <w:right w:val="single" w:sz="12" w:space="0" w:color="auto"/>
            </w:tcBorders>
            <w:shd w:val="clear" w:color="000000" w:fill="FFFFFF"/>
            <w:noWrap/>
            <w:vAlign w:val="center"/>
            <w:hideMark/>
          </w:tcPr>
          <w:p w14:paraId="6D4D8FF4"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0.18 (0.27)</w:t>
            </w:r>
          </w:p>
        </w:tc>
        <w:tc>
          <w:tcPr>
            <w:tcW w:w="1276" w:type="dxa"/>
            <w:tcBorders>
              <w:top w:val="nil"/>
              <w:left w:val="nil"/>
              <w:bottom w:val="nil"/>
              <w:right w:val="nil"/>
            </w:tcBorders>
            <w:shd w:val="clear" w:color="000000" w:fill="FFFFFF"/>
            <w:noWrap/>
            <w:vAlign w:val="center"/>
            <w:hideMark/>
          </w:tcPr>
          <w:p w14:paraId="539878D4"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-0.11 (0.65)</w:t>
            </w:r>
          </w:p>
        </w:tc>
        <w:tc>
          <w:tcPr>
            <w:tcW w:w="1276" w:type="dxa"/>
            <w:tcBorders>
              <w:top w:val="nil"/>
              <w:left w:val="single" w:sz="4" w:space="0" w:color="auto"/>
              <w:bottom w:val="nil"/>
              <w:right w:val="single" w:sz="12" w:space="0" w:color="auto"/>
            </w:tcBorders>
            <w:shd w:val="clear" w:color="000000" w:fill="FFFFFF"/>
            <w:noWrap/>
            <w:vAlign w:val="center"/>
            <w:hideMark/>
          </w:tcPr>
          <w:p w14:paraId="1B603A27"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-0.13 (0.60)</w:t>
            </w:r>
          </w:p>
        </w:tc>
      </w:tr>
      <w:tr w:rsidR="005B7A36" w:rsidRPr="00CE6819" w14:paraId="191B4A88" w14:textId="77777777" w:rsidTr="00EC3C7C">
        <w:trPr>
          <w:trHeight w:val="300"/>
        </w:trPr>
        <w:tc>
          <w:tcPr>
            <w:tcW w:w="1261" w:type="dxa"/>
            <w:tcBorders>
              <w:top w:val="nil"/>
              <w:left w:val="single" w:sz="12" w:space="0" w:color="auto"/>
              <w:bottom w:val="nil"/>
              <w:right w:val="nil"/>
            </w:tcBorders>
            <w:shd w:val="clear" w:color="000000" w:fill="FFFFFF"/>
            <w:noWrap/>
            <w:vAlign w:val="bottom"/>
            <w:hideMark/>
          </w:tcPr>
          <w:p w14:paraId="055E8104" w14:textId="77777777" w:rsidR="005B7A36" w:rsidRPr="00FC0EC8" w:rsidRDefault="005B7A36" w:rsidP="00D01F96">
            <w:pPr>
              <w:bidi w:val="0"/>
              <w:spacing w:after="0" w:line="240" w:lineRule="auto"/>
              <w:rPr>
                <w:rFonts w:ascii="Arial" w:eastAsia="Times New Roman" w:hAnsi="Arial" w:cs="Arial"/>
                <w:color w:val="000000"/>
                <w:sz w:val="20"/>
                <w:szCs w:val="20"/>
              </w:rPr>
            </w:pPr>
            <w:r w:rsidRPr="00FC0EC8">
              <w:rPr>
                <w:rFonts w:ascii="Arial" w:eastAsia="Times New Roman" w:hAnsi="Arial" w:cs="Arial"/>
                <w:color w:val="000000"/>
                <w:sz w:val="20"/>
                <w:szCs w:val="20"/>
              </w:rPr>
              <w:t>Is Rsrc</w:t>
            </w:r>
          </w:p>
        </w:tc>
        <w:tc>
          <w:tcPr>
            <w:tcW w:w="1276" w:type="dxa"/>
            <w:tcBorders>
              <w:top w:val="nil"/>
              <w:left w:val="single" w:sz="12" w:space="0" w:color="auto"/>
              <w:bottom w:val="nil"/>
              <w:right w:val="nil"/>
            </w:tcBorders>
            <w:shd w:val="clear" w:color="000000" w:fill="FFFFFF"/>
            <w:noWrap/>
            <w:vAlign w:val="center"/>
            <w:hideMark/>
          </w:tcPr>
          <w:p w14:paraId="15882ECD"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-0.25 (0.00)</w:t>
            </w:r>
          </w:p>
        </w:tc>
        <w:tc>
          <w:tcPr>
            <w:tcW w:w="1276" w:type="dxa"/>
            <w:tcBorders>
              <w:top w:val="nil"/>
              <w:left w:val="single" w:sz="4" w:space="0" w:color="auto"/>
              <w:bottom w:val="nil"/>
              <w:right w:val="single" w:sz="12" w:space="0" w:color="auto"/>
            </w:tcBorders>
            <w:shd w:val="clear" w:color="000000" w:fill="FFFFFF"/>
            <w:noWrap/>
            <w:vAlign w:val="center"/>
            <w:hideMark/>
          </w:tcPr>
          <w:p w14:paraId="247838BB"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-0.25 (0.00)</w:t>
            </w:r>
          </w:p>
        </w:tc>
        <w:tc>
          <w:tcPr>
            <w:tcW w:w="1275" w:type="dxa"/>
            <w:tcBorders>
              <w:top w:val="nil"/>
              <w:left w:val="nil"/>
              <w:bottom w:val="nil"/>
              <w:right w:val="nil"/>
            </w:tcBorders>
            <w:shd w:val="clear" w:color="000000" w:fill="FFFFFF"/>
            <w:noWrap/>
            <w:vAlign w:val="center"/>
            <w:hideMark/>
          </w:tcPr>
          <w:p w14:paraId="332511A3"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-0.17 (0.03)</w:t>
            </w:r>
          </w:p>
        </w:tc>
        <w:tc>
          <w:tcPr>
            <w:tcW w:w="1276" w:type="dxa"/>
            <w:tcBorders>
              <w:top w:val="nil"/>
              <w:left w:val="single" w:sz="4" w:space="0" w:color="auto"/>
              <w:bottom w:val="nil"/>
              <w:right w:val="single" w:sz="12" w:space="0" w:color="auto"/>
            </w:tcBorders>
            <w:shd w:val="clear" w:color="000000" w:fill="FFFFFF"/>
            <w:noWrap/>
            <w:vAlign w:val="center"/>
            <w:hideMark/>
          </w:tcPr>
          <w:p w14:paraId="30225A6E"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-0.17 (0.03)</w:t>
            </w:r>
          </w:p>
        </w:tc>
        <w:tc>
          <w:tcPr>
            <w:tcW w:w="1276" w:type="dxa"/>
            <w:tcBorders>
              <w:top w:val="nil"/>
              <w:left w:val="nil"/>
              <w:bottom w:val="nil"/>
              <w:right w:val="nil"/>
            </w:tcBorders>
            <w:shd w:val="clear" w:color="000000" w:fill="FFFFFF"/>
            <w:noWrap/>
            <w:vAlign w:val="center"/>
            <w:hideMark/>
          </w:tcPr>
          <w:p w14:paraId="30F3FAFD"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-0.46 (0.00)</w:t>
            </w:r>
          </w:p>
        </w:tc>
        <w:tc>
          <w:tcPr>
            <w:tcW w:w="1276" w:type="dxa"/>
            <w:tcBorders>
              <w:top w:val="nil"/>
              <w:left w:val="single" w:sz="4" w:space="0" w:color="auto"/>
              <w:bottom w:val="nil"/>
              <w:right w:val="single" w:sz="12" w:space="0" w:color="auto"/>
            </w:tcBorders>
            <w:shd w:val="clear" w:color="000000" w:fill="FFFFFF"/>
            <w:noWrap/>
            <w:vAlign w:val="center"/>
            <w:hideMark/>
          </w:tcPr>
          <w:p w14:paraId="1AF08B43"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-0.45 (0.00)</w:t>
            </w:r>
          </w:p>
        </w:tc>
      </w:tr>
      <w:tr w:rsidR="005B7A36" w:rsidRPr="00CE6819" w14:paraId="74BB4C04" w14:textId="77777777" w:rsidTr="00EC3C7C">
        <w:trPr>
          <w:trHeight w:val="315"/>
        </w:trPr>
        <w:tc>
          <w:tcPr>
            <w:tcW w:w="1261" w:type="dxa"/>
            <w:tcBorders>
              <w:top w:val="nil"/>
              <w:left w:val="single" w:sz="12" w:space="0" w:color="auto"/>
              <w:bottom w:val="nil"/>
              <w:right w:val="nil"/>
            </w:tcBorders>
            <w:shd w:val="clear" w:color="000000" w:fill="FFFFFF"/>
            <w:noWrap/>
            <w:vAlign w:val="bottom"/>
            <w:hideMark/>
          </w:tcPr>
          <w:p w14:paraId="4706F7EE" w14:textId="77777777" w:rsidR="005B7A36" w:rsidRPr="00FC0EC8" w:rsidRDefault="005B7A36" w:rsidP="00D01F96">
            <w:pPr>
              <w:bidi w:val="0"/>
              <w:spacing w:after="0" w:line="240" w:lineRule="auto"/>
              <w:rPr>
                <w:rFonts w:ascii="Arial" w:eastAsia="Times New Roman" w:hAnsi="Arial" w:cs="Arial"/>
                <w:color w:val="000000"/>
                <w:sz w:val="20"/>
                <w:szCs w:val="20"/>
              </w:rPr>
            </w:pPr>
            <w:r w:rsidRPr="00FC0EC8">
              <w:rPr>
                <w:rFonts w:ascii="Arial" w:eastAsia="Times New Roman" w:hAnsi="Arial" w:cs="Arial"/>
                <w:color w:val="000000"/>
                <w:sz w:val="20"/>
                <w:szCs w:val="20"/>
              </w:rPr>
              <w:t>Is I</w:t>
            </w:r>
          </w:p>
        </w:tc>
        <w:tc>
          <w:tcPr>
            <w:tcW w:w="1276" w:type="dxa"/>
            <w:tcBorders>
              <w:top w:val="nil"/>
              <w:left w:val="single" w:sz="12" w:space="0" w:color="auto"/>
              <w:bottom w:val="nil"/>
              <w:right w:val="nil"/>
            </w:tcBorders>
            <w:shd w:val="clear" w:color="000000" w:fill="FFFFFF"/>
            <w:noWrap/>
            <w:vAlign w:val="center"/>
            <w:hideMark/>
          </w:tcPr>
          <w:p w14:paraId="71624BF6"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 </w:t>
            </w:r>
          </w:p>
        </w:tc>
        <w:tc>
          <w:tcPr>
            <w:tcW w:w="1276" w:type="dxa"/>
            <w:tcBorders>
              <w:top w:val="nil"/>
              <w:left w:val="single" w:sz="4" w:space="0" w:color="auto"/>
              <w:bottom w:val="nil"/>
              <w:right w:val="single" w:sz="12" w:space="0" w:color="auto"/>
            </w:tcBorders>
            <w:shd w:val="clear" w:color="000000" w:fill="FFFFFF"/>
            <w:noWrap/>
            <w:vAlign w:val="center"/>
            <w:hideMark/>
          </w:tcPr>
          <w:p w14:paraId="630908C9"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 </w:t>
            </w:r>
          </w:p>
        </w:tc>
        <w:tc>
          <w:tcPr>
            <w:tcW w:w="1275" w:type="dxa"/>
            <w:tcBorders>
              <w:top w:val="nil"/>
              <w:left w:val="nil"/>
              <w:bottom w:val="nil"/>
              <w:right w:val="nil"/>
            </w:tcBorders>
            <w:shd w:val="clear" w:color="000000" w:fill="FFFFFF"/>
            <w:noWrap/>
            <w:vAlign w:val="center"/>
            <w:hideMark/>
          </w:tcPr>
          <w:p w14:paraId="6CA300ED"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 </w:t>
            </w:r>
          </w:p>
        </w:tc>
        <w:tc>
          <w:tcPr>
            <w:tcW w:w="1276" w:type="dxa"/>
            <w:tcBorders>
              <w:top w:val="nil"/>
              <w:left w:val="single" w:sz="4" w:space="0" w:color="auto"/>
              <w:bottom w:val="nil"/>
              <w:right w:val="single" w:sz="12" w:space="0" w:color="auto"/>
            </w:tcBorders>
            <w:shd w:val="clear" w:color="000000" w:fill="FFFFFF"/>
            <w:noWrap/>
            <w:vAlign w:val="center"/>
            <w:hideMark/>
          </w:tcPr>
          <w:p w14:paraId="4467723E"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 </w:t>
            </w:r>
          </w:p>
        </w:tc>
        <w:tc>
          <w:tcPr>
            <w:tcW w:w="1276" w:type="dxa"/>
            <w:tcBorders>
              <w:top w:val="nil"/>
              <w:left w:val="nil"/>
              <w:bottom w:val="nil"/>
              <w:right w:val="nil"/>
            </w:tcBorders>
            <w:shd w:val="clear" w:color="000000" w:fill="FFFFFF"/>
            <w:noWrap/>
            <w:vAlign w:val="center"/>
            <w:hideMark/>
          </w:tcPr>
          <w:p w14:paraId="4F968EF6"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-0.27 (0.08)</w:t>
            </w:r>
          </w:p>
        </w:tc>
        <w:tc>
          <w:tcPr>
            <w:tcW w:w="1276" w:type="dxa"/>
            <w:tcBorders>
              <w:top w:val="nil"/>
              <w:left w:val="single" w:sz="4" w:space="0" w:color="auto"/>
              <w:bottom w:val="nil"/>
              <w:right w:val="single" w:sz="12" w:space="0" w:color="auto"/>
            </w:tcBorders>
            <w:shd w:val="clear" w:color="000000" w:fill="FFFFFF"/>
            <w:noWrap/>
            <w:vAlign w:val="center"/>
            <w:hideMark/>
          </w:tcPr>
          <w:p w14:paraId="5DF7566C"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-0.25 (0.10)</w:t>
            </w:r>
          </w:p>
        </w:tc>
      </w:tr>
      <w:tr w:rsidR="005B7A36" w:rsidRPr="00CE6819" w14:paraId="2658BE08" w14:textId="77777777" w:rsidTr="00EC3C7C">
        <w:trPr>
          <w:trHeight w:val="300"/>
        </w:trPr>
        <w:tc>
          <w:tcPr>
            <w:tcW w:w="1261" w:type="dxa"/>
            <w:tcBorders>
              <w:top w:val="nil"/>
              <w:left w:val="single" w:sz="12" w:space="0" w:color="auto"/>
              <w:bottom w:val="single" w:sz="4" w:space="0" w:color="auto"/>
              <w:right w:val="nil"/>
            </w:tcBorders>
            <w:shd w:val="clear" w:color="000000" w:fill="FFFFFF"/>
            <w:noWrap/>
            <w:vAlign w:val="bottom"/>
            <w:hideMark/>
          </w:tcPr>
          <w:p w14:paraId="50602D0A" w14:textId="77777777" w:rsidR="005B7A36" w:rsidRPr="00FC0EC8" w:rsidRDefault="005B7A36" w:rsidP="00D01F96">
            <w:pPr>
              <w:bidi w:val="0"/>
              <w:spacing w:after="0" w:line="240" w:lineRule="auto"/>
              <w:rPr>
                <w:rFonts w:ascii="Arial" w:eastAsia="Times New Roman" w:hAnsi="Arial" w:cs="Arial"/>
                <w:color w:val="000000"/>
                <w:sz w:val="20"/>
                <w:szCs w:val="20"/>
              </w:rPr>
            </w:pPr>
            <w:r w:rsidRPr="00FC0EC8">
              <w:rPr>
                <w:rFonts w:ascii="Arial" w:eastAsia="Times New Roman" w:hAnsi="Arial" w:cs="Arial"/>
                <w:color w:val="000000"/>
                <w:sz w:val="20"/>
                <w:szCs w:val="20"/>
              </w:rPr>
              <w:t>Is Mrkt</w:t>
            </w:r>
          </w:p>
        </w:tc>
        <w:tc>
          <w:tcPr>
            <w:tcW w:w="1276" w:type="dxa"/>
            <w:tcBorders>
              <w:top w:val="nil"/>
              <w:left w:val="single" w:sz="12" w:space="0" w:color="auto"/>
              <w:bottom w:val="single" w:sz="4" w:space="0" w:color="auto"/>
              <w:right w:val="nil"/>
            </w:tcBorders>
            <w:shd w:val="clear" w:color="000000" w:fill="FFFFFF"/>
            <w:noWrap/>
            <w:vAlign w:val="center"/>
            <w:hideMark/>
          </w:tcPr>
          <w:p w14:paraId="14ACAE94"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 </w:t>
            </w:r>
          </w:p>
        </w:tc>
        <w:tc>
          <w:tcPr>
            <w:tcW w:w="1276" w:type="dxa"/>
            <w:tcBorders>
              <w:top w:val="nil"/>
              <w:left w:val="single" w:sz="4" w:space="0" w:color="auto"/>
              <w:bottom w:val="single" w:sz="4" w:space="0" w:color="auto"/>
              <w:right w:val="single" w:sz="12" w:space="0" w:color="auto"/>
            </w:tcBorders>
            <w:shd w:val="clear" w:color="000000" w:fill="FFFFFF"/>
            <w:noWrap/>
            <w:vAlign w:val="center"/>
            <w:hideMark/>
          </w:tcPr>
          <w:p w14:paraId="3FB2245B"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 </w:t>
            </w:r>
          </w:p>
        </w:tc>
        <w:tc>
          <w:tcPr>
            <w:tcW w:w="1275" w:type="dxa"/>
            <w:tcBorders>
              <w:top w:val="nil"/>
              <w:left w:val="nil"/>
              <w:bottom w:val="single" w:sz="4" w:space="0" w:color="auto"/>
              <w:right w:val="nil"/>
            </w:tcBorders>
            <w:shd w:val="clear" w:color="000000" w:fill="FFFFFF"/>
            <w:noWrap/>
            <w:vAlign w:val="center"/>
            <w:hideMark/>
          </w:tcPr>
          <w:p w14:paraId="30298091"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0.55 (0.01)</w:t>
            </w:r>
          </w:p>
        </w:tc>
        <w:tc>
          <w:tcPr>
            <w:tcW w:w="1276" w:type="dxa"/>
            <w:tcBorders>
              <w:top w:val="nil"/>
              <w:left w:val="single" w:sz="4" w:space="0" w:color="auto"/>
              <w:bottom w:val="single" w:sz="4" w:space="0" w:color="auto"/>
              <w:right w:val="single" w:sz="12" w:space="0" w:color="auto"/>
            </w:tcBorders>
            <w:shd w:val="clear" w:color="000000" w:fill="FFFFFF"/>
            <w:noWrap/>
            <w:vAlign w:val="center"/>
            <w:hideMark/>
          </w:tcPr>
          <w:p w14:paraId="4335F56B"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0.57 (0.01)</w:t>
            </w:r>
          </w:p>
        </w:tc>
        <w:tc>
          <w:tcPr>
            <w:tcW w:w="1276" w:type="dxa"/>
            <w:tcBorders>
              <w:top w:val="nil"/>
              <w:left w:val="nil"/>
              <w:bottom w:val="single" w:sz="4" w:space="0" w:color="auto"/>
              <w:right w:val="nil"/>
            </w:tcBorders>
            <w:shd w:val="clear" w:color="000000" w:fill="FFFFFF"/>
            <w:noWrap/>
            <w:vAlign w:val="center"/>
            <w:hideMark/>
          </w:tcPr>
          <w:p w14:paraId="0814F34D"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 </w:t>
            </w:r>
          </w:p>
        </w:tc>
        <w:tc>
          <w:tcPr>
            <w:tcW w:w="1276" w:type="dxa"/>
            <w:tcBorders>
              <w:top w:val="nil"/>
              <w:left w:val="single" w:sz="4" w:space="0" w:color="auto"/>
              <w:bottom w:val="single" w:sz="4" w:space="0" w:color="auto"/>
              <w:right w:val="single" w:sz="12" w:space="0" w:color="auto"/>
            </w:tcBorders>
            <w:shd w:val="clear" w:color="000000" w:fill="FFFFFF"/>
            <w:noWrap/>
            <w:vAlign w:val="center"/>
            <w:hideMark/>
          </w:tcPr>
          <w:p w14:paraId="26C673E4"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 </w:t>
            </w:r>
          </w:p>
        </w:tc>
      </w:tr>
      <w:tr w:rsidR="005B7A36" w:rsidRPr="00CE6819" w14:paraId="2C6F13F7" w14:textId="77777777" w:rsidTr="00EC3C7C">
        <w:trPr>
          <w:trHeight w:val="285"/>
        </w:trPr>
        <w:tc>
          <w:tcPr>
            <w:tcW w:w="1261" w:type="dxa"/>
            <w:tcBorders>
              <w:top w:val="nil"/>
              <w:left w:val="single" w:sz="12" w:space="0" w:color="auto"/>
              <w:bottom w:val="nil"/>
              <w:right w:val="nil"/>
            </w:tcBorders>
            <w:shd w:val="clear" w:color="000000" w:fill="FFFFFF"/>
            <w:noWrap/>
            <w:vAlign w:val="bottom"/>
            <w:hideMark/>
          </w:tcPr>
          <w:p w14:paraId="357F0855" w14:textId="77777777" w:rsidR="005B7A36" w:rsidRPr="00FC0EC8" w:rsidRDefault="005B7A36" w:rsidP="00D01F96">
            <w:pPr>
              <w:bidi w:val="0"/>
              <w:spacing w:after="0" w:line="240" w:lineRule="auto"/>
              <w:rPr>
                <w:rFonts w:ascii="Arial" w:eastAsia="Times New Roman" w:hAnsi="Arial" w:cs="Arial"/>
                <w:color w:val="000000"/>
                <w:sz w:val="20"/>
                <w:szCs w:val="20"/>
              </w:rPr>
            </w:pPr>
            <w:r w:rsidRPr="00FC0EC8">
              <w:rPr>
                <w:rFonts w:ascii="Arial" w:eastAsia="Times New Roman" w:hAnsi="Arial" w:cs="Arial"/>
                <w:color w:val="000000"/>
                <w:sz w:val="20"/>
                <w:szCs w:val="20"/>
              </w:rPr>
              <w:t>Adj R Sqr.</w:t>
            </w:r>
          </w:p>
        </w:tc>
        <w:tc>
          <w:tcPr>
            <w:tcW w:w="1276" w:type="dxa"/>
            <w:tcBorders>
              <w:top w:val="nil"/>
              <w:left w:val="single" w:sz="12" w:space="0" w:color="auto"/>
              <w:bottom w:val="nil"/>
              <w:right w:val="nil"/>
            </w:tcBorders>
            <w:shd w:val="clear" w:color="000000" w:fill="FFFFFF"/>
            <w:noWrap/>
            <w:vAlign w:val="bottom"/>
            <w:hideMark/>
          </w:tcPr>
          <w:p w14:paraId="656F6D08"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0.28</w:t>
            </w:r>
          </w:p>
        </w:tc>
        <w:tc>
          <w:tcPr>
            <w:tcW w:w="1276" w:type="dxa"/>
            <w:tcBorders>
              <w:top w:val="nil"/>
              <w:left w:val="single" w:sz="4" w:space="0" w:color="auto"/>
              <w:bottom w:val="nil"/>
              <w:right w:val="single" w:sz="12" w:space="0" w:color="auto"/>
            </w:tcBorders>
            <w:shd w:val="clear" w:color="auto" w:fill="auto"/>
            <w:noWrap/>
            <w:vAlign w:val="bottom"/>
            <w:hideMark/>
          </w:tcPr>
          <w:p w14:paraId="7EB6C908"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0.26</w:t>
            </w:r>
          </w:p>
        </w:tc>
        <w:tc>
          <w:tcPr>
            <w:tcW w:w="1275" w:type="dxa"/>
            <w:tcBorders>
              <w:top w:val="nil"/>
              <w:left w:val="nil"/>
              <w:bottom w:val="nil"/>
              <w:right w:val="nil"/>
            </w:tcBorders>
            <w:shd w:val="clear" w:color="000000" w:fill="FFFFFF"/>
            <w:noWrap/>
            <w:vAlign w:val="bottom"/>
            <w:hideMark/>
          </w:tcPr>
          <w:p w14:paraId="454B4525"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0.24</w:t>
            </w:r>
          </w:p>
        </w:tc>
        <w:tc>
          <w:tcPr>
            <w:tcW w:w="1276" w:type="dxa"/>
            <w:tcBorders>
              <w:top w:val="nil"/>
              <w:left w:val="single" w:sz="4" w:space="0" w:color="auto"/>
              <w:bottom w:val="nil"/>
              <w:right w:val="single" w:sz="12" w:space="0" w:color="auto"/>
            </w:tcBorders>
            <w:shd w:val="clear" w:color="000000" w:fill="FFFFFF"/>
            <w:noWrap/>
            <w:vAlign w:val="bottom"/>
            <w:hideMark/>
          </w:tcPr>
          <w:p w14:paraId="73A8856A"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0.22</w:t>
            </w:r>
          </w:p>
        </w:tc>
        <w:tc>
          <w:tcPr>
            <w:tcW w:w="1276" w:type="dxa"/>
            <w:tcBorders>
              <w:top w:val="nil"/>
              <w:left w:val="nil"/>
              <w:bottom w:val="nil"/>
              <w:right w:val="nil"/>
            </w:tcBorders>
            <w:shd w:val="clear" w:color="000000" w:fill="FFFFFF"/>
            <w:noWrap/>
            <w:vAlign w:val="bottom"/>
            <w:hideMark/>
          </w:tcPr>
          <w:p w14:paraId="23131FB5"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0.37</w:t>
            </w:r>
          </w:p>
        </w:tc>
        <w:tc>
          <w:tcPr>
            <w:tcW w:w="1276" w:type="dxa"/>
            <w:tcBorders>
              <w:top w:val="nil"/>
              <w:left w:val="single" w:sz="4" w:space="0" w:color="auto"/>
              <w:bottom w:val="nil"/>
              <w:right w:val="single" w:sz="12" w:space="0" w:color="auto"/>
            </w:tcBorders>
            <w:shd w:val="clear" w:color="000000" w:fill="FFFFFF"/>
            <w:noWrap/>
            <w:vAlign w:val="bottom"/>
            <w:hideMark/>
          </w:tcPr>
          <w:p w14:paraId="2FB42152"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0.34</w:t>
            </w:r>
          </w:p>
        </w:tc>
      </w:tr>
      <w:tr w:rsidR="005B7A36" w:rsidRPr="00CE6819" w14:paraId="6BBC4536" w14:textId="77777777" w:rsidTr="00EC3C7C">
        <w:trPr>
          <w:trHeight w:val="300"/>
        </w:trPr>
        <w:tc>
          <w:tcPr>
            <w:tcW w:w="1261" w:type="dxa"/>
            <w:tcBorders>
              <w:top w:val="nil"/>
              <w:left w:val="single" w:sz="12" w:space="0" w:color="auto"/>
              <w:bottom w:val="single" w:sz="12" w:space="0" w:color="auto"/>
              <w:right w:val="nil"/>
            </w:tcBorders>
            <w:shd w:val="clear" w:color="000000" w:fill="FFFFFF"/>
            <w:noWrap/>
            <w:vAlign w:val="bottom"/>
            <w:hideMark/>
          </w:tcPr>
          <w:p w14:paraId="3C5DC804" w14:textId="77777777" w:rsidR="005B7A36" w:rsidRPr="00FC0EC8" w:rsidRDefault="005B7A36" w:rsidP="00D01F96">
            <w:pPr>
              <w:bidi w:val="0"/>
              <w:spacing w:after="0" w:line="240" w:lineRule="auto"/>
              <w:rPr>
                <w:rFonts w:ascii="Arial" w:eastAsia="Times New Roman" w:hAnsi="Arial" w:cs="Arial"/>
                <w:color w:val="000000"/>
                <w:sz w:val="20"/>
                <w:szCs w:val="20"/>
              </w:rPr>
            </w:pPr>
            <w:r w:rsidRPr="00FC0EC8">
              <w:rPr>
                <w:rFonts w:ascii="Arial" w:eastAsia="Times New Roman" w:hAnsi="Arial" w:cs="Arial"/>
                <w:color w:val="000000"/>
                <w:sz w:val="20"/>
                <w:szCs w:val="20"/>
              </w:rPr>
              <w:t>Obs.</w:t>
            </w:r>
          </w:p>
        </w:tc>
        <w:tc>
          <w:tcPr>
            <w:tcW w:w="1276" w:type="dxa"/>
            <w:tcBorders>
              <w:top w:val="nil"/>
              <w:left w:val="single" w:sz="12" w:space="0" w:color="auto"/>
              <w:bottom w:val="single" w:sz="12" w:space="0" w:color="auto"/>
              <w:right w:val="nil"/>
            </w:tcBorders>
            <w:shd w:val="clear" w:color="000000" w:fill="FFFFFF"/>
            <w:noWrap/>
            <w:vAlign w:val="bottom"/>
            <w:hideMark/>
          </w:tcPr>
          <w:p w14:paraId="74CF20C2"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212</w:t>
            </w:r>
          </w:p>
        </w:tc>
        <w:tc>
          <w:tcPr>
            <w:tcW w:w="1276" w:type="dxa"/>
            <w:tcBorders>
              <w:top w:val="nil"/>
              <w:left w:val="single" w:sz="4" w:space="0" w:color="auto"/>
              <w:bottom w:val="single" w:sz="12" w:space="0" w:color="auto"/>
              <w:right w:val="single" w:sz="12" w:space="0" w:color="auto"/>
            </w:tcBorders>
            <w:shd w:val="clear" w:color="000000" w:fill="FFFFFF"/>
            <w:noWrap/>
            <w:vAlign w:val="bottom"/>
            <w:hideMark/>
          </w:tcPr>
          <w:p w14:paraId="4928B47A"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212</w:t>
            </w:r>
          </w:p>
        </w:tc>
        <w:tc>
          <w:tcPr>
            <w:tcW w:w="1275" w:type="dxa"/>
            <w:tcBorders>
              <w:top w:val="nil"/>
              <w:left w:val="nil"/>
              <w:bottom w:val="single" w:sz="12" w:space="0" w:color="auto"/>
              <w:right w:val="nil"/>
            </w:tcBorders>
            <w:shd w:val="clear" w:color="000000" w:fill="FFFFFF"/>
            <w:noWrap/>
            <w:vAlign w:val="bottom"/>
            <w:hideMark/>
          </w:tcPr>
          <w:p w14:paraId="39A08BDB"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145</w:t>
            </w:r>
          </w:p>
        </w:tc>
        <w:tc>
          <w:tcPr>
            <w:tcW w:w="1276" w:type="dxa"/>
            <w:tcBorders>
              <w:top w:val="nil"/>
              <w:left w:val="single" w:sz="4" w:space="0" w:color="auto"/>
              <w:bottom w:val="single" w:sz="12" w:space="0" w:color="auto"/>
              <w:right w:val="single" w:sz="12" w:space="0" w:color="auto"/>
            </w:tcBorders>
            <w:shd w:val="clear" w:color="000000" w:fill="FFFFFF"/>
            <w:noWrap/>
            <w:vAlign w:val="bottom"/>
            <w:hideMark/>
          </w:tcPr>
          <w:p w14:paraId="5F221ABC"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145</w:t>
            </w:r>
          </w:p>
        </w:tc>
        <w:tc>
          <w:tcPr>
            <w:tcW w:w="1276" w:type="dxa"/>
            <w:tcBorders>
              <w:top w:val="nil"/>
              <w:left w:val="nil"/>
              <w:bottom w:val="single" w:sz="12" w:space="0" w:color="auto"/>
              <w:right w:val="nil"/>
            </w:tcBorders>
            <w:shd w:val="clear" w:color="000000" w:fill="FFFFFF"/>
            <w:noWrap/>
            <w:vAlign w:val="bottom"/>
            <w:hideMark/>
          </w:tcPr>
          <w:p w14:paraId="3A6897C2"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67</w:t>
            </w:r>
          </w:p>
        </w:tc>
        <w:tc>
          <w:tcPr>
            <w:tcW w:w="1276" w:type="dxa"/>
            <w:tcBorders>
              <w:top w:val="nil"/>
              <w:left w:val="single" w:sz="4" w:space="0" w:color="auto"/>
              <w:bottom w:val="single" w:sz="12" w:space="0" w:color="auto"/>
              <w:right w:val="single" w:sz="12" w:space="0" w:color="auto"/>
            </w:tcBorders>
            <w:shd w:val="clear" w:color="000000" w:fill="FFFFFF"/>
            <w:noWrap/>
            <w:vAlign w:val="bottom"/>
            <w:hideMark/>
          </w:tcPr>
          <w:p w14:paraId="5992B1CF"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67</w:t>
            </w:r>
          </w:p>
        </w:tc>
      </w:tr>
    </w:tbl>
    <w:p w14:paraId="30B821DA" w14:textId="77777777" w:rsidR="005B7A36" w:rsidRPr="00CE6819" w:rsidRDefault="005B7A36" w:rsidP="00D01F96">
      <w:pPr>
        <w:spacing w:line="360" w:lineRule="auto"/>
        <w:rPr>
          <w:sz w:val="24"/>
          <w:szCs w:val="24"/>
          <w:rtl/>
        </w:rPr>
      </w:pPr>
    </w:p>
    <w:p w14:paraId="22F77E24" w14:textId="447789FA" w:rsidR="005B7A36" w:rsidRPr="00CE6819" w:rsidRDefault="005B7A36" w:rsidP="00D01F96">
      <w:pPr>
        <w:bidi w:val="0"/>
        <w:spacing w:after="0" w:line="240" w:lineRule="auto"/>
        <w:rPr>
          <w:rFonts w:ascii="Arial" w:eastAsia="Times New Roman" w:hAnsi="Arial" w:cs="Arial"/>
          <w:b/>
          <w:bCs/>
          <w:color w:val="FF0000"/>
          <w:sz w:val="24"/>
          <w:szCs w:val="24"/>
        </w:rPr>
      </w:pPr>
      <w:r w:rsidRPr="00CE6819">
        <w:rPr>
          <w:rFonts w:ascii="Arial" w:eastAsia="Times New Roman" w:hAnsi="Arial" w:cs="Arial"/>
          <w:b/>
          <w:bCs/>
          <w:color w:val="FF0000"/>
          <w:sz w:val="24"/>
          <w:szCs w:val="24"/>
        </w:rPr>
        <w:t xml:space="preserve">Panel B: </w:t>
      </w:r>
      <w:r w:rsidR="00E729D2" w:rsidRPr="00CE6819">
        <w:rPr>
          <w:rFonts w:ascii="Arial" w:eastAsia="Times New Roman" w:hAnsi="Arial" w:cs="Arial"/>
          <w:b/>
          <w:bCs/>
          <w:color w:val="FF0000"/>
          <w:sz w:val="24"/>
          <w:szCs w:val="24"/>
        </w:rPr>
        <w:t>T</w:t>
      </w:r>
      <w:r w:rsidRPr="00CE6819">
        <w:rPr>
          <w:rFonts w:ascii="Arial" w:eastAsia="Times New Roman" w:hAnsi="Arial" w:cs="Arial"/>
          <w:b/>
          <w:bCs/>
          <w:color w:val="FF0000"/>
          <w:sz w:val="24"/>
          <w:szCs w:val="24"/>
        </w:rPr>
        <w:t>welve months following the IPO</w:t>
      </w:r>
    </w:p>
    <w:tbl>
      <w:tblPr>
        <w:tblW w:w="9057" w:type="dxa"/>
        <w:tblLook w:val="04A0" w:firstRow="1" w:lastRow="0" w:firstColumn="1" w:lastColumn="0" w:noHBand="0" w:noVBand="1"/>
      </w:tblPr>
      <w:tblGrid>
        <w:gridCol w:w="1403"/>
        <w:gridCol w:w="1276"/>
        <w:gridCol w:w="1261"/>
        <w:gridCol w:w="1290"/>
        <w:gridCol w:w="1250"/>
        <w:gridCol w:w="1302"/>
        <w:gridCol w:w="1275"/>
      </w:tblGrid>
      <w:tr w:rsidR="005B7A36" w:rsidRPr="00CE6819" w14:paraId="76565C33" w14:textId="77777777" w:rsidTr="003026A0">
        <w:trPr>
          <w:trHeight w:val="330"/>
        </w:trPr>
        <w:tc>
          <w:tcPr>
            <w:tcW w:w="1403" w:type="dxa"/>
            <w:tcBorders>
              <w:top w:val="single" w:sz="12" w:space="0" w:color="auto"/>
              <w:left w:val="single" w:sz="12" w:space="0" w:color="auto"/>
              <w:bottom w:val="single" w:sz="12" w:space="0" w:color="auto"/>
              <w:right w:val="nil"/>
            </w:tcBorders>
            <w:shd w:val="clear" w:color="000000" w:fill="FFFFFF"/>
            <w:noWrap/>
            <w:vAlign w:val="bottom"/>
            <w:hideMark/>
          </w:tcPr>
          <w:p w14:paraId="0BAEEBAB" w14:textId="77777777" w:rsidR="005B7A36" w:rsidRPr="00CE6819" w:rsidRDefault="005B7A36" w:rsidP="00D01F96">
            <w:pPr>
              <w:bidi w:val="0"/>
              <w:spacing w:after="0" w:line="240" w:lineRule="auto"/>
              <w:rPr>
                <w:rFonts w:ascii="Arial" w:eastAsia="Times New Roman" w:hAnsi="Arial" w:cs="Arial"/>
                <w:color w:val="000000"/>
                <w:sz w:val="24"/>
                <w:szCs w:val="24"/>
              </w:rPr>
            </w:pPr>
            <w:r w:rsidRPr="00CE6819">
              <w:rPr>
                <w:rFonts w:ascii="Arial" w:eastAsia="Times New Roman" w:hAnsi="Arial" w:cs="Arial"/>
                <w:color w:val="000000"/>
                <w:sz w:val="24"/>
                <w:szCs w:val="24"/>
              </w:rPr>
              <w:t> </w:t>
            </w:r>
          </w:p>
        </w:tc>
        <w:tc>
          <w:tcPr>
            <w:tcW w:w="2537" w:type="dxa"/>
            <w:gridSpan w:val="2"/>
            <w:tcBorders>
              <w:top w:val="single" w:sz="12" w:space="0" w:color="auto"/>
              <w:left w:val="single" w:sz="12" w:space="0" w:color="auto"/>
              <w:bottom w:val="single" w:sz="12" w:space="0" w:color="auto"/>
              <w:right w:val="single" w:sz="12" w:space="0" w:color="000000"/>
            </w:tcBorders>
            <w:shd w:val="clear" w:color="000000" w:fill="FFFFFF"/>
            <w:noWrap/>
            <w:vAlign w:val="bottom"/>
            <w:hideMark/>
          </w:tcPr>
          <w:p w14:paraId="5093C8A0" w14:textId="77777777" w:rsidR="005B7A36" w:rsidRPr="00CE6819" w:rsidRDefault="005B7A36" w:rsidP="00D01F96">
            <w:pPr>
              <w:bidi w:val="0"/>
              <w:spacing w:after="0" w:line="240" w:lineRule="auto"/>
              <w:jc w:val="center"/>
              <w:rPr>
                <w:rFonts w:ascii="Arial" w:eastAsia="Times New Roman" w:hAnsi="Arial" w:cs="Arial"/>
                <w:b/>
                <w:bCs/>
                <w:color w:val="000000"/>
                <w:sz w:val="24"/>
                <w:szCs w:val="24"/>
              </w:rPr>
            </w:pPr>
            <w:r w:rsidRPr="00CE6819">
              <w:rPr>
                <w:rFonts w:ascii="Arial" w:eastAsia="Times New Roman" w:hAnsi="Arial" w:cs="Arial"/>
                <w:b/>
                <w:bCs/>
                <w:color w:val="000000"/>
                <w:sz w:val="24"/>
                <w:szCs w:val="24"/>
              </w:rPr>
              <w:t>The Entire Sample</w:t>
            </w:r>
          </w:p>
        </w:tc>
        <w:tc>
          <w:tcPr>
            <w:tcW w:w="2540" w:type="dxa"/>
            <w:gridSpan w:val="2"/>
            <w:tcBorders>
              <w:top w:val="single" w:sz="12" w:space="0" w:color="auto"/>
              <w:left w:val="nil"/>
              <w:bottom w:val="single" w:sz="12" w:space="0" w:color="auto"/>
              <w:right w:val="nil"/>
            </w:tcBorders>
            <w:shd w:val="clear" w:color="000000" w:fill="FFFFFF"/>
            <w:noWrap/>
            <w:vAlign w:val="bottom"/>
            <w:hideMark/>
          </w:tcPr>
          <w:p w14:paraId="5084833B" w14:textId="77777777" w:rsidR="005B7A36" w:rsidRPr="00CE6819" w:rsidRDefault="005B7A36" w:rsidP="00D01F96">
            <w:pPr>
              <w:bidi w:val="0"/>
              <w:spacing w:after="0" w:line="240" w:lineRule="auto"/>
              <w:jc w:val="center"/>
              <w:rPr>
                <w:rFonts w:ascii="Arial" w:eastAsia="Times New Roman" w:hAnsi="Arial" w:cs="Arial"/>
                <w:b/>
                <w:bCs/>
                <w:color w:val="000000"/>
                <w:sz w:val="24"/>
                <w:szCs w:val="24"/>
              </w:rPr>
            </w:pPr>
            <w:r w:rsidRPr="00CE6819">
              <w:rPr>
                <w:rFonts w:ascii="Arial" w:eastAsia="Times New Roman" w:hAnsi="Arial" w:cs="Arial"/>
                <w:b/>
                <w:bCs/>
                <w:color w:val="000000"/>
                <w:sz w:val="24"/>
                <w:szCs w:val="24"/>
              </w:rPr>
              <w:t>Market Value &lt; $500M</w:t>
            </w:r>
          </w:p>
        </w:tc>
        <w:tc>
          <w:tcPr>
            <w:tcW w:w="2577" w:type="dxa"/>
            <w:gridSpan w:val="2"/>
            <w:tcBorders>
              <w:top w:val="single" w:sz="12" w:space="0" w:color="auto"/>
              <w:left w:val="single" w:sz="12" w:space="0" w:color="auto"/>
              <w:bottom w:val="single" w:sz="12" w:space="0" w:color="auto"/>
              <w:right w:val="single" w:sz="12" w:space="0" w:color="000000"/>
            </w:tcBorders>
            <w:shd w:val="clear" w:color="000000" w:fill="FFFFFF"/>
            <w:noWrap/>
            <w:vAlign w:val="bottom"/>
            <w:hideMark/>
          </w:tcPr>
          <w:p w14:paraId="06AB57DD" w14:textId="77777777" w:rsidR="005B7A36" w:rsidRPr="00CE6819" w:rsidRDefault="005B7A36" w:rsidP="00D01F96">
            <w:pPr>
              <w:bidi w:val="0"/>
              <w:spacing w:after="0" w:line="240" w:lineRule="auto"/>
              <w:jc w:val="center"/>
              <w:rPr>
                <w:rFonts w:ascii="Arial" w:eastAsia="Times New Roman" w:hAnsi="Arial" w:cs="Arial"/>
                <w:b/>
                <w:bCs/>
                <w:color w:val="000000"/>
                <w:sz w:val="24"/>
                <w:szCs w:val="24"/>
              </w:rPr>
            </w:pPr>
            <w:r w:rsidRPr="00CE6819">
              <w:rPr>
                <w:rFonts w:ascii="Arial" w:eastAsia="Times New Roman" w:hAnsi="Arial" w:cs="Arial"/>
                <w:b/>
                <w:bCs/>
                <w:color w:val="000000"/>
                <w:sz w:val="24"/>
                <w:szCs w:val="24"/>
              </w:rPr>
              <w:t>Market Value &gt; $500M</w:t>
            </w:r>
          </w:p>
        </w:tc>
      </w:tr>
      <w:tr w:rsidR="005B7A36" w:rsidRPr="00CE6819" w14:paraId="0263E5AE" w14:textId="77777777" w:rsidTr="003026A0">
        <w:trPr>
          <w:trHeight w:val="315"/>
        </w:trPr>
        <w:tc>
          <w:tcPr>
            <w:tcW w:w="1403" w:type="dxa"/>
            <w:tcBorders>
              <w:top w:val="nil"/>
              <w:left w:val="single" w:sz="12" w:space="0" w:color="auto"/>
              <w:bottom w:val="single" w:sz="4" w:space="0" w:color="auto"/>
              <w:right w:val="nil"/>
            </w:tcBorders>
            <w:shd w:val="clear" w:color="000000" w:fill="FFFFFF"/>
            <w:noWrap/>
            <w:vAlign w:val="bottom"/>
            <w:hideMark/>
          </w:tcPr>
          <w:p w14:paraId="6A1C0317" w14:textId="77777777" w:rsidR="005B7A36" w:rsidRPr="00CE6819" w:rsidRDefault="005B7A36" w:rsidP="00D01F96">
            <w:pPr>
              <w:bidi w:val="0"/>
              <w:spacing w:after="0" w:line="240" w:lineRule="auto"/>
              <w:rPr>
                <w:rFonts w:ascii="Arial" w:eastAsia="Times New Roman" w:hAnsi="Arial" w:cs="Arial"/>
                <w:color w:val="000000"/>
                <w:sz w:val="24"/>
                <w:szCs w:val="24"/>
              </w:rPr>
            </w:pPr>
            <w:r w:rsidRPr="00CE6819">
              <w:rPr>
                <w:rFonts w:ascii="Arial" w:eastAsia="Times New Roman" w:hAnsi="Arial" w:cs="Arial"/>
                <w:color w:val="000000"/>
                <w:sz w:val="24"/>
                <w:szCs w:val="24"/>
              </w:rPr>
              <w:t> </w:t>
            </w:r>
          </w:p>
        </w:tc>
        <w:tc>
          <w:tcPr>
            <w:tcW w:w="1276" w:type="dxa"/>
            <w:tcBorders>
              <w:top w:val="nil"/>
              <w:left w:val="single" w:sz="12" w:space="0" w:color="auto"/>
              <w:bottom w:val="single" w:sz="4" w:space="0" w:color="auto"/>
              <w:right w:val="nil"/>
            </w:tcBorders>
            <w:shd w:val="clear" w:color="000000" w:fill="FFFFFF"/>
            <w:noWrap/>
            <w:vAlign w:val="bottom"/>
            <w:hideMark/>
          </w:tcPr>
          <w:p w14:paraId="4FAF7F38" w14:textId="77777777" w:rsidR="005B7A36" w:rsidRPr="00CE6819" w:rsidRDefault="005B7A36" w:rsidP="00D01F96">
            <w:pPr>
              <w:bidi w:val="0"/>
              <w:spacing w:after="0" w:line="240" w:lineRule="auto"/>
              <w:jc w:val="center"/>
              <w:rPr>
                <w:rFonts w:ascii="Arial" w:eastAsia="Times New Roman" w:hAnsi="Arial" w:cs="Arial"/>
                <w:color w:val="000000"/>
                <w:sz w:val="24"/>
                <w:szCs w:val="24"/>
              </w:rPr>
            </w:pPr>
            <w:r w:rsidRPr="00CE6819">
              <w:rPr>
                <w:rFonts w:ascii="Arial" w:eastAsia="Times New Roman" w:hAnsi="Arial" w:cs="Arial"/>
                <w:color w:val="000000"/>
                <w:sz w:val="24"/>
                <w:szCs w:val="24"/>
              </w:rPr>
              <w:t xml:space="preserve">Return </w:t>
            </w:r>
          </w:p>
        </w:tc>
        <w:tc>
          <w:tcPr>
            <w:tcW w:w="1261" w:type="dxa"/>
            <w:tcBorders>
              <w:top w:val="nil"/>
              <w:left w:val="single" w:sz="4" w:space="0" w:color="auto"/>
              <w:bottom w:val="single" w:sz="4" w:space="0" w:color="auto"/>
              <w:right w:val="single" w:sz="12" w:space="0" w:color="auto"/>
            </w:tcBorders>
            <w:shd w:val="clear" w:color="000000" w:fill="FFFFFF"/>
            <w:noWrap/>
            <w:vAlign w:val="bottom"/>
            <w:hideMark/>
          </w:tcPr>
          <w:p w14:paraId="1AB05678" w14:textId="77777777" w:rsidR="005B7A36" w:rsidRPr="00CE6819" w:rsidRDefault="005B7A36" w:rsidP="00D01F96">
            <w:pPr>
              <w:bidi w:val="0"/>
              <w:spacing w:after="0" w:line="240" w:lineRule="auto"/>
              <w:jc w:val="center"/>
              <w:rPr>
                <w:rFonts w:ascii="Arial" w:eastAsia="Times New Roman" w:hAnsi="Arial" w:cs="Arial"/>
                <w:color w:val="000000"/>
                <w:sz w:val="24"/>
                <w:szCs w:val="24"/>
              </w:rPr>
            </w:pPr>
            <w:r w:rsidRPr="00CE6819">
              <w:rPr>
                <w:rFonts w:ascii="Arial" w:eastAsia="Times New Roman" w:hAnsi="Arial" w:cs="Arial"/>
                <w:color w:val="000000"/>
                <w:sz w:val="24"/>
                <w:szCs w:val="24"/>
              </w:rPr>
              <w:t>AR to Sector</w:t>
            </w:r>
          </w:p>
        </w:tc>
        <w:tc>
          <w:tcPr>
            <w:tcW w:w="1290" w:type="dxa"/>
            <w:tcBorders>
              <w:top w:val="nil"/>
              <w:left w:val="nil"/>
              <w:bottom w:val="single" w:sz="4" w:space="0" w:color="auto"/>
              <w:right w:val="nil"/>
            </w:tcBorders>
            <w:shd w:val="clear" w:color="000000" w:fill="FFFFFF"/>
            <w:noWrap/>
            <w:vAlign w:val="bottom"/>
            <w:hideMark/>
          </w:tcPr>
          <w:p w14:paraId="79F20C3D" w14:textId="77777777" w:rsidR="005B7A36" w:rsidRPr="00CE6819" w:rsidRDefault="005B7A36" w:rsidP="00D01F96">
            <w:pPr>
              <w:bidi w:val="0"/>
              <w:spacing w:after="0" w:line="240" w:lineRule="auto"/>
              <w:jc w:val="center"/>
              <w:rPr>
                <w:rFonts w:ascii="Arial" w:eastAsia="Times New Roman" w:hAnsi="Arial" w:cs="Arial"/>
                <w:color w:val="000000"/>
                <w:sz w:val="24"/>
                <w:szCs w:val="24"/>
              </w:rPr>
            </w:pPr>
            <w:r w:rsidRPr="00CE6819">
              <w:rPr>
                <w:rFonts w:ascii="Arial" w:eastAsia="Times New Roman" w:hAnsi="Arial" w:cs="Arial"/>
                <w:color w:val="000000"/>
                <w:sz w:val="24"/>
                <w:szCs w:val="24"/>
              </w:rPr>
              <w:t>Return</w:t>
            </w:r>
          </w:p>
        </w:tc>
        <w:tc>
          <w:tcPr>
            <w:tcW w:w="1250" w:type="dxa"/>
            <w:tcBorders>
              <w:top w:val="nil"/>
              <w:left w:val="single" w:sz="4" w:space="0" w:color="auto"/>
              <w:bottom w:val="single" w:sz="4" w:space="0" w:color="auto"/>
              <w:right w:val="single" w:sz="12" w:space="0" w:color="auto"/>
            </w:tcBorders>
            <w:shd w:val="clear" w:color="000000" w:fill="FFFFFF"/>
            <w:noWrap/>
            <w:vAlign w:val="bottom"/>
            <w:hideMark/>
          </w:tcPr>
          <w:p w14:paraId="55CC6769" w14:textId="77777777" w:rsidR="005B7A36" w:rsidRPr="00CE6819" w:rsidRDefault="005B7A36" w:rsidP="00D01F96">
            <w:pPr>
              <w:bidi w:val="0"/>
              <w:spacing w:after="0" w:line="240" w:lineRule="auto"/>
              <w:jc w:val="center"/>
              <w:rPr>
                <w:rFonts w:ascii="Arial" w:eastAsia="Times New Roman" w:hAnsi="Arial" w:cs="Arial"/>
                <w:color w:val="000000"/>
                <w:sz w:val="24"/>
                <w:szCs w:val="24"/>
              </w:rPr>
            </w:pPr>
            <w:r w:rsidRPr="00CE6819">
              <w:rPr>
                <w:rFonts w:ascii="Arial" w:eastAsia="Times New Roman" w:hAnsi="Arial" w:cs="Arial"/>
                <w:color w:val="000000"/>
                <w:sz w:val="24"/>
                <w:szCs w:val="24"/>
              </w:rPr>
              <w:t>AR to Sector</w:t>
            </w:r>
          </w:p>
        </w:tc>
        <w:tc>
          <w:tcPr>
            <w:tcW w:w="1302" w:type="dxa"/>
            <w:tcBorders>
              <w:top w:val="nil"/>
              <w:left w:val="nil"/>
              <w:bottom w:val="single" w:sz="4" w:space="0" w:color="auto"/>
              <w:right w:val="nil"/>
            </w:tcBorders>
            <w:shd w:val="clear" w:color="000000" w:fill="FFFFFF"/>
            <w:noWrap/>
            <w:vAlign w:val="bottom"/>
            <w:hideMark/>
          </w:tcPr>
          <w:p w14:paraId="1DA80CAD" w14:textId="77777777" w:rsidR="005B7A36" w:rsidRPr="00CE6819" w:rsidRDefault="005B7A36" w:rsidP="00D01F96">
            <w:pPr>
              <w:bidi w:val="0"/>
              <w:spacing w:after="0" w:line="240" w:lineRule="auto"/>
              <w:jc w:val="center"/>
              <w:rPr>
                <w:rFonts w:ascii="Arial" w:eastAsia="Times New Roman" w:hAnsi="Arial" w:cs="Arial"/>
                <w:color w:val="000000"/>
                <w:sz w:val="24"/>
                <w:szCs w:val="24"/>
              </w:rPr>
            </w:pPr>
            <w:r w:rsidRPr="00CE6819">
              <w:rPr>
                <w:rFonts w:ascii="Arial" w:eastAsia="Times New Roman" w:hAnsi="Arial" w:cs="Arial"/>
                <w:color w:val="000000"/>
                <w:sz w:val="24"/>
                <w:szCs w:val="24"/>
              </w:rPr>
              <w:t>Return</w:t>
            </w:r>
          </w:p>
        </w:tc>
        <w:tc>
          <w:tcPr>
            <w:tcW w:w="1275" w:type="dxa"/>
            <w:tcBorders>
              <w:top w:val="nil"/>
              <w:left w:val="single" w:sz="4" w:space="0" w:color="auto"/>
              <w:bottom w:val="single" w:sz="4" w:space="0" w:color="auto"/>
              <w:right w:val="single" w:sz="12" w:space="0" w:color="auto"/>
            </w:tcBorders>
            <w:shd w:val="clear" w:color="000000" w:fill="FFFFFF"/>
            <w:noWrap/>
            <w:vAlign w:val="bottom"/>
            <w:hideMark/>
          </w:tcPr>
          <w:p w14:paraId="52FB010B" w14:textId="77777777" w:rsidR="005B7A36" w:rsidRPr="00CE6819" w:rsidRDefault="005B7A36" w:rsidP="00D01F96">
            <w:pPr>
              <w:bidi w:val="0"/>
              <w:spacing w:after="0" w:line="240" w:lineRule="auto"/>
              <w:jc w:val="center"/>
              <w:rPr>
                <w:rFonts w:ascii="Arial" w:eastAsia="Times New Roman" w:hAnsi="Arial" w:cs="Arial"/>
                <w:color w:val="000000"/>
                <w:sz w:val="24"/>
                <w:szCs w:val="24"/>
              </w:rPr>
            </w:pPr>
            <w:r w:rsidRPr="00CE6819">
              <w:rPr>
                <w:rFonts w:ascii="Arial" w:eastAsia="Times New Roman" w:hAnsi="Arial" w:cs="Arial"/>
                <w:color w:val="000000"/>
                <w:sz w:val="24"/>
                <w:szCs w:val="24"/>
              </w:rPr>
              <w:t>AR to Sector</w:t>
            </w:r>
          </w:p>
        </w:tc>
      </w:tr>
      <w:tr w:rsidR="005B7A36" w:rsidRPr="00CE6819" w14:paraId="6F0D1F3F" w14:textId="77777777" w:rsidTr="003026A0">
        <w:trPr>
          <w:trHeight w:val="300"/>
        </w:trPr>
        <w:tc>
          <w:tcPr>
            <w:tcW w:w="1403" w:type="dxa"/>
            <w:tcBorders>
              <w:top w:val="nil"/>
              <w:left w:val="single" w:sz="12" w:space="0" w:color="auto"/>
              <w:bottom w:val="nil"/>
              <w:right w:val="nil"/>
            </w:tcBorders>
            <w:shd w:val="clear" w:color="000000" w:fill="FFFFFF"/>
            <w:noWrap/>
            <w:vAlign w:val="bottom"/>
            <w:hideMark/>
          </w:tcPr>
          <w:p w14:paraId="4D6F0027" w14:textId="77777777" w:rsidR="005B7A36" w:rsidRPr="004F45F0" w:rsidRDefault="005B7A36" w:rsidP="00D01F96">
            <w:pPr>
              <w:bidi w:val="0"/>
              <w:spacing w:after="0" w:line="240" w:lineRule="auto"/>
              <w:rPr>
                <w:rFonts w:ascii="Arial" w:eastAsia="Times New Roman" w:hAnsi="Arial" w:cs="Arial"/>
                <w:color w:val="000000"/>
                <w:sz w:val="20"/>
                <w:szCs w:val="20"/>
              </w:rPr>
            </w:pPr>
            <w:r w:rsidRPr="004F45F0">
              <w:rPr>
                <w:rFonts w:ascii="Arial" w:eastAsia="Times New Roman" w:hAnsi="Arial" w:cs="Arial"/>
                <w:color w:val="000000"/>
                <w:sz w:val="20"/>
                <w:szCs w:val="20"/>
              </w:rPr>
              <w:t>Intercept</w:t>
            </w:r>
          </w:p>
        </w:tc>
        <w:tc>
          <w:tcPr>
            <w:tcW w:w="1276" w:type="dxa"/>
            <w:tcBorders>
              <w:top w:val="nil"/>
              <w:left w:val="single" w:sz="12" w:space="0" w:color="auto"/>
              <w:bottom w:val="nil"/>
              <w:right w:val="nil"/>
            </w:tcBorders>
            <w:shd w:val="clear" w:color="000000" w:fill="FFFFFF"/>
            <w:noWrap/>
            <w:vAlign w:val="bottom"/>
            <w:hideMark/>
          </w:tcPr>
          <w:p w14:paraId="3665BE00"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-0.77 (0.06)</w:t>
            </w:r>
          </w:p>
        </w:tc>
        <w:tc>
          <w:tcPr>
            <w:tcW w:w="1261" w:type="dxa"/>
            <w:tcBorders>
              <w:top w:val="nil"/>
              <w:left w:val="single" w:sz="4" w:space="0" w:color="auto"/>
              <w:bottom w:val="nil"/>
              <w:right w:val="single" w:sz="12" w:space="0" w:color="auto"/>
            </w:tcBorders>
            <w:shd w:val="clear" w:color="000000" w:fill="FFFFFF"/>
            <w:noWrap/>
            <w:vAlign w:val="bottom"/>
            <w:hideMark/>
          </w:tcPr>
          <w:p w14:paraId="7836CAB5"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-0.84 (0.04)</w:t>
            </w:r>
          </w:p>
        </w:tc>
        <w:tc>
          <w:tcPr>
            <w:tcW w:w="1290" w:type="dxa"/>
            <w:tcBorders>
              <w:top w:val="nil"/>
              <w:left w:val="nil"/>
              <w:bottom w:val="nil"/>
              <w:right w:val="nil"/>
            </w:tcBorders>
            <w:shd w:val="clear" w:color="000000" w:fill="FFFFFF"/>
            <w:noWrap/>
            <w:vAlign w:val="bottom"/>
            <w:hideMark/>
          </w:tcPr>
          <w:p w14:paraId="690B713F"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-1.23 (0.00)</w:t>
            </w:r>
          </w:p>
        </w:tc>
        <w:tc>
          <w:tcPr>
            <w:tcW w:w="1250" w:type="dxa"/>
            <w:tcBorders>
              <w:top w:val="nil"/>
              <w:left w:val="single" w:sz="4" w:space="0" w:color="auto"/>
              <w:bottom w:val="nil"/>
              <w:right w:val="single" w:sz="12" w:space="0" w:color="auto"/>
            </w:tcBorders>
            <w:shd w:val="clear" w:color="000000" w:fill="FFFFFF"/>
            <w:noWrap/>
            <w:vAlign w:val="bottom"/>
            <w:hideMark/>
          </w:tcPr>
          <w:p w14:paraId="77046283"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-1.28 (0.00)</w:t>
            </w:r>
          </w:p>
        </w:tc>
        <w:tc>
          <w:tcPr>
            <w:tcW w:w="1302" w:type="dxa"/>
            <w:tcBorders>
              <w:top w:val="nil"/>
              <w:left w:val="nil"/>
              <w:bottom w:val="nil"/>
              <w:right w:val="nil"/>
            </w:tcBorders>
            <w:shd w:val="clear" w:color="000000" w:fill="FFFFFF"/>
            <w:noWrap/>
            <w:vAlign w:val="bottom"/>
            <w:hideMark/>
          </w:tcPr>
          <w:p w14:paraId="7E44399E"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1.01 (0.54)</w:t>
            </w:r>
          </w:p>
        </w:tc>
        <w:tc>
          <w:tcPr>
            <w:tcW w:w="1275" w:type="dxa"/>
            <w:tcBorders>
              <w:top w:val="nil"/>
              <w:left w:val="single" w:sz="4" w:space="0" w:color="auto"/>
              <w:bottom w:val="nil"/>
              <w:right w:val="single" w:sz="12" w:space="0" w:color="auto"/>
            </w:tcBorders>
            <w:shd w:val="clear" w:color="000000" w:fill="FFFFFF"/>
            <w:noWrap/>
            <w:vAlign w:val="bottom"/>
            <w:hideMark/>
          </w:tcPr>
          <w:p w14:paraId="1A635052"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0.82 (0.62)</w:t>
            </w:r>
          </w:p>
        </w:tc>
      </w:tr>
      <w:tr w:rsidR="005B7A36" w:rsidRPr="00CE6819" w14:paraId="6E594BD9" w14:textId="77777777" w:rsidTr="003026A0">
        <w:trPr>
          <w:trHeight w:val="330"/>
        </w:trPr>
        <w:tc>
          <w:tcPr>
            <w:tcW w:w="1403" w:type="dxa"/>
            <w:tcBorders>
              <w:top w:val="nil"/>
              <w:left w:val="single" w:sz="12" w:space="0" w:color="auto"/>
              <w:bottom w:val="nil"/>
              <w:right w:val="nil"/>
            </w:tcBorders>
            <w:shd w:val="clear" w:color="000000" w:fill="FFFFFF"/>
            <w:noWrap/>
            <w:vAlign w:val="bottom"/>
            <w:hideMark/>
          </w:tcPr>
          <w:p w14:paraId="65749C56" w14:textId="77777777" w:rsidR="005B7A36" w:rsidRPr="004F45F0" w:rsidRDefault="005B7A36" w:rsidP="00D01F96">
            <w:pPr>
              <w:bidi w:val="0"/>
              <w:spacing w:after="0" w:line="240" w:lineRule="auto"/>
              <w:rPr>
                <w:rFonts w:ascii="Arial" w:eastAsia="Times New Roman" w:hAnsi="Arial" w:cs="Arial"/>
                <w:color w:val="000000"/>
                <w:sz w:val="20"/>
                <w:szCs w:val="20"/>
              </w:rPr>
            </w:pPr>
            <w:r w:rsidRPr="004F45F0">
              <w:rPr>
                <w:rFonts w:ascii="Arial" w:eastAsia="Times New Roman" w:hAnsi="Arial" w:cs="Arial"/>
                <w:color w:val="000000"/>
                <w:sz w:val="20"/>
                <w:szCs w:val="20"/>
              </w:rPr>
              <w:t>Ln(MV)</w:t>
            </w:r>
          </w:p>
        </w:tc>
        <w:tc>
          <w:tcPr>
            <w:tcW w:w="1276" w:type="dxa"/>
            <w:tcBorders>
              <w:top w:val="nil"/>
              <w:left w:val="single" w:sz="12" w:space="0" w:color="auto"/>
              <w:bottom w:val="nil"/>
              <w:right w:val="nil"/>
            </w:tcBorders>
            <w:shd w:val="clear" w:color="000000" w:fill="FFFFFF"/>
            <w:noWrap/>
            <w:vAlign w:val="bottom"/>
            <w:hideMark/>
          </w:tcPr>
          <w:p w14:paraId="459E712C"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0.40 (0.00)</w:t>
            </w:r>
          </w:p>
        </w:tc>
        <w:tc>
          <w:tcPr>
            <w:tcW w:w="1261" w:type="dxa"/>
            <w:tcBorders>
              <w:top w:val="nil"/>
              <w:left w:val="single" w:sz="4" w:space="0" w:color="auto"/>
              <w:bottom w:val="nil"/>
              <w:right w:val="single" w:sz="12" w:space="0" w:color="auto"/>
            </w:tcBorders>
            <w:shd w:val="clear" w:color="000000" w:fill="FFFFFF"/>
            <w:noWrap/>
            <w:vAlign w:val="bottom"/>
            <w:hideMark/>
          </w:tcPr>
          <w:p w14:paraId="6A688E55"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0.40 (0.00)</w:t>
            </w:r>
          </w:p>
        </w:tc>
        <w:tc>
          <w:tcPr>
            <w:tcW w:w="1290" w:type="dxa"/>
            <w:tcBorders>
              <w:top w:val="nil"/>
              <w:left w:val="nil"/>
              <w:bottom w:val="nil"/>
              <w:right w:val="nil"/>
            </w:tcBorders>
            <w:shd w:val="clear" w:color="000000" w:fill="FFFFFF"/>
            <w:noWrap/>
            <w:vAlign w:val="bottom"/>
            <w:hideMark/>
          </w:tcPr>
          <w:p w14:paraId="48293B8E"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0.16 (0.01)</w:t>
            </w:r>
          </w:p>
        </w:tc>
        <w:tc>
          <w:tcPr>
            <w:tcW w:w="1250" w:type="dxa"/>
            <w:tcBorders>
              <w:top w:val="nil"/>
              <w:left w:val="single" w:sz="4" w:space="0" w:color="auto"/>
              <w:bottom w:val="nil"/>
              <w:right w:val="single" w:sz="12" w:space="0" w:color="auto"/>
            </w:tcBorders>
            <w:shd w:val="clear" w:color="000000" w:fill="FFFFFF"/>
            <w:noWrap/>
            <w:vAlign w:val="bottom"/>
            <w:hideMark/>
          </w:tcPr>
          <w:p w14:paraId="70DE86E8"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0.16 (0.01)</w:t>
            </w:r>
          </w:p>
        </w:tc>
        <w:tc>
          <w:tcPr>
            <w:tcW w:w="1302" w:type="dxa"/>
            <w:tcBorders>
              <w:top w:val="nil"/>
              <w:left w:val="nil"/>
              <w:bottom w:val="nil"/>
              <w:right w:val="nil"/>
            </w:tcBorders>
            <w:shd w:val="clear" w:color="000000" w:fill="FFFFFF"/>
            <w:noWrap/>
            <w:vAlign w:val="bottom"/>
            <w:hideMark/>
          </w:tcPr>
          <w:p w14:paraId="23EA67B2"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0.61 (0.03)</w:t>
            </w:r>
          </w:p>
        </w:tc>
        <w:tc>
          <w:tcPr>
            <w:tcW w:w="1275" w:type="dxa"/>
            <w:tcBorders>
              <w:top w:val="nil"/>
              <w:left w:val="single" w:sz="4" w:space="0" w:color="auto"/>
              <w:bottom w:val="nil"/>
              <w:right w:val="single" w:sz="12" w:space="0" w:color="auto"/>
            </w:tcBorders>
            <w:shd w:val="clear" w:color="000000" w:fill="FFFFFF"/>
            <w:noWrap/>
            <w:vAlign w:val="bottom"/>
            <w:hideMark/>
          </w:tcPr>
          <w:p w14:paraId="7298E36A"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0.62 (0.03)</w:t>
            </w:r>
          </w:p>
        </w:tc>
      </w:tr>
      <w:tr w:rsidR="005B7A36" w:rsidRPr="00CE6819" w14:paraId="1EF2818D" w14:textId="77777777" w:rsidTr="003026A0">
        <w:trPr>
          <w:trHeight w:val="330"/>
        </w:trPr>
        <w:tc>
          <w:tcPr>
            <w:tcW w:w="1403" w:type="dxa"/>
            <w:tcBorders>
              <w:top w:val="nil"/>
              <w:left w:val="single" w:sz="12" w:space="0" w:color="auto"/>
              <w:bottom w:val="nil"/>
              <w:right w:val="nil"/>
            </w:tcBorders>
            <w:shd w:val="clear" w:color="000000" w:fill="FFFFFF"/>
            <w:noWrap/>
            <w:vAlign w:val="bottom"/>
            <w:hideMark/>
          </w:tcPr>
          <w:p w14:paraId="72BFA4DD" w14:textId="020838B9" w:rsidR="005B7A36" w:rsidRPr="004F45F0" w:rsidRDefault="005B7A36" w:rsidP="00D01F96">
            <w:pPr>
              <w:bidi w:val="0"/>
              <w:spacing w:after="0" w:line="240" w:lineRule="auto"/>
              <w:rPr>
                <w:rFonts w:ascii="Arial" w:eastAsia="Times New Roman" w:hAnsi="Arial" w:cs="Arial"/>
                <w:color w:val="000000"/>
                <w:sz w:val="20"/>
                <w:szCs w:val="20"/>
              </w:rPr>
            </w:pPr>
            <w:r w:rsidRPr="004F45F0">
              <w:rPr>
                <w:rFonts w:ascii="Arial" w:eastAsia="Times New Roman" w:hAnsi="Arial" w:cs="Arial"/>
                <w:color w:val="000000"/>
                <w:sz w:val="20"/>
                <w:szCs w:val="20"/>
              </w:rPr>
              <w:t>Ln(</w:t>
            </w:r>
            <w:r w:rsidR="009728C1" w:rsidRPr="004F45F0">
              <w:rPr>
                <w:rFonts w:ascii="Arial" w:eastAsia="Times New Roman" w:hAnsi="Arial" w:cs="Arial"/>
                <w:color w:val="000000"/>
                <w:sz w:val="20"/>
                <w:szCs w:val="20"/>
              </w:rPr>
              <w:t>Prcds</w:t>
            </w:r>
            <w:r w:rsidRPr="004F45F0">
              <w:rPr>
                <w:rFonts w:ascii="Arial" w:eastAsia="Times New Roman" w:hAnsi="Arial" w:cs="Arial"/>
                <w:color w:val="000000"/>
                <w:sz w:val="20"/>
                <w:szCs w:val="20"/>
              </w:rPr>
              <w:t>)</w:t>
            </w:r>
          </w:p>
        </w:tc>
        <w:tc>
          <w:tcPr>
            <w:tcW w:w="1276" w:type="dxa"/>
            <w:tcBorders>
              <w:top w:val="nil"/>
              <w:left w:val="single" w:sz="12" w:space="0" w:color="auto"/>
              <w:bottom w:val="nil"/>
              <w:right w:val="nil"/>
            </w:tcBorders>
            <w:shd w:val="clear" w:color="000000" w:fill="FFFFFF"/>
            <w:noWrap/>
            <w:vAlign w:val="bottom"/>
            <w:hideMark/>
          </w:tcPr>
          <w:p w14:paraId="3D2494D1"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-0.42 (0.00)</w:t>
            </w:r>
          </w:p>
        </w:tc>
        <w:tc>
          <w:tcPr>
            <w:tcW w:w="1261" w:type="dxa"/>
            <w:tcBorders>
              <w:top w:val="nil"/>
              <w:left w:val="single" w:sz="4" w:space="0" w:color="auto"/>
              <w:bottom w:val="nil"/>
              <w:right w:val="single" w:sz="12" w:space="0" w:color="auto"/>
            </w:tcBorders>
            <w:shd w:val="clear" w:color="000000" w:fill="FFFFFF"/>
            <w:noWrap/>
            <w:vAlign w:val="bottom"/>
            <w:hideMark/>
          </w:tcPr>
          <w:p w14:paraId="3F6DEA5F"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-0.41 (0.00)</w:t>
            </w:r>
          </w:p>
        </w:tc>
        <w:tc>
          <w:tcPr>
            <w:tcW w:w="1290" w:type="dxa"/>
            <w:tcBorders>
              <w:top w:val="nil"/>
              <w:left w:val="nil"/>
              <w:bottom w:val="nil"/>
              <w:right w:val="nil"/>
            </w:tcBorders>
            <w:shd w:val="clear" w:color="000000" w:fill="FFFFFF"/>
            <w:noWrap/>
            <w:vAlign w:val="bottom"/>
            <w:hideMark/>
          </w:tcPr>
          <w:p w14:paraId="76C50D2F"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 </w:t>
            </w:r>
          </w:p>
        </w:tc>
        <w:tc>
          <w:tcPr>
            <w:tcW w:w="1250" w:type="dxa"/>
            <w:tcBorders>
              <w:top w:val="nil"/>
              <w:left w:val="single" w:sz="4" w:space="0" w:color="auto"/>
              <w:bottom w:val="nil"/>
              <w:right w:val="single" w:sz="12" w:space="0" w:color="auto"/>
            </w:tcBorders>
            <w:shd w:val="clear" w:color="000000" w:fill="FFFFFF"/>
            <w:noWrap/>
            <w:vAlign w:val="bottom"/>
            <w:hideMark/>
          </w:tcPr>
          <w:p w14:paraId="0097B9A4"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 </w:t>
            </w:r>
          </w:p>
        </w:tc>
        <w:tc>
          <w:tcPr>
            <w:tcW w:w="1302" w:type="dxa"/>
            <w:tcBorders>
              <w:top w:val="nil"/>
              <w:left w:val="nil"/>
              <w:bottom w:val="nil"/>
              <w:right w:val="nil"/>
            </w:tcBorders>
            <w:shd w:val="clear" w:color="000000" w:fill="FFFFFF"/>
            <w:noWrap/>
            <w:vAlign w:val="bottom"/>
            <w:hideMark/>
          </w:tcPr>
          <w:p w14:paraId="57B97BE7"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-1.04 (0.00)</w:t>
            </w:r>
          </w:p>
        </w:tc>
        <w:tc>
          <w:tcPr>
            <w:tcW w:w="1275" w:type="dxa"/>
            <w:tcBorders>
              <w:top w:val="nil"/>
              <w:left w:val="single" w:sz="4" w:space="0" w:color="auto"/>
              <w:bottom w:val="nil"/>
              <w:right w:val="single" w:sz="12" w:space="0" w:color="auto"/>
            </w:tcBorders>
            <w:shd w:val="clear" w:color="000000" w:fill="FFFFFF"/>
            <w:noWrap/>
            <w:vAlign w:val="bottom"/>
            <w:hideMark/>
          </w:tcPr>
          <w:p w14:paraId="01D33706"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-1.02 (0.00)</w:t>
            </w:r>
          </w:p>
        </w:tc>
      </w:tr>
      <w:tr w:rsidR="005B7A36" w:rsidRPr="00CE6819" w14:paraId="6DC98B0D" w14:textId="77777777" w:rsidTr="003026A0">
        <w:trPr>
          <w:trHeight w:val="300"/>
        </w:trPr>
        <w:tc>
          <w:tcPr>
            <w:tcW w:w="1403" w:type="dxa"/>
            <w:tcBorders>
              <w:top w:val="nil"/>
              <w:left w:val="single" w:sz="12" w:space="0" w:color="auto"/>
              <w:bottom w:val="nil"/>
              <w:right w:val="nil"/>
            </w:tcBorders>
            <w:shd w:val="clear" w:color="000000" w:fill="FFFFFF"/>
            <w:noWrap/>
            <w:vAlign w:val="bottom"/>
            <w:hideMark/>
          </w:tcPr>
          <w:p w14:paraId="5860C3AF" w14:textId="6B95F4A4" w:rsidR="005B7A36" w:rsidRPr="004F45F0" w:rsidRDefault="009728C1" w:rsidP="00D01F96">
            <w:pPr>
              <w:bidi w:val="0"/>
              <w:spacing w:after="0" w:line="240" w:lineRule="auto"/>
              <w:rPr>
                <w:rFonts w:ascii="Arial" w:eastAsia="Times New Roman" w:hAnsi="Arial" w:cs="Arial"/>
                <w:color w:val="000000"/>
                <w:sz w:val="20"/>
                <w:szCs w:val="20"/>
              </w:rPr>
            </w:pPr>
            <w:r w:rsidRPr="004F45F0">
              <w:rPr>
                <w:rFonts w:ascii="Arial" w:eastAsia="Times New Roman" w:hAnsi="Arial" w:cs="Arial"/>
                <w:color w:val="000000"/>
                <w:sz w:val="20"/>
                <w:szCs w:val="20"/>
              </w:rPr>
              <w:t>Prcds</w:t>
            </w:r>
            <w:r w:rsidR="005B7A36" w:rsidRPr="004F45F0">
              <w:rPr>
                <w:rFonts w:ascii="Arial" w:eastAsia="Times New Roman" w:hAnsi="Arial" w:cs="Arial"/>
                <w:color w:val="000000"/>
                <w:sz w:val="20"/>
                <w:szCs w:val="20"/>
              </w:rPr>
              <w:t>(%)</w:t>
            </w:r>
          </w:p>
        </w:tc>
        <w:tc>
          <w:tcPr>
            <w:tcW w:w="1276" w:type="dxa"/>
            <w:tcBorders>
              <w:top w:val="nil"/>
              <w:left w:val="single" w:sz="12" w:space="0" w:color="auto"/>
              <w:bottom w:val="nil"/>
              <w:right w:val="nil"/>
            </w:tcBorders>
            <w:shd w:val="clear" w:color="000000" w:fill="FFFFFF"/>
            <w:noWrap/>
            <w:vAlign w:val="bottom"/>
            <w:hideMark/>
          </w:tcPr>
          <w:p w14:paraId="133FE9AB"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0.09 (0.08)</w:t>
            </w:r>
          </w:p>
        </w:tc>
        <w:tc>
          <w:tcPr>
            <w:tcW w:w="1261" w:type="dxa"/>
            <w:tcBorders>
              <w:top w:val="nil"/>
              <w:left w:val="single" w:sz="4" w:space="0" w:color="auto"/>
              <w:bottom w:val="nil"/>
              <w:right w:val="single" w:sz="12" w:space="0" w:color="auto"/>
            </w:tcBorders>
            <w:shd w:val="clear" w:color="000000" w:fill="FFFFFF"/>
            <w:noWrap/>
            <w:vAlign w:val="bottom"/>
            <w:hideMark/>
          </w:tcPr>
          <w:p w14:paraId="15F3F77A"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0.09 (0.08)</w:t>
            </w:r>
          </w:p>
        </w:tc>
        <w:tc>
          <w:tcPr>
            <w:tcW w:w="1290" w:type="dxa"/>
            <w:tcBorders>
              <w:top w:val="nil"/>
              <w:left w:val="nil"/>
              <w:bottom w:val="nil"/>
              <w:right w:val="nil"/>
            </w:tcBorders>
            <w:shd w:val="clear" w:color="000000" w:fill="FFFFFF"/>
            <w:noWrap/>
            <w:vAlign w:val="bottom"/>
            <w:hideMark/>
          </w:tcPr>
          <w:p w14:paraId="4B69B932"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 </w:t>
            </w:r>
          </w:p>
        </w:tc>
        <w:tc>
          <w:tcPr>
            <w:tcW w:w="1250" w:type="dxa"/>
            <w:tcBorders>
              <w:top w:val="nil"/>
              <w:left w:val="single" w:sz="4" w:space="0" w:color="auto"/>
              <w:bottom w:val="nil"/>
              <w:right w:val="single" w:sz="12" w:space="0" w:color="auto"/>
            </w:tcBorders>
            <w:shd w:val="clear" w:color="000000" w:fill="FFFFFF"/>
            <w:noWrap/>
            <w:vAlign w:val="bottom"/>
            <w:hideMark/>
          </w:tcPr>
          <w:p w14:paraId="31F27DA5"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 </w:t>
            </w:r>
          </w:p>
        </w:tc>
        <w:tc>
          <w:tcPr>
            <w:tcW w:w="1302" w:type="dxa"/>
            <w:tcBorders>
              <w:top w:val="nil"/>
              <w:left w:val="nil"/>
              <w:bottom w:val="nil"/>
              <w:right w:val="nil"/>
            </w:tcBorders>
            <w:shd w:val="clear" w:color="000000" w:fill="FFFFFF"/>
            <w:noWrap/>
            <w:vAlign w:val="bottom"/>
            <w:hideMark/>
          </w:tcPr>
          <w:p w14:paraId="3ECAEB8C"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 </w:t>
            </w:r>
          </w:p>
        </w:tc>
        <w:tc>
          <w:tcPr>
            <w:tcW w:w="1275" w:type="dxa"/>
            <w:tcBorders>
              <w:top w:val="nil"/>
              <w:left w:val="single" w:sz="4" w:space="0" w:color="auto"/>
              <w:bottom w:val="nil"/>
              <w:right w:val="single" w:sz="12" w:space="0" w:color="auto"/>
            </w:tcBorders>
            <w:shd w:val="clear" w:color="000000" w:fill="FFFFFF"/>
            <w:noWrap/>
            <w:vAlign w:val="bottom"/>
            <w:hideMark/>
          </w:tcPr>
          <w:p w14:paraId="09BB3414"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 </w:t>
            </w:r>
          </w:p>
        </w:tc>
      </w:tr>
      <w:tr w:rsidR="005B7A36" w:rsidRPr="00CE6819" w14:paraId="189E59EB" w14:textId="77777777" w:rsidTr="003026A0">
        <w:trPr>
          <w:trHeight w:val="300"/>
        </w:trPr>
        <w:tc>
          <w:tcPr>
            <w:tcW w:w="1403" w:type="dxa"/>
            <w:tcBorders>
              <w:top w:val="nil"/>
              <w:left w:val="single" w:sz="12" w:space="0" w:color="auto"/>
              <w:bottom w:val="nil"/>
              <w:right w:val="nil"/>
            </w:tcBorders>
            <w:shd w:val="clear" w:color="000000" w:fill="FFFFFF"/>
            <w:noWrap/>
            <w:vAlign w:val="bottom"/>
            <w:hideMark/>
          </w:tcPr>
          <w:p w14:paraId="67E85CDE" w14:textId="77777777" w:rsidR="005B7A36" w:rsidRPr="004F45F0" w:rsidRDefault="005B7A36" w:rsidP="00D01F96">
            <w:pPr>
              <w:bidi w:val="0"/>
              <w:spacing w:after="0" w:line="240" w:lineRule="auto"/>
              <w:rPr>
                <w:rFonts w:ascii="Arial" w:eastAsia="Times New Roman" w:hAnsi="Arial" w:cs="Arial"/>
                <w:color w:val="000000"/>
                <w:sz w:val="20"/>
                <w:szCs w:val="20"/>
              </w:rPr>
            </w:pPr>
            <w:r w:rsidRPr="004F45F0">
              <w:rPr>
                <w:rFonts w:ascii="Arial" w:eastAsia="Times New Roman" w:hAnsi="Arial" w:cs="Arial"/>
                <w:color w:val="000000"/>
                <w:sz w:val="20"/>
                <w:szCs w:val="20"/>
              </w:rPr>
              <w:t>Year 2013</w:t>
            </w:r>
          </w:p>
        </w:tc>
        <w:tc>
          <w:tcPr>
            <w:tcW w:w="1276" w:type="dxa"/>
            <w:tcBorders>
              <w:top w:val="nil"/>
              <w:left w:val="single" w:sz="12" w:space="0" w:color="auto"/>
              <w:bottom w:val="nil"/>
              <w:right w:val="nil"/>
            </w:tcBorders>
            <w:shd w:val="clear" w:color="000000" w:fill="FFFFFF"/>
            <w:noWrap/>
            <w:vAlign w:val="bottom"/>
            <w:hideMark/>
          </w:tcPr>
          <w:p w14:paraId="583FA742"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0.45 (0.01)</w:t>
            </w:r>
          </w:p>
        </w:tc>
        <w:tc>
          <w:tcPr>
            <w:tcW w:w="1261" w:type="dxa"/>
            <w:tcBorders>
              <w:top w:val="nil"/>
              <w:left w:val="single" w:sz="4" w:space="0" w:color="auto"/>
              <w:bottom w:val="nil"/>
              <w:right w:val="single" w:sz="12" w:space="0" w:color="auto"/>
            </w:tcBorders>
            <w:shd w:val="clear" w:color="000000" w:fill="FFFFFF"/>
            <w:noWrap/>
            <w:vAlign w:val="bottom"/>
            <w:hideMark/>
          </w:tcPr>
          <w:p w14:paraId="1D007D6C"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0.27 (0.14)</w:t>
            </w:r>
          </w:p>
        </w:tc>
        <w:tc>
          <w:tcPr>
            <w:tcW w:w="1290" w:type="dxa"/>
            <w:tcBorders>
              <w:top w:val="nil"/>
              <w:left w:val="nil"/>
              <w:bottom w:val="nil"/>
              <w:right w:val="nil"/>
            </w:tcBorders>
            <w:shd w:val="clear" w:color="000000" w:fill="FFFFFF"/>
            <w:noWrap/>
            <w:vAlign w:val="bottom"/>
            <w:hideMark/>
          </w:tcPr>
          <w:p w14:paraId="36D86809"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0.73 (0.00)</w:t>
            </w:r>
          </w:p>
        </w:tc>
        <w:tc>
          <w:tcPr>
            <w:tcW w:w="1250" w:type="dxa"/>
            <w:tcBorders>
              <w:top w:val="nil"/>
              <w:left w:val="single" w:sz="4" w:space="0" w:color="auto"/>
              <w:bottom w:val="nil"/>
              <w:right w:val="single" w:sz="12" w:space="0" w:color="auto"/>
            </w:tcBorders>
            <w:shd w:val="clear" w:color="000000" w:fill="FFFFFF"/>
            <w:noWrap/>
            <w:vAlign w:val="bottom"/>
            <w:hideMark/>
          </w:tcPr>
          <w:p w14:paraId="271BE5E8"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0.55 (0.00)</w:t>
            </w:r>
          </w:p>
        </w:tc>
        <w:tc>
          <w:tcPr>
            <w:tcW w:w="1302" w:type="dxa"/>
            <w:tcBorders>
              <w:top w:val="nil"/>
              <w:left w:val="nil"/>
              <w:bottom w:val="nil"/>
              <w:right w:val="nil"/>
            </w:tcBorders>
            <w:shd w:val="clear" w:color="000000" w:fill="FFFFFF"/>
            <w:noWrap/>
            <w:vAlign w:val="bottom"/>
            <w:hideMark/>
          </w:tcPr>
          <w:p w14:paraId="744FB771"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-0.12 (0.76)</w:t>
            </w:r>
          </w:p>
        </w:tc>
        <w:tc>
          <w:tcPr>
            <w:tcW w:w="1275" w:type="dxa"/>
            <w:tcBorders>
              <w:top w:val="nil"/>
              <w:left w:val="single" w:sz="4" w:space="0" w:color="auto"/>
              <w:bottom w:val="nil"/>
              <w:right w:val="single" w:sz="12" w:space="0" w:color="auto"/>
            </w:tcBorders>
            <w:shd w:val="clear" w:color="000000" w:fill="FFFFFF"/>
            <w:noWrap/>
            <w:vAlign w:val="bottom"/>
            <w:hideMark/>
          </w:tcPr>
          <w:p w14:paraId="313D52CD"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-0.28 (0.46)</w:t>
            </w:r>
          </w:p>
        </w:tc>
      </w:tr>
      <w:tr w:rsidR="005B7A36" w:rsidRPr="00CE6819" w14:paraId="470BA926" w14:textId="77777777" w:rsidTr="003026A0">
        <w:trPr>
          <w:trHeight w:val="300"/>
        </w:trPr>
        <w:tc>
          <w:tcPr>
            <w:tcW w:w="1403" w:type="dxa"/>
            <w:tcBorders>
              <w:top w:val="nil"/>
              <w:left w:val="single" w:sz="12" w:space="0" w:color="auto"/>
              <w:bottom w:val="nil"/>
              <w:right w:val="nil"/>
            </w:tcBorders>
            <w:shd w:val="clear" w:color="000000" w:fill="FFFFFF"/>
            <w:noWrap/>
            <w:vAlign w:val="bottom"/>
            <w:hideMark/>
          </w:tcPr>
          <w:p w14:paraId="0DEC3EE0" w14:textId="77777777" w:rsidR="005B7A36" w:rsidRPr="004F45F0" w:rsidRDefault="005B7A36" w:rsidP="00D01F96">
            <w:pPr>
              <w:bidi w:val="0"/>
              <w:spacing w:after="0" w:line="240" w:lineRule="auto"/>
              <w:rPr>
                <w:rFonts w:ascii="Arial" w:eastAsia="Times New Roman" w:hAnsi="Arial" w:cs="Arial"/>
                <w:color w:val="000000"/>
                <w:sz w:val="20"/>
                <w:szCs w:val="20"/>
              </w:rPr>
            </w:pPr>
            <w:r w:rsidRPr="004F45F0">
              <w:rPr>
                <w:rFonts w:ascii="Arial" w:eastAsia="Times New Roman" w:hAnsi="Arial" w:cs="Arial"/>
                <w:color w:val="000000"/>
                <w:sz w:val="20"/>
                <w:szCs w:val="20"/>
              </w:rPr>
              <w:t>Year 2014</w:t>
            </w:r>
          </w:p>
        </w:tc>
        <w:tc>
          <w:tcPr>
            <w:tcW w:w="1276" w:type="dxa"/>
            <w:tcBorders>
              <w:top w:val="nil"/>
              <w:left w:val="single" w:sz="12" w:space="0" w:color="auto"/>
              <w:bottom w:val="nil"/>
              <w:right w:val="nil"/>
            </w:tcBorders>
            <w:shd w:val="clear" w:color="000000" w:fill="FFFFFF"/>
            <w:noWrap/>
            <w:vAlign w:val="bottom"/>
            <w:hideMark/>
          </w:tcPr>
          <w:p w14:paraId="3B34DB30"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0.43 (0.00)</w:t>
            </w:r>
          </w:p>
        </w:tc>
        <w:tc>
          <w:tcPr>
            <w:tcW w:w="1261" w:type="dxa"/>
            <w:tcBorders>
              <w:top w:val="nil"/>
              <w:left w:val="single" w:sz="4" w:space="0" w:color="auto"/>
              <w:bottom w:val="nil"/>
              <w:right w:val="single" w:sz="12" w:space="0" w:color="auto"/>
            </w:tcBorders>
            <w:shd w:val="clear" w:color="000000" w:fill="FFFFFF"/>
            <w:noWrap/>
            <w:vAlign w:val="bottom"/>
            <w:hideMark/>
          </w:tcPr>
          <w:p w14:paraId="75C982AC"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0.33 (0.03)</w:t>
            </w:r>
          </w:p>
        </w:tc>
        <w:tc>
          <w:tcPr>
            <w:tcW w:w="1290" w:type="dxa"/>
            <w:tcBorders>
              <w:top w:val="nil"/>
              <w:left w:val="nil"/>
              <w:bottom w:val="nil"/>
              <w:right w:val="nil"/>
            </w:tcBorders>
            <w:shd w:val="clear" w:color="000000" w:fill="FFFFFF"/>
            <w:noWrap/>
            <w:vAlign w:val="bottom"/>
            <w:hideMark/>
          </w:tcPr>
          <w:p w14:paraId="4EA6F034"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0.35 (0.02)</w:t>
            </w:r>
          </w:p>
        </w:tc>
        <w:tc>
          <w:tcPr>
            <w:tcW w:w="1250" w:type="dxa"/>
            <w:tcBorders>
              <w:top w:val="nil"/>
              <w:left w:val="single" w:sz="4" w:space="0" w:color="auto"/>
              <w:bottom w:val="nil"/>
              <w:right w:val="single" w:sz="12" w:space="0" w:color="auto"/>
            </w:tcBorders>
            <w:shd w:val="clear" w:color="000000" w:fill="FFFFFF"/>
            <w:noWrap/>
            <w:vAlign w:val="bottom"/>
            <w:hideMark/>
          </w:tcPr>
          <w:p w14:paraId="7559CE22"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0.25 (0.09)</w:t>
            </w:r>
          </w:p>
        </w:tc>
        <w:tc>
          <w:tcPr>
            <w:tcW w:w="1302" w:type="dxa"/>
            <w:tcBorders>
              <w:top w:val="nil"/>
              <w:left w:val="nil"/>
              <w:bottom w:val="nil"/>
              <w:right w:val="nil"/>
            </w:tcBorders>
            <w:shd w:val="clear" w:color="000000" w:fill="FFFFFF"/>
            <w:noWrap/>
            <w:vAlign w:val="bottom"/>
            <w:hideMark/>
          </w:tcPr>
          <w:p w14:paraId="1145E6FD"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0.57 (0.1)</w:t>
            </w:r>
          </w:p>
        </w:tc>
        <w:tc>
          <w:tcPr>
            <w:tcW w:w="1275" w:type="dxa"/>
            <w:tcBorders>
              <w:top w:val="nil"/>
              <w:left w:val="single" w:sz="4" w:space="0" w:color="auto"/>
              <w:bottom w:val="nil"/>
              <w:right w:val="single" w:sz="12" w:space="0" w:color="auto"/>
            </w:tcBorders>
            <w:shd w:val="clear" w:color="000000" w:fill="FFFFFF"/>
            <w:noWrap/>
            <w:vAlign w:val="bottom"/>
            <w:hideMark/>
          </w:tcPr>
          <w:p w14:paraId="41BB3C78"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0.48 (0.17)</w:t>
            </w:r>
          </w:p>
        </w:tc>
      </w:tr>
      <w:tr w:rsidR="005B7A36" w:rsidRPr="00CE6819" w14:paraId="4A886869" w14:textId="77777777" w:rsidTr="003026A0">
        <w:trPr>
          <w:trHeight w:val="300"/>
        </w:trPr>
        <w:tc>
          <w:tcPr>
            <w:tcW w:w="1403" w:type="dxa"/>
            <w:tcBorders>
              <w:top w:val="nil"/>
              <w:left w:val="single" w:sz="12" w:space="0" w:color="auto"/>
              <w:bottom w:val="nil"/>
              <w:right w:val="nil"/>
            </w:tcBorders>
            <w:shd w:val="clear" w:color="000000" w:fill="FFFFFF"/>
            <w:noWrap/>
            <w:vAlign w:val="bottom"/>
            <w:hideMark/>
          </w:tcPr>
          <w:p w14:paraId="256503AD" w14:textId="77777777" w:rsidR="005B7A36" w:rsidRPr="004F45F0" w:rsidRDefault="005B7A36" w:rsidP="00D01F96">
            <w:pPr>
              <w:bidi w:val="0"/>
              <w:spacing w:after="0" w:line="240" w:lineRule="auto"/>
              <w:rPr>
                <w:rFonts w:ascii="Arial" w:eastAsia="Times New Roman" w:hAnsi="Arial" w:cs="Arial"/>
                <w:color w:val="000000"/>
                <w:sz w:val="20"/>
                <w:szCs w:val="20"/>
              </w:rPr>
            </w:pPr>
            <w:r w:rsidRPr="004F45F0">
              <w:rPr>
                <w:rFonts w:ascii="Arial" w:eastAsia="Times New Roman" w:hAnsi="Arial" w:cs="Arial"/>
                <w:color w:val="000000"/>
                <w:sz w:val="20"/>
                <w:szCs w:val="20"/>
              </w:rPr>
              <w:t>Year 2015</w:t>
            </w:r>
          </w:p>
        </w:tc>
        <w:tc>
          <w:tcPr>
            <w:tcW w:w="1276" w:type="dxa"/>
            <w:tcBorders>
              <w:top w:val="nil"/>
              <w:left w:val="single" w:sz="12" w:space="0" w:color="auto"/>
              <w:bottom w:val="nil"/>
              <w:right w:val="nil"/>
            </w:tcBorders>
            <w:shd w:val="clear" w:color="000000" w:fill="FFFFFF"/>
            <w:noWrap/>
            <w:vAlign w:val="bottom"/>
            <w:hideMark/>
          </w:tcPr>
          <w:p w14:paraId="2F4ADAC4"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-0.15 (0.38)</w:t>
            </w:r>
          </w:p>
        </w:tc>
        <w:tc>
          <w:tcPr>
            <w:tcW w:w="1261" w:type="dxa"/>
            <w:tcBorders>
              <w:top w:val="nil"/>
              <w:left w:val="single" w:sz="4" w:space="0" w:color="auto"/>
              <w:bottom w:val="nil"/>
              <w:right w:val="single" w:sz="12" w:space="0" w:color="auto"/>
            </w:tcBorders>
            <w:shd w:val="clear" w:color="000000" w:fill="FFFFFF"/>
            <w:noWrap/>
            <w:vAlign w:val="bottom"/>
            <w:hideMark/>
          </w:tcPr>
          <w:p w14:paraId="65B75FA7"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-0.05 (0.77)</w:t>
            </w:r>
          </w:p>
        </w:tc>
        <w:tc>
          <w:tcPr>
            <w:tcW w:w="1290" w:type="dxa"/>
            <w:tcBorders>
              <w:top w:val="nil"/>
              <w:left w:val="nil"/>
              <w:bottom w:val="nil"/>
              <w:right w:val="nil"/>
            </w:tcBorders>
            <w:shd w:val="clear" w:color="000000" w:fill="FFFFFF"/>
            <w:noWrap/>
            <w:vAlign w:val="bottom"/>
            <w:hideMark/>
          </w:tcPr>
          <w:p w14:paraId="46DD6A53"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-0.07 (0.69)</w:t>
            </w:r>
          </w:p>
        </w:tc>
        <w:tc>
          <w:tcPr>
            <w:tcW w:w="1250" w:type="dxa"/>
            <w:tcBorders>
              <w:top w:val="nil"/>
              <w:left w:val="single" w:sz="4" w:space="0" w:color="auto"/>
              <w:bottom w:val="nil"/>
              <w:right w:val="single" w:sz="12" w:space="0" w:color="auto"/>
            </w:tcBorders>
            <w:shd w:val="clear" w:color="000000" w:fill="FFFFFF"/>
            <w:noWrap/>
            <w:vAlign w:val="bottom"/>
            <w:hideMark/>
          </w:tcPr>
          <w:p w14:paraId="3744D821"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0.03 (0.85)</w:t>
            </w:r>
          </w:p>
        </w:tc>
        <w:tc>
          <w:tcPr>
            <w:tcW w:w="1302" w:type="dxa"/>
            <w:tcBorders>
              <w:top w:val="nil"/>
              <w:left w:val="nil"/>
              <w:bottom w:val="nil"/>
              <w:right w:val="nil"/>
            </w:tcBorders>
            <w:shd w:val="clear" w:color="000000" w:fill="FFFFFF"/>
            <w:noWrap/>
            <w:vAlign w:val="bottom"/>
            <w:hideMark/>
          </w:tcPr>
          <w:p w14:paraId="67244BFE"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-0.34 (0.33)</w:t>
            </w:r>
          </w:p>
        </w:tc>
        <w:tc>
          <w:tcPr>
            <w:tcW w:w="1275" w:type="dxa"/>
            <w:tcBorders>
              <w:top w:val="nil"/>
              <w:left w:val="single" w:sz="4" w:space="0" w:color="auto"/>
              <w:bottom w:val="nil"/>
              <w:right w:val="single" w:sz="12" w:space="0" w:color="auto"/>
            </w:tcBorders>
            <w:shd w:val="clear" w:color="000000" w:fill="FFFFFF"/>
            <w:noWrap/>
            <w:vAlign w:val="bottom"/>
            <w:hideMark/>
          </w:tcPr>
          <w:p w14:paraId="76843F97"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-0.24 (0.50)</w:t>
            </w:r>
          </w:p>
        </w:tc>
      </w:tr>
      <w:tr w:rsidR="005B7A36" w:rsidRPr="00CE6819" w14:paraId="35124C5E" w14:textId="77777777" w:rsidTr="003026A0">
        <w:trPr>
          <w:trHeight w:val="300"/>
        </w:trPr>
        <w:tc>
          <w:tcPr>
            <w:tcW w:w="1403" w:type="dxa"/>
            <w:tcBorders>
              <w:top w:val="nil"/>
              <w:left w:val="single" w:sz="12" w:space="0" w:color="auto"/>
              <w:bottom w:val="nil"/>
              <w:right w:val="nil"/>
            </w:tcBorders>
            <w:shd w:val="clear" w:color="000000" w:fill="FFFFFF"/>
            <w:noWrap/>
            <w:vAlign w:val="bottom"/>
            <w:hideMark/>
          </w:tcPr>
          <w:p w14:paraId="6E1A54FD" w14:textId="77777777" w:rsidR="005B7A36" w:rsidRPr="004F45F0" w:rsidRDefault="005B7A36" w:rsidP="00D01F96">
            <w:pPr>
              <w:bidi w:val="0"/>
              <w:spacing w:after="0" w:line="240" w:lineRule="auto"/>
              <w:rPr>
                <w:rFonts w:ascii="Arial" w:eastAsia="Times New Roman" w:hAnsi="Arial" w:cs="Arial"/>
                <w:color w:val="000000"/>
                <w:sz w:val="20"/>
                <w:szCs w:val="20"/>
              </w:rPr>
            </w:pPr>
            <w:r w:rsidRPr="004F45F0">
              <w:rPr>
                <w:rFonts w:ascii="Arial" w:eastAsia="Times New Roman" w:hAnsi="Arial" w:cs="Arial"/>
                <w:color w:val="000000"/>
                <w:sz w:val="20"/>
                <w:szCs w:val="20"/>
              </w:rPr>
              <w:t>Year 2016</w:t>
            </w:r>
          </w:p>
        </w:tc>
        <w:tc>
          <w:tcPr>
            <w:tcW w:w="1276" w:type="dxa"/>
            <w:tcBorders>
              <w:top w:val="nil"/>
              <w:left w:val="single" w:sz="12" w:space="0" w:color="auto"/>
              <w:bottom w:val="nil"/>
              <w:right w:val="nil"/>
            </w:tcBorders>
            <w:shd w:val="clear" w:color="000000" w:fill="FFFFFF"/>
            <w:noWrap/>
            <w:vAlign w:val="bottom"/>
            <w:hideMark/>
          </w:tcPr>
          <w:p w14:paraId="033B6DBE"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0.50 (0.09)</w:t>
            </w:r>
          </w:p>
        </w:tc>
        <w:tc>
          <w:tcPr>
            <w:tcW w:w="1261" w:type="dxa"/>
            <w:tcBorders>
              <w:top w:val="nil"/>
              <w:left w:val="single" w:sz="4" w:space="0" w:color="auto"/>
              <w:bottom w:val="nil"/>
              <w:right w:val="single" w:sz="12" w:space="0" w:color="auto"/>
            </w:tcBorders>
            <w:shd w:val="clear" w:color="000000" w:fill="FFFFFF"/>
            <w:noWrap/>
            <w:vAlign w:val="bottom"/>
            <w:hideMark/>
          </w:tcPr>
          <w:p w14:paraId="19EDC102"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0.49 (0.09)</w:t>
            </w:r>
          </w:p>
        </w:tc>
        <w:tc>
          <w:tcPr>
            <w:tcW w:w="1290" w:type="dxa"/>
            <w:tcBorders>
              <w:top w:val="nil"/>
              <w:left w:val="nil"/>
              <w:bottom w:val="nil"/>
              <w:right w:val="nil"/>
            </w:tcBorders>
            <w:shd w:val="clear" w:color="000000" w:fill="FFFFFF"/>
            <w:noWrap/>
            <w:vAlign w:val="bottom"/>
            <w:hideMark/>
          </w:tcPr>
          <w:p w14:paraId="511218EF"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0.72 (0.01)</w:t>
            </w:r>
          </w:p>
        </w:tc>
        <w:tc>
          <w:tcPr>
            <w:tcW w:w="1250" w:type="dxa"/>
            <w:tcBorders>
              <w:top w:val="nil"/>
              <w:left w:val="single" w:sz="4" w:space="0" w:color="auto"/>
              <w:bottom w:val="nil"/>
              <w:right w:val="single" w:sz="12" w:space="0" w:color="auto"/>
            </w:tcBorders>
            <w:shd w:val="clear" w:color="000000" w:fill="FFFFFF"/>
            <w:noWrap/>
            <w:vAlign w:val="bottom"/>
            <w:hideMark/>
          </w:tcPr>
          <w:p w14:paraId="3E5363F0"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0.7 (0.02)</w:t>
            </w:r>
          </w:p>
        </w:tc>
        <w:tc>
          <w:tcPr>
            <w:tcW w:w="1302" w:type="dxa"/>
            <w:tcBorders>
              <w:top w:val="nil"/>
              <w:left w:val="nil"/>
              <w:bottom w:val="nil"/>
              <w:right w:val="nil"/>
            </w:tcBorders>
            <w:shd w:val="clear" w:color="000000" w:fill="FFFFFF"/>
            <w:noWrap/>
            <w:vAlign w:val="bottom"/>
            <w:hideMark/>
          </w:tcPr>
          <w:p w14:paraId="202DC33C"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-0.05 (0.94)</w:t>
            </w:r>
          </w:p>
        </w:tc>
        <w:tc>
          <w:tcPr>
            <w:tcW w:w="1275" w:type="dxa"/>
            <w:tcBorders>
              <w:top w:val="nil"/>
              <w:left w:val="single" w:sz="4" w:space="0" w:color="auto"/>
              <w:bottom w:val="nil"/>
              <w:right w:val="single" w:sz="12" w:space="0" w:color="auto"/>
            </w:tcBorders>
            <w:shd w:val="clear" w:color="000000" w:fill="FFFFFF"/>
            <w:noWrap/>
            <w:vAlign w:val="bottom"/>
            <w:hideMark/>
          </w:tcPr>
          <w:p w14:paraId="16A78E7F"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-0.01 (0.99)</w:t>
            </w:r>
          </w:p>
        </w:tc>
      </w:tr>
      <w:tr w:rsidR="005B7A36" w:rsidRPr="00CE6819" w14:paraId="7C9D9A2F" w14:textId="77777777" w:rsidTr="003026A0">
        <w:trPr>
          <w:trHeight w:val="300"/>
        </w:trPr>
        <w:tc>
          <w:tcPr>
            <w:tcW w:w="1403" w:type="dxa"/>
            <w:tcBorders>
              <w:top w:val="nil"/>
              <w:left w:val="single" w:sz="12" w:space="0" w:color="auto"/>
              <w:bottom w:val="nil"/>
              <w:right w:val="nil"/>
            </w:tcBorders>
            <w:shd w:val="clear" w:color="000000" w:fill="FFFFFF"/>
            <w:noWrap/>
            <w:vAlign w:val="bottom"/>
            <w:hideMark/>
          </w:tcPr>
          <w:p w14:paraId="1A088EC3" w14:textId="77777777" w:rsidR="005B7A36" w:rsidRPr="004F45F0" w:rsidRDefault="005B7A36" w:rsidP="00D01F96">
            <w:pPr>
              <w:bidi w:val="0"/>
              <w:spacing w:after="0" w:line="240" w:lineRule="auto"/>
              <w:rPr>
                <w:rFonts w:ascii="Arial" w:eastAsia="Times New Roman" w:hAnsi="Arial" w:cs="Arial"/>
                <w:color w:val="000000"/>
                <w:sz w:val="20"/>
                <w:szCs w:val="20"/>
              </w:rPr>
            </w:pPr>
            <w:r w:rsidRPr="004F45F0">
              <w:rPr>
                <w:rFonts w:ascii="Arial" w:eastAsia="Times New Roman" w:hAnsi="Arial" w:cs="Arial"/>
                <w:color w:val="000000"/>
                <w:sz w:val="20"/>
                <w:szCs w:val="20"/>
              </w:rPr>
              <w:t>Year 2017</w:t>
            </w:r>
          </w:p>
        </w:tc>
        <w:tc>
          <w:tcPr>
            <w:tcW w:w="1276" w:type="dxa"/>
            <w:tcBorders>
              <w:top w:val="nil"/>
              <w:left w:val="single" w:sz="12" w:space="0" w:color="auto"/>
              <w:bottom w:val="nil"/>
              <w:right w:val="nil"/>
            </w:tcBorders>
            <w:shd w:val="clear" w:color="000000" w:fill="FFFFFF"/>
            <w:noWrap/>
            <w:vAlign w:val="bottom"/>
            <w:hideMark/>
          </w:tcPr>
          <w:p w14:paraId="555995CC"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0.46 (0.02)</w:t>
            </w:r>
          </w:p>
        </w:tc>
        <w:tc>
          <w:tcPr>
            <w:tcW w:w="1261" w:type="dxa"/>
            <w:tcBorders>
              <w:top w:val="nil"/>
              <w:left w:val="single" w:sz="4" w:space="0" w:color="auto"/>
              <w:bottom w:val="nil"/>
              <w:right w:val="single" w:sz="12" w:space="0" w:color="auto"/>
            </w:tcBorders>
            <w:shd w:val="clear" w:color="000000" w:fill="FFFFFF"/>
            <w:noWrap/>
            <w:vAlign w:val="bottom"/>
            <w:hideMark/>
          </w:tcPr>
          <w:p w14:paraId="68D48D79"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0.43 (0.03)</w:t>
            </w:r>
          </w:p>
        </w:tc>
        <w:tc>
          <w:tcPr>
            <w:tcW w:w="1290" w:type="dxa"/>
            <w:tcBorders>
              <w:top w:val="nil"/>
              <w:left w:val="nil"/>
              <w:bottom w:val="nil"/>
              <w:right w:val="nil"/>
            </w:tcBorders>
            <w:shd w:val="clear" w:color="000000" w:fill="FFFFFF"/>
            <w:noWrap/>
            <w:vAlign w:val="bottom"/>
            <w:hideMark/>
          </w:tcPr>
          <w:p w14:paraId="3D44370B"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0.22 (0.34)</w:t>
            </w:r>
          </w:p>
        </w:tc>
        <w:tc>
          <w:tcPr>
            <w:tcW w:w="1250" w:type="dxa"/>
            <w:tcBorders>
              <w:top w:val="nil"/>
              <w:left w:val="single" w:sz="4" w:space="0" w:color="auto"/>
              <w:bottom w:val="nil"/>
              <w:right w:val="single" w:sz="12" w:space="0" w:color="auto"/>
            </w:tcBorders>
            <w:shd w:val="clear" w:color="000000" w:fill="FFFFFF"/>
            <w:noWrap/>
            <w:vAlign w:val="bottom"/>
            <w:hideMark/>
          </w:tcPr>
          <w:p w14:paraId="7D0083E6"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0.2 (0.4)</w:t>
            </w:r>
          </w:p>
        </w:tc>
        <w:tc>
          <w:tcPr>
            <w:tcW w:w="1302" w:type="dxa"/>
            <w:tcBorders>
              <w:top w:val="nil"/>
              <w:left w:val="nil"/>
              <w:bottom w:val="nil"/>
              <w:right w:val="nil"/>
            </w:tcBorders>
            <w:shd w:val="clear" w:color="000000" w:fill="FFFFFF"/>
            <w:noWrap/>
            <w:vAlign w:val="bottom"/>
            <w:hideMark/>
          </w:tcPr>
          <w:p w14:paraId="17D105C5"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0.73 (0.05)</w:t>
            </w:r>
          </w:p>
        </w:tc>
        <w:tc>
          <w:tcPr>
            <w:tcW w:w="1275" w:type="dxa"/>
            <w:tcBorders>
              <w:top w:val="nil"/>
              <w:left w:val="single" w:sz="4" w:space="0" w:color="auto"/>
              <w:bottom w:val="nil"/>
              <w:right w:val="single" w:sz="12" w:space="0" w:color="auto"/>
            </w:tcBorders>
            <w:shd w:val="clear" w:color="000000" w:fill="FFFFFF"/>
            <w:noWrap/>
            <w:vAlign w:val="bottom"/>
            <w:hideMark/>
          </w:tcPr>
          <w:p w14:paraId="48D709BE"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0.71 (0.06)</w:t>
            </w:r>
          </w:p>
        </w:tc>
      </w:tr>
      <w:tr w:rsidR="005B7A36" w:rsidRPr="00CE6819" w14:paraId="1AB45735" w14:textId="77777777" w:rsidTr="003026A0">
        <w:trPr>
          <w:trHeight w:val="285"/>
        </w:trPr>
        <w:tc>
          <w:tcPr>
            <w:tcW w:w="1403" w:type="dxa"/>
            <w:tcBorders>
              <w:top w:val="nil"/>
              <w:left w:val="single" w:sz="12" w:space="0" w:color="auto"/>
              <w:bottom w:val="nil"/>
              <w:right w:val="nil"/>
            </w:tcBorders>
            <w:shd w:val="clear" w:color="000000" w:fill="FFFFFF"/>
            <w:noWrap/>
            <w:vAlign w:val="bottom"/>
            <w:hideMark/>
          </w:tcPr>
          <w:p w14:paraId="4530E6F3" w14:textId="77777777" w:rsidR="005B7A36" w:rsidRPr="004F45F0" w:rsidRDefault="005B7A36" w:rsidP="00D01F96">
            <w:pPr>
              <w:bidi w:val="0"/>
              <w:spacing w:after="0" w:line="240" w:lineRule="auto"/>
              <w:rPr>
                <w:rFonts w:ascii="Arial" w:eastAsia="Times New Roman" w:hAnsi="Arial" w:cs="Arial"/>
                <w:color w:val="000000"/>
                <w:sz w:val="20"/>
                <w:szCs w:val="20"/>
              </w:rPr>
            </w:pPr>
            <w:r w:rsidRPr="004F45F0">
              <w:rPr>
                <w:rFonts w:ascii="Arial" w:eastAsia="Times New Roman" w:hAnsi="Arial" w:cs="Arial"/>
                <w:color w:val="000000"/>
                <w:sz w:val="20"/>
                <w:szCs w:val="20"/>
              </w:rPr>
              <w:t>Is Mrkt</w:t>
            </w:r>
          </w:p>
        </w:tc>
        <w:tc>
          <w:tcPr>
            <w:tcW w:w="1276" w:type="dxa"/>
            <w:tcBorders>
              <w:top w:val="nil"/>
              <w:left w:val="single" w:sz="12" w:space="0" w:color="auto"/>
              <w:bottom w:val="nil"/>
              <w:right w:val="nil"/>
            </w:tcBorders>
            <w:shd w:val="clear" w:color="000000" w:fill="FFFFFF"/>
            <w:noWrap/>
            <w:vAlign w:val="bottom"/>
            <w:hideMark/>
          </w:tcPr>
          <w:p w14:paraId="0018C515"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0.33 (0.15)</w:t>
            </w:r>
          </w:p>
        </w:tc>
        <w:tc>
          <w:tcPr>
            <w:tcW w:w="1261" w:type="dxa"/>
            <w:tcBorders>
              <w:top w:val="nil"/>
              <w:left w:val="single" w:sz="4" w:space="0" w:color="auto"/>
              <w:bottom w:val="nil"/>
              <w:right w:val="single" w:sz="12" w:space="0" w:color="auto"/>
            </w:tcBorders>
            <w:shd w:val="clear" w:color="000000" w:fill="FFFFFF"/>
            <w:noWrap/>
            <w:vAlign w:val="bottom"/>
            <w:hideMark/>
          </w:tcPr>
          <w:p w14:paraId="514D7112"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0.33 (0.15)</w:t>
            </w:r>
          </w:p>
        </w:tc>
        <w:tc>
          <w:tcPr>
            <w:tcW w:w="1290" w:type="dxa"/>
            <w:tcBorders>
              <w:top w:val="nil"/>
              <w:left w:val="nil"/>
              <w:bottom w:val="nil"/>
              <w:right w:val="nil"/>
            </w:tcBorders>
            <w:shd w:val="clear" w:color="000000" w:fill="FFFFFF"/>
            <w:noWrap/>
            <w:vAlign w:val="bottom"/>
            <w:hideMark/>
          </w:tcPr>
          <w:p w14:paraId="22F7B375"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1.1 (0.00)</w:t>
            </w:r>
          </w:p>
        </w:tc>
        <w:tc>
          <w:tcPr>
            <w:tcW w:w="1250" w:type="dxa"/>
            <w:tcBorders>
              <w:top w:val="nil"/>
              <w:left w:val="single" w:sz="4" w:space="0" w:color="auto"/>
              <w:bottom w:val="nil"/>
              <w:right w:val="single" w:sz="12" w:space="0" w:color="auto"/>
            </w:tcBorders>
            <w:shd w:val="clear" w:color="000000" w:fill="FFFFFF"/>
            <w:noWrap/>
            <w:vAlign w:val="bottom"/>
            <w:hideMark/>
          </w:tcPr>
          <w:p w14:paraId="13AC508B"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1.12 (0.00)</w:t>
            </w:r>
          </w:p>
        </w:tc>
        <w:tc>
          <w:tcPr>
            <w:tcW w:w="1302" w:type="dxa"/>
            <w:tcBorders>
              <w:top w:val="nil"/>
              <w:left w:val="nil"/>
              <w:bottom w:val="nil"/>
              <w:right w:val="nil"/>
            </w:tcBorders>
            <w:shd w:val="clear" w:color="000000" w:fill="FFFFFF"/>
            <w:noWrap/>
            <w:vAlign w:val="bottom"/>
            <w:hideMark/>
          </w:tcPr>
          <w:p w14:paraId="549AB172"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 </w:t>
            </w:r>
          </w:p>
        </w:tc>
        <w:tc>
          <w:tcPr>
            <w:tcW w:w="1275" w:type="dxa"/>
            <w:tcBorders>
              <w:top w:val="nil"/>
              <w:left w:val="single" w:sz="4" w:space="0" w:color="auto"/>
              <w:bottom w:val="nil"/>
              <w:right w:val="single" w:sz="12" w:space="0" w:color="auto"/>
            </w:tcBorders>
            <w:shd w:val="clear" w:color="000000" w:fill="FFFFFF"/>
            <w:noWrap/>
            <w:vAlign w:val="bottom"/>
            <w:hideMark/>
          </w:tcPr>
          <w:p w14:paraId="4D965128"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 </w:t>
            </w:r>
          </w:p>
        </w:tc>
      </w:tr>
      <w:tr w:rsidR="005B7A36" w:rsidRPr="00CE6819" w14:paraId="19573135" w14:textId="77777777" w:rsidTr="003026A0">
        <w:trPr>
          <w:trHeight w:val="300"/>
        </w:trPr>
        <w:tc>
          <w:tcPr>
            <w:tcW w:w="1403" w:type="dxa"/>
            <w:tcBorders>
              <w:top w:val="nil"/>
              <w:left w:val="single" w:sz="12" w:space="0" w:color="auto"/>
              <w:bottom w:val="nil"/>
              <w:right w:val="nil"/>
            </w:tcBorders>
            <w:shd w:val="clear" w:color="000000" w:fill="FFFFFF"/>
            <w:noWrap/>
            <w:vAlign w:val="bottom"/>
            <w:hideMark/>
          </w:tcPr>
          <w:p w14:paraId="13824068" w14:textId="77777777" w:rsidR="005B7A36" w:rsidRPr="004F45F0" w:rsidRDefault="005B7A36" w:rsidP="00D01F96">
            <w:pPr>
              <w:bidi w:val="0"/>
              <w:spacing w:after="0" w:line="240" w:lineRule="auto"/>
              <w:rPr>
                <w:rFonts w:ascii="Arial" w:eastAsia="Times New Roman" w:hAnsi="Arial" w:cs="Arial"/>
                <w:color w:val="000000"/>
                <w:sz w:val="20"/>
                <w:szCs w:val="20"/>
              </w:rPr>
            </w:pPr>
            <w:r w:rsidRPr="004F45F0">
              <w:rPr>
                <w:rFonts w:ascii="Arial" w:eastAsia="Times New Roman" w:hAnsi="Arial" w:cs="Arial"/>
                <w:color w:val="000000"/>
                <w:sz w:val="20"/>
                <w:szCs w:val="20"/>
              </w:rPr>
              <w:t>Prdc cnt II</w:t>
            </w:r>
          </w:p>
        </w:tc>
        <w:tc>
          <w:tcPr>
            <w:tcW w:w="1276" w:type="dxa"/>
            <w:tcBorders>
              <w:top w:val="nil"/>
              <w:left w:val="single" w:sz="12" w:space="0" w:color="auto"/>
              <w:bottom w:val="nil"/>
              <w:right w:val="nil"/>
            </w:tcBorders>
            <w:shd w:val="clear" w:color="000000" w:fill="FFFFFF"/>
            <w:noWrap/>
            <w:vAlign w:val="bottom"/>
            <w:hideMark/>
          </w:tcPr>
          <w:p w14:paraId="06ED9972"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0.10 (0.05)</w:t>
            </w:r>
          </w:p>
        </w:tc>
        <w:tc>
          <w:tcPr>
            <w:tcW w:w="1261" w:type="dxa"/>
            <w:tcBorders>
              <w:top w:val="nil"/>
              <w:left w:val="single" w:sz="4" w:space="0" w:color="auto"/>
              <w:bottom w:val="nil"/>
              <w:right w:val="single" w:sz="12" w:space="0" w:color="auto"/>
            </w:tcBorders>
            <w:shd w:val="clear" w:color="000000" w:fill="FFFFFF"/>
            <w:noWrap/>
            <w:vAlign w:val="bottom"/>
            <w:hideMark/>
          </w:tcPr>
          <w:p w14:paraId="64245EB6"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0.10 (0.04)</w:t>
            </w:r>
          </w:p>
        </w:tc>
        <w:tc>
          <w:tcPr>
            <w:tcW w:w="1290" w:type="dxa"/>
            <w:tcBorders>
              <w:top w:val="nil"/>
              <w:left w:val="nil"/>
              <w:bottom w:val="nil"/>
              <w:right w:val="nil"/>
            </w:tcBorders>
            <w:shd w:val="clear" w:color="000000" w:fill="FFFFFF"/>
            <w:noWrap/>
            <w:vAlign w:val="bottom"/>
            <w:hideMark/>
          </w:tcPr>
          <w:p w14:paraId="62526413"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0.11 (0.03)</w:t>
            </w:r>
          </w:p>
        </w:tc>
        <w:tc>
          <w:tcPr>
            <w:tcW w:w="1250" w:type="dxa"/>
            <w:tcBorders>
              <w:top w:val="nil"/>
              <w:left w:val="single" w:sz="4" w:space="0" w:color="auto"/>
              <w:bottom w:val="nil"/>
              <w:right w:val="single" w:sz="12" w:space="0" w:color="auto"/>
            </w:tcBorders>
            <w:shd w:val="clear" w:color="000000" w:fill="FFFFFF"/>
            <w:noWrap/>
            <w:vAlign w:val="bottom"/>
            <w:hideMark/>
          </w:tcPr>
          <w:p w14:paraId="0DD625B1"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0.11 (0.03)</w:t>
            </w:r>
          </w:p>
        </w:tc>
        <w:tc>
          <w:tcPr>
            <w:tcW w:w="1302" w:type="dxa"/>
            <w:tcBorders>
              <w:top w:val="nil"/>
              <w:left w:val="nil"/>
              <w:bottom w:val="nil"/>
              <w:right w:val="nil"/>
            </w:tcBorders>
            <w:shd w:val="clear" w:color="000000" w:fill="FFFFFF"/>
            <w:noWrap/>
            <w:vAlign w:val="bottom"/>
            <w:hideMark/>
          </w:tcPr>
          <w:p w14:paraId="6B70A348"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 </w:t>
            </w:r>
          </w:p>
        </w:tc>
        <w:tc>
          <w:tcPr>
            <w:tcW w:w="1275" w:type="dxa"/>
            <w:tcBorders>
              <w:top w:val="nil"/>
              <w:left w:val="single" w:sz="4" w:space="0" w:color="auto"/>
              <w:bottom w:val="nil"/>
              <w:right w:val="single" w:sz="12" w:space="0" w:color="auto"/>
            </w:tcBorders>
            <w:shd w:val="clear" w:color="000000" w:fill="FFFFFF"/>
            <w:noWrap/>
            <w:vAlign w:val="bottom"/>
            <w:hideMark/>
          </w:tcPr>
          <w:p w14:paraId="5B34F2E5"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 </w:t>
            </w:r>
          </w:p>
        </w:tc>
      </w:tr>
      <w:tr w:rsidR="005B7A36" w:rsidRPr="00CE6819" w14:paraId="595CDC7A" w14:textId="77777777" w:rsidTr="003026A0">
        <w:trPr>
          <w:trHeight w:val="300"/>
        </w:trPr>
        <w:tc>
          <w:tcPr>
            <w:tcW w:w="1403" w:type="dxa"/>
            <w:tcBorders>
              <w:top w:val="nil"/>
              <w:left w:val="single" w:sz="12" w:space="0" w:color="auto"/>
              <w:bottom w:val="single" w:sz="4" w:space="0" w:color="auto"/>
              <w:right w:val="nil"/>
            </w:tcBorders>
            <w:shd w:val="clear" w:color="000000" w:fill="FFFFFF"/>
            <w:noWrap/>
            <w:vAlign w:val="bottom"/>
            <w:hideMark/>
          </w:tcPr>
          <w:p w14:paraId="410774F4" w14:textId="3E50B0E1" w:rsidR="005B7A36" w:rsidRPr="004F45F0" w:rsidRDefault="005B7A36" w:rsidP="00D01F96">
            <w:pPr>
              <w:bidi w:val="0"/>
              <w:spacing w:after="0" w:line="240" w:lineRule="auto"/>
              <w:rPr>
                <w:rFonts w:ascii="Arial" w:eastAsia="Times New Roman" w:hAnsi="Arial" w:cs="Arial"/>
                <w:color w:val="000000"/>
                <w:sz w:val="20"/>
                <w:szCs w:val="20"/>
              </w:rPr>
            </w:pPr>
            <w:r w:rsidRPr="004F45F0">
              <w:rPr>
                <w:rFonts w:ascii="Arial" w:eastAsia="Times New Roman" w:hAnsi="Arial" w:cs="Arial"/>
                <w:color w:val="000000"/>
                <w:sz w:val="20"/>
                <w:szCs w:val="20"/>
              </w:rPr>
              <w:t>Prdc cnt III</w:t>
            </w:r>
          </w:p>
        </w:tc>
        <w:tc>
          <w:tcPr>
            <w:tcW w:w="1276" w:type="dxa"/>
            <w:tcBorders>
              <w:top w:val="nil"/>
              <w:left w:val="single" w:sz="12" w:space="0" w:color="auto"/>
              <w:bottom w:val="single" w:sz="4" w:space="0" w:color="auto"/>
              <w:right w:val="nil"/>
            </w:tcBorders>
            <w:shd w:val="clear" w:color="000000" w:fill="FFFFFF"/>
            <w:noWrap/>
            <w:vAlign w:val="bottom"/>
            <w:hideMark/>
          </w:tcPr>
          <w:p w14:paraId="561E7F0B"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0.13 (0.13)</w:t>
            </w:r>
          </w:p>
        </w:tc>
        <w:tc>
          <w:tcPr>
            <w:tcW w:w="1261" w:type="dxa"/>
            <w:tcBorders>
              <w:top w:val="nil"/>
              <w:left w:val="single" w:sz="4" w:space="0" w:color="auto"/>
              <w:bottom w:val="single" w:sz="4" w:space="0" w:color="auto"/>
              <w:right w:val="single" w:sz="12" w:space="0" w:color="auto"/>
            </w:tcBorders>
            <w:shd w:val="clear" w:color="000000" w:fill="FFFFFF"/>
            <w:noWrap/>
            <w:vAlign w:val="bottom"/>
            <w:hideMark/>
          </w:tcPr>
          <w:p w14:paraId="6AFCB0FF"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0.14 (0.12)</w:t>
            </w:r>
          </w:p>
        </w:tc>
        <w:tc>
          <w:tcPr>
            <w:tcW w:w="1290" w:type="dxa"/>
            <w:tcBorders>
              <w:top w:val="nil"/>
              <w:left w:val="nil"/>
              <w:bottom w:val="single" w:sz="4" w:space="0" w:color="auto"/>
              <w:right w:val="nil"/>
            </w:tcBorders>
            <w:shd w:val="clear" w:color="000000" w:fill="FFFFFF"/>
            <w:noWrap/>
            <w:vAlign w:val="bottom"/>
            <w:hideMark/>
          </w:tcPr>
          <w:p w14:paraId="7B1F04F8"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 </w:t>
            </w:r>
          </w:p>
        </w:tc>
        <w:tc>
          <w:tcPr>
            <w:tcW w:w="1250" w:type="dxa"/>
            <w:tcBorders>
              <w:top w:val="nil"/>
              <w:left w:val="single" w:sz="4" w:space="0" w:color="auto"/>
              <w:bottom w:val="single" w:sz="4" w:space="0" w:color="auto"/>
              <w:right w:val="single" w:sz="12" w:space="0" w:color="auto"/>
            </w:tcBorders>
            <w:shd w:val="clear" w:color="000000" w:fill="FFFFFF"/>
            <w:noWrap/>
            <w:vAlign w:val="bottom"/>
            <w:hideMark/>
          </w:tcPr>
          <w:p w14:paraId="700E924E"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 </w:t>
            </w:r>
          </w:p>
        </w:tc>
        <w:tc>
          <w:tcPr>
            <w:tcW w:w="1302" w:type="dxa"/>
            <w:tcBorders>
              <w:top w:val="nil"/>
              <w:left w:val="nil"/>
              <w:bottom w:val="single" w:sz="4" w:space="0" w:color="auto"/>
              <w:right w:val="nil"/>
            </w:tcBorders>
            <w:shd w:val="clear" w:color="000000" w:fill="FFFFFF"/>
            <w:noWrap/>
            <w:vAlign w:val="bottom"/>
            <w:hideMark/>
          </w:tcPr>
          <w:p w14:paraId="7A0FB00C"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 </w:t>
            </w:r>
          </w:p>
        </w:tc>
        <w:tc>
          <w:tcPr>
            <w:tcW w:w="1275" w:type="dxa"/>
            <w:tcBorders>
              <w:top w:val="nil"/>
              <w:left w:val="single" w:sz="4" w:space="0" w:color="auto"/>
              <w:bottom w:val="single" w:sz="4" w:space="0" w:color="auto"/>
              <w:right w:val="single" w:sz="12" w:space="0" w:color="auto"/>
            </w:tcBorders>
            <w:shd w:val="clear" w:color="000000" w:fill="FFFFFF"/>
            <w:noWrap/>
            <w:vAlign w:val="bottom"/>
            <w:hideMark/>
          </w:tcPr>
          <w:p w14:paraId="46E1A3FC"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 </w:t>
            </w:r>
          </w:p>
        </w:tc>
      </w:tr>
      <w:tr w:rsidR="005B7A36" w:rsidRPr="00CE6819" w14:paraId="0F3BD0DB" w14:textId="77777777" w:rsidTr="003026A0">
        <w:trPr>
          <w:trHeight w:val="300"/>
        </w:trPr>
        <w:tc>
          <w:tcPr>
            <w:tcW w:w="1403" w:type="dxa"/>
            <w:tcBorders>
              <w:top w:val="nil"/>
              <w:left w:val="single" w:sz="12" w:space="0" w:color="auto"/>
              <w:bottom w:val="nil"/>
              <w:right w:val="nil"/>
            </w:tcBorders>
            <w:shd w:val="clear" w:color="000000" w:fill="FFFFFF"/>
            <w:noWrap/>
            <w:vAlign w:val="bottom"/>
            <w:hideMark/>
          </w:tcPr>
          <w:p w14:paraId="5A831DAB" w14:textId="77777777" w:rsidR="005B7A36" w:rsidRPr="004F45F0" w:rsidRDefault="005B7A36" w:rsidP="00D01F96">
            <w:pPr>
              <w:bidi w:val="0"/>
              <w:spacing w:after="0" w:line="240" w:lineRule="auto"/>
              <w:rPr>
                <w:rFonts w:ascii="Arial" w:eastAsia="Times New Roman" w:hAnsi="Arial" w:cs="Arial"/>
                <w:color w:val="000000"/>
                <w:sz w:val="20"/>
                <w:szCs w:val="20"/>
              </w:rPr>
            </w:pPr>
            <w:r w:rsidRPr="004F45F0">
              <w:rPr>
                <w:rFonts w:ascii="Arial" w:eastAsia="Times New Roman" w:hAnsi="Arial" w:cs="Arial"/>
                <w:color w:val="000000"/>
                <w:sz w:val="20"/>
                <w:szCs w:val="20"/>
              </w:rPr>
              <w:t>Adj R Sqr</w:t>
            </w:r>
          </w:p>
        </w:tc>
        <w:tc>
          <w:tcPr>
            <w:tcW w:w="1276" w:type="dxa"/>
            <w:tcBorders>
              <w:top w:val="nil"/>
              <w:left w:val="single" w:sz="12" w:space="0" w:color="auto"/>
              <w:bottom w:val="nil"/>
              <w:right w:val="nil"/>
            </w:tcBorders>
            <w:shd w:val="clear" w:color="000000" w:fill="FFFFFF"/>
            <w:noWrap/>
            <w:vAlign w:val="bottom"/>
            <w:hideMark/>
          </w:tcPr>
          <w:p w14:paraId="731611CB" w14:textId="77777777" w:rsidR="005B7A36" w:rsidRPr="003026A0" w:rsidRDefault="005B7A36" w:rsidP="00D01F96">
            <w:pPr>
              <w:bidi w:val="0"/>
              <w:spacing w:after="0" w:line="240" w:lineRule="auto"/>
              <w:jc w:val="center"/>
              <w:rPr>
                <w:rFonts w:ascii="Arial" w:eastAsia="Times New Roman" w:hAnsi="Arial" w:cs="Arial"/>
                <w:b/>
                <w:bCs/>
                <w:color w:val="000000"/>
                <w:sz w:val="20"/>
                <w:szCs w:val="20"/>
              </w:rPr>
            </w:pPr>
            <w:r w:rsidRPr="003026A0">
              <w:rPr>
                <w:rFonts w:ascii="Arial" w:eastAsia="Times New Roman" w:hAnsi="Arial" w:cs="Arial"/>
                <w:b/>
                <w:bCs/>
                <w:color w:val="000000"/>
                <w:sz w:val="20"/>
                <w:szCs w:val="20"/>
              </w:rPr>
              <w:t>0.23</w:t>
            </w:r>
          </w:p>
        </w:tc>
        <w:tc>
          <w:tcPr>
            <w:tcW w:w="1261" w:type="dxa"/>
            <w:tcBorders>
              <w:top w:val="nil"/>
              <w:left w:val="single" w:sz="4" w:space="0" w:color="auto"/>
              <w:bottom w:val="nil"/>
              <w:right w:val="single" w:sz="12" w:space="0" w:color="auto"/>
            </w:tcBorders>
            <w:shd w:val="clear" w:color="000000" w:fill="FFFFFF"/>
            <w:noWrap/>
            <w:vAlign w:val="bottom"/>
            <w:hideMark/>
          </w:tcPr>
          <w:p w14:paraId="30B58F6F" w14:textId="77777777" w:rsidR="005B7A36" w:rsidRPr="003026A0" w:rsidRDefault="005B7A36" w:rsidP="00D01F96">
            <w:pPr>
              <w:bidi w:val="0"/>
              <w:spacing w:after="0" w:line="240" w:lineRule="auto"/>
              <w:jc w:val="center"/>
              <w:rPr>
                <w:rFonts w:ascii="Arial" w:eastAsia="Times New Roman" w:hAnsi="Arial" w:cs="Arial"/>
                <w:b/>
                <w:bCs/>
                <w:color w:val="000000"/>
                <w:sz w:val="20"/>
                <w:szCs w:val="20"/>
              </w:rPr>
            </w:pPr>
            <w:r w:rsidRPr="003026A0">
              <w:rPr>
                <w:rFonts w:ascii="Arial" w:eastAsia="Times New Roman" w:hAnsi="Arial" w:cs="Arial"/>
                <w:b/>
                <w:bCs/>
                <w:color w:val="000000"/>
                <w:sz w:val="20"/>
                <w:szCs w:val="20"/>
              </w:rPr>
              <w:t>0.19</w:t>
            </w:r>
          </w:p>
        </w:tc>
        <w:tc>
          <w:tcPr>
            <w:tcW w:w="1290" w:type="dxa"/>
            <w:tcBorders>
              <w:top w:val="nil"/>
              <w:left w:val="nil"/>
              <w:bottom w:val="nil"/>
              <w:right w:val="nil"/>
            </w:tcBorders>
            <w:shd w:val="clear" w:color="000000" w:fill="FFFFFF"/>
            <w:noWrap/>
            <w:vAlign w:val="bottom"/>
            <w:hideMark/>
          </w:tcPr>
          <w:p w14:paraId="404C6460" w14:textId="77777777" w:rsidR="005B7A36" w:rsidRPr="003026A0" w:rsidRDefault="005B7A36" w:rsidP="00D01F96">
            <w:pPr>
              <w:bidi w:val="0"/>
              <w:spacing w:after="0" w:line="240" w:lineRule="auto"/>
              <w:jc w:val="center"/>
              <w:rPr>
                <w:rFonts w:ascii="Arial" w:eastAsia="Times New Roman" w:hAnsi="Arial" w:cs="Arial"/>
                <w:b/>
                <w:bCs/>
                <w:color w:val="000000"/>
                <w:sz w:val="20"/>
                <w:szCs w:val="20"/>
              </w:rPr>
            </w:pPr>
            <w:r w:rsidRPr="003026A0">
              <w:rPr>
                <w:rFonts w:ascii="Arial" w:eastAsia="Times New Roman" w:hAnsi="Arial" w:cs="Arial"/>
                <w:b/>
                <w:bCs/>
                <w:color w:val="000000"/>
                <w:sz w:val="20"/>
                <w:szCs w:val="20"/>
              </w:rPr>
              <w:t>0.27</w:t>
            </w:r>
          </w:p>
        </w:tc>
        <w:tc>
          <w:tcPr>
            <w:tcW w:w="1250" w:type="dxa"/>
            <w:tcBorders>
              <w:top w:val="nil"/>
              <w:left w:val="single" w:sz="4" w:space="0" w:color="auto"/>
              <w:bottom w:val="nil"/>
              <w:right w:val="single" w:sz="12" w:space="0" w:color="auto"/>
            </w:tcBorders>
            <w:shd w:val="clear" w:color="000000" w:fill="FFFFFF"/>
            <w:noWrap/>
            <w:vAlign w:val="bottom"/>
            <w:hideMark/>
          </w:tcPr>
          <w:p w14:paraId="4DB3828D" w14:textId="77777777" w:rsidR="005B7A36" w:rsidRPr="003026A0" w:rsidRDefault="005B7A36" w:rsidP="00D01F96">
            <w:pPr>
              <w:bidi w:val="0"/>
              <w:spacing w:after="0" w:line="240" w:lineRule="auto"/>
              <w:jc w:val="center"/>
              <w:rPr>
                <w:rFonts w:ascii="Arial" w:eastAsia="Times New Roman" w:hAnsi="Arial" w:cs="Arial"/>
                <w:b/>
                <w:bCs/>
                <w:color w:val="000000"/>
                <w:sz w:val="20"/>
                <w:szCs w:val="20"/>
              </w:rPr>
            </w:pPr>
            <w:r w:rsidRPr="003026A0">
              <w:rPr>
                <w:rFonts w:ascii="Arial" w:eastAsia="Times New Roman" w:hAnsi="Arial" w:cs="Arial"/>
                <w:b/>
                <w:bCs/>
                <w:color w:val="000000"/>
                <w:sz w:val="20"/>
                <w:szCs w:val="20"/>
              </w:rPr>
              <w:t>0.21</w:t>
            </w:r>
          </w:p>
        </w:tc>
        <w:tc>
          <w:tcPr>
            <w:tcW w:w="1302" w:type="dxa"/>
            <w:tcBorders>
              <w:top w:val="nil"/>
              <w:left w:val="nil"/>
              <w:bottom w:val="nil"/>
              <w:right w:val="nil"/>
            </w:tcBorders>
            <w:shd w:val="clear" w:color="000000" w:fill="FFFFFF"/>
            <w:noWrap/>
            <w:vAlign w:val="bottom"/>
            <w:hideMark/>
          </w:tcPr>
          <w:p w14:paraId="7AA44697" w14:textId="77777777" w:rsidR="005B7A36" w:rsidRPr="003026A0" w:rsidRDefault="005B7A36" w:rsidP="00D01F96">
            <w:pPr>
              <w:bidi w:val="0"/>
              <w:spacing w:after="0" w:line="240" w:lineRule="auto"/>
              <w:jc w:val="center"/>
              <w:rPr>
                <w:rFonts w:ascii="Arial" w:eastAsia="Times New Roman" w:hAnsi="Arial" w:cs="Arial"/>
                <w:b/>
                <w:bCs/>
                <w:color w:val="000000"/>
                <w:sz w:val="20"/>
                <w:szCs w:val="20"/>
              </w:rPr>
            </w:pPr>
            <w:r w:rsidRPr="003026A0">
              <w:rPr>
                <w:rFonts w:ascii="Arial" w:eastAsia="Times New Roman" w:hAnsi="Arial" w:cs="Arial"/>
                <w:b/>
                <w:bCs/>
                <w:color w:val="000000"/>
                <w:sz w:val="20"/>
                <w:szCs w:val="20"/>
              </w:rPr>
              <w:t>0.27</w:t>
            </w:r>
          </w:p>
        </w:tc>
        <w:tc>
          <w:tcPr>
            <w:tcW w:w="1275" w:type="dxa"/>
            <w:tcBorders>
              <w:top w:val="nil"/>
              <w:left w:val="single" w:sz="4" w:space="0" w:color="auto"/>
              <w:bottom w:val="nil"/>
              <w:right w:val="single" w:sz="12" w:space="0" w:color="auto"/>
            </w:tcBorders>
            <w:shd w:val="clear" w:color="000000" w:fill="FFFFFF"/>
            <w:noWrap/>
            <w:vAlign w:val="bottom"/>
            <w:hideMark/>
          </w:tcPr>
          <w:p w14:paraId="0B351A3A" w14:textId="77777777" w:rsidR="005B7A36" w:rsidRPr="003026A0" w:rsidRDefault="005B7A36" w:rsidP="00D01F96">
            <w:pPr>
              <w:bidi w:val="0"/>
              <w:spacing w:after="0" w:line="240" w:lineRule="auto"/>
              <w:jc w:val="center"/>
              <w:rPr>
                <w:rFonts w:ascii="Arial" w:eastAsia="Times New Roman" w:hAnsi="Arial" w:cs="Arial"/>
                <w:b/>
                <w:bCs/>
                <w:color w:val="000000"/>
                <w:sz w:val="20"/>
                <w:szCs w:val="20"/>
              </w:rPr>
            </w:pPr>
            <w:r w:rsidRPr="003026A0">
              <w:rPr>
                <w:rFonts w:ascii="Arial" w:eastAsia="Times New Roman" w:hAnsi="Arial" w:cs="Arial"/>
                <w:b/>
                <w:bCs/>
                <w:color w:val="000000"/>
                <w:sz w:val="20"/>
                <w:szCs w:val="20"/>
              </w:rPr>
              <w:t>0.24</w:t>
            </w:r>
          </w:p>
        </w:tc>
      </w:tr>
      <w:tr w:rsidR="005B7A36" w:rsidRPr="00CE6819" w14:paraId="4ECA99D6" w14:textId="77777777" w:rsidTr="003026A0">
        <w:trPr>
          <w:trHeight w:val="300"/>
        </w:trPr>
        <w:tc>
          <w:tcPr>
            <w:tcW w:w="1403" w:type="dxa"/>
            <w:tcBorders>
              <w:top w:val="nil"/>
              <w:left w:val="single" w:sz="12" w:space="0" w:color="auto"/>
              <w:bottom w:val="single" w:sz="12" w:space="0" w:color="auto"/>
              <w:right w:val="nil"/>
            </w:tcBorders>
            <w:shd w:val="clear" w:color="000000" w:fill="FFFFFF"/>
            <w:noWrap/>
            <w:vAlign w:val="bottom"/>
            <w:hideMark/>
          </w:tcPr>
          <w:p w14:paraId="04C8145D" w14:textId="77777777" w:rsidR="005B7A36" w:rsidRPr="004F45F0" w:rsidRDefault="005B7A36" w:rsidP="00D01F96">
            <w:pPr>
              <w:bidi w:val="0"/>
              <w:spacing w:after="0" w:line="240" w:lineRule="auto"/>
              <w:rPr>
                <w:rFonts w:ascii="Arial" w:eastAsia="Times New Roman" w:hAnsi="Arial" w:cs="Arial"/>
                <w:color w:val="000000"/>
                <w:sz w:val="20"/>
                <w:szCs w:val="20"/>
              </w:rPr>
            </w:pPr>
            <w:r w:rsidRPr="004F45F0">
              <w:rPr>
                <w:rFonts w:ascii="Arial" w:eastAsia="Times New Roman" w:hAnsi="Arial" w:cs="Arial"/>
                <w:color w:val="000000"/>
                <w:sz w:val="20"/>
                <w:szCs w:val="20"/>
              </w:rPr>
              <w:t>Obs.</w:t>
            </w:r>
          </w:p>
        </w:tc>
        <w:tc>
          <w:tcPr>
            <w:tcW w:w="1276" w:type="dxa"/>
            <w:tcBorders>
              <w:top w:val="nil"/>
              <w:left w:val="single" w:sz="12" w:space="0" w:color="auto"/>
              <w:bottom w:val="single" w:sz="12" w:space="0" w:color="auto"/>
              <w:right w:val="nil"/>
            </w:tcBorders>
            <w:shd w:val="clear" w:color="000000" w:fill="FFFFFF"/>
            <w:noWrap/>
            <w:vAlign w:val="bottom"/>
            <w:hideMark/>
          </w:tcPr>
          <w:p w14:paraId="0AC1ED1C"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208</w:t>
            </w:r>
          </w:p>
        </w:tc>
        <w:tc>
          <w:tcPr>
            <w:tcW w:w="1261" w:type="dxa"/>
            <w:tcBorders>
              <w:top w:val="nil"/>
              <w:left w:val="single" w:sz="4" w:space="0" w:color="auto"/>
              <w:bottom w:val="single" w:sz="12" w:space="0" w:color="auto"/>
              <w:right w:val="single" w:sz="12" w:space="0" w:color="auto"/>
            </w:tcBorders>
            <w:shd w:val="clear" w:color="000000" w:fill="FFFFFF"/>
            <w:noWrap/>
            <w:vAlign w:val="bottom"/>
            <w:hideMark/>
          </w:tcPr>
          <w:p w14:paraId="4CB1FCEC"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208</w:t>
            </w:r>
          </w:p>
        </w:tc>
        <w:tc>
          <w:tcPr>
            <w:tcW w:w="1290" w:type="dxa"/>
            <w:tcBorders>
              <w:top w:val="nil"/>
              <w:left w:val="nil"/>
              <w:bottom w:val="single" w:sz="12" w:space="0" w:color="auto"/>
              <w:right w:val="nil"/>
            </w:tcBorders>
            <w:shd w:val="clear" w:color="000000" w:fill="FFFFFF"/>
            <w:noWrap/>
            <w:vAlign w:val="bottom"/>
            <w:hideMark/>
          </w:tcPr>
          <w:p w14:paraId="6340DAF3"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144</w:t>
            </w:r>
          </w:p>
        </w:tc>
        <w:tc>
          <w:tcPr>
            <w:tcW w:w="1250" w:type="dxa"/>
            <w:tcBorders>
              <w:top w:val="nil"/>
              <w:left w:val="single" w:sz="4" w:space="0" w:color="auto"/>
              <w:bottom w:val="single" w:sz="12" w:space="0" w:color="auto"/>
              <w:right w:val="single" w:sz="12" w:space="0" w:color="auto"/>
            </w:tcBorders>
            <w:shd w:val="clear" w:color="000000" w:fill="FFFFFF"/>
            <w:noWrap/>
            <w:vAlign w:val="bottom"/>
            <w:hideMark/>
          </w:tcPr>
          <w:p w14:paraId="4A1C87B9"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144</w:t>
            </w:r>
          </w:p>
        </w:tc>
        <w:tc>
          <w:tcPr>
            <w:tcW w:w="1302" w:type="dxa"/>
            <w:tcBorders>
              <w:top w:val="nil"/>
              <w:left w:val="nil"/>
              <w:bottom w:val="single" w:sz="12" w:space="0" w:color="auto"/>
              <w:right w:val="nil"/>
            </w:tcBorders>
            <w:shd w:val="clear" w:color="000000" w:fill="FFFFFF"/>
            <w:noWrap/>
            <w:vAlign w:val="bottom"/>
            <w:hideMark/>
          </w:tcPr>
          <w:p w14:paraId="438FB02E"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64</w:t>
            </w:r>
          </w:p>
        </w:tc>
        <w:tc>
          <w:tcPr>
            <w:tcW w:w="1275" w:type="dxa"/>
            <w:tcBorders>
              <w:top w:val="nil"/>
              <w:left w:val="single" w:sz="4" w:space="0" w:color="auto"/>
              <w:bottom w:val="single" w:sz="12" w:space="0" w:color="auto"/>
              <w:right w:val="single" w:sz="12" w:space="0" w:color="auto"/>
            </w:tcBorders>
            <w:shd w:val="clear" w:color="000000" w:fill="FFFFFF"/>
            <w:noWrap/>
            <w:vAlign w:val="bottom"/>
            <w:hideMark/>
          </w:tcPr>
          <w:p w14:paraId="7A66A4BB"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64</w:t>
            </w:r>
          </w:p>
        </w:tc>
      </w:tr>
    </w:tbl>
    <w:p w14:paraId="4D7C82FA" w14:textId="77777777" w:rsidR="005B7A36" w:rsidRPr="00CE6819" w:rsidRDefault="005B7A36" w:rsidP="00D01F96">
      <w:pPr>
        <w:spacing w:line="360" w:lineRule="auto"/>
        <w:rPr>
          <w:sz w:val="24"/>
          <w:szCs w:val="24"/>
          <w:rtl/>
        </w:rPr>
      </w:pPr>
    </w:p>
    <w:p w14:paraId="3CB9A1AA" w14:textId="6FC1C47A" w:rsidR="005B7A36" w:rsidRPr="00CE6819" w:rsidRDefault="005B7A36" w:rsidP="00D01F96">
      <w:pPr>
        <w:bidi w:val="0"/>
        <w:spacing w:after="0" w:line="240" w:lineRule="auto"/>
        <w:rPr>
          <w:rFonts w:ascii="Arial" w:eastAsia="Times New Roman" w:hAnsi="Arial" w:cs="Arial"/>
          <w:b/>
          <w:bCs/>
          <w:color w:val="FF0000"/>
          <w:sz w:val="24"/>
          <w:szCs w:val="24"/>
        </w:rPr>
      </w:pPr>
      <w:r w:rsidRPr="00CE6819">
        <w:rPr>
          <w:rFonts w:ascii="Arial" w:eastAsia="Times New Roman" w:hAnsi="Arial" w:cs="Arial"/>
          <w:b/>
          <w:bCs/>
          <w:color w:val="FF0000"/>
          <w:sz w:val="24"/>
          <w:szCs w:val="24"/>
        </w:rPr>
        <w:t xml:space="preserve">Panel C: </w:t>
      </w:r>
      <w:r w:rsidR="00E729D2" w:rsidRPr="00CE6819">
        <w:rPr>
          <w:rFonts w:ascii="Arial" w:eastAsia="Times New Roman" w:hAnsi="Arial" w:cs="Arial"/>
          <w:b/>
          <w:bCs/>
          <w:color w:val="FF0000"/>
          <w:sz w:val="24"/>
          <w:szCs w:val="24"/>
        </w:rPr>
        <w:t>E</w:t>
      </w:r>
      <w:r w:rsidRPr="00CE6819">
        <w:rPr>
          <w:rFonts w:ascii="Arial" w:eastAsia="Times New Roman" w:hAnsi="Arial" w:cs="Arial"/>
          <w:b/>
          <w:bCs/>
          <w:color w:val="FF0000"/>
          <w:sz w:val="24"/>
          <w:szCs w:val="24"/>
        </w:rPr>
        <w:t>ighteen months following the IPO</w:t>
      </w:r>
    </w:p>
    <w:tbl>
      <w:tblPr>
        <w:tblW w:w="9341" w:type="dxa"/>
        <w:tblLook w:val="04A0" w:firstRow="1" w:lastRow="0" w:firstColumn="1" w:lastColumn="0" w:noHBand="0" w:noVBand="1"/>
      </w:tblPr>
      <w:tblGrid>
        <w:gridCol w:w="1403"/>
        <w:gridCol w:w="1276"/>
        <w:gridCol w:w="1275"/>
        <w:gridCol w:w="1276"/>
        <w:gridCol w:w="1276"/>
        <w:gridCol w:w="1417"/>
        <w:gridCol w:w="1418"/>
      </w:tblGrid>
      <w:tr w:rsidR="005B7A36" w:rsidRPr="00CE6819" w14:paraId="51788B9C" w14:textId="77777777" w:rsidTr="00EC3C7C">
        <w:trPr>
          <w:trHeight w:val="330"/>
        </w:trPr>
        <w:tc>
          <w:tcPr>
            <w:tcW w:w="1403" w:type="dxa"/>
            <w:tcBorders>
              <w:top w:val="single" w:sz="12" w:space="0" w:color="auto"/>
              <w:left w:val="single" w:sz="12" w:space="0" w:color="auto"/>
              <w:bottom w:val="nil"/>
              <w:right w:val="nil"/>
            </w:tcBorders>
            <w:shd w:val="clear" w:color="000000" w:fill="FFFFFF"/>
            <w:noWrap/>
            <w:vAlign w:val="bottom"/>
            <w:hideMark/>
          </w:tcPr>
          <w:p w14:paraId="387BBF5D" w14:textId="77777777" w:rsidR="005B7A36" w:rsidRPr="00CE6819" w:rsidRDefault="005B7A36" w:rsidP="00D01F96">
            <w:pPr>
              <w:bidi w:val="0"/>
              <w:spacing w:after="0" w:line="240" w:lineRule="auto"/>
              <w:rPr>
                <w:rFonts w:ascii="Arial" w:eastAsia="Times New Roman" w:hAnsi="Arial" w:cs="Arial"/>
                <w:color w:val="000000"/>
                <w:sz w:val="24"/>
                <w:szCs w:val="24"/>
              </w:rPr>
            </w:pPr>
            <w:r w:rsidRPr="00CE6819">
              <w:rPr>
                <w:rFonts w:ascii="Arial" w:eastAsia="Times New Roman" w:hAnsi="Arial" w:cs="Arial"/>
                <w:color w:val="000000"/>
                <w:sz w:val="24"/>
                <w:szCs w:val="24"/>
              </w:rPr>
              <w:t> </w:t>
            </w:r>
          </w:p>
        </w:tc>
        <w:tc>
          <w:tcPr>
            <w:tcW w:w="2551" w:type="dxa"/>
            <w:gridSpan w:val="2"/>
            <w:tcBorders>
              <w:top w:val="single" w:sz="12" w:space="0" w:color="auto"/>
              <w:left w:val="single" w:sz="12" w:space="0" w:color="auto"/>
              <w:bottom w:val="single" w:sz="12" w:space="0" w:color="auto"/>
              <w:right w:val="single" w:sz="12" w:space="0" w:color="000000"/>
            </w:tcBorders>
            <w:shd w:val="clear" w:color="000000" w:fill="FFFFFF"/>
            <w:noWrap/>
            <w:vAlign w:val="bottom"/>
            <w:hideMark/>
          </w:tcPr>
          <w:p w14:paraId="7E692CFF" w14:textId="77777777" w:rsidR="005B7A36" w:rsidRPr="00CE6819" w:rsidRDefault="005B7A36" w:rsidP="00D01F96">
            <w:pPr>
              <w:bidi w:val="0"/>
              <w:spacing w:after="0" w:line="240" w:lineRule="auto"/>
              <w:jc w:val="center"/>
              <w:rPr>
                <w:rFonts w:ascii="Arial" w:eastAsia="Times New Roman" w:hAnsi="Arial" w:cs="Arial"/>
                <w:b/>
                <w:bCs/>
                <w:color w:val="000000"/>
                <w:sz w:val="24"/>
                <w:szCs w:val="24"/>
              </w:rPr>
            </w:pPr>
            <w:r w:rsidRPr="00CE6819">
              <w:rPr>
                <w:rFonts w:ascii="Arial" w:eastAsia="Times New Roman" w:hAnsi="Arial" w:cs="Arial"/>
                <w:b/>
                <w:bCs/>
                <w:color w:val="000000"/>
                <w:sz w:val="24"/>
                <w:szCs w:val="24"/>
              </w:rPr>
              <w:t>The Entire Sample</w:t>
            </w:r>
          </w:p>
        </w:tc>
        <w:tc>
          <w:tcPr>
            <w:tcW w:w="2552" w:type="dxa"/>
            <w:gridSpan w:val="2"/>
            <w:tcBorders>
              <w:top w:val="single" w:sz="12" w:space="0" w:color="auto"/>
              <w:left w:val="nil"/>
              <w:bottom w:val="single" w:sz="12" w:space="0" w:color="auto"/>
              <w:right w:val="single" w:sz="12" w:space="0" w:color="000000"/>
            </w:tcBorders>
            <w:shd w:val="clear" w:color="000000" w:fill="FFFFFF"/>
            <w:noWrap/>
            <w:vAlign w:val="bottom"/>
            <w:hideMark/>
          </w:tcPr>
          <w:p w14:paraId="23F02727" w14:textId="77777777" w:rsidR="005B7A36" w:rsidRPr="00CE6819" w:rsidRDefault="005B7A36" w:rsidP="00D01F96">
            <w:pPr>
              <w:bidi w:val="0"/>
              <w:spacing w:after="0" w:line="240" w:lineRule="auto"/>
              <w:jc w:val="center"/>
              <w:rPr>
                <w:rFonts w:ascii="Arial" w:eastAsia="Times New Roman" w:hAnsi="Arial" w:cs="Arial"/>
                <w:b/>
                <w:bCs/>
                <w:color w:val="000000"/>
                <w:sz w:val="24"/>
                <w:szCs w:val="24"/>
              </w:rPr>
            </w:pPr>
            <w:r w:rsidRPr="00CE6819">
              <w:rPr>
                <w:rFonts w:ascii="Arial" w:eastAsia="Times New Roman" w:hAnsi="Arial" w:cs="Arial"/>
                <w:b/>
                <w:bCs/>
                <w:color w:val="000000"/>
                <w:sz w:val="24"/>
                <w:szCs w:val="24"/>
              </w:rPr>
              <w:t>Market Value &lt; $500M</w:t>
            </w:r>
          </w:p>
        </w:tc>
        <w:tc>
          <w:tcPr>
            <w:tcW w:w="2835" w:type="dxa"/>
            <w:gridSpan w:val="2"/>
            <w:tcBorders>
              <w:top w:val="single" w:sz="12" w:space="0" w:color="auto"/>
              <w:left w:val="nil"/>
              <w:bottom w:val="single" w:sz="12" w:space="0" w:color="auto"/>
              <w:right w:val="single" w:sz="12" w:space="0" w:color="000000"/>
            </w:tcBorders>
            <w:shd w:val="clear" w:color="000000" w:fill="FFFFFF"/>
            <w:noWrap/>
            <w:vAlign w:val="bottom"/>
            <w:hideMark/>
          </w:tcPr>
          <w:p w14:paraId="4F1AC807" w14:textId="77777777" w:rsidR="005B7A36" w:rsidRPr="00CE6819" w:rsidRDefault="005B7A36" w:rsidP="00D01F96">
            <w:pPr>
              <w:bidi w:val="0"/>
              <w:spacing w:after="0" w:line="240" w:lineRule="auto"/>
              <w:jc w:val="center"/>
              <w:rPr>
                <w:rFonts w:ascii="Arial" w:eastAsia="Times New Roman" w:hAnsi="Arial" w:cs="Arial"/>
                <w:b/>
                <w:bCs/>
                <w:color w:val="000000"/>
                <w:sz w:val="24"/>
                <w:szCs w:val="24"/>
              </w:rPr>
            </w:pPr>
            <w:r w:rsidRPr="00CE6819">
              <w:rPr>
                <w:rFonts w:ascii="Arial" w:eastAsia="Times New Roman" w:hAnsi="Arial" w:cs="Arial"/>
                <w:b/>
                <w:bCs/>
                <w:color w:val="000000"/>
                <w:sz w:val="24"/>
                <w:szCs w:val="24"/>
              </w:rPr>
              <w:t>Market Value &gt; $500M</w:t>
            </w:r>
          </w:p>
        </w:tc>
      </w:tr>
      <w:tr w:rsidR="005B7A36" w:rsidRPr="00CE6819" w14:paraId="3BA3C98A" w14:textId="77777777" w:rsidTr="00EC3C7C">
        <w:trPr>
          <w:trHeight w:val="300"/>
        </w:trPr>
        <w:tc>
          <w:tcPr>
            <w:tcW w:w="1403" w:type="dxa"/>
            <w:tcBorders>
              <w:top w:val="single" w:sz="12" w:space="0" w:color="auto"/>
              <w:left w:val="single" w:sz="12" w:space="0" w:color="auto"/>
              <w:bottom w:val="single" w:sz="4" w:space="0" w:color="auto"/>
              <w:right w:val="nil"/>
            </w:tcBorders>
            <w:shd w:val="clear" w:color="000000" w:fill="FFFFFF"/>
            <w:noWrap/>
            <w:vAlign w:val="bottom"/>
            <w:hideMark/>
          </w:tcPr>
          <w:p w14:paraId="1890BC10" w14:textId="77777777" w:rsidR="005B7A36" w:rsidRPr="00CE6819" w:rsidRDefault="005B7A36" w:rsidP="00D01F96">
            <w:pPr>
              <w:bidi w:val="0"/>
              <w:spacing w:after="0" w:line="240" w:lineRule="auto"/>
              <w:rPr>
                <w:rFonts w:ascii="Arial" w:eastAsia="Times New Roman" w:hAnsi="Arial" w:cs="Arial"/>
                <w:color w:val="000000"/>
                <w:sz w:val="24"/>
                <w:szCs w:val="24"/>
              </w:rPr>
            </w:pPr>
            <w:r w:rsidRPr="00CE6819">
              <w:rPr>
                <w:rFonts w:ascii="Arial" w:eastAsia="Times New Roman" w:hAnsi="Arial" w:cs="Arial"/>
                <w:color w:val="000000"/>
                <w:sz w:val="24"/>
                <w:szCs w:val="24"/>
              </w:rPr>
              <w:t> </w:t>
            </w:r>
          </w:p>
        </w:tc>
        <w:tc>
          <w:tcPr>
            <w:tcW w:w="1276" w:type="dxa"/>
            <w:tcBorders>
              <w:top w:val="nil"/>
              <w:left w:val="single" w:sz="12" w:space="0" w:color="auto"/>
              <w:bottom w:val="single" w:sz="4" w:space="0" w:color="auto"/>
              <w:right w:val="single" w:sz="4" w:space="0" w:color="auto"/>
            </w:tcBorders>
            <w:shd w:val="clear" w:color="000000" w:fill="FFFFFF"/>
            <w:noWrap/>
            <w:vAlign w:val="bottom"/>
            <w:hideMark/>
          </w:tcPr>
          <w:p w14:paraId="038B63DE" w14:textId="77777777" w:rsidR="005B7A36" w:rsidRPr="00CE6819" w:rsidRDefault="005B7A36" w:rsidP="00D01F96">
            <w:pPr>
              <w:bidi w:val="0"/>
              <w:spacing w:after="0" w:line="240" w:lineRule="auto"/>
              <w:jc w:val="center"/>
              <w:rPr>
                <w:rFonts w:ascii="Arial" w:eastAsia="Times New Roman" w:hAnsi="Arial" w:cs="Arial"/>
                <w:color w:val="000000"/>
                <w:sz w:val="24"/>
                <w:szCs w:val="24"/>
              </w:rPr>
            </w:pPr>
            <w:r w:rsidRPr="00CE6819">
              <w:rPr>
                <w:rFonts w:ascii="Arial" w:eastAsia="Times New Roman" w:hAnsi="Arial" w:cs="Arial"/>
                <w:color w:val="000000"/>
                <w:sz w:val="24"/>
                <w:szCs w:val="24"/>
              </w:rPr>
              <w:t xml:space="preserve">Return </w:t>
            </w:r>
          </w:p>
        </w:tc>
        <w:tc>
          <w:tcPr>
            <w:tcW w:w="1275" w:type="dxa"/>
            <w:tcBorders>
              <w:top w:val="nil"/>
              <w:left w:val="nil"/>
              <w:bottom w:val="single" w:sz="4" w:space="0" w:color="auto"/>
              <w:right w:val="single" w:sz="12" w:space="0" w:color="auto"/>
            </w:tcBorders>
            <w:shd w:val="clear" w:color="000000" w:fill="FFFFFF"/>
            <w:noWrap/>
            <w:vAlign w:val="bottom"/>
            <w:hideMark/>
          </w:tcPr>
          <w:p w14:paraId="1582FC04" w14:textId="77777777" w:rsidR="005B7A36" w:rsidRPr="00CE6819" w:rsidRDefault="005B7A36" w:rsidP="00D01F96">
            <w:pPr>
              <w:bidi w:val="0"/>
              <w:spacing w:after="0" w:line="240" w:lineRule="auto"/>
              <w:jc w:val="center"/>
              <w:rPr>
                <w:rFonts w:ascii="Arial" w:eastAsia="Times New Roman" w:hAnsi="Arial" w:cs="Arial"/>
                <w:color w:val="000000"/>
                <w:sz w:val="24"/>
                <w:szCs w:val="24"/>
              </w:rPr>
            </w:pPr>
            <w:r w:rsidRPr="00CE6819">
              <w:rPr>
                <w:rFonts w:ascii="Arial" w:eastAsia="Times New Roman" w:hAnsi="Arial" w:cs="Arial"/>
                <w:color w:val="000000"/>
                <w:sz w:val="24"/>
                <w:szCs w:val="24"/>
              </w:rPr>
              <w:t>AR to Sector</w:t>
            </w:r>
          </w:p>
        </w:tc>
        <w:tc>
          <w:tcPr>
            <w:tcW w:w="1276" w:type="dxa"/>
            <w:tcBorders>
              <w:top w:val="nil"/>
              <w:left w:val="nil"/>
              <w:bottom w:val="single" w:sz="4" w:space="0" w:color="auto"/>
              <w:right w:val="single" w:sz="4" w:space="0" w:color="auto"/>
            </w:tcBorders>
            <w:shd w:val="clear" w:color="000000" w:fill="FFFFFF"/>
            <w:noWrap/>
            <w:vAlign w:val="bottom"/>
            <w:hideMark/>
          </w:tcPr>
          <w:p w14:paraId="5D0ADA0D" w14:textId="77777777" w:rsidR="005B7A36" w:rsidRPr="00CE6819" w:rsidRDefault="005B7A36" w:rsidP="00D01F96">
            <w:pPr>
              <w:bidi w:val="0"/>
              <w:spacing w:after="0" w:line="240" w:lineRule="auto"/>
              <w:jc w:val="center"/>
              <w:rPr>
                <w:rFonts w:ascii="Arial" w:eastAsia="Times New Roman" w:hAnsi="Arial" w:cs="Arial"/>
                <w:color w:val="000000"/>
                <w:sz w:val="24"/>
                <w:szCs w:val="24"/>
              </w:rPr>
            </w:pPr>
            <w:r w:rsidRPr="00CE6819">
              <w:rPr>
                <w:rFonts w:ascii="Arial" w:eastAsia="Times New Roman" w:hAnsi="Arial" w:cs="Arial"/>
                <w:color w:val="000000"/>
                <w:sz w:val="24"/>
                <w:szCs w:val="24"/>
              </w:rPr>
              <w:t>Return</w:t>
            </w:r>
          </w:p>
        </w:tc>
        <w:tc>
          <w:tcPr>
            <w:tcW w:w="1276" w:type="dxa"/>
            <w:tcBorders>
              <w:top w:val="nil"/>
              <w:left w:val="nil"/>
              <w:bottom w:val="single" w:sz="4" w:space="0" w:color="auto"/>
              <w:right w:val="single" w:sz="12" w:space="0" w:color="auto"/>
            </w:tcBorders>
            <w:shd w:val="clear" w:color="000000" w:fill="FFFFFF"/>
            <w:noWrap/>
            <w:vAlign w:val="bottom"/>
            <w:hideMark/>
          </w:tcPr>
          <w:p w14:paraId="045C1232" w14:textId="77777777" w:rsidR="005B7A36" w:rsidRPr="00CE6819" w:rsidRDefault="005B7A36" w:rsidP="00D01F96">
            <w:pPr>
              <w:bidi w:val="0"/>
              <w:spacing w:after="0" w:line="240" w:lineRule="auto"/>
              <w:jc w:val="center"/>
              <w:rPr>
                <w:rFonts w:ascii="Arial" w:eastAsia="Times New Roman" w:hAnsi="Arial" w:cs="Arial"/>
                <w:color w:val="000000"/>
                <w:sz w:val="24"/>
                <w:szCs w:val="24"/>
              </w:rPr>
            </w:pPr>
            <w:r w:rsidRPr="00CE6819">
              <w:rPr>
                <w:rFonts w:ascii="Arial" w:eastAsia="Times New Roman" w:hAnsi="Arial" w:cs="Arial"/>
                <w:color w:val="000000"/>
                <w:sz w:val="24"/>
                <w:szCs w:val="24"/>
              </w:rPr>
              <w:t>AR to Sector</w:t>
            </w:r>
          </w:p>
        </w:tc>
        <w:tc>
          <w:tcPr>
            <w:tcW w:w="1417" w:type="dxa"/>
            <w:tcBorders>
              <w:top w:val="nil"/>
              <w:left w:val="nil"/>
              <w:bottom w:val="single" w:sz="4" w:space="0" w:color="auto"/>
              <w:right w:val="single" w:sz="4" w:space="0" w:color="auto"/>
            </w:tcBorders>
            <w:shd w:val="clear" w:color="000000" w:fill="FFFFFF"/>
            <w:noWrap/>
            <w:vAlign w:val="bottom"/>
            <w:hideMark/>
          </w:tcPr>
          <w:p w14:paraId="5B32CA1A" w14:textId="77777777" w:rsidR="005B7A36" w:rsidRPr="00CE6819" w:rsidRDefault="005B7A36" w:rsidP="00D01F96">
            <w:pPr>
              <w:bidi w:val="0"/>
              <w:spacing w:after="0" w:line="240" w:lineRule="auto"/>
              <w:jc w:val="center"/>
              <w:rPr>
                <w:rFonts w:ascii="Arial" w:eastAsia="Times New Roman" w:hAnsi="Arial" w:cs="Arial"/>
                <w:color w:val="000000"/>
                <w:sz w:val="24"/>
                <w:szCs w:val="24"/>
              </w:rPr>
            </w:pPr>
            <w:r w:rsidRPr="00CE6819">
              <w:rPr>
                <w:rFonts w:ascii="Arial" w:eastAsia="Times New Roman" w:hAnsi="Arial" w:cs="Arial"/>
                <w:color w:val="000000"/>
                <w:sz w:val="24"/>
                <w:szCs w:val="24"/>
              </w:rPr>
              <w:t>Return</w:t>
            </w:r>
          </w:p>
        </w:tc>
        <w:tc>
          <w:tcPr>
            <w:tcW w:w="1418" w:type="dxa"/>
            <w:tcBorders>
              <w:top w:val="nil"/>
              <w:left w:val="nil"/>
              <w:bottom w:val="single" w:sz="4" w:space="0" w:color="auto"/>
              <w:right w:val="single" w:sz="12" w:space="0" w:color="auto"/>
            </w:tcBorders>
            <w:shd w:val="clear" w:color="000000" w:fill="FFFFFF"/>
            <w:noWrap/>
            <w:vAlign w:val="bottom"/>
            <w:hideMark/>
          </w:tcPr>
          <w:p w14:paraId="46801B4A" w14:textId="77777777" w:rsidR="005B7A36" w:rsidRPr="00CE6819" w:rsidRDefault="005B7A36" w:rsidP="00D01F96">
            <w:pPr>
              <w:bidi w:val="0"/>
              <w:spacing w:after="0" w:line="240" w:lineRule="auto"/>
              <w:jc w:val="center"/>
              <w:rPr>
                <w:rFonts w:ascii="Arial" w:eastAsia="Times New Roman" w:hAnsi="Arial" w:cs="Arial"/>
                <w:color w:val="000000"/>
                <w:sz w:val="24"/>
                <w:szCs w:val="24"/>
              </w:rPr>
            </w:pPr>
            <w:r w:rsidRPr="00CE6819">
              <w:rPr>
                <w:rFonts w:ascii="Arial" w:eastAsia="Times New Roman" w:hAnsi="Arial" w:cs="Arial"/>
                <w:color w:val="000000"/>
                <w:sz w:val="24"/>
                <w:szCs w:val="24"/>
              </w:rPr>
              <w:t>AR to Sector</w:t>
            </w:r>
          </w:p>
        </w:tc>
      </w:tr>
      <w:tr w:rsidR="005B7A36" w:rsidRPr="00CE6819" w14:paraId="1FA5074A" w14:textId="77777777" w:rsidTr="00EC3C7C">
        <w:trPr>
          <w:trHeight w:val="285"/>
        </w:trPr>
        <w:tc>
          <w:tcPr>
            <w:tcW w:w="1403" w:type="dxa"/>
            <w:tcBorders>
              <w:top w:val="nil"/>
              <w:left w:val="single" w:sz="12" w:space="0" w:color="auto"/>
              <w:bottom w:val="nil"/>
              <w:right w:val="nil"/>
            </w:tcBorders>
            <w:shd w:val="clear" w:color="000000" w:fill="FFFFFF"/>
            <w:noWrap/>
            <w:vAlign w:val="bottom"/>
            <w:hideMark/>
          </w:tcPr>
          <w:p w14:paraId="15777CF1" w14:textId="77777777" w:rsidR="005B7A36" w:rsidRPr="004F45F0" w:rsidRDefault="005B7A36" w:rsidP="00D01F96">
            <w:pPr>
              <w:bidi w:val="0"/>
              <w:spacing w:after="0" w:line="240" w:lineRule="auto"/>
              <w:rPr>
                <w:rFonts w:ascii="Arial" w:eastAsia="Times New Roman" w:hAnsi="Arial" w:cs="Arial"/>
                <w:color w:val="000000"/>
                <w:sz w:val="20"/>
                <w:szCs w:val="20"/>
              </w:rPr>
            </w:pPr>
            <w:r w:rsidRPr="004F45F0">
              <w:rPr>
                <w:rFonts w:ascii="Arial" w:eastAsia="Times New Roman" w:hAnsi="Arial" w:cs="Arial"/>
                <w:color w:val="000000"/>
                <w:sz w:val="20"/>
                <w:szCs w:val="20"/>
              </w:rPr>
              <w:t>Intercept</w:t>
            </w:r>
          </w:p>
        </w:tc>
        <w:tc>
          <w:tcPr>
            <w:tcW w:w="1276" w:type="dxa"/>
            <w:tcBorders>
              <w:top w:val="nil"/>
              <w:left w:val="single" w:sz="12" w:space="0" w:color="auto"/>
              <w:bottom w:val="nil"/>
              <w:right w:val="single" w:sz="4" w:space="0" w:color="auto"/>
            </w:tcBorders>
            <w:shd w:val="clear" w:color="000000" w:fill="FFFFFF"/>
            <w:noWrap/>
            <w:vAlign w:val="bottom"/>
            <w:hideMark/>
          </w:tcPr>
          <w:p w14:paraId="2400D9CE"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-1.72 (0.00)</w:t>
            </w:r>
          </w:p>
        </w:tc>
        <w:tc>
          <w:tcPr>
            <w:tcW w:w="1275" w:type="dxa"/>
            <w:tcBorders>
              <w:top w:val="nil"/>
              <w:left w:val="nil"/>
              <w:bottom w:val="nil"/>
              <w:right w:val="single" w:sz="12" w:space="0" w:color="auto"/>
            </w:tcBorders>
            <w:shd w:val="clear" w:color="000000" w:fill="FFFFFF"/>
            <w:noWrap/>
            <w:vAlign w:val="bottom"/>
            <w:hideMark/>
          </w:tcPr>
          <w:p w14:paraId="4FB08CC6"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-1.82 (0.00)</w:t>
            </w:r>
          </w:p>
        </w:tc>
        <w:tc>
          <w:tcPr>
            <w:tcW w:w="1276" w:type="dxa"/>
            <w:tcBorders>
              <w:top w:val="nil"/>
              <w:left w:val="nil"/>
              <w:bottom w:val="nil"/>
              <w:right w:val="single" w:sz="4" w:space="0" w:color="auto"/>
            </w:tcBorders>
            <w:shd w:val="clear" w:color="000000" w:fill="FFFFFF"/>
            <w:noWrap/>
            <w:vAlign w:val="bottom"/>
            <w:hideMark/>
          </w:tcPr>
          <w:p w14:paraId="43157912"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-2.09 (0.00)</w:t>
            </w:r>
          </w:p>
        </w:tc>
        <w:tc>
          <w:tcPr>
            <w:tcW w:w="1276" w:type="dxa"/>
            <w:tcBorders>
              <w:top w:val="nil"/>
              <w:left w:val="nil"/>
              <w:bottom w:val="nil"/>
              <w:right w:val="single" w:sz="12" w:space="0" w:color="auto"/>
            </w:tcBorders>
            <w:shd w:val="clear" w:color="000000" w:fill="FFFFFF"/>
            <w:noWrap/>
            <w:vAlign w:val="bottom"/>
            <w:hideMark/>
          </w:tcPr>
          <w:p w14:paraId="29D28C05"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-2.19 (0.00)</w:t>
            </w:r>
          </w:p>
        </w:tc>
        <w:tc>
          <w:tcPr>
            <w:tcW w:w="1417" w:type="dxa"/>
            <w:tcBorders>
              <w:top w:val="nil"/>
              <w:left w:val="nil"/>
              <w:bottom w:val="nil"/>
              <w:right w:val="single" w:sz="4" w:space="0" w:color="auto"/>
            </w:tcBorders>
            <w:shd w:val="clear" w:color="000000" w:fill="FFFFFF"/>
            <w:noWrap/>
            <w:vAlign w:val="bottom"/>
            <w:hideMark/>
          </w:tcPr>
          <w:p w14:paraId="0D52658D"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-12.98 (0.01)</w:t>
            </w:r>
          </w:p>
        </w:tc>
        <w:tc>
          <w:tcPr>
            <w:tcW w:w="1418" w:type="dxa"/>
            <w:tcBorders>
              <w:top w:val="nil"/>
              <w:left w:val="nil"/>
              <w:bottom w:val="nil"/>
              <w:right w:val="single" w:sz="12" w:space="0" w:color="auto"/>
            </w:tcBorders>
            <w:shd w:val="clear" w:color="000000" w:fill="FFFFFF"/>
            <w:noWrap/>
            <w:vAlign w:val="bottom"/>
            <w:hideMark/>
          </w:tcPr>
          <w:p w14:paraId="2D0E7B82"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-12.92 (0.01)</w:t>
            </w:r>
          </w:p>
        </w:tc>
      </w:tr>
      <w:tr w:rsidR="005B7A36" w:rsidRPr="00CE6819" w14:paraId="20C4446D" w14:textId="77777777" w:rsidTr="00EC3C7C">
        <w:trPr>
          <w:trHeight w:val="285"/>
        </w:trPr>
        <w:tc>
          <w:tcPr>
            <w:tcW w:w="1403" w:type="dxa"/>
            <w:tcBorders>
              <w:top w:val="nil"/>
              <w:left w:val="single" w:sz="12" w:space="0" w:color="auto"/>
              <w:bottom w:val="nil"/>
              <w:right w:val="nil"/>
            </w:tcBorders>
            <w:shd w:val="clear" w:color="000000" w:fill="FFFFFF"/>
            <w:noWrap/>
            <w:vAlign w:val="bottom"/>
            <w:hideMark/>
          </w:tcPr>
          <w:p w14:paraId="19156C4A" w14:textId="77777777" w:rsidR="005B7A36" w:rsidRPr="004F45F0" w:rsidRDefault="005B7A36" w:rsidP="00D01F96">
            <w:pPr>
              <w:bidi w:val="0"/>
              <w:spacing w:after="0" w:line="240" w:lineRule="auto"/>
              <w:rPr>
                <w:rFonts w:ascii="Arial" w:eastAsia="Times New Roman" w:hAnsi="Arial" w:cs="Arial"/>
                <w:color w:val="000000"/>
                <w:sz w:val="20"/>
                <w:szCs w:val="20"/>
              </w:rPr>
            </w:pPr>
            <w:r w:rsidRPr="004F45F0">
              <w:rPr>
                <w:rFonts w:ascii="Arial" w:eastAsia="Times New Roman" w:hAnsi="Arial" w:cs="Arial"/>
                <w:color w:val="000000"/>
                <w:sz w:val="20"/>
                <w:szCs w:val="20"/>
              </w:rPr>
              <w:t>Ln(MV)</w:t>
            </w:r>
          </w:p>
        </w:tc>
        <w:tc>
          <w:tcPr>
            <w:tcW w:w="1276" w:type="dxa"/>
            <w:tcBorders>
              <w:top w:val="nil"/>
              <w:left w:val="single" w:sz="12" w:space="0" w:color="auto"/>
              <w:bottom w:val="nil"/>
              <w:right w:val="single" w:sz="4" w:space="0" w:color="auto"/>
            </w:tcBorders>
            <w:shd w:val="clear" w:color="000000" w:fill="FFFFFF"/>
            <w:noWrap/>
            <w:vAlign w:val="bottom"/>
            <w:hideMark/>
          </w:tcPr>
          <w:p w14:paraId="65E81485"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0.22 (0.00)</w:t>
            </w:r>
          </w:p>
        </w:tc>
        <w:tc>
          <w:tcPr>
            <w:tcW w:w="1275" w:type="dxa"/>
            <w:tcBorders>
              <w:top w:val="nil"/>
              <w:left w:val="nil"/>
              <w:bottom w:val="nil"/>
              <w:right w:val="single" w:sz="12" w:space="0" w:color="auto"/>
            </w:tcBorders>
            <w:shd w:val="clear" w:color="000000" w:fill="FFFFFF"/>
            <w:noWrap/>
            <w:vAlign w:val="bottom"/>
            <w:hideMark/>
          </w:tcPr>
          <w:p w14:paraId="136810A7"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0.22 (0.00)</w:t>
            </w:r>
          </w:p>
        </w:tc>
        <w:tc>
          <w:tcPr>
            <w:tcW w:w="1276" w:type="dxa"/>
            <w:tcBorders>
              <w:top w:val="nil"/>
              <w:left w:val="nil"/>
              <w:bottom w:val="nil"/>
              <w:right w:val="single" w:sz="4" w:space="0" w:color="auto"/>
            </w:tcBorders>
            <w:shd w:val="clear" w:color="000000" w:fill="FFFFFF"/>
            <w:noWrap/>
            <w:vAlign w:val="bottom"/>
            <w:hideMark/>
          </w:tcPr>
          <w:p w14:paraId="1A53A472"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0.27 (0.01)</w:t>
            </w:r>
          </w:p>
        </w:tc>
        <w:tc>
          <w:tcPr>
            <w:tcW w:w="1276" w:type="dxa"/>
            <w:tcBorders>
              <w:top w:val="nil"/>
              <w:left w:val="nil"/>
              <w:bottom w:val="nil"/>
              <w:right w:val="single" w:sz="12" w:space="0" w:color="auto"/>
            </w:tcBorders>
            <w:shd w:val="clear" w:color="000000" w:fill="FFFFFF"/>
            <w:noWrap/>
            <w:vAlign w:val="bottom"/>
            <w:hideMark/>
          </w:tcPr>
          <w:p w14:paraId="15D871B9"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0.27 (0.01)</w:t>
            </w:r>
          </w:p>
        </w:tc>
        <w:tc>
          <w:tcPr>
            <w:tcW w:w="1417" w:type="dxa"/>
            <w:tcBorders>
              <w:top w:val="nil"/>
              <w:left w:val="nil"/>
              <w:bottom w:val="nil"/>
              <w:right w:val="single" w:sz="4" w:space="0" w:color="auto"/>
            </w:tcBorders>
            <w:shd w:val="clear" w:color="000000" w:fill="FFFFFF"/>
            <w:noWrap/>
            <w:vAlign w:val="bottom"/>
            <w:hideMark/>
          </w:tcPr>
          <w:p w14:paraId="2B8F848D"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5.47 (0.00)</w:t>
            </w:r>
          </w:p>
        </w:tc>
        <w:tc>
          <w:tcPr>
            <w:tcW w:w="1418" w:type="dxa"/>
            <w:tcBorders>
              <w:top w:val="nil"/>
              <w:left w:val="nil"/>
              <w:bottom w:val="nil"/>
              <w:right w:val="single" w:sz="12" w:space="0" w:color="auto"/>
            </w:tcBorders>
            <w:shd w:val="clear" w:color="000000" w:fill="FFFFFF"/>
            <w:noWrap/>
            <w:vAlign w:val="bottom"/>
            <w:hideMark/>
          </w:tcPr>
          <w:p w14:paraId="3BDCCD7F"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5.32 (0.00)</w:t>
            </w:r>
          </w:p>
        </w:tc>
      </w:tr>
      <w:tr w:rsidR="005B7A36" w:rsidRPr="00CE6819" w14:paraId="77FABA80" w14:textId="77777777" w:rsidTr="00EC3C7C">
        <w:trPr>
          <w:trHeight w:val="285"/>
        </w:trPr>
        <w:tc>
          <w:tcPr>
            <w:tcW w:w="1403" w:type="dxa"/>
            <w:tcBorders>
              <w:top w:val="nil"/>
              <w:left w:val="single" w:sz="12" w:space="0" w:color="auto"/>
              <w:bottom w:val="nil"/>
              <w:right w:val="nil"/>
            </w:tcBorders>
            <w:shd w:val="clear" w:color="000000" w:fill="FFFFFF"/>
            <w:noWrap/>
            <w:vAlign w:val="bottom"/>
            <w:hideMark/>
          </w:tcPr>
          <w:p w14:paraId="2481C16C" w14:textId="443EF418" w:rsidR="005B7A36" w:rsidRPr="004F45F0" w:rsidRDefault="005B7A36" w:rsidP="00D01F96">
            <w:pPr>
              <w:bidi w:val="0"/>
              <w:spacing w:after="0" w:line="240" w:lineRule="auto"/>
              <w:rPr>
                <w:rFonts w:ascii="Arial" w:eastAsia="Times New Roman" w:hAnsi="Arial" w:cs="Arial"/>
                <w:color w:val="000000"/>
                <w:sz w:val="20"/>
                <w:szCs w:val="20"/>
              </w:rPr>
            </w:pPr>
            <w:r w:rsidRPr="004F45F0">
              <w:rPr>
                <w:rFonts w:ascii="Arial" w:eastAsia="Times New Roman" w:hAnsi="Arial" w:cs="Arial"/>
                <w:color w:val="000000"/>
                <w:sz w:val="20"/>
                <w:szCs w:val="20"/>
              </w:rPr>
              <w:t>Ln(</w:t>
            </w:r>
            <w:r w:rsidR="009728C1" w:rsidRPr="004F45F0">
              <w:rPr>
                <w:rFonts w:ascii="Arial" w:eastAsia="Times New Roman" w:hAnsi="Arial" w:cs="Arial"/>
                <w:color w:val="000000"/>
                <w:sz w:val="20"/>
                <w:szCs w:val="20"/>
              </w:rPr>
              <w:t>Prcds</w:t>
            </w:r>
            <w:r w:rsidRPr="004F45F0">
              <w:rPr>
                <w:rFonts w:ascii="Arial" w:eastAsia="Times New Roman" w:hAnsi="Arial" w:cs="Arial"/>
                <w:color w:val="000000"/>
                <w:sz w:val="20"/>
                <w:szCs w:val="20"/>
              </w:rPr>
              <w:t>)</w:t>
            </w:r>
          </w:p>
        </w:tc>
        <w:tc>
          <w:tcPr>
            <w:tcW w:w="1276" w:type="dxa"/>
            <w:tcBorders>
              <w:top w:val="nil"/>
              <w:left w:val="single" w:sz="12" w:space="0" w:color="auto"/>
              <w:bottom w:val="nil"/>
              <w:right w:val="single" w:sz="4" w:space="0" w:color="auto"/>
            </w:tcBorders>
            <w:shd w:val="clear" w:color="000000" w:fill="FFFFFF"/>
            <w:noWrap/>
            <w:vAlign w:val="center"/>
            <w:hideMark/>
          </w:tcPr>
          <w:p w14:paraId="20E60C13"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 </w:t>
            </w:r>
          </w:p>
        </w:tc>
        <w:tc>
          <w:tcPr>
            <w:tcW w:w="1275" w:type="dxa"/>
            <w:tcBorders>
              <w:top w:val="nil"/>
              <w:left w:val="nil"/>
              <w:bottom w:val="nil"/>
              <w:right w:val="single" w:sz="12" w:space="0" w:color="auto"/>
            </w:tcBorders>
            <w:shd w:val="clear" w:color="000000" w:fill="FFFFFF"/>
            <w:noWrap/>
            <w:vAlign w:val="center"/>
            <w:hideMark/>
          </w:tcPr>
          <w:p w14:paraId="346A0574"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 </w:t>
            </w:r>
          </w:p>
        </w:tc>
        <w:tc>
          <w:tcPr>
            <w:tcW w:w="1276" w:type="dxa"/>
            <w:tcBorders>
              <w:top w:val="nil"/>
              <w:left w:val="nil"/>
              <w:bottom w:val="nil"/>
              <w:right w:val="single" w:sz="4" w:space="0" w:color="auto"/>
            </w:tcBorders>
            <w:shd w:val="clear" w:color="000000" w:fill="FFFFFF"/>
            <w:noWrap/>
            <w:vAlign w:val="center"/>
            <w:hideMark/>
          </w:tcPr>
          <w:p w14:paraId="625FF0BB"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 </w:t>
            </w:r>
          </w:p>
        </w:tc>
        <w:tc>
          <w:tcPr>
            <w:tcW w:w="1276" w:type="dxa"/>
            <w:tcBorders>
              <w:top w:val="nil"/>
              <w:left w:val="nil"/>
              <w:bottom w:val="nil"/>
              <w:right w:val="single" w:sz="12" w:space="0" w:color="auto"/>
            </w:tcBorders>
            <w:shd w:val="clear" w:color="000000" w:fill="FFFFFF"/>
            <w:noWrap/>
            <w:vAlign w:val="center"/>
            <w:hideMark/>
          </w:tcPr>
          <w:p w14:paraId="15A31B9D"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 </w:t>
            </w:r>
          </w:p>
        </w:tc>
        <w:tc>
          <w:tcPr>
            <w:tcW w:w="1417" w:type="dxa"/>
            <w:tcBorders>
              <w:top w:val="nil"/>
              <w:left w:val="nil"/>
              <w:bottom w:val="nil"/>
              <w:right w:val="single" w:sz="4" w:space="0" w:color="auto"/>
            </w:tcBorders>
            <w:shd w:val="clear" w:color="000000" w:fill="FFFFFF"/>
            <w:noWrap/>
            <w:vAlign w:val="center"/>
            <w:hideMark/>
          </w:tcPr>
          <w:p w14:paraId="2D671C2B"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-6.22 (0.00)</w:t>
            </w:r>
          </w:p>
        </w:tc>
        <w:tc>
          <w:tcPr>
            <w:tcW w:w="1418" w:type="dxa"/>
            <w:tcBorders>
              <w:top w:val="nil"/>
              <w:left w:val="nil"/>
              <w:bottom w:val="nil"/>
              <w:right w:val="single" w:sz="12" w:space="0" w:color="auto"/>
            </w:tcBorders>
            <w:shd w:val="clear" w:color="000000" w:fill="FFFFFF"/>
            <w:noWrap/>
            <w:vAlign w:val="center"/>
            <w:hideMark/>
          </w:tcPr>
          <w:p w14:paraId="67B0780F"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-6.00 (0.00)</w:t>
            </w:r>
          </w:p>
        </w:tc>
      </w:tr>
      <w:tr w:rsidR="005B7A36" w:rsidRPr="00CE6819" w14:paraId="30BBDD41" w14:textId="77777777" w:rsidTr="00EC3C7C">
        <w:trPr>
          <w:trHeight w:val="285"/>
        </w:trPr>
        <w:tc>
          <w:tcPr>
            <w:tcW w:w="1403" w:type="dxa"/>
            <w:tcBorders>
              <w:top w:val="nil"/>
              <w:left w:val="single" w:sz="12" w:space="0" w:color="auto"/>
              <w:bottom w:val="nil"/>
              <w:right w:val="nil"/>
            </w:tcBorders>
            <w:shd w:val="clear" w:color="000000" w:fill="FFFFFF"/>
            <w:noWrap/>
            <w:vAlign w:val="bottom"/>
            <w:hideMark/>
          </w:tcPr>
          <w:p w14:paraId="68D1C5A5" w14:textId="79ADDF3E" w:rsidR="005B7A36" w:rsidRPr="004F45F0" w:rsidRDefault="009728C1" w:rsidP="00D01F96">
            <w:pPr>
              <w:bidi w:val="0"/>
              <w:spacing w:after="0" w:line="240" w:lineRule="auto"/>
              <w:rPr>
                <w:rFonts w:ascii="Arial" w:eastAsia="Times New Roman" w:hAnsi="Arial" w:cs="Arial"/>
                <w:color w:val="000000"/>
                <w:sz w:val="20"/>
                <w:szCs w:val="20"/>
              </w:rPr>
            </w:pPr>
            <w:r w:rsidRPr="004F45F0">
              <w:rPr>
                <w:rFonts w:ascii="Arial" w:eastAsia="Times New Roman" w:hAnsi="Arial" w:cs="Arial"/>
                <w:color w:val="000000"/>
                <w:sz w:val="20"/>
                <w:szCs w:val="20"/>
              </w:rPr>
              <w:t>Prcds</w:t>
            </w:r>
            <w:r w:rsidR="005B7A36" w:rsidRPr="004F45F0">
              <w:rPr>
                <w:rFonts w:ascii="Arial" w:eastAsia="Times New Roman" w:hAnsi="Arial" w:cs="Arial"/>
                <w:color w:val="000000"/>
                <w:sz w:val="20"/>
                <w:szCs w:val="20"/>
              </w:rPr>
              <w:t>(%)</w:t>
            </w:r>
          </w:p>
        </w:tc>
        <w:tc>
          <w:tcPr>
            <w:tcW w:w="1276" w:type="dxa"/>
            <w:tcBorders>
              <w:top w:val="nil"/>
              <w:left w:val="single" w:sz="12" w:space="0" w:color="auto"/>
              <w:bottom w:val="nil"/>
              <w:right w:val="single" w:sz="4" w:space="0" w:color="auto"/>
            </w:tcBorders>
            <w:shd w:val="clear" w:color="000000" w:fill="FFFFFF"/>
            <w:noWrap/>
            <w:vAlign w:val="center"/>
            <w:hideMark/>
          </w:tcPr>
          <w:p w14:paraId="5298429A"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 </w:t>
            </w:r>
          </w:p>
        </w:tc>
        <w:tc>
          <w:tcPr>
            <w:tcW w:w="1275" w:type="dxa"/>
            <w:tcBorders>
              <w:top w:val="nil"/>
              <w:left w:val="nil"/>
              <w:bottom w:val="nil"/>
              <w:right w:val="single" w:sz="12" w:space="0" w:color="auto"/>
            </w:tcBorders>
            <w:shd w:val="clear" w:color="000000" w:fill="FFFFFF"/>
            <w:noWrap/>
            <w:vAlign w:val="center"/>
            <w:hideMark/>
          </w:tcPr>
          <w:p w14:paraId="363FEADB"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 </w:t>
            </w:r>
          </w:p>
        </w:tc>
        <w:tc>
          <w:tcPr>
            <w:tcW w:w="1276" w:type="dxa"/>
            <w:tcBorders>
              <w:top w:val="nil"/>
              <w:left w:val="nil"/>
              <w:bottom w:val="nil"/>
              <w:right w:val="single" w:sz="4" w:space="0" w:color="auto"/>
            </w:tcBorders>
            <w:shd w:val="clear" w:color="000000" w:fill="FFFFFF"/>
            <w:noWrap/>
            <w:vAlign w:val="bottom"/>
            <w:hideMark/>
          </w:tcPr>
          <w:p w14:paraId="4D21B663"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0.1 (0.08)</w:t>
            </w:r>
          </w:p>
        </w:tc>
        <w:tc>
          <w:tcPr>
            <w:tcW w:w="1276" w:type="dxa"/>
            <w:tcBorders>
              <w:top w:val="nil"/>
              <w:left w:val="nil"/>
              <w:bottom w:val="nil"/>
              <w:right w:val="single" w:sz="12" w:space="0" w:color="auto"/>
            </w:tcBorders>
            <w:shd w:val="clear" w:color="000000" w:fill="FFFFFF"/>
            <w:noWrap/>
            <w:vAlign w:val="bottom"/>
            <w:hideMark/>
          </w:tcPr>
          <w:p w14:paraId="215EE436"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0.1 (0.06)</w:t>
            </w:r>
          </w:p>
        </w:tc>
        <w:tc>
          <w:tcPr>
            <w:tcW w:w="1417" w:type="dxa"/>
            <w:tcBorders>
              <w:top w:val="nil"/>
              <w:left w:val="nil"/>
              <w:bottom w:val="nil"/>
              <w:right w:val="single" w:sz="4" w:space="0" w:color="auto"/>
            </w:tcBorders>
            <w:shd w:val="clear" w:color="000000" w:fill="FFFFFF"/>
            <w:noWrap/>
            <w:vAlign w:val="bottom"/>
            <w:hideMark/>
          </w:tcPr>
          <w:p w14:paraId="5065A2D7"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37.53 (0.01)</w:t>
            </w:r>
          </w:p>
        </w:tc>
        <w:tc>
          <w:tcPr>
            <w:tcW w:w="1418" w:type="dxa"/>
            <w:tcBorders>
              <w:top w:val="nil"/>
              <w:left w:val="nil"/>
              <w:bottom w:val="nil"/>
              <w:right w:val="single" w:sz="12" w:space="0" w:color="auto"/>
            </w:tcBorders>
            <w:shd w:val="clear" w:color="000000" w:fill="FFFFFF"/>
            <w:noWrap/>
            <w:vAlign w:val="bottom"/>
            <w:hideMark/>
          </w:tcPr>
          <w:p w14:paraId="6624E6EC"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36.33 (0.01)</w:t>
            </w:r>
          </w:p>
        </w:tc>
      </w:tr>
      <w:tr w:rsidR="005B7A36" w:rsidRPr="00CE6819" w14:paraId="129CB5FE" w14:textId="77777777" w:rsidTr="00EC3C7C">
        <w:trPr>
          <w:trHeight w:val="285"/>
        </w:trPr>
        <w:tc>
          <w:tcPr>
            <w:tcW w:w="1403" w:type="dxa"/>
            <w:tcBorders>
              <w:top w:val="nil"/>
              <w:left w:val="single" w:sz="12" w:space="0" w:color="auto"/>
              <w:bottom w:val="nil"/>
              <w:right w:val="nil"/>
            </w:tcBorders>
            <w:shd w:val="clear" w:color="000000" w:fill="FFFFFF"/>
            <w:noWrap/>
            <w:vAlign w:val="bottom"/>
            <w:hideMark/>
          </w:tcPr>
          <w:p w14:paraId="3223C135" w14:textId="77777777" w:rsidR="005B7A36" w:rsidRPr="004F45F0" w:rsidRDefault="005B7A36" w:rsidP="00D01F96">
            <w:pPr>
              <w:bidi w:val="0"/>
              <w:spacing w:after="0" w:line="240" w:lineRule="auto"/>
              <w:rPr>
                <w:rFonts w:ascii="Arial" w:eastAsia="Times New Roman" w:hAnsi="Arial" w:cs="Arial"/>
                <w:color w:val="000000"/>
                <w:sz w:val="20"/>
                <w:szCs w:val="20"/>
              </w:rPr>
            </w:pPr>
            <w:r w:rsidRPr="004F45F0">
              <w:rPr>
                <w:rFonts w:ascii="Arial" w:eastAsia="Times New Roman" w:hAnsi="Arial" w:cs="Arial"/>
                <w:color w:val="000000"/>
                <w:sz w:val="20"/>
                <w:szCs w:val="20"/>
              </w:rPr>
              <w:t>Year 2013</w:t>
            </w:r>
          </w:p>
        </w:tc>
        <w:tc>
          <w:tcPr>
            <w:tcW w:w="1276" w:type="dxa"/>
            <w:tcBorders>
              <w:top w:val="nil"/>
              <w:left w:val="single" w:sz="12" w:space="0" w:color="auto"/>
              <w:bottom w:val="nil"/>
              <w:right w:val="single" w:sz="4" w:space="0" w:color="auto"/>
            </w:tcBorders>
            <w:shd w:val="clear" w:color="000000" w:fill="FFFFFF"/>
            <w:noWrap/>
            <w:vAlign w:val="bottom"/>
            <w:hideMark/>
          </w:tcPr>
          <w:p w14:paraId="20B7E9BE"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1.08 (0.00)</w:t>
            </w:r>
          </w:p>
        </w:tc>
        <w:tc>
          <w:tcPr>
            <w:tcW w:w="1275" w:type="dxa"/>
            <w:tcBorders>
              <w:top w:val="nil"/>
              <w:left w:val="nil"/>
              <w:bottom w:val="nil"/>
              <w:right w:val="single" w:sz="12" w:space="0" w:color="auto"/>
            </w:tcBorders>
            <w:shd w:val="clear" w:color="000000" w:fill="FFFFFF"/>
            <w:noWrap/>
            <w:vAlign w:val="bottom"/>
            <w:hideMark/>
          </w:tcPr>
          <w:p w14:paraId="4A8EEF8C"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0.82 (0.02)</w:t>
            </w:r>
          </w:p>
        </w:tc>
        <w:tc>
          <w:tcPr>
            <w:tcW w:w="1276" w:type="dxa"/>
            <w:tcBorders>
              <w:top w:val="nil"/>
              <w:left w:val="nil"/>
              <w:bottom w:val="nil"/>
              <w:right w:val="single" w:sz="4" w:space="0" w:color="auto"/>
            </w:tcBorders>
            <w:shd w:val="clear" w:color="000000" w:fill="FFFFFF"/>
            <w:noWrap/>
            <w:vAlign w:val="bottom"/>
            <w:hideMark/>
          </w:tcPr>
          <w:p w14:paraId="6888994F"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1.15 (0.00)</w:t>
            </w:r>
          </w:p>
        </w:tc>
        <w:tc>
          <w:tcPr>
            <w:tcW w:w="1276" w:type="dxa"/>
            <w:tcBorders>
              <w:top w:val="nil"/>
              <w:left w:val="nil"/>
              <w:bottom w:val="nil"/>
              <w:right w:val="single" w:sz="12" w:space="0" w:color="auto"/>
            </w:tcBorders>
            <w:shd w:val="clear" w:color="000000" w:fill="FFFFFF"/>
            <w:noWrap/>
            <w:vAlign w:val="bottom"/>
            <w:hideMark/>
          </w:tcPr>
          <w:p w14:paraId="5B6E6887"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0.89 (0.01)</w:t>
            </w:r>
          </w:p>
        </w:tc>
        <w:tc>
          <w:tcPr>
            <w:tcW w:w="1417" w:type="dxa"/>
            <w:tcBorders>
              <w:top w:val="nil"/>
              <w:left w:val="nil"/>
              <w:bottom w:val="nil"/>
              <w:right w:val="single" w:sz="4" w:space="0" w:color="auto"/>
            </w:tcBorders>
            <w:shd w:val="clear" w:color="000000" w:fill="FFFFFF"/>
            <w:noWrap/>
            <w:vAlign w:val="bottom"/>
            <w:hideMark/>
          </w:tcPr>
          <w:p w14:paraId="35ACF469"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1.03 (0.19)</w:t>
            </w:r>
          </w:p>
        </w:tc>
        <w:tc>
          <w:tcPr>
            <w:tcW w:w="1418" w:type="dxa"/>
            <w:tcBorders>
              <w:top w:val="nil"/>
              <w:left w:val="nil"/>
              <w:bottom w:val="nil"/>
              <w:right w:val="single" w:sz="12" w:space="0" w:color="auto"/>
            </w:tcBorders>
            <w:shd w:val="clear" w:color="000000" w:fill="FFFFFF"/>
            <w:noWrap/>
            <w:vAlign w:val="bottom"/>
            <w:hideMark/>
          </w:tcPr>
          <w:p w14:paraId="4729332A"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0.79 (0.30)</w:t>
            </w:r>
          </w:p>
        </w:tc>
      </w:tr>
      <w:tr w:rsidR="005B7A36" w:rsidRPr="00CE6819" w14:paraId="3F5F9576" w14:textId="77777777" w:rsidTr="00EC3C7C">
        <w:trPr>
          <w:trHeight w:val="285"/>
        </w:trPr>
        <w:tc>
          <w:tcPr>
            <w:tcW w:w="1403" w:type="dxa"/>
            <w:tcBorders>
              <w:top w:val="nil"/>
              <w:left w:val="single" w:sz="12" w:space="0" w:color="auto"/>
              <w:bottom w:val="nil"/>
              <w:right w:val="nil"/>
            </w:tcBorders>
            <w:shd w:val="clear" w:color="000000" w:fill="FFFFFF"/>
            <w:noWrap/>
            <w:vAlign w:val="bottom"/>
            <w:hideMark/>
          </w:tcPr>
          <w:p w14:paraId="20FE7BAF" w14:textId="77777777" w:rsidR="005B7A36" w:rsidRPr="004F45F0" w:rsidRDefault="005B7A36" w:rsidP="00D01F96">
            <w:pPr>
              <w:bidi w:val="0"/>
              <w:spacing w:after="0" w:line="240" w:lineRule="auto"/>
              <w:rPr>
                <w:rFonts w:ascii="Arial" w:eastAsia="Times New Roman" w:hAnsi="Arial" w:cs="Arial"/>
                <w:color w:val="000000"/>
                <w:sz w:val="20"/>
                <w:szCs w:val="20"/>
              </w:rPr>
            </w:pPr>
            <w:r w:rsidRPr="004F45F0">
              <w:rPr>
                <w:rFonts w:ascii="Arial" w:eastAsia="Times New Roman" w:hAnsi="Arial" w:cs="Arial"/>
                <w:color w:val="000000"/>
                <w:sz w:val="20"/>
                <w:szCs w:val="20"/>
              </w:rPr>
              <w:lastRenderedPageBreak/>
              <w:t>Year 2014</w:t>
            </w:r>
          </w:p>
        </w:tc>
        <w:tc>
          <w:tcPr>
            <w:tcW w:w="1276" w:type="dxa"/>
            <w:tcBorders>
              <w:top w:val="nil"/>
              <w:left w:val="single" w:sz="12" w:space="0" w:color="auto"/>
              <w:bottom w:val="nil"/>
              <w:right w:val="single" w:sz="4" w:space="0" w:color="auto"/>
            </w:tcBorders>
            <w:shd w:val="clear" w:color="000000" w:fill="FFFFFF"/>
            <w:noWrap/>
            <w:vAlign w:val="bottom"/>
            <w:hideMark/>
          </w:tcPr>
          <w:p w14:paraId="5DDBBB12"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0.61 (0.06)</w:t>
            </w:r>
          </w:p>
        </w:tc>
        <w:tc>
          <w:tcPr>
            <w:tcW w:w="1275" w:type="dxa"/>
            <w:tcBorders>
              <w:top w:val="nil"/>
              <w:left w:val="nil"/>
              <w:bottom w:val="nil"/>
              <w:right w:val="single" w:sz="12" w:space="0" w:color="auto"/>
            </w:tcBorders>
            <w:shd w:val="clear" w:color="000000" w:fill="FFFFFF"/>
            <w:noWrap/>
            <w:vAlign w:val="bottom"/>
            <w:hideMark/>
          </w:tcPr>
          <w:p w14:paraId="51A47ADA"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0.57 (0.07)</w:t>
            </w:r>
          </w:p>
        </w:tc>
        <w:tc>
          <w:tcPr>
            <w:tcW w:w="1276" w:type="dxa"/>
            <w:tcBorders>
              <w:top w:val="nil"/>
              <w:left w:val="nil"/>
              <w:bottom w:val="nil"/>
              <w:right w:val="single" w:sz="4" w:space="0" w:color="auto"/>
            </w:tcBorders>
            <w:shd w:val="clear" w:color="000000" w:fill="FFFFFF"/>
            <w:noWrap/>
            <w:vAlign w:val="bottom"/>
            <w:hideMark/>
          </w:tcPr>
          <w:p w14:paraId="2E09EAD1"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0.46 (0.11)</w:t>
            </w:r>
          </w:p>
        </w:tc>
        <w:tc>
          <w:tcPr>
            <w:tcW w:w="1276" w:type="dxa"/>
            <w:tcBorders>
              <w:top w:val="nil"/>
              <w:left w:val="nil"/>
              <w:bottom w:val="nil"/>
              <w:right w:val="single" w:sz="12" w:space="0" w:color="auto"/>
            </w:tcBorders>
            <w:shd w:val="clear" w:color="000000" w:fill="FFFFFF"/>
            <w:noWrap/>
            <w:vAlign w:val="bottom"/>
            <w:hideMark/>
          </w:tcPr>
          <w:p w14:paraId="4D8223CD"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0.41 (0.14)</w:t>
            </w:r>
          </w:p>
        </w:tc>
        <w:tc>
          <w:tcPr>
            <w:tcW w:w="1417" w:type="dxa"/>
            <w:tcBorders>
              <w:top w:val="nil"/>
              <w:left w:val="nil"/>
              <w:bottom w:val="nil"/>
              <w:right w:val="single" w:sz="4" w:space="0" w:color="auto"/>
            </w:tcBorders>
            <w:shd w:val="clear" w:color="000000" w:fill="FFFFFF"/>
            <w:noWrap/>
            <w:vAlign w:val="bottom"/>
            <w:hideMark/>
          </w:tcPr>
          <w:p w14:paraId="14A43B14"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0.63 (0.4)</w:t>
            </w:r>
          </w:p>
        </w:tc>
        <w:tc>
          <w:tcPr>
            <w:tcW w:w="1418" w:type="dxa"/>
            <w:tcBorders>
              <w:top w:val="nil"/>
              <w:left w:val="nil"/>
              <w:bottom w:val="nil"/>
              <w:right w:val="single" w:sz="12" w:space="0" w:color="auto"/>
            </w:tcBorders>
            <w:shd w:val="clear" w:color="000000" w:fill="FFFFFF"/>
            <w:noWrap/>
            <w:vAlign w:val="bottom"/>
            <w:hideMark/>
          </w:tcPr>
          <w:p w14:paraId="7B7B2C4E"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0.67 (0.37)</w:t>
            </w:r>
          </w:p>
        </w:tc>
      </w:tr>
      <w:tr w:rsidR="005B7A36" w:rsidRPr="00CE6819" w14:paraId="39FD11FA" w14:textId="77777777" w:rsidTr="00EC3C7C">
        <w:trPr>
          <w:trHeight w:val="300"/>
        </w:trPr>
        <w:tc>
          <w:tcPr>
            <w:tcW w:w="1403" w:type="dxa"/>
            <w:tcBorders>
              <w:top w:val="nil"/>
              <w:left w:val="single" w:sz="12" w:space="0" w:color="auto"/>
              <w:bottom w:val="nil"/>
              <w:right w:val="nil"/>
            </w:tcBorders>
            <w:shd w:val="clear" w:color="000000" w:fill="FFFFFF"/>
            <w:noWrap/>
            <w:vAlign w:val="bottom"/>
            <w:hideMark/>
          </w:tcPr>
          <w:p w14:paraId="50F5A3B6" w14:textId="77777777" w:rsidR="005B7A36" w:rsidRPr="004F45F0" w:rsidRDefault="005B7A36" w:rsidP="00D01F96">
            <w:pPr>
              <w:bidi w:val="0"/>
              <w:spacing w:after="0" w:line="240" w:lineRule="auto"/>
              <w:rPr>
                <w:rFonts w:ascii="Arial" w:eastAsia="Times New Roman" w:hAnsi="Arial" w:cs="Arial"/>
                <w:color w:val="000000"/>
                <w:sz w:val="20"/>
                <w:szCs w:val="20"/>
              </w:rPr>
            </w:pPr>
            <w:r w:rsidRPr="004F45F0">
              <w:rPr>
                <w:rFonts w:ascii="Arial" w:eastAsia="Times New Roman" w:hAnsi="Arial" w:cs="Arial"/>
                <w:color w:val="000000"/>
                <w:sz w:val="20"/>
                <w:szCs w:val="20"/>
              </w:rPr>
              <w:t>Year 2015</w:t>
            </w:r>
          </w:p>
        </w:tc>
        <w:tc>
          <w:tcPr>
            <w:tcW w:w="1276" w:type="dxa"/>
            <w:tcBorders>
              <w:top w:val="nil"/>
              <w:left w:val="single" w:sz="12" w:space="0" w:color="auto"/>
              <w:bottom w:val="nil"/>
              <w:right w:val="single" w:sz="4" w:space="0" w:color="auto"/>
            </w:tcBorders>
            <w:shd w:val="clear" w:color="000000" w:fill="FFFFFF"/>
            <w:noWrap/>
            <w:vAlign w:val="bottom"/>
            <w:hideMark/>
          </w:tcPr>
          <w:p w14:paraId="7A9660C5"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0.07 (0.83)</w:t>
            </w:r>
          </w:p>
        </w:tc>
        <w:tc>
          <w:tcPr>
            <w:tcW w:w="1275" w:type="dxa"/>
            <w:tcBorders>
              <w:top w:val="nil"/>
              <w:left w:val="nil"/>
              <w:bottom w:val="nil"/>
              <w:right w:val="single" w:sz="12" w:space="0" w:color="auto"/>
            </w:tcBorders>
            <w:shd w:val="clear" w:color="000000" w:fill="FFFFFF"/>
            <w:noWrap/>
            <w:vAlign w:val="bottom"/>
            <w:hideMark/>
          </w:tcPr>
          <w:p w14:paraId="760B55BB"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0.2 (0.55)</w:t>
            </w:r>
          </w:p>
        </w:tc>
        <w:tc>
          <w:tcPr>
            <w:tcW w:w="1276" w:type="dxa"/>
            <w:tcBorders>
              <w:top w:val="nil"/>
              <w:left w:val="nil"/>
              <w:bottom w:val="nil"/>
              <w:right w:val="single" w:sz="4" w:space="0" w:color="auto"/>
            </w:tcBorders>
            <w:shd w:val="clear" w:color="000000" w:fill="FFFFFF"/>
            <w:noWrap/>
            <w:vAlign w:val="bottom"/>
            <w:hideMark/>
          </w:tcPr>
          <w:p w14:paraId="2BE4E3FE"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-0.1 (0.75)</w:t>
            </w:r>
          </w:p>
        </w:tc>
        <w:tc>
          <w:tcPr>
            <w:tcW w:w="1276" w:type="dxa"/>
            <w:tcBorders>
              <w:top w:val="nil"/>
              <w:left w:val="nil"/>
              <w:bottom w:val="nil"/>
              <w:right w:val="single" w:sz="12" w:space="0" w:color="auto"/>
            </w:tcBorders>
            <w:shd w:val="clear" w:color="000000" w:fill="FFFFFF"/>
            <w:noWrap/>
            <w:vAlign w:val="bottom"/>
            <w:hideMark/>
          </w:tcPr>
          <w:p w14:paraId="070B40E6"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0.03 (0.92)</w:t>
            </w:r>
          </w:p>
        </w:tc>
        <w:tc>
          <w:tcPr>
            <w:tcW w:w="1417" w:type="dxa"/>
            <w:tcBorders>
              <w:top w:val="nil"/>
              <w:left w:val="nil"/>
              <w:bottom w:val="nil"/>
              <w:right w:val="single" w:sz="4" w:space="0" w:color="auto"/>
            </w:tcBorders>
            <w:shd w:val="clear" w:color="000000" w:fill="FFFFFF"/>
            <w:noWrap/>
            <w:vAlign w:val="bottom"/>
            <w:hideMark/>
          </w:tcPr>
          <w:p w14:paraId="55C55ED1"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0.19 (0.81)</w:t>
            </w:r>
          </w:p>
        </w:tc>
        <w:tc>
          <w:tcPr>
            <w:tcW w:w="1418" w:type="dxa"/>
            <w:tcBorders>
              <w:top w:val="nil"/>
              <w:left w:val="nil"/>
              <w:bottom w:val="nil"/>
              <w:right w:val="single" w:sz="12" w:space="0" w:color="auto"/>
            </w:tcBorders>
            <w:shd w:val="clear" w:color="000000" w:fill="FFFFFF"/>
            <w:noWrap/>
            <w:vAlign w:val="bottom"/>
            <w:hideMark/>
          </w:tcPr>
          <w:p w14:paraId="0FD358A9"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0.34 (0.66)</w:t>
            </w:r>
          </w:p>
        </w:tc>
      </w:tr>
      <w:tr w:rsidR="005B7A36" w:rsidRPr="00CE6819" w14:paraId="3A2B5C58" w14:textId="77777777" w:rsidTr="00EC3C7C">
        <w:trPr>
          <w:trHeight w:val="285"/>
        </w:trPr>
        <w:tc>
          <w:tcPr>
            <w:tcW w:w="1403" w:type="dxa"/>
            <w:tcBorders>
              <w:top w:val="nil"/>
              <w:left w:val="single" w:sz="12" w:space="0" w:color="auto"/>
              <w:bottom w:val="nil"/>
              <w:right w:val="nil"/>
            </w:tcBorders>
            <w:shd w:val="clear" w:color="000000" w:fill="FFFFFF"/>
            <w:noWrap/>
            <w:vAlign w:val="bottom"/>
            <w:hideMark/>
          </w:tcPr>
          <w:p w14:paraId="3CA781B5" w14:textId="77777777" w:rsidR="005B7A36" w:rsidRPr="004F45F0" w:rsidRDefault="005B7A36" w:rsidP="00D01F96">
            <w:pPr>
              <w:bidi w:val="0"/>
              <w:spacing w:after="0" w:line="240" w:lineRule="auto"/>
              <w:rPr>
                <w:rFonts w:ascii="Arial" w:eastAsia="Times New Roman" w:hAnsi="Arial" w:cs="Arial"/>
                <w:color w:val="000000"/>
                <w:sz w:val="20"/>
                <w:szCs w:val="20"/>
              </w:rPr>
            </w:pPr>
            <w:r w:rsidRPr="004F45F0">
              <w:rPr>
                <w:rFonts w:ascii="Arial" w:eastAsia="Times New Roman" w:hAnsi="Arial" w:cs="Arial"/>
                <w:color w:val="000000"/>
                <w:sz w:val="20"/>
                <w:szCs w:val="20"/>
              </w:rPr>
              <w:t>Year 2016</w:t>
            </w:r>
          </w:p>
        </w:tc>
        <w:tc>
          <w:tcPr>
            <w:tcW w:w="1276" w:type="dxa"/>
            <w:tcBorders>
              <w:top w:val="nil"/>
              <w:left w:val="single" w:sz="12" w:space="0" w:color="auto"/>
              <w:bottom w:val="nil"/>
              <w:right w:val="single" w:sz="4" w:space="0" w:color="auto"/>
            </w:tcBorders>
            <w:shd w:val="clear" w:color="000000" w:fill="FFFFFF"/>
            <w:noWrap/>
            <w:vAlign w:val="bottom"/>
            <w:hideMark/>
          </w:tcPr>
          <w:p w14:paraId="0127C716"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0.8 (0.08)</w:t>
            </w:r>
          </w:p>
        </w:tc>
        <w:tc>
          <w:tcPr>
            <w:tcW w:w="1275" w:type="dxa"/>
            <w:tcBorders>
              <w:top w:val="nil"/>
              <w:left w:val="nil"/>
              <w:bottom w:val="nil"/>
              <w:right w:val="single" w:sz="12" w:space="0" w:color="auto"/>
            </w:tcBorders>
            <w:shd w:val="clear" w:color="000000" w:fill="FFFFFF"/>
            <w:noWrap/>
            <w:vAlign w:val="bottom"/>
            <w:hideMark/>
          </w:tcPr>
          <w:p w14:paraId="6E0D51A9"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0.73 (0.11)</w:t>
            </w:r>
          </w:p>
        </w:tc>
        <w:tc>
          <w:tcPr>
            <w:tcW w:w="1276" w:type="dxa"/>
            <w:tcBorders>
              <w:top w:val="nil"/>
              <w:left w:val="nil"/>
              <w:bottom w:val="nil"/>
              <w:right w:val="single" w:sz="4" w:space="0" w:color="auto"/>
            </w:tcBorders>
            <w:shd w:val="clear" w:color="000000" w:fill="FFFFFF"/>
            <w:noWrap/>
            <w:vAlign w:val="bottom"/>
            <w:hideMark/>
          </w:tcPr>
          <w:p w14:paraId="1002A2DB"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0.77 (0.07)</w:t>
            </w:r>
          </w:p>
        </w:tc>
        <w:tc>
          <w:tcPr>
            <w:tcW w:w="1276" w:type="dxa"/>
            <w:tcBorders>
              <w:top w:val="nil"/>
              <w:left w:val="nil"/>
              <w:bottom w:val="nil"/>
              <w:right w:val="single" w:sz="12" w:space="0" w:color="auto"/>
            </w:tcBorders>
            <w:shd w:val="clear" w:color="000000" w:fill="FFFFFF"/>
            <w:noWrap/>
            <w:vAlign w:val="bottom"/>
            <w:hideMark/>
          </w:tcPr>
          <w:p w14:paraId="502E5E22"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0.69 (0.09)</w:t>
            </w:r>
          </w:p>
        </w:tc>
        <w:tc>
          <w:tcPr>
            <w:tcW w:w="1417" w:type="dxa"/>
            <w:tcBorders>
              <w:top w:val="nil"/>
              <w:left w:val="nil"/>
              <w:bottom w:val="nil"/>
              <w:right w:val="single" w:sz="4" w:space="0" w:color="auto"/>
            </w:tcBorders>
            <w:shd w:val="clear" w:color="000000" w:fill="FFFFFF"/>
            <w:noWrap/>
            <w:vAlign w:val="bottom"/>
            <w:hideMark/>
          </w:tcPr>
          <w:p w14:paraId="1DDE2F7F"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1.28 (0.23)</w:t>
            </w:r>
          </w:p>
        </w:tc>
        <w:tc>
          <w:tcPr>
            <w:tcW w:w="1418" w:type="dxa"/>
            <w:tcBorders>
              <w:top w:val="nil"/>
              <w:left w:val="nil"/>
              <w:bottom w:val="nil"/>
              <w:right w:val="single" w:sz="12" w:space="0" w:color="auto"/>
            </w:tcBorders>
            <w:shd w:val="clear" w:color="000000" w:fill="FFFFFF"/>
            <w:noWrap/>
            <w:vAlign w:val="bottom"/>
            <w:hideMark/>
          </w:tcPr>
          <w:p w14:paraId="6FD0D940"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1.21 (0.25)</w:t>
            </w:r>
          </w:p>
        </w:tc>
      </w:tr>
      <w:tr w:rsidR="005B7A36" w:rsidRPr="00CE6819" w14:paraId="71309A95" w14:textId="77777777" w:rsidTr="00EC3C7C">
        <w:trPr>
          <w:trHeight w:val="285"/>
        </w:trPr>
        <w:tc>
          <w:tcPr>
            <w:tcW w:w="1403" w:type="dxa"/>
            <w:tcBorders>
              <w:top w:val="nil"/>
              <w:left w:val="single" w:sz="12" w:space="0" w:color="auto"/>
              <w:bottom w:val="nil"/>
              <w:right w:val="nil"/>
            </w:tcBorders>
            <w:shd w:val="clear" w:color="000000" w:fill="FFFFFF"/>
            <w:noWrap/>
            <w:vAlign w:val="bottom"/>
            <w:hideMark/>
          </w:tcPr>
          <w:p w14:paraId="2C826B9E" w14:textId="77777777" w:rsidR="005B7A36" w:rsidRPr="004F45F0" w:rsidRDefault="005B7A36" w:rsidP="00D01F96">
            <w:pPr>
              <w:bidi w:val="0"/>
              <w:spacing w:after="0" w:line="240" w:lineRule="auto"/>
              <w:rPr>
                <w:rFonts w:ascii="Arial" w:eastAsia="Times New Roman" w:hAnsi="Arial" w:cs="Arial"/>
                <w:color w:val="000000"/>
                <w:sz w:val="20"/>
                <w:szCs w:val="20"/>
              </w:rPr>
            </w:pPr>
            <w:r w:rsidRPr="004F45F0">
              <w:rPr>
                <w:rFonts w:ascii="Arial" w:eastAsia="Times New Roman" w:hAnsi="Arial" w:cs="Arial"/>
                <w:color w:val="000000"/>
                <w:sz w:val="20"/>
                <w:szCs w:val="20"/>
              </w:rPr>
              <w:t>Year 2017</w:t>
            </w:r>
          </w:p>
        </w:tc>
        <w:tc>
          <w:tcPr>
            <w:tcW w:w="1276" w:type="dxa"/>
            <w:tcBorders>
              <w:top w:val="nil"/>
              <w:left w:val="single" w:sz="12" w:space="0" w:color="auto"/>
              <w:bottom w:val="nil"/>
              <w:right w:val="single" w:sz="4" w:space="0" w:color="auto"/>
            </w:tcBorders>
            <w:shd w:val="clear" w:color="000000" w:fill="FFFFFF"/>
            <w:noWrap/>
            <w:vAlign w:val="bottom"/>
            <w:hideMark/>
          </w:tcPr>
          <w:p w14:paraId="22676976"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0.41 (0.28)</w:t>
            </w:r>
          </w:p>
        </w:tc>
        <w:tc>
          <w:tcPr>
            <w:tcW w:w="1275" w:type="dxa"/>
            <w:tcBorders>
              <w:top w:val="nil"/>
              <w:left w:val="nil"/>
              <w:bottom w:val="nil"/>
              <w:right w:val="single" w:sz="12" w:space="0" w:color="auto"/>
            </w:tcBorders>
            <w:shd w:val="clear" w:color="000000" w:fill="FFFFFF"/>
            <w:noWrap/>
            <w:vAlign w:val="bottom"/>
            <w:hideMark/>
          </w:tcPr>
          <w:p w14:paraId="74459E45"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0.4 (0.28)</w:t>
            </w:r>
          </w:p>
        </w:tc>
        <w:tc>
          <w:tcPr>
            <w:tcW w:w="1276" w:type="dxa"/>
            <w:tcBorders>
              <w:top w:val="nil"/>
              <w:left w:val="nil"/>
              <w:bottom w:val="nil"/>
              <w:right w:val="single" w:sz="4" w:space="0" w:color="auto"/>
            </w:tcBorders>
            <w:shd w:val="clear" w:color="000000" w:fill="FFFFFF"/>
            <w:noWrap/>
            <w:vAlign w:val="bottom"/>
            <w:hideMark/>
          </w:tcPr>
          <w:p w14:paraId="2DD5A511"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0.05 (0.88)</w:t>
            </w:r>
          </w:p>
        </w:tc>
        <w:tc>
          <w:tcPr>
            <w:tcW w:w="1276" w:type="dxa"/>
            <w:tcBorders>
              <w:top w:val="nil"/>
              <w:left w:val="nil"/>
              <w:bottom w:val="nil"/>
              <w:right w:val="single" w:sz="12" w:space="0" w:color="auto"/>
            </w:tcBorders>
            <w:shd w:val="clear" w:color="000000" w:fill="FFFFFF"/>
            <w:noWrap/>
            <w:vAlign w:val="bottom"/>
            <w:hideMark/>
          </w:tcPr>
          <w:p w14:paraId="782A5B82"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0.07 (0.86)</w:t>
            </w:r>
          </w:p>
        </w:tc>
        <w:tc>
          <w:tcPr>
            <w:tcW w:w="1417" w:type="dxa"/>
            <w:tcBorders>
              <w:top w:val="nil"/>
              <w:left w:val="nil"/>
              <w:bottom w:val="nil"/>
              <w:right w:val="single" w:sz="4" w:space="0" w:color="auto"/>
            </w:tcBorders>
            <w:shd w:val="clear" w:color="000000" w:fill="FFFFFF"/>
            <w:noWrap/>
            <w:vAlign w:val="bottom"/>
            <w:hideMark/>
          </w:tcPr>
          <w:p w14:paraId="0C057E5E"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0.93 (0.23)</w:t>
            </w:r>
          </w:p>
        </w:tc>
        <w:tc>
          <w:tcPr>
            <w:tcW w:w="1418" w:type="dxa"/>
            <w:tcBorders>
              <w:top w:val="nil"/>
              <w:left w:val="nil"/>
              <w:bottom w:val="nil"/>
              <w:right w:val="single" w:sz="12" w:space="0" w:color="auto"/>
            </w:tcBorders>
            <w:shd w:val="clear" w:color="000000" w:fill="FFFFFF"/>
            <w:noWrap/>
            <w:vAlign w:val="bottom"/>
            <w:hideMark/>
          </w:tcPr>
          <w:p w14:paraId="49CDA49B"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0.95 (0.21)</w:t>
            </w:r>
          </w:p>
        </w:tc>
      </w:tr>
      <w:tr w:rsidR="005B7A36" w:rsidRPr="00CE6819" w14:paraId="47F99646" w14:textId="77777777" w:rsidTr="00EC3C7C">
        <w:trPr>
          <w:trHeight w:val="285"/>
        </w:trPr>
        <w:tc>
          <w:tcPr>
            <w:tcW w:w="1403" w:type="dxa"/>
            <w:tcBorders>
              <w:top w:val="nil"/>
              <w:left w:val="single" w:sz="12" w:space="0" w:color="auto"/>
              <w:bottom w:val="nil"/>
              <w:right w:val="nil"/>
            </w:tcBorders>
            <w:shd w:val="clear" w:color="000000" w:fill="FFFFFF"/>
            <w:noWrap/>
            <w:vAlign w:val="bottom"/>
            <w:hideMark/>
          </w:tcPr>
          <w:p w14:paraId="70A742E2" w14:textId="77777777" w:rsidR="005B7A36" w:rsidRPr="004F45F0" w:rsidRDefault="005B7A36" w:rsidP="00D01F96">
            <w:pPr>
              <w:bidi w:val="0"/>
              <w:spacing w:after="0" w:line="240" w:lineRule="auto"/>
              <w:rPr>
                <w:rFonts w:ascii="Arial" w:eastAsia="Times New Roman" w:hAnsi="Arial" w:cs="Arial"/>
                <w:color w:val="000000"/>
                <w:sz w:val="20"/>
                <w:szCs w:val="20"/>
              </w:rPr>
            </w:pPr>
            <w:r w:rsidRPr="004F45F0">
              <w:rPr>
                <w:rFonts w:ascii="Arial" w:eastAsia="Times New Roman" w:hAnsi="Arial" w:cs="Arial"/>
                <w:color w:val="000000"/>
                <w:sz w:val="20"/>
                <w:szCs w:val="20"/>
              </w:rPr>
              <w:t>Is I</w:t>
            </w:r>
          </w:p>
        </w:tc>
        <w:tc>
          <w:tcPr>
            <w:tcW w:w="1276" w:type="dxa"/>
            <w:tcBorders>
              <w:top w:val="nil"/>
              <w:left w:val="single" w:sz="12" w:space="0" w:color="auto"/>
              <w:bottom w:val="nil"/>
              <w:right w:val="single" w:sz="4" w:space="0" w:color="auto"/>
            </w:tcBorders>
            <w:shd w:val="clear" w:color="000000" w:fill="FFFFFF"/>
            <w:noWrap/>
            <w:vAlign w:val="center"/>
            <w:hideMark/>
          </w:tcPr>
          <w:p w14:paraId="5BBDC293"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 </w:t>
            </w:r>
          </w:p>
        </w:tc>
        <w:tc>
          <w:tcPr>
            <w:tcW w:w="1275" w:type="dxa"/>
            <w:tcBorders>
              <w:top w:val="nil"/>
              <w:left w:val="nil"/>
              <w:bottom w:val="nil"/>
              <w:right w:val="single" w:sz="12" w:space="0" w:color="auto"/>
            </w:tcBorders>
            <w:shd w:val="clear" w:color="000000" w:fill="FFFFFF"/>
            <w:noWrap/>
            <w:vAlign w:val="center"/>
            <w:hideMark/>
          </w:tcPr>
          <w:p w14:paraId="19DE5F97"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 </w:t>
            </w:r>
          </w:p>
        </w:tc>
        <w:tc>
          <w:tcPr>
            <w:tcW w:w="1276" w:type="dxa"/>
            <w:tcBorders>
              <w:top w:val="nil"/>
              <w:left w:val="nil"/>
              <w:bottom w:val="nil"/>
              <w:right w:val="single" w:sz="4" w:space="0" w:color="auto"/>
            </w:tcBorders>
            <w:shd w:val="clear" w:color="000000" w:fill="FFFFFF"/>
            <w:noWrap/>
            <w:vAlign w:val="bottom"/>
            <w:hideMark/>
          </w:tcPr>
          <w:p w14:paraId="0305E3B3"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0.32 (0.04)</w:t>
            </w:r>
          </w:p>
        </w:tc>
        <w:tc>
          <w:tcPr>
            <w:tcW w:w="1276" w:type="dxa"/>
            <w:tcBorders>
              <w:top w:val="nil"/>
              <w:left w:val="nil"/>
              <w:bottom w:val="nil"/>
              <w:right w:val="single" w:sz="12" w:space="0" w:color="auto"/>
            </w:tcBorders>
            <w:shd w:val="clear" w:color="000000" w:fill="FFFFFF"/>
            <w:noWrap/>
            <w:vAlign w:val="bottom"/>
            <w:hideMark/>
          </w:tcPr>
          <w:p w14:paraId="13FCF437"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0.29 (0.06)</w:t>
            </w:r>
          </w:p>
        </w:tc>
        <w:tc>
          <w:tcPr>
            <w:tcW w:w="1417" w:type="dxa"/>
            <w:tcBorders>
              <w:top w:val="nil"/>
              <w:left w:val="nil"/>
              <w:bottom w:val="nil"/>
              <w:right w:val="single" w:sz="4" w:space="0" w:color="auto"/>
            </w:tcBorders>
            <w:shd w:val="clear" w:color="000000" w:fill="FFFFFF"/>
            <w:noWrap/>
            <w:vAlign w:val="bottom"/>
            <w:hideMark/>
          </w:tcPr>
          <w:p w14:paraId="6A319F92"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 </w:t>
            </w:r>
          </w:p>
        </w:tc>
        <w:tc>
          <w:tcPr>
            <w:tcW w:w="1418" w:type="dxa"/>
            <w:tcBorders>
              <w:top w:val="nil"/>
              <w:left w:val="nil"/>
              <w:bottom w:val="nil"/>
              <w:right w:val="single" w:sz="12" w:space="0" w:color="auto"/>
            </w:tcBorders>
            <w:shd w:val="clear" w:color="000000" w:fill="FFFFFF"/>
            <w:noWrap/>
            <w:vAlign w:val="bottom"/>
            <w:hideMark/>
          </w:tcPr>
          <w:p w14:paraId="0CC3A0B9"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 </w:t>
            </w:r>
          </w:p>
        </w:tc>
      </w:tr>
      <w:tr w:rsidR="005B7A36" w:rsidRPr="00CE6819" w14:paraId="35B132EE" w14:textId="77777777" w:rsidTr="00EC3C7C">
        <w:trPr>
          <w:trHeight w:val="285"/>
        </w:trPr>
        <w:tc>
          <w:tcPr>
            <w:tcW w:w="1403" w:type="dxa"/>
            <w:tcBorders>
              <w:top w:val="nil"/>
              <w:left w:val="single" w:sz="12" w:space="0" w:color="auto"/>
              <w:bottom w:val="nil"/>
              <w:right w:val="nil"/>
            </w:tcBorders>
            <w:shd w:val="clear" w:color="000000" w:fill="FFFFFF"/>
            <w:noWrap/>
            <w:vAlign w:val="bottom"/>
            <w:hideMark/>
          </w:tcPr>
          <w:p w14:paraId="4D06D6B1" w14:textId="77777777" w:rsidR="005B7A36" w:rsidRPr="004F45F0" w:rsidRDefault="005B7A36" w:rsidP="00D01F96">
            <w:pPr>
              <w:bidi w:val="0"/>
              <w:spacing w:after="0" w:line="240" w:lineRule="auto"/>
              <w:rPr>
                <w:rFonts w:ascii="Arial" w:eastAsia="Times New Roman" w:hAnsi="Arial" w:cs="Arial"/>
                <w:color w:val="000000"/>
                <w:sz w:val="20"/>
                <w:szCs w:val="20"/>
              </w:rPr>
            </w:pPr>
            <w:r w:rsidRPr="004F45F0">
              <w:rPr>
                <w:rFonts w:ascii="Arial" w:eastAsia="Times New Roman" w:hAnsi="Arial" w:cs="Arial"/>
                <w:color w:val="000000"/>
                <w:sz w:val="20"/>
                <w:szCs w:val="20"/>
              </w:rPr>
              <w:t>Is Mrkt</w:t>
            </w:r>
          </w:p>
        </w:tc>
        <w:tc>
          <w:tcPr>
            <w:tcW w:w="1276" w:type="dxa"/>
            <w:tcBorders>
              <w:top w:val="nil"/>
              <w:left w:val="single" w:sz="12" w:space="0" w:color="auto"/>
              <w:bottom w:val="nil"/>
              <w:right w:val="single" w:sz="4" w:space="0" w:color="auto"/>
            </w:tcBorders>
            <w:shd w:val="clear" w:color="000000" w:fill="FFFFFF"/>
            <w:noWrap/>
            <w:vAlign w:val="bottom"/>
            <w:hideMark/>
          </w:tcPr>
          <w:p w14:paraId="1A672749"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0.61 (0.06)</w:t>
            </w:r>
          </w:p>
        </w:tc>
        <w:tc>
          <w:tcPr>
            <w:tcW w:w="1275" w:type="dxa"/>
            <w:tcBorders>
              <w:top w:val="nil"/>
              <w:left w:val="nil"/>
              <w:bottom w:val="nil"/>
              <w:right w:val="single" w:sz="12" w:space="0" w:color="auto"/>
            </w:tcBorders>
            <w:shd w:val="clear" w:color="000000" w:fill="FFFFFF"/>
            <w:noWrap/>
            <w:vAlign w:val="bottom"/>
            <w:hideMark/>
          </w:tcPr>
          <w:p w14:paraId="025ACCFA"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0.65 (0.04)</w:t>
            </w:r>
          </w:p>
        </w:tc>
        <w:tc>
          <w:tcPr>
            <w:tcW w:w="1276" w:type="dxa"/>
            <w:tcBorders>
              <w:top w:val="nil"/>
              <w:left w:val="nil"/>
              <w:bottom w:val="nil"/>
              <w:right w:val="single" w:sz="4" w:space="0" w:color="auto"/>
            </w:tcBorders>
            <w:shd w:val="clear" w:color="000000" w:fill="FFFFFF"/>
            <w:noWrap/>
            <w:vAlign w:val="bottom"/>
            <w:hideMark/>
          </w:tcPr>
          <w:p w14:paraId="707641CC"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2.25 (0.00)</w:t>
            </w:r>
          </w:p>
        </w:tc>
        <w:tc>
          <w:tcPr>
            <w:tcW w:w="1276" w:type="dxa"/>
            <w:tcBorders>
              <w:top w:val="nil"/>
              <w:left w:val="nil"/>
              <w:bottom w:val="nil"/>
              <w:right w:val="single" w:sz="12" w:space="0" w:color="auto"/>
            </w:tcBorders>
            <w:shd w:val="clear" w:color="000000" w:fill="FFFFFF"/>
            <w:noWrap/>
            <w:vAlign w:val="bottom"/>
            <w:hideMark/>
          </w:tcPr>
          <w:p w14:paraId="03C72B0C"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2.31 (0.00)</w:t>
            </w:r>
          </w:p>
        </w:tc>
        <w:tc>
          <w:tcPr>
            <w:tcW w:w="1417" w:type="dxa"/>
            <w:tcBorders>
              <w:top w:val="nil"/>
              <w:left w:val="nil"/>
              <w:bottom w:val="nil"/>
              <w:right w:val="single" w:sz="4" w:space="0" w:color="auto"/>
            </w:tcBorders>
            <w:shd w:val="clear" w:color="000000" w:fill="FFFFFF"/>
            <w:noWrap/>
            <w:vAlign w:val="bottom"/>
            <w:hideMark/>
          </w:tcPr>
          <w:p w14:paraId="0ACB2030"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-0.92 (0.08)</w:t>
            </w:r>
          </w:p>
        </w:tc>
        <w:tc>
          <w:tcPr>
            <w:tcW w:w="1418" w:type="dxa"/>
            <w:tcBorders>
              <w:top w:val="nil"/>
              <w:left w:val="nil"/>
              <w:bottom w:val="nil"/>
              <w:right w:val="single" w:sz="12" w:space="0" w:color="auto"/>
            </w:tcBorders>
            <w:shd w:val="clear" w:color="000000" w:fill="FFFFFF"/>
            <w:noWrap/>
            <w:vAlign w:val="bottom"/>
            <w:hideMark/>
          </w:tcPr>
          <w:p w14:paraId="2D9E8716"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-0.88 (0.08)</w:t>
            </w:r>
          </w:p>
        </w:tc>
      </w:tr>
      <w:tr w:rsidR="005B7A36" w:rsidRPr="00CE6819" w14:paraId="7F7128A6" w14:textId="77777777" w:rsidTr="00EC3C7C">
        <w:trPr>
          <w:trHeight w:val="315"/>
        </w:trPr>
        <w:tc>
          <w:tcPr>
            <w:tcW w:w="1403" w:type="dxa"/>
            <w:tcBorders>
              <w:top w:val="nil"/>
              <w:left w:val="single" w:sz="12" w:space="0" w:color="auto"/>
              <w:bottom w:val="single" w:sz="8" w:space="0" w:color="auto"/>
              <w:right w:val="nil"/>
            </w:tcBorders>
            <w:shd w:val="clear" w:color="000000" w:fill="FFFFFF"/>
            <w:noWrap/>
            <w:vAlign w:val="bottom"/>
            <w:hideMark/>
          </w:tcPr>
          <w:p w14:paraId="69FBA96D" w14:textId="2D1B4B49" w:rsidR="005B7A36" w:rsidRPr="004F45F0" w:rsidRDefault="005B7A36" w:rsidP="00D01F96">
            <w:pPr>
              <w:bidi w:val="0"/>
              <w:spacing w:after="0" w:line="240" w:lineRule="auto"/>
              <w:rPr>
                <w:rFonts w:ascii="Arial" w:eastAsia="Times New Roman" w:hAnsi="Arial" w:cs="Arial"/>
                <w:color w:val="000000"/>
                <w:sz w:val="20"/>
                <w:szCs w:val="20"/>
              </w:rPr>
            </w:pPr>
            <w:r w:rsidRPr="004F45F0">
              <w:rPr>
                <w:rFonts w:ascii="Arial" w:eastAsia="Times New Roman" w:hAnsi="Arial" w:cs="Arial"/>
                <w:color w:val="000000"/>
                <w:sz w:val="20"/>
                <w:szCs w:val="20"/>
              </w:rPr>
              <w:t>Prdc cnt III</w:t>
            </w:r>
          </w:p>
        </w:tc>
        <w:tc>
          <w:tcPr>
            <w:tcW w:w="1276" w:type="dxa"/>
            <w:tcBorders>
              <w:top w:val="nil"/>
              <w:left w:val="single" w:sz="12" w:space="0" w:color="auto"/>
              <w:bottom w:val="single" w:sz="8" w:space="0" w:color="auto"/>
              <w:right w:val="single" w:sz="4" w:space="0" w:color="auto"/>
            </w:tcBorders>
            <w:shd w:val="clear" w:color="000000" w:fill="FFFFFF"/>
            <w:noWrap/>
            <w:vAlign w:val="bottom"/>
            <w:hideMark/>
          </w:tcPr>
          <w:p w14:paraId="769FBA0C"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0.3 (0.04)</w:t>
            </w:r>
          </w:p>
        </w:tc>
        <w:tc>
          <w:tcPr>
            <w:tcW w:w="1275" w:type="dxa"/>
            <w:tcBorders>
              <w:top w:val="nil"/>
              <w:left w:val="nil"/>
              <w:bottom w:val="single" w:sz="8" w:space="0" w:color="auto"/>
              <w:right w:val="single" w:sz="12" w:space="0" w:color="auto"/>
            </w:tcBorders>
            <w:shd w:val="clear" w:color="000000" w:fill="FFFFFF"/>
            <w:noWrap/>
            <w:vAlign w:val="bottom"/>
            <w:hideMark/>
          </w:tcPr>
          <w:p w14:paraId="68B15D70"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0.3 (0.04)</w:t>
            </w:r>
          </w:p>
        </w:tc>
        <w:tc>
          <w:tcPr>
            <w:tcW w:w="1276" w:type="dxa"/>
            <w:tcBorders>
              <w:top w:val="nil"/>
              <w:left w:val="nil"/>
              <w:bottom w:val="single" w:sz="12" w:space="0" w:color="auto"/>
              <w:right w:val="single" w:sz="4" w:space="0" w:color="auto"/>
            </w:tcBorders>
            <w:shd w:val="clear" w:color="000000" w:fill="FFFFFF"/>
            <w:noWrap/>
            <w:vAlign w:val="bottom"/>
            <w:hideMark/>
          </w:tcPr>
          <w:p w14:paraId="775A6DEC"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 </w:t>
            </w:r>
          </w:p>
        </w:tc>
        <w:tc>
          <w:tcPr>
            <w:tcW w:w="1276" w:type="dxa"/>
            <w:tcBorders>
              <w:top w:val="nil"/>
              <w:left w:val="nil"/>
              <w:bottom w:val="single" w:sz="12" w:space="0" w:color="auto"/>
              <w:right w:val="single" w:sz="12" w:space="0" w:color="auto"/>
            </w:tcBorders>
            <w:shd w:val="clear" w:color="000000" w:fill="FFFFFF"/>
            <w:noWrap/>
            <w:vAlign w:val="bottom"/>
            <w:hideMark/>
          </w:tcPr>
          <w:p w14:paraId="6337E793"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 </w:t>
            </w:r>
          </w:p>
        </w:tc>
        <w:tc>
          <w:tcPr>
            <w:tcW w:w="1417" w:type="dxa"/>
            <w:tcBorders>
              <w:top w:val="nil"/>
              <w:left w:val="nil"/>
              <w:bottom w:val="single" w:sz="12" w:space="0" w:color="auto"/>
              <w:right w:val="single" w:sz="4" w:space="0" w:color="auto"/>
            </w:tcBorders>
            <w:shd w:val="clear" w:color="000000" w:fill="FFFFFF"/>
            <w:noWrap/>
            <w:vAlign w:val="bottom"/>
            <w:hideMark/>
          </w:tcPr>
          <w:p w14:paraId="72BBE185"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 </w:t>
            </w:r>
          </w:p>
        </w:tc>
        <w:tc>
          <w:tcPr>
            <w:tcW w:w="1418" w:type="dxa"/>
            <w:tcBorders>
              <w:top w:val="nil"/>
              <w:left w:val="nil"/>
              <w:bottom w:val="single" w:sz="12" w:space="0" w:color="auto"/>
              <w:right w:val="single" w:sz="12" w:space="0" w:color="auto"/>
            </w:tcBorders>
            <w:shd w:val="clear" w:color="000000" w:fill="FFFFFF"/>
            <w:noWrap/>
            <w:vAlign w:val="bottom"/>
            <w:hideMark/>
          </w:tcPr>
          <w:p w14:paraId="2CC79378"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 </w:t>
            </w:r>
          </w:p>
        </w:tc>
      </w:tr>
      <w:tr w:rsidR="005B7A36" w:rsidRPr="00CE6819" w14:paraId="6932F3EA" w14:textId="77777777" w:rsidTr="00EC3C7C">
        <w:trPr>
          <w:trHeight w:val="315"/>
        </w:trPr>
        <w:tc>
          <w:tcPr>
            <w:tcW w:w="1403" w:type="dxa"/>
            <w:tcBorders>
              <w:top w:val="nil"/>
              <w:left w:val="single" w:sz="12" w:space="0" w:color="auto"/>
              <w:bottom w:val="nil"/>
              <w:right w:val="nil"/>
            </w:tcBorders>
            <w:shd w:val="clear" w:color="000000" w:fill="FFFFFF"/>
            <w:noWrap/>
            <w:vAlign w:val="bottom"/>
            <w:hideMark/>
          </w:tcPr>
          <w:p w14:paraId="33316224" w14:textId="77777777" w:rsidR="005B7A36" w:rsidRPr="009118D6" w:rsidRDefault="005B7A36" w:rsidP="00D01F96">
            <w:pPr>
              <w:bidi w:val="0"/>
              <w:spacing w:after="0" w:line="240" w:lineRule="auto"/>
              <w:rPr>
                <w:rFonts w:ascii="Arial" w:eastAsia="Times New Roman" w:hAnsi="Arial" w:cs="Arial"/>
                <w:color w:val="000000"/>
              </w:rPr>
            </w:pPr>
            <w:r w:rsidRPr="009118D6">
              <w:rPr>
                <w:rFonts w:ascii="Arial" w:eastAsia="Times New Roman" w:hAnsi="Arial" w:cs="Arial"/>
                <w:color w:val="000000"/>
              </w:rPr>
              <w:t>Adj R Sqr</w:t>
            </w:r>
          </w:p>
        </w:tc>
        <w:tc>
          <w:tcPr>
            <w:tcW w:w="1276" w:type="dxa"/>
            <w:tcBorders>
              <w:top w:val="nil"/>
              <w:left w:val="single" w:sz="12" w:space="0" w:color="auto"/>
              <w:bottom w:val="nil"/>
              <w:right w:val="single" w:sz="4" w:space="0" w:color="auto"/>
            </w:tcBorders>
            <w:shd w:val="clear" w:color="000000" w:fill="FFFFFF"/>
            <w:noWrap/>
            <w:vAlign w:val="bottom"/>
            <w:hideMark/>
          </w:tcPr>
          <w:p w14:paraId="088EC00B" w14:textId="77777777" w:rsidR="005B7A36" w:rsidRPr="003026A0" w:rsidRDefault="005B7A36" w:rsidP="00D01F96">
            <w:pPr>
              <w:bidi w:val="0"/>
              <w:spacing w:after="0" w:line="240" w:lineRule="auto"/>
              <w:jc w:val="center"/>
              <w:rPr>
                <w:rFonts w:ascii="Arial" w:eastAsia="Times New Roman" w:hAnsi="Arial" w:cs="Arial"/>
                <w:sz w:val="20"/>
                <w:szCs w:val="20"/>
              </w:rPr>
            </w:pPr>
            <w:r w:rsidRPr="003026A0">
              <w:rPr>
                <w:rFonts w:ascii="Arial" w:eastAsia="Times New Roman" w:hAnsi="Arial" w:cs="Arial"/>
                <w:sz w:val="20"/>
                <w:szCs w:val="20"/>
              </w:rPr>
              <w:t>0.19</w:t>
            </w:r>
          </w:p>
        </w:tc>
        <w:tc>
          <w:tcPr>
            <w:tcW w:w="1275" w:type="dxa"/>
            <w:tcBorders>
              <w:top w:val="nil"/>
              <w:left w:val="nil"/>
              <w:bottom w:val="nil"/>
              <w:right w:val="single" w:sz="12" w:space="0" w:color="auto"/>
            </w:tcBorders>
            <w:shd w:val="clear" w:color="000000" w:fill="FFFFFF"/>
            <w:noWrap/>
            <w:vAlign w:val="bottom"/>
            <w:hideMark/>
          </w:tcPr>
          <w:p w14:paraId="676A2BFA"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0.15</w:t>
            </w:r>
          </w:p>
        </w:tc>
        <w:tc>
          <w:tcPr>
            <w:tcW w:w="1276" w:type="dxa"/>
            <w:tcBorders>
              <w:top w:val="nil"/>
              <w:left w:val="nil"/>
              <w:bottom w:val="nil"/>
              <w:right w:val="single" w:sz="4" w:space="0" w:color="auto"/>
            </w:tcBorders>
            <w:shd w:val="clear" w:color="000000" w:fill="FFFFFF"/>
            <w:noWrap/>
            <w:vAlign w:val="bottom"/>
            <w:hideMark/>
          </w:tcPr>
          <w:p w14:paraId="6F2608AF"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0.42</w:t>
            </w:r>
          </w:p>
        </w:tc>
        <w:tc>
          <w:tcPr>
            <w:tcW w:w="1276" w:type="dxa"/>
            <w:tcBorders>
              <w:top w:val="nil"/>
              <w:left w:val="nil"/>
              <w:bottom w:val="nil"/>
              <w:right w:val="single" w:sz="12" w:space="0" w:color="auto"/>
            </w:tcBorders>
            <w:shd w:val="clear" w:color="000000" w:fill="FFFFFF"/>
            <w:noWrap/>
            <w:vAlign w:val="bottom"/>
            <w:hideMark/>
          </w:tcPr>
          <w:p w14:paraId="21280CE0"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0.38</w:t>
            </w:r>
          </w:p>
        </w:tc>
        <w:tc>
          <w:tcPr>
            <w:tcW w:w="1417" w:type="dxa"/>
            <w:tcBorders>
              <w:top w:val="nil"/>
              <w:left w:val="nil"/>
              <w:bottom w:val="nil"/>
              <w:right w:val="single" w:sz="4" w:space="0" w:color="auto"/>
            </w:tcBorders>
            <w:shd w:val="clear" w:color="000000" w:fill="FFFFFF"/>
            <w:noWrap/>
            <w:vAlign w:val="bottom"/>
            <w:hideMark/>
          </w:tcPr>
          <w:p w14:paraId="1882A50D"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0.15</w:t>
            </w:r>
          </w:p>
        </w:tc>
        <w:tc>
          <w:tcPr>
            <w:tcW w:w="1418" w:type="dxa"/>
            <w:tcBorders>
              <w:top w:val="nil"/>
              <w:left w:val="nil"/>
              <w:bottom w:val="nil"/>
              <w:right w:val="single" w:sz="12" w:space="0" w:color="auto"/>
            </w:tcBorders>
            <w:shd w:val="clear" w:color="000000" w:fill="FFFFFF"/>
            <w:noWrap/>
            <w:vAlign w:val="bottom"/>
            <w:hideMark/>
          </w:tcPr>
          <w:p w14:paraId="6702959F"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0.13</w:t>
            </w:r>
          </w:p>
        </w:tc>
      </w:tr>
      <w:tr w:rsidR="005B7A36" w:rsidRPr="00CE6819" w14:paraId="3BA6F3DE" w14:textId="77777777" w:rsidTr="00EC3C7C">
        <w:trPr>
          <w:trHeight w:val="315"/>
        </w:trPr>
        <w:tc>
          <w:tcPr>
            <w:tcW w:w="1403" w:type="dxa"/>
            <w:tcBorders>
              <w:top w:val="nil"/>
              <w:left w:val="single" w:sz="12" w:space="0" w:color="auto"/>
              <w:bottom w:val="single" w:sz="12" w:space="0" w:color="auto"/>
              <w:right w:val="nil"/>
            </w:tcBorders>
            <w:shd w:val="clear" w:color="000000" w:fill="FFFFFF"/>
            <w:noWrap/>
            <w:vAlign w:val="bottom"/>
            <w:hideMark/>
          </w:tcPr>
          <w:p w14:paraId="62C43B36" w14:textId="77777777" w:rsidR="005B7A36" w:rsidRPr="009118D6" w:rsidRDefault="005B7A36" w:rsidP="00D01F96">
            <w:pPr>
              <w:bidi w:val="0"/>
              <w:spacing w:after="0" w:line="240" w:lineRule="auto"/>
              <w:rPr>
                <w:rFonts w:ascii="Arial" w:eastAsia="Times New Roman" w:hAnsi="Arial" w:cs="Arial"/>
                <w:color w:val="000000"/>
              </w:rPr>
            </w:pPr>
            <w:r w:rsidRPr="009118D6">
              <w:rPr>
                <w:rFonts w:ascii="Arial" w:eastAsia="Times New Roman" w:hAnsi="Arial" w:cs="Arial"/>
                <w:color w:val="000000"/>
              </w:rPr>
              <w:t>Obs.</w:t>
            </w:r>
          </w:p>
        </w:tc>
        <w:tc>
          <w:tcPr>
            <w:tcW w:w="1276" w:type="dxa"/>
            <w:tcBorders>
              <w:top w:val="nil"/>
              <w:left w:val="single" w:sz="12" w:space="0" w:color="auto"/>
              <w:bottom w:val="single" w:sz="12" w:space="0" w:color="auto"/>
              <w:right w:val="single" w:sz="4" w:space="0" w:color="auto"/>
            </w:tcBorders>
            <w:shd w:val="clear" w:color="000000" w:fill="FFFFFF"/>
            <w:noWrap/>
            <w:vAlign w:val="bottom"/>
            <w:hideMark/>
          </w:tcPr>
          <w:p w14:paraId="1D207357"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173</w:t>
            </w:r>
          </w:p>
        </w:tc>
        <w:tc>
          <w:tcPr>
            <w:tcW w:w="1275" w:type="dxa"/>
            <w:tcBorders>
              <w:top w:val="nil"/>
              <w:left w:val="nil"/>
              <w:bottom w:val="single" w:sz="12" w:space="0" w:color="auto"/>
              <w:right w:val="single" w:sz="12" w:space="0" w:color="auto"/>
            </w:tcBorders>
            <w:shd w:val="clear" w:color="000000" w:fill="FFFFFF"/>
            <w:noWrap/>
            <w:vAlign w:val="bottom"/>
            <w:hideMark/>
          </w:tcPr>
          <w:p w14:paraId="00F59997"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173</w:t>
            </w:r>
          </w:p>
        </w:tc>
        <w:tc>
          <w:tcPr>
            <w:tcW w:w="1276" w:type="dxa"/>
            <w:tcBorders>
              <w:top w:val="nil"/>
              <w:left w:val="nil"/>
              <w:bottom w:val="single" w:sz="12" w:space="0" w:color="auto"/>
              <w:right w:val="single" w:sz="4" w:space="0" w:color="auto"/>
            </w:tcBorders>
            <w:shd w:val="clear" w:color="000000" w:fill="FFFFFF"/>
            <w:noWrap/>
            <w:vAlign w:val="bottom"/>
            <w:hideMark/>
          </w:tcPr>
          <w:p w14:paraId="6911E62F"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119</w:t>
            </w:r>
          </w:p>
        </w:tc>
        <w:tc>
          <w:tcPr>
            <w:tcW w:w="1276" w:type="dxa"/>
            <w:tcBorders>
              <w:top w:val="nil"/>
              <w:left w:val="nil"/>
              <w:bottom w:val="single" w:sz="12" w:space="0" w:color="auto"/>
              <w:right w:val="single" w:sz="12" w:space="0" w:color="auto"/>
            </w:tcBorders>
            <w:shd w:val="clear" w:color="000000" w:fill="FFFFFF"/>
            <w:noWrap/>
            <w:vAlign w:val="bottom"/>
            <w:hideMark/>
          </w:tcPr>
          <w:p w14:paraId="6EB878FB"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119</w:t>
            </w:r>
          </w:p>
        </w:tc>
        <w:tc>
          <w:tcPr>
            <w:tcW w:w="1417" w:type="dxa"/>
            <w:tcBorders>
              <w:top w:val="nil"/>
              <w:left w:val="nil"/>
              <w:bottom w:val="single" w:sz="12" w:space="0" w:color="auto"/>
              <w:right w:val="single" w:sz="4" w:space="0" w:color="auto"/>
            </w:tcBorders>
            <w:shd w:val="clear" w:color="000000" w:fill="FFFFFF"/>
            <w:noWrap/>
            <w:vAlign w:val="bottom"/>
            <w:hideMark/>
          </w:tcPr>
          <w:p w14:paraId="36062DAB"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54</w:t>
            </w:r>
          </w:p>
        </w:tc>
        <w:tc>
          <w:tcPr>
            <w:tcW w:w="1418" w:type="dxa"/>
            <w:tcBorders>
              <w:top w:val="nil"/>
              <w:left w:val="nil"/>
              <w:bottom w:val="single" w:sz="12" w:space="0" w:color="auto"/>
              <w:right w:val="single" w:sz="12" w:space="0" w:color="auto"/>
            </w:tcBorders>
            <w:shd w:val="clear" w:color="000000" w:fill="FFFFFF"/>
            <w:noWrap/>
            <w:vAlign w:val="bottom"/>
            <w:hideMark/>
          </w:tcPr>
          <w:p w14:paraId="2612D5F6" w14:textId="77777777" w:rsidR="005B7A36" w:rsidRPr="003026A0" w:rsidRDefault="005B7A36" w:rsidP="00D01F96">
            <w:pPr>
              <w:bidi w:val="0"/>
              <w:spacing w:after="0" w:line="240" w:lineRule="auto"/>
              <w:jc w:val="center"/>
              <w:rPr>
                <w:rFonts w:ascii="Arial" w:eastAsia="Times New Roman" w:hAnsi="Arial" w:cs="Arial"/>
                <w:color w:val="000000"/>
                <w:sz w:val="20"/>
                <w:szCs w:val="20"/>
              </w:rPr>
            </w:pPr>
            <w:r w:rsidRPr="003026A0">
              <w:rPr>
                <w:rFonts w:ascii="Arial" w:eastAsia="Times New Roman" w:hAnsi="Arial" w:cs="Arial"/>
                <w:color w:val="000000"/>
                <w:sz w:val="20"/>
                <w:szCs w:val="20"/>
              </w:rPr>
              <w:t>54</w:t>
            </w:r>
          </w:p>
        </w:tc>
      </w:tr>
    </w:tbl>
    <w:p w14:paraId="0EE659A7" w14:textId="77777777" w:rsidR="005B7A36" w:rsidRPr="00CE6819" w:rsidRDefault="005B7A36" w:rsidP="00D01F96">
      <w:pPr>
        <w:spacing w:line="360" w:lineRule="auto"/>
        <w:rPr>
          <w:sz w:val="24"/>
          <w:szCs w:val="24"/>
          <w:rtl/>
        </w:rPr>
      </w:pPr>
    </w:p>
    <w:p w14:paraId="220AEEE2" w14:textId="393AE23C" w:rsidR="009A7D9E" w:rsidRPr="00CE6819" w:rsidRDefault="00E729D2" w:rsidP="00D01F96">
      <w:pPr>
        <w:bidi w:val="0"/>
        <w:spacing w:line="360" w:lineRule="auto"/>
        <w:rPr>
          <w:rStyle w:val="tlid-translation"/>
          <w:sz w:val="24"/>
          <w:szCs w:val="24"/>
          <w:rtl/>
          <w:lang w:val="en"/>
        </w:rPr>
      </w:pPr>
      <w:r w:rsidRPr="00CE6819">
        <w:rPr>
          <w:rStyle w:val="tlid-translation"/>
          <w:b/>
          <w:bCs/>
          <w:sz w:val="24"/>
          <w:szCs w:val="24"/>
          <w:lang w:val="en"/>
        </w:rPr>
        <w:t>Market value</w:t>
      </w:r>
      <w:r w:rsidRPr="00CE6819">
        <w:rPr>
          <w:rStyle w:val="tlid-translation"/>
          <w:sz w:val="24"/>
          <w:szCs w:val="24"/>
          <w:lang w:val="en"/>
        </w:rPr>
        <w:t xml:space="preserve"> was found to have a positive impact on </w:t>
      </w:r>
      <w:r w:rsidR="009A7D9E" w:rsidRPr="00CE6819">
        <w:rPr>
          <w:rStyle w:val="tlid-translation"/>
          <w:sz w:val="24"/>
          <w:szCs w:val="24"/>
          <w:lang w:val="en"/>
        </w:rPr>
        <w:t>return</w:t>
      </w:r>
      <w:r w:rsidRPr="00CE6819">
        <w:rPr>
          <w:rStyle w:val="tlid-translation"/>
          <w:sz w:val="24"/>
          <w:szCs w:val="24"/>
          <w:lang w:val="en"/>
        </w:rPr>
        <w:t xml:space="preserve"> over time. Th</w:t>
      </w:r>
      <w:r w:rsidR="0010479B">
        <w:rPr>
          <w:rStyle w:val="tlid-translation"/>
          <w:sz w:val="24"/>
          <w:szCs w:val="24"/>
          <w:lang w:val="en"/>
        </w:rPr>
        <w:t>e</w:t>
      </w:r>
      <w:r w:rsidRPr="00CE6819">
        <w:rPr>
          <w:rStyle w:val="tlid-translation"/>
          <w:sz w:val="24"/>
          <w:szCs w:val="24"/>
          <w:lang w:val="en"/>
        </w:rPr>
        <w:t xml:space="preserve"> coefficient </w:t>
      </w:r>
      <w:r w:rsidR="00317F5C" w:rsidRPr="00CE6819">
        <w:rPr>
          <w:rStyle w:val="tlid-translation"/>
          <w:sz w:val="24"/>
          <w:szCs w:val="24"/>
          <w:lang w:val="en"/>
        </w:rPr>
        <w:t xml:space="preserve">for large firms </w:t>
      </w:r>
      <w:r w:rsidR="0010479B">
        <w:rPr>
          <w:rStyle w:val="tlid-translation"/>
          <w:sz w:val="24"/>
          <w:szCs w:val="24"/>
          <w:lang w:val="en"/>
        </w:rPr>
        <w:t>i</w:t>
      </w:r>
      <w:r w:rsidRPr="00CE6819">
        <w:rPr>
          <w:rStyle w:val="tlid-translation"/>
          <w:sz w:val="24"/>
          <w:szCs w:val="24"/>
          <w:lang w:val="en"/>
        </w:rPr>
        <w:t xml:space="preserve">s larger than for small </w:t>
      </w:r>
      <w:r w:rsidR="009A7D9E" w:rsidRPr="00CE6819">
        <w:rPr>
          <w:rStyle w:val="tlid-translation"/>
          <w:sz w:val="24"/>
          <w:szCs w:val="24"/>
          <w:lang w:val="en"/>
        </w:rPr>
        <w:t>ones</w:t>
      </w:r>
      <w:r w:rsidRPr="00CE6819">
        <w:rPr>
          <w:rStyle w:val="tlid-translation"/>
          <w:sz w:val="24"/>
          <w:szCs w:val="24"/>
          <w:lang w:val="en"/>
        </w:rPr>
        <w:t xml:space="preserve"> and its effect increases over time. Coefficient values ​​were 0.7 </w:t>
      </w:r>
      <w:r w:rsidR="009A7D9E" w:rsidRPr="00CE6819">
        <w:rPr>
          <w:rStyle w:val="tlid-translation"/>
          <w:sz w:val="24"/>
          <w:szCs w:val="24"/>
          <w:lang w:val="en"/>
        </w:rPr>
        <w:t>versus</w:t>
      </w:r>
      <w:r w:rsidRPr="00CE6819">
        <w:rPr>
          <w:rStyle w:val="tlid-translation"/>
          <w:sz w:val="24"/>
          <w:szCs w:val="24"/>
          <w:lang w:val="en"/>
        </w:rPr>
        <w:t xml:space="preserve"> 0.23, 0.61 </w:t>
      </w:r>
      <w:r w:rsidR="009A7D9E" w:rsidRPr="00CE6819">
        <w:rPr>
          <w:rStyle w:val="tlid-translation"/>
          <w:sz w:val="24"/>
          <w:szCs w:val="24"/>
          <w:lang w:val="en"/>
        </w:rPr>
        <w:t>versus</w:t>
      </w:r>
      <w:r w:rsidRPr="00CE6819">
        <w:rPr>
          <w:rStyle w:val="tlid-translation"/>
          <w:sz w:val="24"/>
          <w:szCs w:val="24"/>
          <w:lang w:val="en"/>
        </w:rPr>
        <w:t xml:space="preserve"> 0.16 and 5.47 to 0.27 at 6, 12, and 18 months after the IPO, respectively. </w:t>
      </w:r>
      <w:r w:rsidR="00317F5C" w:rsidRPr="00CE6819">
        <w:rPr>
          <w:rStyle w:val="tlid-translation"/>
          <w:sz w:val="24"/>
          <w:szCs w:val="24"/>
          <w:lang w:val="en"/>
        </w:rPr>
        <w:t>Th</w:t>
      </w:r>
      <w:r w:rsidR="0010479B">
        <w:rPr>
          <w:rStyle w:val="tlid-translation"/>
          <w:sz w:val="24"/>
          <w:szCs w:val="24"/>
          <w:lang w:val="en"/>
        </w:rPr>
        <w:t>e</w:t>
      </w:r>
      <w:r w:rsidR="00317F5C" w:rsidRPr="00CE6819">
        <w:rPr>
          <w:rStyle w:val="tlid-translation"/>
          <w:sz w:val="24"/>
          <w:szCs w:val="24"/>
          <w:lang w:val="en"/>
        </w:rPr>
        <w:t>s</w:t>
      </w:r>
      <w:r w:rsidR="0010479B">
        <w:rPr>
          <w:rStyle w:val="tlid-translation"/>
          <w:sz w:val="24"/>
          <w:szCs w:val="24"/>
          <w:lang w:val="en"/>
        </w:rPr>
        <w:t xml:space="preserve">e results </w:t>
      </w:r>
      <w:r w:rsidR="0032134D">
        <w:rPr>
          <w:rStyle w:val="tlid-translation"/>
          <w:sz w:val="24"/>
          <w:szCs w:val="24"/>
          <w:lang w:val="en"/>
        </w:rPr>
        <w:t>validate</w:t>
      </w:r>
      <w:r w:rsidR="00165EC8" w:rsidRPr="00CE6819">
        <w:rPr>
          <w:rStyle w:val="tlid-translation"/>
          <w:sz w:val="24"/>
          <w:szCs w:val="24"/>
          <w:lang w:val="en"/>
        </w:rPr>
        <w:t xml:space="preserve"> H3</w:t>
      </w:r>
      <w:r w:rsidR="0010479B">
        <w:rPr>
          <w:rStyle w:val="tlid-translation"/>
          <w:sz w:val="24"/>
          <w:szCs w:val="24"/>
          <w:lang w:val="en"/>
        </w:rPr>
        <w:t>.</w:t>
      </w:r>
    </w:p>
    <w:p w14:paraId="060AE505" w14:textId="077721D4" w:rsidR="005B7A36" w:rsidRPr="00CE6819" w:rsidRDefault="00E729D2" w:rsidP="00D01F96">
      <w:pPr>
        <w:bidi w:val="0"/>
        <w:spacing w:line="360" w:lineRule="auto"/>
        <w:rPr>
          <w:rStyle w:val="tlid-translation"/>
          <w:sz w:val="24"/>
          <w:szCs w:val="24"/>
        </w:rPr>
      </w:pPr>
      <w:r w:rsidRPr="00CE6819">
        <w:rPr>
          <w:rStyle w:val="tlid-translation"/>
          <w:sz w:val="24"/>
          <w:szCs w:val="24"/>
          <w:lang w:val="en"/>
        </w:rPr>
        <w:t xml:space="preserve">The </w:t>
      </w:r>
      <w:r w:rsidR="0010479B">
        <w:rPr>
          <w:rStyle w:val="tlid-translation"/>
          <w:b/>
          <w:bCs/>
          <w:sz w:val="24"/>
          <w:szCs w:val="24"/>
          <w:lang w:val="en"/>
        </w:rPr>
        <w:t>IPO proceeds</w:t>
      </w:r>
      <w:r w:rsidRPr="00CE6819">
        <w:rPr>
          <w:rStyle w:val="tlid-translation"/>
          <w:sz w:val="24"/>
          <w:szCs w:val="24"/>
          <w:lang w:val="en"/>
        </w:rPr>
        <w:t xml:space="preserve"> </w:t>
      </w:r>
      <w:r w:rsidR="008F3CF6">
        <w:rPr>
          <w:rStyle w:val="tlid-translation"/>
          <w:sz w:val="24"/>
          <w:szCs w:val="24"/>
          <w:lang w:val="en"/>
        </w:rPr>
        <w:t xml:space="preserve">as was </w:t>
      </w:r>
      <w:r w:rsidR="0032134D">
        <w:rPr>
          <w:rStyle w:val="tlid-translation"/>
          <w:sz w:val="24"/>
          <w:szCs w:val="24"/>
          <w:lang w:val="en"/>
        </w:rPr>
        <w:t xml:space="preserve">measured </w:t>
      </w:r>
      <w:r w:rsidRPr="00CE6819">
        <w:rPr>
          <w:rStyle w:val="tlid-translation"/>
          <w:sz w:val="24"/>
          <w:szCs w:val="24"/>
          <w:lang w:val="en"/>
        </w:rPr>
        <w:t>by Ln(</w:t>
      </w:r>
      <w:r w:rsidR="009728C1">
        <w:rPr>
          <w:rStyle w:val="tlid-translation"/>
          <w:sz w:val="24"/>
          <w:szCs w:val="24"/>
          <w:lang w:val="en"/>
        </w:rPr>
        <w:t>Prcds</w:t>
      </w:r>
      <w:r w:rsidRPr="00CE6819">
        <w:rPr>
          <w:rStyle w:val="tlid-translation"/>
          <w:sz w:val="24"/>
          <w:szCs w:val="24"/>
          <w:lang w:val="en"/>
        </w:rPr>
        <w:t xml:space="preserve">) adversely affects returns, in the first </w:t>
      </w:r>
      <w:r w:rsidR="00317F5C" w:rsidRPr="00CE6819">
        <w:rPr>
          <w:rStyle w:val="tlid-translation"/>
          <w:sz w:val="24"/>
          <w:szCs w:val="24"/>
          <w:lang w:val="en"/>
        </w:rPr>
        <w:t>six months</w:t>
      </w:r>
      <w:r w:rsidRPr="00CE6819">
        <w:rPr>
          <w:rStyle w:val="tlid-translation"/>
          <w:sz w:val="24"/>
          <w:szCs w:val="24"/>
          <w:lang w:val="en"/>
        </w:rPr>
        <w:t xml:space="preserve"> after the IPO</w:t>
      </w:r>
      <w:r w:rsidR="008F3CF6">
        <w:rPr>
          <w:rStyle w:val="tlid-translation"/>
          <w:sz w:val="24"/>
          <w:szCs w:val="24"/>
          <w:lang w:val="en"/>
        </w:rPr>
        <w:t>.</w:t>
      </w:r>
      <w:r w:rsidRPr="00CE6819">
        <w:rPr>
          <w:rStyle w:val="tlid-translation"/>
          <w:sz w:val="24"/>
          <w:szCs w:val="24"/>
          <w:lang w:val="en"/>
        </w:rPr>
        <w:t xml:space="preserve"> its effect on </w:t>
      </w:r>
      <w:r w:rsidR="00317F5C" w:rsidRPr="00CE6819">
        <w:rPr>
          <w:rStyle w:val="tlid-translation"/>
          <w:sz w:val="24"/>
          <w:szCs w:val="24"/>
          <w:lang w:val="en"/>
        </w:rPr>
        <w:t>large</w:t>
      </w:r>
      <w:r w:rsidRPr="00CE6819">
        <w:rPr>
          <w:rStyle w:val="tlid-translation"/>
          <w:sz w:val="24"/>
          <w:szCs w:val="24"/>
          <w:lang w:val="en"/>
        </w:rPr>
        <w:t xml:space="preserve"> companies is 3.5 times </w:t>
      </w:r>
      <w:r w:rsidR="008F3CF6">
        <w:rPr>
          <w:rStyle w:val="tlid-translation"/>
          <w:sz w:val="24"/>
          <w:szCs w:val="24"/>
          <w:lang w:val="en"/>
        </w:rPr>
        <w:t xml:space="preserve">higher than </w:t>
      </w:r>
      <w:r w:rsidRPr="00CE6819">
        <w:rPr>
          <w:rStyle w:val="tlid-translation"/>
          <w:sz w:val="24"/>
          <w:szCs w:val="24"/>
          <w:lang w:val="en"/>
        </w:rPr>
        <w:t xml:space="preserve"> o</w:t>
      </w:r>
      <w:r w:rsidR="008F3CF6">
        <w:rPr>
          <w:rStyle w:val="tlid-translation"/>
          <w:sz w:val="24"/>
          <w:szCs w:val="24"/>
          <w:lang w:val="en"/>
        </w:rPr>
        <w:t>n</w:t>
      </w:r>
      <w:r w:rsidRPr="00CE6819">
        <w:rPr>
          <w:rStyle w:val="tlid-translation"/>
          <w:sz w:val="24"/>
          <w:szCs w:val="24"/>
          <w:lang w:val="en"/>
        </w:rPr>
        <w:t xml:space="preserve"> small ones </w:t>
      </w:r>
      <w:r w:rsidR="00317F5C" w:rsidRPr="00CE6819">
        <w:rPr>
          <w:rStyle w:val="tlid-translation"/>
          <w:sz w:val="24"/>
          <w:szCs w:val="24"/>
          <w:lang w:val="en"/>
        </w:rPr>
        <w:t>-</w:t>
      </w:r>
      <w:r w:rsidRPr="00CE6819">
        <w:rPr>
          <w:rStyle w:val="tlid-translation"/>
          <w:sz w:val="24"/>
          <w:szCs w:val="24"/>
          <w:lang w:val="en"/>
        </w:rPr>
        <w:t xml:space="preserve">0.92 </w:t>
      </w:r>
      <w:r w:rsidR="00317F5C" w:rsidRPr="00CE6819">
        <w:rPr>
          <w:rStyle w:val="tlid-translation"/>
          <w:sz w:val="24"/>
          <w:szCs w:val="24"/>
          <w:lang w:val="en"/>
        </w:rPr>
        <w:t>versus</w:t>
      </w:r>
      <w:r w:rsidRPr="00CE6819">
        <w:rPr>
          <w:rStyle w:val="tlid-translation"/>
          <w:sz w:val="24"/>
          <w:szCs w:val="24"/>
          <w:lang w:val="en"/>
        </w:rPr>
        <w:t xml:space="preserve"> </w:t>
      </w:r>
      <w:r w:rsidR="00317F5C" w:rsidRPr="00CE6819">
        <w:rPr>
          <w:rStyle w:val="tlid-translation"/>
          <w:sz w:val="24"/>
          <w:szCs w:val="24"/>
          <w:lang w:val="en"/>
        </w:rPr>
        <w:t>-</w:t>
      </w:r>
      <w:r w:rsidRPr="00CE6819">
        <w:rPr>
          <w:rStyle w:val="tlid-translation"/>
          <w:sz w:val="24"/>
          <w:szCs w:val="24"/>
          <w:lang w:val="en"/>
        </w:rPr>
        <w:t xml:space="preserve">0.26. Subsequently, it was found to be mainly affecting the large </w:t>
      </w:r>
      <w:r w:rsidR="00317F5C" w:rsidRPr="00CE6819">
        <w:rPr>
          <w:rStyle w:val="tlid-translation"/>
          <w:sz w:val="24"/>
          <w:szCs w:val="24"/>
          <w:lang w:val="en"/>
        </w:rPr>
        <w:t>firms</w:t>
      </w:r>
      <w:r w:rsidRPr="00CE6819">
        <w:rPr>
          <w:rStyle w:val="tlid-translation"/>
          <w:sz w:val="24"/>
          <w:szCs w:val="24"/>
          <w:lang w:val="en"/>
        </w:rPr>
        <w:t xml:space="preserve">, and its influence increased with time </w:t>
      </w:r>
      <w:r w:rsidR="00317F5C" w:rsidRPr="00CE6819">
        <w:rPr>
          <w:rStyle w:val="tlid-translation"/>
          <w:sz w:val="24"/>
          <w:szCs w:val="24"/>
          <w:lang w:val="en"/>
        </w:rPr>
        <w:t>-</w:t>
      </w:r>
      <w:r w:rsidRPr="00CE6819">
        <w:rPr>
          <w:rStyle w:val="tlid-translation"/>
          <w:sz w:val="24"/>
          <w:szCs w:val="24"/>
          <w:lang w:val="en"/>
        </w:rPr>
        <w:t xml:space="preserve">1.04 and </w:t>
      </w:r>
      <w:r w:rsidR="00317F5C" w:rsidRPr="00CE6819">
        <w:rPr>
          <w:rStyle w:val="tlid-translation"/>
          <w:sz w:val="24"/>
          <w:szCs w:val="24"/>
          <w:lang w:val="en"/>
        </w:rPr>
        <w:t>-</w:t>
      </w:r>
      <w:r w:rsidRPr="00CE6819">
        <w:rPr>
          <w:rStyle w:val="tlid-translation"/>
          <w:sz w:val="24"/>
          <w:szCs w:val="24"/>
          <w:lang w:val="en"/>
        </w:rPr>
        <w:t xml:space="preserve">6.22 in the </w:t>
      </w:r>
      <w:r w:rsidR="00317F5C" w:rsidRPr="00CE6819">
        <w:rPr>
          <w:rStyle w:val="tlid-translation"/>
          <w:sz w:val="24"/>
          <w:szCs w:val="24"/>
          <w:lang w:val="en"/>
        </w:rPr>
        <w:t>twelve</w:t>
      </w:r>
      <w:r w:rsidRPr="00CE6819">
        <w:rPr>
          <w:rStyle w:val="tlid-translation"/>
          <w:sz w:val="24"/>
          <w:szCs w:val="24"/>
          <w:lang w:val="en"/>
        </w:rPr>
        <w:t xml:space="preserve"> and </w:t>
      </w:r>
      <w:r w:rsidR="00317F5C" w:rsidRPr="00CE6819">
        <w:rPr>
          <w:rStyle w:val="tlid-translation"/>
          <w:sz w:val="24"/>
          <w:szCs w:val="24"/>
          <w:lang w:val="en"/>
        </w:rPr>
        <w:t>eighteen</w:t>
      </w:r>
      <w:r w:rsidRPr="00CE6819">
        <w:rPr>
          <w:rStyle w:val="tlid-translation"/>
          <w:sz w:val="24"/>
          <w:szCs w:val="24"/>
          <w:lang w:val="en"/>
        </w:rPr>
        <w:t xml:space="preserve"> months after the IPO respectively. </w:t>
      </w:r>
      <w:r w:rsidR="009728C1">
        <w:rPr>
          <w:rStyle w:val="tlid-translation"/>
          <w:sz w:val="24"/>
          <w:szCs w:val="24"/>
          <w:lang w:val="en"/>
        </w:rPr>
        <w:t>Prcds</w:t>
      </w:r>
      <w:r w:rsidR="00317F5C" w:rsidRPr="00CE6819">
        <w:rPr>
          <w:rStyle w:val="tlid-translation"/>
          <w:sz w:val="24"/>
          <w:szCs w:val="24"/>
          <w:lang w:val="en"/>
        </w:rPr>
        <w:t xml:space="preserve">(%) , the </w:t>
      </w:r>
      <w:r w:rsidRPr="00CE6819">
        <w:rPr>
          <w:rStyle w:val="tlid-translation"/>
          <w:sz w:val="24"/>
          <w:szCs w:val="24"/>
          <w:lang w:val="en"/>
        </w:rPr>
        <w:t xml:space="preserve">amount raised as a percentage of the company's </w:t>
      </w:r>
      <w:r w:rsidR="001F6070">
        <w:rPr>
          <w:rStyle w:val="tlid-translation"/>
          <w:sz w:val="24"/>
          <w:szCs w:val="24"/>
          <w:lang w:val="en"/>
        </w:rPr>
        <w:t>MV</w:t>
      </w:r>
      <w:r w:rsidRPr="00CE6819">
        <w:rPr>
          <w:rStyle w:val="tlid-translation"/>
          <w:sz w:val="24"/>
          <w:szCs w:val="24"/>
          <w:lang w:val="en"/>
        </w:rPr>
        <w:t xml:space="preserve"> has a positive impact. Up to one year after the </w:t>
      </w:r>
      <w:r w:rsidR="00317F5C" w:rsidRPr="00CE6819">
        <w:rPr>
          <w:rStyle w:val="tlid-translation"/>
          <w:sz w:val="24"/>
          <w:szCs w:val="24"/>
          <w:lang w:val="en"/>
        </w:rPr>
        <w:t>IPO</w:t>
      </w:r>
      <w:r w:rsidRPr="00CE6819">
        <w:rPr>
          <w:rStyle w:val="tlid-translation"/>
          <w:sz w:val="24"/>
          <w:szCs w:val="24"/>
          <w:lang w:val="en"/>
        </w:rPr>
        <w:t xml:space="preserve">, </w:t>
      </w:r>
      <w:r w:rsidR="00317F5C" w:rsidRPr="00CE6819">
        <w:rPr>
          <w:rStyle w:val="tlid-translation"/>
          <w:sz w:val="24"/>
          <w:szCs w:val="24"/>
          <w:lang w:val="en"/>
        </w:rPr>
        <w:t xml:space="preserve">the coefficient appears significant </w:t>
      </w:r>
      <w:r w:rsidRPr="00CE6819">
        <w:rPr>
          <w:rStyle w:val="tlid-translation"/>
          <w:sz w:val="24"/>
          <w:szCs w:val="24"/>
          <w:lang w:val="en"/>
        </w:rPr>
        <w:t xml:space="preserve">only </w:t>
      </w:r>
      <w:r w:rsidR="00317F5C" w:rsidRPr="00CE6819">
        <w:rPr>
          <w:rStyle w:val="tlid-translation"/>
          <w:sz w:val="24"/>
          <w:szCs w:val="24"/>
          <w:lang w:val="en"/>
        </w:rPr>
        <w:t xml:space="preserve">for </w:t>
      </w:r>
      <w:r w:rsidRPr="00CE6819">
        <w:rPr>
          <w:rStyle w:val="tlid-translation"/>
          <w:sz w:val="24"/>
          <w:szCs w:val="24"/>
          <w:lang w:val="en"/>
        </w:rPr>
        <w:t>the entire sample, at 18 months</w:t>
      </w:r>
      <w:r w:rsidR="00317F5C" w:rsidRPr="00CE6819">
        <w:rPr>
          <w:rStyle w:val="tlid-translation"/>
          <w:sz w:val="24"/>
          <w:szCs w:val="24"/>
          <w:lang w:val="en"/>
        </w:rPr>
        <w:t xml:space="preserve"> after the IPO</w:t>
      </w:r>
      <w:r w:rsidRPr="00CE6819">
        <w:rPr>
          <w:rStyle w:val="tlid-translation"/>
          <w:sz w:val="24"/>
          <w:szCs w:val="24"/>
          <w:lang w:val="en"/>
        </w:rPr>
        <w:t xml:space="preserve">, </w:t>
      </w:r>
      <w:r w:rsidR="00317F5C" w:rsidRPr="00CE6819">
        <w:rPr>
          <w:rStyle w:val="tlid-translation"/>
          <w:sz w:val="24"/>
          <w:szCs w:val="24"/>
          <w:lang w:val="en"/>
        </w:rPr>
        <w:t xml:space="preserve">it </w:t>
      </w:r>
      <w:r w:rsidRPr="00CE6819">
        <w:rPr>
          <w:rStyle w:val="tlid-translation"/>
          <w:sz w:val="24"/>
          <w:szCs w:val="24"/>
          <w:lang w:val="en"/>
        </w:rPr>
        <w:t xml:space="preserve"> </w:t>
      </w:r>
      <w:r w:rsidR="00317F5C" w:rsidRPr="00CE6819">
        <w:rPr>
          <w:rStyle w:val="tlid-translation"/>
          <w:sz w:val="24"/>
          <w:szCs w:val="24"/>
          <w:lang w:val="en"/>
        </w:rPr>
        <w:t>is</w:t>
      </w:r>
      <w:r w:rsidRPr="00CE6819">
        <w:rPr>
          <w:rStyle w:val="tlid-translation"/>
          <w:sz w:val="24"/>
          <w:szCs w:val="24"/>
          <w:lang w:val="en"/>
        </w:rPr>
        <w:t xml:space="preserve"> 375 times </w:t>
      </w:r>
      <w:r w:rsidR="001F6070">
        <w:rPr>
          <w:rStyle w:val="tlid-translation"/>
          <w:sz w:val="24"/>
          <w:szCs w:val="24"/>
          <w:lang w:val="en"/>
        </w:rPr>
        <w:t>higher</w:t>
      </w:r>
      <w:r w:rsidRPr="00CE6819">
        <w:rPr>
          <w:rStyle w:val="tlid-translation"/>
          <w:sz w:val="24"/>
          <w:szCs w:val="24"/>
          <w:lang w:val="en"/>
        </w:rPr>
        <w:t xml:space="preserve"> </w:t>
      </w:r>
      <w:r w:rsidR="00317F5C" w:rsidRPr="00CE6819">
        <w:rPr>
          <w:rStyle w:val="tlid-translation"/>
          <w:sz w:val="24"/>
          <w:szCs w:val="24"/>
          <w:lang w:val="en"/>
        </w:rPr>
        <w:t xml:space="preserve">for large firms </w:t>
      </w:r>
      <w:r w:rsidRPr="00CE6819">
        <w:rPr>
          <w:rStyle w:val="tlid-translation"/>
          <w:sz w:val="24"/>
          <w:szCs w:val="24"/>
          <w:lang w:val="en"/>
        </w:rPr>
        <w:t>than</w:t>
      </w:r>
      <w:r w:rsidR="00317F5C" w:rsidRPr="00CE6819">
        <w:rPr>
          <w:rStyle w:val="tlid-translation"/>
          <w:sz w:val="24"/>
          <w:szCs w:val="24"/>
          <w:lang w:val="en"/>
        </w:rPr>
        <w:t xml:space="preserve"> for</w:t>
      </w:r>
      <w:r w:rsidRPr="00CE6819">
        <w:rPr>
          <w:rStyle w:val="tlid-translation"/>
          <w:sz w:val="24"/>
          <w:szCs w:val="24"/>
          <w:lang w:val="en"/>
        </w:rPr>
        <w:t xml:space="preserve"> the small ones 37.53 versus 0.1.</w:t>
      </w:r>
      <w:r w:rsidRPr="00CE6819">
        <w:rPr>
          <w:sz w:val="24"/>
          <w:szCs w:val="24"/>
          <w:lang w:val="en"/>
        </w:rPr>
        <w:br/>
      </w:r>
      <w:r w:rsidRPr="00CE6819">
        <w:rPr>
          <w:rStyle w:val="tlid-translation"/>
          <w:sz w:val="24"/>
          <w:szCs w:val="24"/>
          <w:lang w:val="en"/>
        </w:rPr>
        <w:t xml:space="preserve">If we look at the aggregate effect of the </w:t>
      </w:r>
      <w:r w:rsidR="001F6070">
        <w:rPr>
          <w:rStyle w:val="tlid-translation"/>
          <w:sz w:val="24"/>
          <w:szCs w:val="24"/>
          <w:lang w:val="en"/>
        </w:rPr>
        <w:t>IPO proceeds</w:t>
      </w:r>
      <w:r w:rsidRPr="00CE6819">
        <w:rPr>
          <w:rStyle w:val="tlid-translation"/>
          <w:sz w:val="24"/>
          <w:szCs w:val="24"/>
          <w:lang w:val="en"/>
        </w:rPr>
        <w:t xml:space="preserve">, </w:t>
      </w:r>
      <w:r w:rsidR="00317F5C" w:rsidRPr="00CE6819">
        <w:rPr>
          <w:rStyle w:val="tlid-translation"/>
          <w:sz w:val="24"/>
          <w:szCs w:val="24"/>
          <w:lang w:val="en"/>
        </w:rPr>
        <w:t xml:space="preserve">In </w:t>
      </w:r>
      <w:r w:rsidRPr="00CE6819">
        <w:rPr>
          <w:rStyle w:val="tlid-translation"/>
          <w:sz w:val="24"/>
          <w:szCs w:val="24"/>
          <w:lang w:val="en"/>
        </w:rPr>
        <w:t xml:space="preserve">the first year </w:t>
      </w:r>
      <w:r w:rsidR="00317F5C" w:rsidRPr="00CE6819">
        <w:rPr>
          <w:rStyle w:val="tlid-translation"/>
          <w:sz w:val="24"/>
          <w:szCs w:val="24"/>
          <w:lang w:val="en"/>
        </w:rPr>
        <w:t>the effect is</w:t>
      </w:r>
      <w:r w:rsidRPr="00CE6819">
        <w:rPr>
          <w:rStyle w:val="tlid-translation"/>
          <w:sz w:val="24"/>
          <w:szCs w:val="24"/>
          <w:lang w:val="en"/>
        </w:rPr>
        <w:t xml:space="preserve"> negative for the entire sample. </w:t>
      </w:r>
      <w:r w:rsidR="00317F5C" w:rsidRPr="00CE6819">
        <w:rPr>
          <w:rStyle w:val="tlid-translation"/>
          <w:sz w:val="24"/>
          <w:szCs w:val="24"/>
          <w:lang w:val="en"/>
        </w:rPr>
        <w:t xml:space="preserve">However, </w:t>
      </w:r>
      <w:r w:rsidR="00DF3C65" w:rsidRPr="00CE6819">
        <w:rPr>
          <w:rStyle w:val="tlid-translation"/>
          <w:sz w:val="24"/>
          <w:szCs w:val="24"/>
          <w:lang w:val="en"/>
        </w:rPr>
        <w:t>after</w:t>
      </w:r>
      <w:r w:rsidRPr="00CE6819">
        <w:rPr>
          <w:rStyle w:val="tlid-translation"/>
          <w:sz w:val="24"/>
          <w:szCs w:val="24"/>
          <w:lang w:val="en"/>
        </w:rPr>
        <w:t xml:space="preserve"> 18 months, the direction is reversed and the effect is positive for the </w:t>
      </w:r>
      <w:r w:rsidR="00DF3C65" w:rsidRPr="00CE6819">
        <w:rPr>
          <w:rStyle w:val="tlid-translation"/>
          <w:sz w:val="24"/>
          <w:szCs w:val="24"/>
          <w:lang w:val="en"/>
        </w:rPr>
        <w:t>large firms'</w:t>
      </w:r>
      <w:r w:rsidRPr="00CE6819">
        <w:rPr>
          <w:rStyle w:val="tlid-translation"/>
          <w:sz w:val="24"/>
          <w:szCs w:val="24"/>
          <w:lang w:val="en"/>
        </w:rPr>
        <w:t xml:space="preserve"> sub-sample. We </w:t>
      </w:r>
      <w:r w:rsidR="00DF3C65" w:rsidRPr="00CE6819">
        <w:rPr>
          <w:rStyle w:val="tlid-translation"/>
          <w:sz w:val="24"/>
          <w:szCs w:val="24"/>
          <w:lang w:val="en"/>
        </w:rPr>
        <w:t>suggest</w:t>
      </w:r>
      <w:r w:rsidRPr="00CE6819">
        <w:rPr>
          <w:rStyle w:val="tlid-translation"/>
          <w:sz w:val="24"/>
          <w:szCs w:val="24"/>
          <w:lang w:val="en"/>
        </w:rPr>
        <w:t xml:space="preserve"> that the negative effect in the year after the IPO is mainly due to shareholder dilution. Over time, if the money raised is used in a way that contributes to the prosperity of the </w:t>
      </w:r>
      <w:r w:rsidR="00DF3C65" w:rsidRPr="00CE6819">
        <w:rPr>
          <w:rStyle w:val="tlid-translation"/>
          <w:sz w:val="24"/>
          <w:szCs w:val="24"/>
          <w:lang w:val="en"/>
        </w:rPr>
        <w:t>firm</w:t>
      </w:r>
      <w:r w:rsidRPr="00CE6819">
        <w:rPr>
          <w:rStyle w:val="tlid-translation"/>
          <w:sz w:val="24"/>
          <w:szCs w:val="24"/>
          <w:lang w:val="en"/>
        </w:rPr>
        <w:t xml:space="preserve">, the effect becomes positive as reflected in the large </w:t>
      </w:r>
      <w:r w:rsidR="00DF3C65" w:rsidRPr="00CE6819">
        <w:rPr>
          <w:rStyle w:val="tlid-translation"/>
          <w:sz w:val="24"/>
          <w:szCs w:val="24"/>
          <w:lang w:val="en"/>
        </w:rPr>
        <w:t xml:space="preserve">firms sub </w:t>
      </w:r>
      <w:r w:rsidRPr="00CE6819">
        <w:rPr>
          <w:rStyle w:val="tlid-translation"/>
          <w:sz w:val="24"/>
          <w:szCs w:val="24"/>
          <w:lang w:val="en"/>
        </w:rPr>
        <w:t xml:space="preserve">sample. This </w:t>
      </w:r>
      <w:r w:rsidR="00DF3C65" w:rsidRPr="00CE6819">
        <w:rPr>
          <w:rStyle w:val="tlid-translation"/>
          <w:sz w:val="24"/>
          <w:szCs w:val="24"/>
          <w:lang w:val="en"/>
        </w:rPr>
        <w:t>proves</w:t>
      </w:r>
      <w:r w:rsidRPr="00CE6819">
        <w:rPr>
          <w:rStyle w:val="tlid-translation"/>
          <w:sz w:val="24"/>
          <w:szCs w:val="24"/>
          <w:lang w:val="en"/>
        </w:rPr>
        <w:t xml:space="preserve"> </w:t>
      </w:r>
      <w:r w:rsidRPr="00CE6819">
        <w:rPr>
          <w:rStyle w:val="tlid-translation"/>
          <w:b/>
          <w:bCs/>
          <w:sz w:val="24"/>
          <w:szCs w:val="24"/>
          <w:lang w:val="en"/>
        </w:rPr>
        <w:t xml:space="preserve">hypothesis </w:t>
      </w:r>
      <w:r w:rsidR="00DF3C65" w:rsidRPr="00CE6819">
        <w:rPr>
          <w:rStyle w:val="tlid-translation"/>
          <w:b/>
          <w:bCs/>
          <w:sz w:val="24"/>
          <w:szCs w:val="24"/>
          <w:lang w:val="en"/>
        </w:rPr>
        <w:t>H4</w:t>
      </w:r>
      <w:r w:rsidRPr="00CE6819">
        <w:rPr>
          <w:rStyle w:val="tlid-translation"/>
          <w:sz w:val="24"/>
          <w:szCs w:val="24"/>
          <w:lang w:val="en"/>
        </w:rPr>
        <w:t>.</w:t>
      </w:r>
    </w:p>
    <w:p w14:paraId="089EC8B1" w14:textId="7F85F9FC" w:rsidR="00714ADB" w:rsidRPr="00CE6819" w:rsidRDefault="00F15344" w:rsidP="00D01F96">
      <w:pPr>
        <w:bidi w:val="0"/>
        <w:spacing w:line="360" w:lineRule="auto"/>
        <w:rPr>
          <w:b/>
          <w:bCs/>
          <w:sz w:val="24"/>
          <w:szCs w:val="24"/>
          <w:lang w:val="en"/>
        </w:rPr>
      </w:pPr>
      <w:r w:rsidRPr="00CE6819">
        <w:rPr>
          <w:rStyle w:val="tlid-translation"/>
          <w:sz w:val="24"/>
          <w:szCs w:val="24"/>
          <w:lang w:val="en"/>
        </w:rPr>
        <w:t>The coefficients of the years were tested as a group, some of them significant so we left them in the limited model.</w:t>
      </w:r>
      <w:r w:rsidRPr="00CE6819">
        <w:rPr>
          <w:sz w:val="24"/>
          <w:szCs w:val="24"/>
          <w:lang w:val="en"/>
        </w:rPr>
        <w:br/>
      </w:r>
      <w:r w:rsidRPr="00CE6819">
        <w:rPr>
          <w:sz w:val="24"/>
          <w:szCs w:val="24"/>
          <w:lang w:val="en"/>
        </w:rPr>
        <w:br/>
      </w:r>
      <w:r w:rsidR="00FD0A98" w:rsidRPr="00CE6819">
        <w:rPr>
          <w:rStyle w:val="tlid-translation"/>
          <w:sz w:val="24"/>
          <w:szCs w:val="24"/>
          <w:lang w:val="en"/>
        </w:rPr>
        <w:t>B</w:t>
      </w:r>
      <w:r w:rsidRPr="00CE6819">
        <w:rPr>
          <w:rStyle w:val="tlid-translation"/>
          <w:sz w:val="24"/>
          <w:szCs w:val="24"/>
          <w:lang w:val="en"/>
        </w:rPr>
        <w:t xml:space="preserve">eing in the </w:t>
      </w:r>
      <w:r w:rsidRPr="00CE6819">
        <w:rPr>
          <w:rStyle w:val="tlid-translation"/>
          <w:b/>
          <w:bCs/>
          <w:sz w:val="24"/>
          <w:szCs w:val="24"/>
          <w:lang w:val="en"/>
        </w:rPr>
        <w:t>research phase</w:t>
      </w:r>
      <w:r w:rsidRPr="00CE6819">
        <w:rPr>
          <w:rStyle w:val="tlid-translation"/>
          <w:sz w:val="24"/>
          <w:szCs w:val="24"/>
          <w:lang w:val="en"/>
        </w:rPr>
        <w:t xml:space="preserve"> was found to have a negative effect on the returns, but </w:t>
      </w:r>
      <w:r w:rsidRPr="00CE6819">
        <w:rPr>
          <w:rStyle w:val="tlid-translation"/>
          <w:sz w:val="24"/>
          <w:szCs w:val="24"/>
          <w:lang w:val="en"/>
        </w:rPr>
        <w:lastRenderedPageBreak/>
        <w:t xml:space="preserve">only in the first six months post IPO. </w:t>
      </w:r>
      <w:r w:rsidR="00FD0A98" w:rsidRPr="00CE6819">
        <w:rPr>
          <w:rStyle w:val="tlid-translation"/>
          <w:sz w:val="24"/>
          <w:szCs w:val="24"/>
          <w:lang w:val="en"/>
        </w:rPr>
        <w:t>Being</w:t>
      </w:r>
      <w:r w:rsidRPr="00CE6819">
        <w:rPr>
          <w:rStyle w:val="tlid-translation"/>
          <w:sz w:val="24"/>
          <w:szCs w:val="24"/>
          <w:lang w:val="en"/>
        </w:rPr>
        <w:t xml:space="preserve"> in </w:t>
      </w:r>
      <w:r w:rsidRPr="00CE6819">
        <w:rPr>
          <w:rStyle w:val="tlid-translation"/>
          <w:b/>
          <w:bCs/>
          <w:sz w:val="24"/>
          <w:szCs w:val="24"/>
          <w:lang w:val="en"/>
        </w:rPr>
        <w:t>Phase I</w:t>
      </w:r>
      <w:r w:rsidRPr="00CE6819">
        <w:rPr>
          <w:rStyle w:val="tlid-translation"/>
          <w:sz w:val="24"/>
          <w:szCs w:val="24"/>
          <w:lang w:val="en"/>
        </w:rPr>
        <w:t xml:space="preserve"> had a negative impact on large </w:t>
      </w:r>
      <w:r w:rsidR="00DF1DA4" w:rsidRPr="00CE6819">
        <w:rPr>
          <w:rStyle w:val="tlid-translation"/>
          <w:sz w:val="24"/>
          <w:szCs w:val="24"/>
          <w:lang w:val="en"/>
        </w:rPr>
        <w:t>firms</w:t>
      </w:r>
      <w:r w:rsidRPr="00CE6819">
        <w:rPr>
          <w:rStyle w:val="tlid-translation"/>
          <w:sz w:val="24"/>
          <w:szCs w:val="24"/>
          <w:lang w:val="en"/>
        </w:rPr>
        <w:t xml:space="preserve"> in the first </w:t>
      </w:r>
      <w:r w:rsidR="00DF1DA4" w:rsidRPr="00CE6819">
        <w:rPr>
          <w:rStyle w:val="tlid-translation"/>
          <w:sz w:val="24"/>
          <w:szCs w:val="24"/>
          <w:lang w:val="en"/>
        </w:rPr>
        <w:t>six months</w:t>
      </w:r>
      <w:r w:rsidRPr="00CE6819">
        <w:rPr>
          <w:rStyle w:val="tlid-translation"/>
          <w:sz w:val="24"/>
          <w:szCs w:val="24"/>
          <w:lang w:val="en"/>
        </w:rPr>
        <w:t xml:space="preserve"> after the IPO, but 18 months after the IPO, a positive effect was found for small </w:t>
      </w:r>
      <w:r w:rsidR="00DF1DA4" w:rsidRPr="00CE6819">
        <w:rPr>
          <w:rStyle w:val="tlid-translation"/>
          <w:sz w:val="24"/>
          <w:szCs w:val="24"/>
          <w:lang w:val="en"/>
        </w:rPr>
        <w:t>firms</w:t>
      </w:r>
      <w:r w:rsidRPr="00CE6819">
        <w:rPr>
          <w:rStyle w:val="tlid-translation"/>
          <w:sz w:val="24"/>
          <w:szCs w:val="24"/>
          <w:lang w:val="en"/>
        </w:rPr>
        <w:t xml:space="preserve">. We suggest that </w:t>
      </w:r>
      <w:r w:rsidR="00DF1DA4" w:rsidRPr="00CE6819">
        <w:rPr>
          <w:rStyle w:val="tlid-translation"/>
          <w:sz w:val="24"/>
          <w:szCs w:val="24"/>
          <w:lang w:val="en"/>
        </w:rPr>
        <w:t>firms</w:t>
      </w:r>
      <w:r w:rsidRPr="00CE6819">
        <w:rPr>
          <w:rStyle w:val="tlid-translation"/>
          <w:sz w:val="24"/>
          <w:szCs w:val="24"/>
          <w:lang w:val="en"/>
        </w:rPr>
        <w:t xml:space="preserve"> that are in Phase I </w:t>
      </w:r>
      <w:r w:rsidR="00DF1DA4" w:rsidRPr="00CE6819">
        <w:rPr>
          <w:rStyle w:val="tlid-translation"/>
          <w:sz w:val="24"/>
          <w:szCs w:val="24"/>
          <w:lang w:val="en"/>
        </w:rPr>
        <w:t>at</w:t>
      </w:r>
      <w:r w:rsidRPr="00CE6819">
        <w:rPr>
          <w:rStyle w:val="tlid-translation"/>
          <w:sz w:val="24"/>
          <w:szCs w:val="24"/>
          <w:lang w:val="en"/>
        </w:rPr>
        <w:t xml:space="preserve"> the</w:t>
      </w:r>
      <w:r w:rsidR="00DF1DA4" w:rsidRPr="00CE6819">
        <w:rPr>
          <w:rStyle w:val="tlid-translation"/>
          <w:sz w:val="24"/>
          <w:szCs w:val="24"/>
          <w:lang w:val="en"/>
        </w:rPr>
        <w:t xml:space="preserve"> time of the</w:t>
      </w:r>
      <w:r w:rsidRPr="00CE6819">
        <w:rPr>
          <w:rStyle w:val="tlid-translation"/>
          <w:sz w:val="24"/>
          <w:szCs w:val="24"/>
          <w:lang w:val="en"/>
        </w:rPr>
        <w:t xml:space="preserve"> IPO may reach more advanced stages after a year and a half. </w:t>
      </w:r>
      <w:r w:rsidR="00DF1DA4" w:rsidRPr="00CE6819">
        <w:rPr>
          <w:rStyle w:val="tlid-translation"/>
          <w:sz w:val="24"/>
          <w:szCs w:val="24"/>
          <w:lang w:val="en"/>
        </w:rPr>
        <w:t>Being</w:t>
      </w:r>
      <w:r w:rsidRPr="00CE6819">
        <w:rPr>
          <w:rStyle w:val="tlid-translation"/>
          <w:sz w:val="24"/>
          <w:szCs w:val="24"/>
          <w:lang w:val="en"/>
        </w:rPr>
        <w:t xml:space="preserve"> at the </w:t>
      </w:r>
      <w:r w:rsidRPr="00CE6819">
        <w:rPr>
          <w:rStyle w:val="tlid-translation"/>
          <w:b/>
          <w:bCs/>
          <w:sz w:val="24"/>
          <w:szCs w:val="24"/>
          <w:lang w:val="en"/>
        </w:rPr>
        <w:t>market stage</w:t>
      </w:r>
      <w:r w:rsidRPr="00CE6819">
        <w:rPr>
          <w:rStyle w:val="tlid-translation"/>
          <w:sz w:val="24"/>
          <w:szCs w:val="24"/>
          <w:lang w:val="en"/>
        </w:rPr>
        <w:t>,</w:t>
      </w:r>
      <w:r w:rsidR="00E50E68" w:rsidRPr="00CE6819">
        <w:rPr>
          <w:rStyle w:val="tlid-translation"/>
          <w:sz w:val="24"/>
          <w:szCs w:val="24"/>
          <w:lang w:val="en"/>
        </w:rPr>
        <w:t xml:space="preserve"> in the first six months after the IPO seems relevant only for small firms</w:t>
      </w:r>
      <w:r w:rsidR="00001B83" w:rsidRPr="00CE6819">
        <w:rPr>
          <w:rStyle w:val="tlid-translation"/>
          <w:sz w:val="24"/>
          <w:szCs w:val="24"/>
          <w:lang w:val="en"/>
        </w:rPr>
        <w:t xml:space="preserve"> and have a positive effect</w:t>
      </w:r>
      <w:r w:rsidR="00E50E68" w:rsidRPr="00CE6819">
        <w:rPr>
          <w:rStyle w:val="tlid-translation"/>
          <w:sz w:val="24"/>
          <w:szCs w:val="24"/>
          <w:lang w:val="en"/>
        </w:rPr>
        <w:t xml:space="preserve">, after a year it </w:t>
      </w:r>
      <w:r w:rsidR="00001B83" w:rsidRPr="00CE6819">
        <w:rPr>
          <w:rStyle w:val="tlid-translation"/>
          <w:sz w:val="24"/>
          <w:szCs w:val="24"/>
          <w:lang w:val="en"/>
        </w:rPr>
        <w:t xml:space="preserve">stay positive and </w:t>
      </w:r>
      <w:r w:rsidR="00E50E68" w:rsidRPr="00CE6819">
        <w:rPr>
          <w:rStyle w:val="tlid-translation"/>
          <w:sz w:val="24"/>
          <w:szCs w:val="24"/>
          <w:lang w:val="en"/>
        </w:rPr>
        <w:t>becomes significant for the entire sample</w:t>
      </w:r>
      <w:r w:rsidRPr="00CE6819">
        <w:rPr>
          <w:rStyle w:val="tlid-translation"/>
          <w:sz w:val="24"/>
          <w:szCs w:val="24"/>
          <w:lang w:val="en"/>
        </w:rPr>
        <w:t xml:space="preserve">, </w:t>
      </w:r>
      <w:r w:rsidR="002E4900" w:rsidRPr="00CE6819">
        <w:rPr>
          <w:rStyle w:val="tlid-translation"/>
          <w:sz w:val="24"/>
          <w:szCs w:val="24"/>
          <w:lang w:val="en"/>
        </w:rPr>
        <w:t xml:space="preserve">probably </w:t>
      </w:r>
      <w:r w:rsidR="00E50E68" w:rsidRPr="00CE6819">
        <w:rPr>
          <w:rStyle w:val="tlid-translation"/>
          <w:sz w:val="24"/>
          <w:szCs w:val="24"/>
          <w:lang w:val="en"/>
        </w:rPr>
        <w:t>because of the small firms. eighteen months from IPO it still ha</w:t>
      </w:r>
      <w:r w:rsidR="002E4900" w:rsidRPr="00CE6819">
        <w:rPr>
          <w:rStyle w:val="tlid-translation"/>
          <w:sz w:val="24"/>
          <w:szCs w:val="24"/>
          <w:lang w:val="en"/>
        </w:rPr>
        <w:t xml:space="preserve">s </w:t>
      </w:r>
      <w:r w:rsidR="00E50E68" w:rsidRPr="00CE6819">
        <w:rPr>
          <w:rStyle w:val="tlid-translation"/>
          <w:sz w:val="24"/>
          <w:szCs w:val="24"/>
          <w:lang w:val="en"/>
        </w:rPr>
        <w:t>positive effect on small firms</w:t>
      </w:r>
      <w:r w:rsidRPr="00CE6819">
        <w:rPr>
          <w:rStyle w:val="tlid-translation"/>
          <w:sz w:val="24"/>
          <w:szCs w:val="24"/>
          <w:lang w:val="en"/>
        </w:rPr>
        <w:t xml:space="preserve">, but </w:t>
      </w:r>
      <w:r w:rsidR="00E50E68" w:rsidRPr="00CE6819">
        <w:rPr>
          <w:rStyle w:val="tlid-translation"/>
          <w:sz w:val="24"/>
          <w:szCs w:val="24"/>
          <w:lang w:val="en"/>
        </w:rPr>
        <w:t xml:space="preserve">surprisingly </w:t>
      </w:r>
      <w:r w:rsidRPr="00CE6819">
        <w:rPr>
          <w:rStyle w:val="tlid-translation"/>
          <w:sz w:val="24"/>
          <w:szCs w:val="24"/>
          <w:lang w:val="en"/>
        </w:rPr>
        <w:t>negative</w:t>
      </w:r>
      <w:r w:rsidR="00E50E68" w:rsidRPr="00CE6819">
        <w:rPr>
          <w:rStyle w:val="tlid-translation"/>
          <w:sz w:val="24"/>
          <w:szCs w:val="24"/>
          <w:lang w:val="en"/>
        </w:rPr>
        <w:t xml:space="preserve"> </w:t>
      </w:r>
      <w:r w:rsidR="002E4900" w:rsidRPr="00CE6819">
        <w:rPr>
          <w:rStyle w:val="tlid-translation"/>
          <w:sz w:val="24"/>
          <w:szCs w:val="24"/>
          <w:lang w:val="en"/>
        </w:rPr>
        <w:t xml:space="preserve">effect </w:t>
      </w:r>
      <w:r w:rsidR="00E50E68" w:rsidRPr="00CE6819">
        <w:rPr>
          <w:rStyle w:val="tlid-translation"/>
          <w:sz w:val="24"/>
          <w:szCs w:val="24"/>
          <w:lang w:val="en"/>
        </w:rPr>
        <w:t>for the large ones</w:t>
      </w:r>
      <w:r w:rsidRPr="00CE6819">
        <w:rPr>
          <w:rStyle w:val="tlid-translation"/>
          <w:sz w:val="24"/>
          <w:szCs w:val="24"/>
          <w:lang w:val="en"/>
        </w:rPr>
        <w:t>. For small companies, the effect increased over the years from 0.55 to 1.1 and 2.25 at 6, 12 and 18 months after the IPO</w:t>
      </w:r>
      <w:r w:rsidR="00F843D3">
        <w:rPr>
          <w:rStyle w:val="tlid-translation"/>
          <w:sz w:val="24"/>
          <w:szCs w:val="24"/>
          <w:lang w:val="en"/>
        </w:rPr>
        <w:t xml:space="preserve"> respectively</w:t>
      </w:r>
      <w:r w:rsidRPr="00CE6819">
        <w:rPr>
          <w:rStyle w:val="tlid-translation"/>
          <w:sz w:val="24"/>
          <w:szCs w:val="24"/>
          <w:lang w:val="en"/>
        </w:rPr>
        <w:t xml:space="preserve">. Probably </w:t>
      </w:r>
      <w:r w:rsidR="002E4900" w:rsidRPr="00CE6819">
        <w:rPr>
          <w:rStyle w:val="tlid-translation"/>
          <w:sz w:val="24"/>
          <w:szCs w:val="24"/>
          <w:lang w:val="en"/>
        </w:rPr>
        <w:t>due to</w:t>
      </w:r>
      <w:r w:rsidRPr="00CE6819">
        <w:rPr>
          <w:rStyle w:val="tlid-translation"/>
          <w:sz w:val="24"/>
          <w:szCs w:val="24"/>
          <w:lang w:val="en"/>
        </w:rPr>
        <w:t xml:space="preserve"> </w:t>
      </w:r>
      <w:r w:rsidR="002E4900" w:rsidRPr="00CE6819">
        <w:rPr>
          <w:rStyle w:val="tlid-translation"/>
          <w:sz w:val="24"/>
          <w:szCs w:val="24"/>
          <w:lang w:val="en"/>
        </w:rPr>
        <w:t xml:space="preserve">increasing sales </w:t>
      </w:r>
      <w:r w:rsidRPr="00CE6819">
        <w:rPr>
          <w:rStyle w:val="tlid-translation"/>
          <w:sz w:val="24"/>
          <w:szCs w:val="24"/>
          <w:lang w:val="en"/>
        </w:rPr>
        <w:t>over time.</w:t>
      </w:r>
      <w:r w:rsidR="006739DE" w:rsidRPr="00CE6819">
        <w:rPr>
          <w:sz w:val="24"/>
          <w:szCs w:val="24"/>
          <w:lang w:val="en"/>
        </w:rPr>
        <w:t xml:space="preserve"> </w:t>
      </w:r>
      <w:r w:rsidR="006739DE" w:rsidRPr="00CE6819">
        <w:rPr>
          <w:rStyle w:val="tlid-translation"/>
          <w:sz w:val="24"/>
          <w:szCs w:val="24"/>
          <w:lang w:val="en"/>
        </w:rPr>
        <w:t xml:space="preserve">These results prove </w:t>
      </w:r>
      <w:r w:rsidR="006739DE" w:rsidRPr="00CE6819">
        <w:rPr>
          <w:rStyle w:val="tlid-translation"/>
          <w:b/>
          <w:bCs/>
          <w:sz w:val="24"/>
          <w:szCs w:val="24"/>
          <w:lang w:val="en"/>
        </w:rPr>
        <w:t>hypothesis</w:t>
      </w:r>
      <w:r w:rsidR="006739DE" w:rsidRPr="00CE6819">
        <w:rPr>
          <w:b/>
          <w:bCs/>
          <w:sz w:val="24"/>
          <w:szCs w:val="24"/>
          <w:lang w:val="en"/>
        </w:rPr>
        <w:t xml:space="preserve"> H5.</w:t>
      </w:r>
    </w:p>
    <w:p w14:paraId="2EFADF17" w14:textId="155464B2" w:rsidR="001C39A5" w:rsidRPr="00CE6819" w:rsidRDefault="001C39A5" w:rsidP="00F843D3">
      <w:pPr>
        <w:bidi w:val="0"/>
        <w:spacing w:line="360" w:lineRule="auto"/>
        <w:rPr>
          <w:b/>
          <w:bCs/>
          <w:sz w:val="24"/>
          <w:szCs w:val="24"/>
          <w:lang w:val="en"/>
        </w:rPr>
      </w:pPr>
      <w:r w:rsidRPr="00CE6819">
        <w:rPr>
          <w:rStyle w:val="tlid-translation"/>
          <w:sz w:val="24"/>
          <w:szCs w:val="24"/>
          <w:lang w:val="en"/>
        </w:rPr>
        <w:t xml:space="preserve">The </w:t>
      </w:r>
      <w:r w:rsidRPr="00CE6819">
        <w:rPr>
          <w:rStyle w:val="tlid-translation"/>
          <w:b/>
          <w:bCs/>
          <w:sz w:val="24"/>
          <w:szCs w:val="24"/>
          <w:lang w:val="en"/>
        </w:rPr>
        <w:t>total number of products</w:t>
      </w:r>
      <w:r w:rsidRPr="00CE6819">
        <w:rPr>
          <w:rStyle w:val="tlid-translation"/>
          <w:sz w:val="24"/>
          <w:szCs w:val="24"/>
          <w:lang w:val="en"/>
        </w:rPr>
        <w:t xml:space="preserve"> was found to be irrelevant in explaining (abnormal) return and therefore is not included in the reduced model. Hereby the first half of Hypothesis </w:t>
      </w:r>
      <w:r w:rsidRPr="00CE6819">
        <w:rPr>
          <w:rStyle w:val="tlid-translation"/>
          <w:b/>
          <w:bCs/>
          <w:sz w:val="24"/>
          <w:szCs w:val="24"/>
          <w:lang w:val="en"/>
        </w:rPr>
        <w:t>H6</w:t>
      </w:r>
      <w:r w:rsidRPr="00CE6819">
        <w:rPr>
          <w:rStyle w:val="tlid-translation"/>
          <w:sz w:val="24"/>
          <w:szCs w:val="24"/>
          <w:lang w:val="en"/>
        </w:rPr>
        <w:t xml:space="preserve"> was rejected. The number of products in </w:t>
      </w:r>
      <w:r w:rsidRPr="00CE6819">
        <w:rPr>
          <w:rStyle w:val="tlid-translation"/>
          <w:b/>
          <w:bCs/>
          <w:sz w:val="24"/>
          <w:szCs w:val="24"/>
          <w:lang w:val="en"/>
        </w:rPr>
        <w:t>Phase II</w:t>
      </w:r>
      <w:r w:rsidRPr="00CE6819">
        <w:rPr>
          <w:rStyle w:val="tlid-translation"/>
          <w:sz w:val="24"/>
          <w:szCs w:val="24"/>
          <w:lang w:val="en"/>
        </w:rPr>
        <w:t xml:space="preserve"> was found to have a positive effect on the one-year return after the IPO for the entire sample and for the small firms. The number of products in </w:t>
      </w:r>
      <w:r w:rsidRPr="00CE6819">
        <w:rPr>
          <w:rStyle w:val="tlid-translation"/>
          <w:b/>
          <w:bCs/>
          <w:sz w:val="24"/>
          <w:szCs w:val="24"/>
          <w:lang w:val="en"/>
        </w:rPr>
        <w:t>Phase III</w:t>
      </w:r>
      <w:r w:rsidRPr="00CE6819">
        <w:rPr>
          <w:rStyle w:val="tlid-translation"/>
          <w:sz w:val="24"/>
          <w:szCs w:val="24"/>
          <w:lang w:val="en"/>
        </w:rPr>
        <w:t xml:space="preserve"> was found to have a positive effect on the entire sample </w:t>
      </w:r>
      <w:r w:rsidR="000A6EAE" w:rsidRPr="00CE6819">
        <w:rPr>
          <w:rStyle w:val="tlid-translation"/>
          <w:sz w:val="24"/>
          <w:szCs w:val="24"/>
          <w:lang w:val="en"/>
        </w:rPr>
        <w:t xml:space="preserve">twelve- and eighteen-months post </w:t>
      </w:r>
      <w:r w:rsidRPr="00CE6819">
        <w:rPr>
          <w:rStyle w:val="tlid-translation"/>
          <w:sz w:val="24"/>
          <w:szCs w:val="24"/>
          <w:lang w:val="en"/>
        </w:rPr>
        <w:t xml:space="preserve">IPO. In view of the time passed from the IPO day, </w:t>
      </w:r>
      <w:r w:rsidR="000A6EAE" w:rsidRPr="00CE6819">
        <w:rPr>
          <w:rStyle w:val="tlid-translation"/>
          <w:sz w:val="24"/>
          <w:szCs w:val="24"/>
          <w:lang w:val="en"/>
        </w:rPr>
        <w:t xml:space="preserve">it is likely that </w:t>
      </w:r>
      <w:r w:rsidRPr="00CE6819">
        <w:rPr>
          <w:rStyle w:val="tlid-translation"/>
          <w:sz w:val="24"/>
          <w:szCs w:val="24"/>
          <w:lang w:val="en"/>
        </w:rPr>
        <w:t>some of the</w:t>
      </w:r>
      <w:r w:rsidR="000A6EAE" w:rsidRPr="00CE6819">
        <w:rPr>
          <w:rStyle w:val="tlid-translation"/>
          <w:sz w:val="24"/>
          <w:szCs w:val="24"/>
          <w:lang w:val="en"/>
        </w:rPr>
        <w:t>se</w:t>
      </w:r>
      <w:r w:rsidRPr="00CE6819">
        <w:rPr>
          <w:rStyle w:val="tlid-translation"/>
          <w:sz w:val="24"/>
          <w:szCs w:val="24"/>
          <w:lang w:val="en"/>
        </w:rPr>
        <w:t xml:space="preserve"> products reached the market stage and therefore a positive effect is observed. Therefore, the second part of Hypothesis </w:t>
      </w:r>
      <w:r w:rsidR="000A6EAE" w:rsidRPr="00CE6819">
        <w:rPr>
          <w:rStyle w:val="tlid-translation"/>
          <w:b/>
          <w:bCs/>
          <w:sz w:val="24"/>
          <w:szCs w:val="24"/>
          <w:lang w:val="en"/>
        </w:rPr>
        <w:t>H6</w:t>
      </w:r>
      <w:r w:rsidRPr="00CE6819">
        <w:rPr>
          <w:rStyle w:val="tlid-translation"/>
          <w:sz w:val="24"/>
          <w:szCs w:val="24"/>
          <w:lang w:val="en"/>
        </w:rPr>
        <w:t xml:space="preserve"> </w:t>
      </w:r>
      <w:r w:rsidR="00F843D3">
        <w:rPr>
          <w:rStyle w:val="tlid-translation"/>
          <w:sz w:val="24"/>
          <w:szCs w:val="24"/>
          <w:lang w:val="en"/>
        </w:rPr>
        <w:t>wa</w:t>
      </w:r>
      <w:r w:rsidRPr="00CE6819">
        <w:rPr>
          <w:rStyle w:val="tlid-translation"/>
          <w:sz w:val="24"/>
          <w:szCs w:val="24"/>
          <w:lang w:val="en"/>
        </w:rPr>
        <w:t>s proved.</w:t>
      </w:r>
      <w:r w:rsidR="00F843D3">
        <w:rPr>
          <w:sz w:val="24"/>
          <w:szCs w:val="24"/>
          <w:lang w:val="en"/>
        </w:rPr>
        <w:t xml:space="preserve"> </w:t>
      </w:r>
      <w:r w:rsidR="00EE67BA" w:rsidRPr="00CE6819">
        <w:rPr>
          <w:rStyle w:val="tlid-translation"/>
          <w:sz w:val="24"/>
          <w:szCs w:val="24"/>
          <w:lang w:val="en"/>
        </w:rPr>
        <w:t xml:space="preserve">Next, it has been found that engaging </w:t>
      </w:r>
      <w:r w:rsidRPr="00CE6819">
        <w:rPr>
          <w:rStyle w:val="tlid-translation"/>
          <w:sz w:val="24"/>
          <w:szCs w:val="24"/>
          <w:lang w:val="en"/>
        </w:rPr>
        <w:t xml:space="preserve">to the therapeutic </w:t>
      </w:r>
      <w:r w:rsidR="00EE67BA" w:rsidRPr="00CE6819">
        <w:rPr>
          <w:rStyle w:val="tlid-translation"/>
          <w:sz w:val="24"/>
          <w:szCs w:val="24"/>
          <w:lang w:val="en"/>
        </w:rPr>
        <w:t>areas</w:t>
      </w:r>
      <w:r w:rsidRPr="00CE6819">
        <w:rPr>
          <w:rStyle w:val="tlid-translation"/>
          <w:sz w:val="24"/>
          <w:szCs w:val="24"/>
          <w:lang w:val="en"/>
        </w:rPr>
        <w:t xml:space="preserve"> </w:t>
      </w:r>
      <w:r w:rsidR="00EE67BA" w:rsidRPr="00CE6819">
        <w:rPr>
          <w:rStyle w:val="tlid-translation"/>
          <w:sz w:val="24"/>
          <w:szCs w:val="24"/>
          <w:lang w:val="en"/>
        </w:rPr>
        <w:t xml:space="preserve">of </w:t>
      </w:r>
      <w:r w:rsidR="00EE67BA" w:rsidRPr="00CE6819">
        <w:rPr>
          <w:rStyle w:val="tlid-translation"/>
          <w:b/>
          <w:bCs/>
          <w:sz w:val="24"/>
          <w:szCs w:val="24"/>
          <w:lang w:val="en"/>
        </w:rPr>
        <w:t>cancer and heart</w:t>
      </w:r>
      <w:r w:rsidR="00EE67BA" w:rsidRPr="00CE6819">
        <w:rPr>
          <w:rStyle w:val="tlid-translation"/>
          <w:sz w:val="24"/>
          <w:szCs w:val="24"/>
          <w:lang w:val="en"/>
        </w:rPr>
        <w:t xml:space="preserve"> disease, </w:t>
      </w:r>
      <w:r w:rsidRPr="00CE6819">
        <w:rPr>
          <w:rStyle w:val="tlid-translation"/>
          <w:sz w:val="24"/>
          <w:szCs w:val="24"/>
          <w:lang w:val="en"/>
        </w:rPr>
        <w:t xml:space="preserve">has no effect on the </w:t>
      </w:r>
      <w:r w:rsidR="00EE67BA" w:rsidRPr="00CE6819">
        <w:rPr>
          <w:rStyle w:val="tlid-translation"/>
          <w:sz w:val="24"/>
          <w:szCs w:val="24"/>
          <w:lang w:val="en"/>
        </w:rPr>
        <w:t>(abnormal) return</w:t>
      </w:r>
      <w:r w:rsidRPr="00CE6819">
        <w:rPr>
          <w:rStyle w:val="tlid-translation"/>
          <w:sz w:val="24"/>
          <w:szCs w:val="24"/>
          <w:lang w:val="en"/>
        </w:rPr>
        <w:t xml:space="preserve">. Hereby Hypothesis </w:t>
      </w:r>
      <w:r w:rsidR="00EE67BA" w:rsidRPr="00CE6819">
        <w:rPr>
          <w:rStyle w:val="tlid-translation"/>
          <w:b/>
          <w:bCs/>
          <w:sz w:val="24"/>
          <w:szCs w:val="24"/>
          <w:lang w:val="en"/>
        </w:rPr>
        <w:t>H7</w:t>
      </w:r>
      <w:r w:rsidRPr="00CE6819">
        <w:rPr>
          <w:rStyle w:val="tlid-translation"/>
          <w:sz w:val="24"/>
          <w:szCs w:val="24"/>
          <w:lang w:val="en"/>
        </w:rPr>
        <w:t xml:space="preserve"> was rejected</w:t>
      </w:r>
      <w:r w:rsidR="00EC3C7C" w:rsidRPr="00CE6819">
        <w:rPr>
          <w:b/>
          <w:bCs/>
          <w:sz w:val="24"/>
          <w:szCs w:val="24"/>
          <w:lang w:val="en"/>
        </w:rPr>
        <w:t>.</w:t>
      </w:r>
      <w:r w:rsidR="00F843D3">
        <w:rPr>
          <w:b/>
          <w:bCs/>
          <w:sz w:val="24"/>
          <w:szCs w:val="24"/>
          <w:lang w:val="en"/>
        </w:rPr>
        <w:t xml:space="preserve"> </w:t>
      </w:r>
    </w:p>
    <w:p w14:paraId="510FFA72" w14:textId="61A7BC28" w:rsidR="001C39A5" w:rsidRPr="00F843D3" w:rsidRDefault="00EC3C7C" w:rsidP="00D01F96">
      <w:pPr>
        <w:bidi w:val="0"/>
        <w:spacing w:line="360" w:lineRule="auto"/>
        <w:rPr>
          <w:b/>
          <w:bCs/>
          <w:sz w:val="24"/>
          <w:szCs w:val="24"/>
          <w:lang w:val="en"/>
        </w:rPr>
      </w:pPr>
      <w:r w:rsidRPr="00CE6819">
        <w:rPr>
          <w:rStyle w:val="tlid-translation"/>
          <w:sz w:val="24"/>
          <w:szCs w:val="24"/>
          <w:lang w:val="en"/>
        </w:rPr>
        <w:t>Lastly, to examine hypothesis H8, we compared the average share price for each subsample at different time points after the IPO. The results are shown in Table 5</w:t>
      </w:r>
      <w:r w:rsidR="00F843D3">
        <w:rPr>
          <w:b/>
          <w:bCs/>
          <w:sz w:val="24"/>
          <w:szCs w:val="24"/>
          <w:lang w:val="en"/>
        </w:rPr>
        <w:t>.</w:t>
      </w:r>
    </w:p>
    <w:p w14:paraId="28B6B25D" w14:textId="77777777" w:rsidR="00EC3C7C" w:rsidRPr="00CE6819" w:rsidRDefault="00EC3C7C" w:rsidP="00D01F96">
      <w:pPr>
        <w:bidi w:val="0"/>
        <w:rPr>
          <w:sz w:val="24"/>
          <w:szCs w:val="24"/>
        </w:rPr>
      </w:pPr>
      <w:r w:rsidRPr="00CE6819">
        <w:rPr>
          <w:sz w:val="24"/>
          <w:szCs w:val="24"/>
        </w:rPr>
        <w:t xml:space="preserve">Table 5: </w:t>
      </w:r>
      <w:r w:rsidRPr="00CE6819">
        <w:rPr>
          <w:rFonts w:ascii="Arial" w:eastAsia="Times New Roman" w:hAnsi="Arial" w:cs="Arial"/>
          <w:color w:val="000000"/>
          <w:sz w:val="24"/>
          <w:szCs w:val="24"/>
        </w:rPr>
        <w:t>Average Share Price</w:t>
      </w:r>
      <w:r w:rsidRPr="00CE6819">
        <w:rPr>
          <w:sz w:val="24"/>
          <w:szCs w:val="24"/>
        </w:rPr>
        <w:t xml:space="preserve"> </w:t>
      </w:r>
    </w:p>
    <w:tbl>
      <w:tblPr>
        <w:tblW w:w="6663" w:type="dxa"/>
        <w:tblInd w:w="-15" w:type="dxa"/>
        <w:tblLook w:val="04A0" w:firstRow="1" w:lastRow="0" w:firstColumn="1" w:lastColumn="0" w:noHBand="0" w:noVBand="1"/>
      </w:tblPr>
      <w:tblGrid>
        <w:gridCol w:w="1418"/>
        <w:gridCol w:w="1843"/>
        <w:gridCol w:w="1701"/>
        <w:gridCol w:w="1701"/>
      </w:tblGrid>
      <w:tr w:rsidR="00EC3C7C" w:rsidRPr="00CE6819" w14:paraId="5E6E5530" w14:textId="77777777" w:rsidTr="003026A0">
        <w:trPr>
          <w:trHeight w:val="315"/>
        </w:trPr>
        <w:tc>
          <w:tcPr>
            <w:tcW w:w="1418" w:type="dxa"/>
            <w:tcBorders>
              <w:top w:val="single" w:sz="12" w:space="0" w:color="auto"/>
              <w:left w:val="single" w:sz="12" w:space="0" w:color="auto"/>
              <w:bottom w:val="single" w:sz="12" w:space="0" w:color="auto"/>
              <w:right w:val="nil"/>
            </w:tcBorders>
            <w:shd w:val="clear" w:color="auto" w:fill="auto"/>
            <w:noWrap/>
            <w:vAlign w:val="bottom"/>
            <w:hideMark/>
          </w:tcPr>
          <w:p w14:paraId="07718723" w14:textId="77777777" w:rsidR="00EC3C7C" w:rsidRPr="00CC6488" w:rsidRDefault="00EC3C7C" w:rsidP="00D01F96">
            <w:pPr>
              <w:bidi w:val="0"/>
              <w:spacing w:after="0" w:line="240" w:lineRule="auto"/>
              <w:rPr>
                <w:rFonts w:ascii="Arial" w:eastAsia="Times New Roman" w:hAnsi="Arial" w:cs="Arial"/>
                <w:color w:val="000000"/>
                <w:sz w:val="20"/>
                <w:szCs w:val="20"/>
              </w:rPr>
            </w:pPr>
            <w:r w:rsidRPr="00CC6488">
              <w:rPr>
                <w:rFonts w:ascii="Arial" w:eastAsia="Times New Roman" w:hAnsi="Arial" w:cs="Arial"/>
                <w:color w:val="000000"/>
                <w:sz w:val="20"/>
                <w:szCs w:val="20"/>
              </w:rPr>
              <w:t> </w:t>
            </w:r>
          </w:p>
        </w:tc>
        <w:tc>
          <w:tcPr>
            <w:tcW w:w="1843" w:type="dxa"/>
            <w:tcBorders>
              <w:top w:val="single" w:sz="12" w:space="0" w:color="auto"/>
              <w:left w:val="single" w:sz="12" w:space="0" w:color="auto"/>
              <w:bottom w:val="single" w:sz="12" w:space="0" w:color="auto"/>
              <w:right w:val="nil"/>
            </w:tcBorders>
            <w:shd w:val="clear" w:color="auto" w:fill="auto"/>
            <w:noWrap/>
            <w:vAlign w:val="bottom"/>
            <w:hideMark/>
          </w:tcPr>
          <w:p w14:paraId="2959F134" w14:textId="77777777" w:rsidR="00EC3C7C" w:rsidRPr="00CC6488" w:rsidRDefault="00EC3C7C" w:rsidP="00D01F96">
            <w:pPr>
              <w:bidi w:val="0"/>
              <w:spacing w:after="0" w:line="240" w:lineRule="auto"/>
              <w:jc w:val="center"/>
              <w:rPr>
                <w:rFonts w:ascii="Arial" w:eastAsia="Times New Roman" w:hAnsi="Arial" w:cs="Arial"/>
                <w:color w:val="000000"/>
                <w:sz w:val="20"/>
                <w:szCs w:val="20"/>
              </w:rPr>
            </w:pPr>
            <w:r w:rsidRPr="00CC6488">
              <w:rPr>
                <w:rFonts w:ascii="Arial" w:eastAsia="Times New Roman" w:hAnsi="Arial" w:cs="Arial"/>
                <w:color w:val="000000"/>
                <w:sz w:val="20"/>
                <w:szCs w:val="20"/>
              </w:rPr>
              <w:t>MV&lt; $500M</w:t>
            </w:r>
          </w:p>
        </w:tc>
        <w:tc>
          <w:tcPr>
            <w:tcW w:w="1701"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7A872729" w14:textId="77777777" w:rsidR="00EC3C7C" w:rsidRPr="00CC6488" w:rsidRDefault="00EC3C7C" w:rsidP="00D01F96">
            <w:pPr>
              <w:bidi w:val="0"/>
              <w:spacing w:after="0" w:line="240" w:lineRule="auto"/>
              <w:jc w:val="center"/>
              <w:rPr>
                <w:rFonts w:ascii="Arial" w:eastAsia="Times New Roman" w:hAnsi="Arial" w:cs="Arial"/>
                <w:color w:val="000000"/>
                <w:sz w:val="20"/>
                <w:szCs w:val="20"/>
              </w:rPr>
            </w:pPr>
            <w:r w:rsidRPr="00CC6488">
              <w:rPr>
                <w:rFonts w:ascii="Arial" w:eastAsia="Times New Roman" w:hAnsi="Arial" w:cs="Arial"/>
                <w:color w:val="000000"/>
                <w:sz w:val="20"/>
                <w:szCs w:val="20"/>
              </w:rPr>
              <w:t>MV&gt;$500M</w:t>
            </w:r>
          </w:p>
        </w:tc>
        <w:tc>
          <w:tcPr>
            <w:tcW w:w="1701" w:type="dxa"/>
            <w:tcBorders>
              <w:top w:val="single" w:sz="12" w:space="0" w:color="auto"/>
              <w:left w:val="nil"/>
              <w:bottom w:val="single" w:sz="12" w:space="0" w:color="auto"/>
              <w:right w:val="single" w:sz="12" w:space="0" w:color="auto"/>
            </w:tcBorders>
            <w:shd w:val="clear" w:color="auto" w:fill="auto"/>
            <w:noWrap/>
            <w:vAlign w:val="bottom"/>
            <w:hideMark/>
          </w:tcPr>
          <w:p w14:paraId="2DF656D8" w14:textId="77777777" w:rsidR="00EC3C7C" w:rsidRPr="00CC6488" w:rsidRDefault="00EC3C7C" w:rsidP="00D01F96">
            <w:pPr>
              <w:bidi w:val="0"/>
              <w:spacing w:after="0" w:line="240" w:lineRule="auto"/>
              <w:jc w:val="center"/>
              <w:rPr>
                <w:rFonts w:ascii="Arial" w:eastAsia="Times New Roman" w:hAnsi="Arial" w:cs="Arial"/>
                <w:color w:val="000000"/>
                <w:sz w:val="20"/>
                <w:szCs w:val="20"/>
              </w:rPr>
            </w:pPr>
            <w:r w:rsidRPr="00CC6488">
              <w:rPr>
                <w:rFonts w:ascii="Arial" w:eastAsia="Times New Roman" w:hAnsi="Arial" w:cs="Arial"/>
                <w:color w:val="000000"/>
                <w:sz w:val="20"/>
                <w:szCs w:val="20"/>
              </w:rPr>
              <w:t>P-value of Diff</w:t>
            </w:r>
          </w:p>
        </w:tc>
      </w:tr>
      <w:tr w:rsidR="00EC3C7C" w:rsidRPr="00CE6819" w14:paraId="60A9BB3C" w14:textId="77777777" w:rsidTr="003026A0">
        <w:trPr>
          <w:trHeight w:val="300"/>
        </w:trPr>
        <w:tc>
          <w:tcPr>
            <w:tcW w:w="1418" w:type="dxa"/>
            <w:tcBorders>
              <w:top w:val="nil"/>
              <w:left w:val="single" w:sz="12" w:space="0" w:color="auto"/>
              <w:bottom w:val="nil"/>
              <w:right w:val="nil"/>
            </w:tcBorders>
            <w:shd w:val="clear" w:color="auto" w:fill="auto"/>
            <w:noWrap/>
            <w:vAlign w:val="bottom"/>
            <w:hideMark/>
          </w:tcPr>
          <w:p w14:paraId="49C6FF88" w14:textId="77777777" w:rsidR="00EC3C7C" w:rsidRPr="00CC6488" w:rsidRDefault="00EC3C7C" w:rsidP="00D01F96">
            <w:pPr>
              <w:bidi w:val="0"/>
              <w:spacing w:after="0" w:line="240" w:lineRule="auto"/>
              <w:rPr>
                <w:rFonts w:ascii="Arial" w:eastAsia="Times New Roman" w:hAnsi="Arial" w:cs="Arial"/>
                <w:color w:val="000000"/>
                <w:sz w:val="20"/>
                <w:szCs w:val="20"/>
              </w:rPr>
            </w:pPr>
            <w:r w:rsidRPr="00CC6488">
              <w:rPr>
                <w:rFonts w:ascii="Arial" w:eastAsia="Times New Roman" w:hAnsi="Arial" w:cs="Arial"/>
                <w:color w:val="000000"/>
                <w:sz w:val="20"/>
                <w:szCs w:val="20"/>
              </w:rPr>
              <w:t>Day 0</w:t>
            </w:r>
          </w:p>
        </w:tc>
        <w:tc>
          <w:tcPr>
            <w:tcW w:w="1843" w:type="dxa"/>
            <w:tcBorders>
              <w:top w:val="nil"/>
              <w:left w:val="single" w:sz="12" w:space="0" w:color="auto"/>
              <w:bottom w:val="nil"/>
              <w:right w:val="nil"/>
            </w:tcBorders>
            <w:shd w:val="clear" w:color="auto" w:fill="auto"/>
            <w:noWrap/>
            <w:vAlign w:val="bottom"/>
            <w:hideMark/>
          </w:tcPr>
          <w:p w14:paraId="7245F03A" w14:textId="77777777" w:rsidR="00EC3C7C" w:rsidRPr="00CC6488" w:rsidRDefault="00EC3C7C" w:rsidP="00D01F96">
            <w:pPr>
              <w:bidi w:val="0"/>
              <w:spacing w:after="0" w:line="240" w:lineRule="auto"/>
              <w:jc w:val="center"/>
              <w:rPr>
                <w:rFonts w:ascii="Arial" w:eastAsia="Times New Roman" w:hAnsi="Arial" w:cs="Arial"/>
                <w:color w:val="000000"/>
                <w:sz w:val="20"/>
                <w:szCs w:val="20"/>
              </w:rPr>
            </w:pPr>
            <w:r w:rsidRPr="00CC6488">
              <w:rPr>
                <w:rFonts w:ascii="Arial" w:eastAsia="Times New Roman" w:hAnsi="Arial" w:cs="Arial"/>
                <w:color w:val="000000"/>
                <w:sz w:val="20"/>
                <w:szCs w:val="20"/>
              </w:rPr>
              <w:t>15.3</w:t>
            </w:r>
          </w:p>
        </w:tc>
        <w:tc>
          <w:tcPr>
            <w:tcW w:w="1701" w:type="dxa"/>
            <w:tcBorders>
              <w:top w:val="nil"/>
              <w:left w:val="single" w:sz="12" w:space="0" w:color="auto"/>
              <w:bottom w:val="nil"/>
              <w:right w:val="single" w:sz="12" w:space="0" w:color="auto"/>
            </w:tcBorders>
            <w:shd w:val="clear" w:color="auto" w:fill="auto"/>
            <w:noWrap/>
            <w:vAlign w:val="bottom"/>
            <w:hideMark/>
          </w:tcPr>
          <w:p w14:paraId="001DC986" w14:textId="77777777" w:rsidR="00EC3C7C" w:rsidRPr="00CC6488" w:rsidRDefault="00EC3C7C" w:rsidP="00D01F96">
            <w:pPr>
              <w:bidi w:val="0"/>
              <w:spacing w:after="0" w:line="240" w:lineRule="auto"/>
              <w:jc w:val="center"/>
              <w:rPr>
                <w:rFonts w:ascii="Arial" w:eastAsia="Times New Roman" w:hAnsi="Arial" w:cs="Arial"/>
                <w:color w:val="000000"/>
                <w:sz w:val="20"/>
                <w:szCs w:val="20"/>
              </w:rPr>
            </w:pPr>
            <w:r w:rsidRPr="00CC6488">
              <w:rPr>
                <w:rFonts w:ascii="Arial" w:eastAsia="Times New Roman" w:hAnsi="Arial" w:cs="Arial"/>
                <w:color w:val="000000"/>
                <w:sz w:val="20"/>
                <w:szCs w:val="20"/>
              </w:rPr>
              <w:t>21.7</w:t>
            </w:r>
          </w:p>
        </w:tc>
        <w:tc>
          <w:tcPr>
            <w:tcW w:w="1701" w:type="dxa"/>
            <w:tcBorders>
              <w:top w:val="nil"/>
              <w:left w:val="nil"/>
              <w:bottom w:val="nil"/>
              <w:right w:val="single" w:sz="12" w:space="0" w:color="auto"/>
            </w:tcBorders>
            <w:shd w:val="clear" w:color="auto" w:fill="auto"/>
            <w:noWrap/>
            <w:vAlign w:val="bottom"/>
            <w:hideMark/>
          </w:tcPr>
          <w:p w14:paraId="11C8D540" w14:textId="77777777" w:rsidR="00EC3C7C" w:rsidRPr="00CC6488" w:rsidRDefault="00EC3C7C" w:rsidP="00D01F96">
            <w:pPr>
              <w:bidi w:val="0"/>
              <w:spacing w:after="0" w:line="240" w:lineRule="auto"/>
              <w:jc w:val="center"/>
              <w:rPr>
                <w:rFonts w:ascii="Arial" w:eastAsia="Times New Roman" w:hAnsi="Arial" w:cs="Arial"/>
                <w:color w:val="000000"/>
                <w:sz w:val="20"/>
                <w:szCs w:val="20"/>
              </w:rPr>
            </w:pPr>
            <w:r w:rsidRPr="00CC6488">
              <w:rPr>
                <w:rFonts w:ascii="Arial" w:eastAsia="Times New Roman" w:hAnsi="Arial" w:cs="Arial"/>
                <w:color w:val="000000"/>
                <w:sz w:val="20"/>
                <w:szCs w:val="20"/>
              </w:rPr>
              <w:t>&lt;0.01</w:t>
            </w:r>
          </w:p>
        </w:tc>
      </w:tr>
      <w:tr w:rsidR="00EC3C7C" w:rsidRPr="00CE6819" w14:paraId="497506E3" w14:textId="77777777" w:rsidTr="003026A0">
        <w:trPr>
          <w:trHeight w:val="285"/>
        </w:trPr>
        <w:tc>
          <w:tcPr>
            <w:tcW w:w="1418" w:type="dxa"/>
            <w:tcBorders>
              <w:top w:val="nil"/>
              <w:left w:val="single" w:sz="12" w:space="0" w:color="auto"/>
              <w:bottom w:val="nil"/>
              <w:right w:val="nil"/>
            </w:tcBorders>
            <w:shd w:val="clear" w:color="auto" w:fill="auto"/>
            <w:noWrap/>
            <w:vAlign w:val="bottom"/>
            <w:hideMark/>
          </w:tcPr>
          <w:p w14:paraId="6A80E3D6" w14:textId="77777777" w:rsidR="00EC3C7C" w:rsidRPr="00CC6488" w:rsidRDefault="00EC3C7C" w:rsidP="00D01F96">
            <w:pPr>
              <w:bidi w:val="0"/>
              <w:spacing w:after="0" w:line="240" w:lineRule="auto"/>
              <w:rPr>
                <w:rFonts w:ascii="Arial" w:eastAsia="Times New Roman" w:hAnsi="Arial" w:cs="Arial"/>
                <w:color w:val="000000"/>
                <w:sz w:val="20"/>
                <w:szCs w:val="20"/>
              </w:rPr>
            </w:pPr>
            <w:r w:rsidRPr="00CC6488">
              <w:rPr>
                <w:rFonts w:ascii="Arial" w:eastAsia="Times New Roman" w:hAnsi="Arial" w:cs="Arial"/>
                <w:color w:val="000000"/>
                <w:sz w:val="20"/>
                <w:szCs w:val="20"/>
              </w:rPr>
              <w:t>Day 100</w:t>
            </w:r>
          </w:p>
        </w:tc>
        <w:tc>
          <w:tcPr>
            <w:tcW w:w="1843" w:type="dxa"/>
            <w:tcBorders>
              <w:top w:val="nil"/>
              <w:left w:val="single" w:sz="12" w:space="0" w:color="auto"/>
              <w:bottom w:val="nil"/>
              <w:right w:val="nil"/>
            </w:tcBorders>
            <w:shd w:val="clear" w:color="auto" w:fill="auto"/>
            <w:noWrap/>
            <w:vAlign w:val="bottom"/>
            <w:hideMark/>
          </w:tcPr>
          <w:p w14:paraId="6DB18280" w14:textId="77777777" w:rsidR="00EC3C7C" w:rsidRPr="00CC6488" w:rsidRDefault="00EC3C7C" w:rsidP="00D01F96">
            <w:pPr>
              <w:bidi w:val="0"/>
              <w:spacing w:after="0" w:line="240" w:lineRule="auto"/>
              <w:jc w:val="center"/>
              <w:rPr>
                <w:rFonts w:ascii="Arial" w:eastAsia="Times New Roman" w:hAnsi="Arial" w:cs="Arial"/>
                <w:color w:val="000000"/>
                <w:sz w:val="20"/>
                <w:szCs w:val="20"/>
              </w:rPr>
            </w:pPr>
            <w:r w:rsidRPr="00CC6488">
              <w:rPr>
                <w:rFonts w:ascii="Arial" w:eastAsia="Times New Roman" w:hAnsi="Arial" w:cs="Arial"/>
                <w:color w:val="000000"/>
                <w:sz w:val="20"/>
                <w:szCs w:val="20"/>
              </w:rPr>
              <w:t>15.1</w:t>
            </w:r>
          </w:p>
        </w:tc>
        <w:tc>
          <w:tcPr>
            <w:tcW w:w="1701" w:type="dxa"/>
            <w:tcBorders>
              <w:top w:val="nil"/>
              <w:left w:val="single" w:sz="12" w:space="0" w:color="auto"/>
              <w:bottom w:val="nil"/>
              <w:right w:val="single" w:sz="12" w:space="0" w:color="auto"/>
            </w:tcBorders>
            <w:shd w:val="clear" w:color="auto" w:fill="auto"/>
            <w:noWrap/>
            <w:vAlign w:val="bottom"/>
            <w:hideMark/>
          </w:tcPr>
          <w:p w14:paraId="4DE848B5" w14:textId="77777777" w:rsidR="00EC3C7C" w:rsidRPr="00CC6488" w:rsidRDefault="00EC3C7C" w:rsidP="00D01F96">
            <w:pPr>
              <w:bidi w:val="0"/>
              <w:spacing w:after="0" w:line="240" w:lineRule="auto"/>
              <w:jc w:val="center"/>
              <w:rPr>
                <w:rFonts w:ascii="Arial" w:eastAsia="Times New Roman" w:hAnsi="Arial" w:cs="Arial"/>
                <w:color w:val="000000"/>
                <w:sz w:val="20"/>
                <w:szCs w:val="20"/>
              </w:rPr>
            </w:pPr>
            <w:r w:rsidRPr="00CC6488">
              <w:rPr>
                <w:rFonts w:ascii="Arial" w:eastAsia="Times New Roman" w:hAnsi="Arial" w:cs="Arial"/>
                <w:color w:val="000000"/>
                <w:sz w:val="20"/>
                <w:szCs w:val="20"/>
              </w:rPr>
              <w:t>24.7</w:t>
            </w:r>
          </w:p>
        </w:tc>
        <w:tc>
          <w:tcPr>
            <w:tcW w:w="1701" w:type="dxa"/>
            <w:tcBorders>
              <w:top w:val="nil"/>
              <w:left w:val="nil"/>
              <w:bottom w:val="nil"/>
              <w:right w:val="single" w:sz="12" w:space="0" w:color="auto"/>
            </w:tcBorders>
            <w:shd w:val="clear" w:color="auto" w:fill="auto"/>
            <w:noWrap/>
            <w:vAlign w:val="bottom"/>
            <w:hideMark/>
          </w:tcPr>
          <w:p w14:paraId="633A2A48" w14:textId="77777777" w:rsidR="00EC3C7C" w:rsidRPr="00CC6488" w:rsidRDefault="00EC3C7C" w:rsidP="00D01F96">
            <w:pPr>
              <w:bidi w:val="0"/>
              <w:spacing w:after="0" w:line="240" w:lineRule="auto"/>
              <w:jc w:val="center"/>
              <w:rPr>
                <w:rFonts w:ascii="Arial" w:eastAsia="Times New Roman" w:hAnsi="Arial" w:cs="Arial"/>
                <w:color w:val="000000"/>
                <w:sz w:val="20"/>
                <w:szCs w:val="20"/>
              </w:rPr>
            </w:pPr>
            <w:r w:rsidRPr="00CC6488">
              <w:rPr>
                <w:rFonts w:ascii="Arial" w:eastAsia="Times New Roman" w:hAnsi="Arial" w:cs="Arial"/>
                <w:color w:val="000000"/>
                <w:sz w:val="20"/>
                <w:szCs w:val="20"/>
              </w:rPr>
              <w:t>&lt;0.01</w:t>
            </w:r>
          </w:p>
        </w:tc>
      </w:tr>
      <w:tr w:rsidR="00EC3C7C" w:rsidRPr="00CE6819" w14:paraId="712DC1E0" w14:textId="77777777" w:rsidTr="003026A0">
        <w:trPr>
          <w:trHeight w:val="285"/>
        </w:trPr>
        <w:tc>
          <w:tcPr>
            <w:tcW w:w="1418" w:type="dxa"/>
            <w:tcBorders>
              <w:top w:val="nil"/>
              <w:left w:val="single" w:sz="12" w:space="0" w:color="auto"/>
              <w:bottom w:val="nil"/>
              <w:right w:val="nil"/>
            </w:tcBorders>
            <w:shd w:val="clear" w:color="auto" w:fill="auto"/>
            <w:noWrap/>
            <w:vAlign w:val="bottom"/>
            <w:hideMark/>
          </w:tcPr>
          <w:p w14:paraId="29962089" w14:textId="77777777" w:rsidR="00EC3C7C" w:rsidRPr="00CC6488" w:rsidRDefault="00EC3C7C" w:rsidP="00D01F96">
            <w:pPr>
              <w:bidi w:val="0"/>
              <w:spacing w:after="0" w:line="240" w:lineRule="auto"/>
              <w:rPr>
                <w:rFonts w:ascii="Arial" w:eastAsia="Times New Roman" w:hAnsi="Arial" w:cs="Arial"/>
                <w:color w:val="000000"/>
                <w:sz w:val="20"/>
                <w:szCs w:val="20"/>
              </w:rPr>
            </w:pPr>
            <w:r w:rsidRPr="00CC6488">
              <w:rPr>
                <w:rFonts w:ascii="Arial" w:eastAsia="Times New Roman" w:hAnsi="Arial" w:cs="Arial"/>
                <w:color w:val="000000"/>
                <w:sz w:val="20"/>
                <w:szCs w:val="20"/>
              </w:rPr>
              <w:t>Day 200</w:t>
            </w:r>
          </w:p>
        </w:tc>
        <w:tc>
          <w:tcPr>
            <w:tcW w:w="1843" w:type="dxa"/>
            <w:tcBorders>
              <w:top w:val="nil"/>
              <w:left w:val="single" w:sz="12" w:space="0" w:color="auto"/>
              <w:bottom w:val="nil"/>
              <w:right w:val="nil"/>
            </w:tcBorders>
            <w:shd w:val="clear" w:color="auto" w:fill="auto"/>
            <w:noWrap/>
            <w:vAlign w:val="bottom"/>
            <w:hideMark/>
          </w:tcPr>
          <w:p w14:paraId="7F6AFB16" w14:textId="77777777" w:rsidR="00EC3C7C" w:rsidRPr="00CC6488" w:rsidRDefault="00EC3C7C" w:rsidP="00D01F96">
            <w:pPr>
              <w:bidi w:val="0"/>
              <w:spacing w:after="0" w:line="240" w:lineRule="auto"/>
              <w:jc w:val="center"/>
              <w:rPr>
                <w:rFonts w:ascii="Arial" w:eastAsia="Times New Roman" w:hAnsi="Arial" w:cs="Arial"/>
                <w:color w:val="000000"/>
                <w:sz w:val="20"/>
                <w:szCs w:val="20"/>
              </w:rPr>
            </w:pPr>
            <w:r w:rsidRPr="00CC6488">
              <w:rPr>
                <w:rFonts w:ascii="Arial" w:eastAsia="Times New Roman" w:hAnsi="Arial" w:cs="Arial"/>
                <w:color w:val="000000"/>
                <w:sz w:val="20"/>
                <w:szCs w:val="20"/>
              </w:rPr>
              <w:t>13.9</w:t>
            </w:r>
          </w:p>
        </w:tc>
        <w:tc>
          <w:tcPr>
            <w:tcW w:w="1701" w:type="dxa"/>
            <w:tcBorders>
              <w:top w:val="nil"/>
              <w:left w:val="single" w:sz="12" w:space="0" w:color="auto"/>
              <w:bottom w:val="nil"/>
              <w:right w:val="single" w:sz="12" w:space="0" w:color="auto"/>
            </w:tcBorders>
            <w:shd w:val="clear" w:color="auto" w:fill="auto"/>
            <w:noWrap/>
            <w:vAlign w:val="bottom"/>
            <w:hideMark/>
          </w:tcPr>
          <w:p w14:paraId="462F7A98" w14:textId="77777777" w:rsidR="00EC3C7C" w:rsidRPr="00CC6488" w:rsidRDefault="00EC3C7C" w:rsidP="00D01F96">
            <w:pPr>
              <w:bidi w:val="0"/>
              <w:spacing w:after="0" w:line="240" w:lineRule="auto"/>
              <w:jc w:val="center"/>
              <w:rPr>
                <w:rFonts w:ascii="Arial" w:eastAsia="Times New Roman" w:hAnsi="Arial" w:cs="Arial"/>
                <w:color w:val="000000"/>
                <w:sz w:val="20"/>
                <w:szCs w:val="20"/>
              </w:rPr>
            </w:pPr>
            <w:r w:rsidRPr="00CC6488">
              <w:rPr>
                <w:rFonts w:ascii="Arial" w:eastAsia="Times New Roman" w:hAnsi="Arial" w:cs="Arial"/>
                <w:color w:val="000000"/>
                <w:sz w:val="20"/>
                <w:szCs w:val="20"/>
              </w:rPr>
              <w:t>26.0</w:t>
            </w:r>
          </w:p>
        </w:tc>
        <w:tc>
          <w:tcPr>
            <w:tcW w:w="1701" w:type="dxa"/>
            <w:tcBorders>
              <w:top w:val="nil"/>
              <w:left w:val="nil"/>
              <w:bottom w:val="nil"/>
              <w:right w:val="single" w:sz="12" w:space="0" w:color="auto"/>
            </w:tcBorders>
            <w:shd w:val="clear" w:color="auto" w:fill="auto"/>
            <w:noWrap/>
            <w:vAlign w:val="bottom"/>
            <w:hideMark/>
          </w:tcPr>
          <w:p w14:paraId="267EFFF3" w14:textId="77777777" w:rsidR="00EC3C7C" w:rsidRPr="00CC6488" w:rsidRDefault="00EC3C7C" w:rsidP="00D01F96">
            <w:pPr>
              <w:bidi w:val="0"/>
              <w:spacing w:after="0" w:line="240" w:lineRule="auto"/>
              <w:jc w:val="center"/>
              <w:rPr>
                <w:rFonts w:ascii="Arial" w:eastAsia="Times New Roman" w:hAnsi="Arial" w:cs="Arial"/>
                <w:color w:val="000000"/>
                <w:sz w:val="20"/>
                <w:szCs w:val="20"/>
              </w:rPr>
            </w:pPr>
            <w:r w:rsidRPr="00CC6488">
              <w:rPr>
                <w:rFonts w:ascii="Arial" w:eastAsia="Times New Roman" w:hAnsi="Arial" w:cs="Arial"/>
                <w:color w:val="000000"/>
                <w:sz w:val="20"/>
                <w:szCs w:val="20"/>
              </w:rPr>
              <w:t>&lt;0.01</w:t>
            </w:r>
          </w:p>
        </w:tc>
      </w:tr>
      <w:tr w:rsidR="00EC3C7C" w:rsidRPr="00CE6819" w14:paraId="03BD5F7C" w14:textId="77777777" w:rsidTr="003026A0">
        <w:trPr>
          <w:trHeight w:val="285"/>
        </w:trPr>
        <w:tc>
          <w:tcPr>
            <w:tcW w:w="1418" w:type="dxa"/>
            <w:tcBorders>
              <w:top w:val="nil"/>
              <w:left w:val="single" w:sz="12" w:space="0" w:color="auto"/>
              <w:bottom w:val="nil"/>
              <w:right w:val="nil"/>
            </w:tcBorders>
            <w:shd w:val="clear" w:color="auto" w:fill="auto"/>
            <w:noWrap/>
            <w:vAlign w:val="bottom"/>
            <w:hideMark/>
          </w:tcPr>
          <w:p w14:paraId="03739BD9" w14:textId="77777777" w:rsidR="00EC3C7C" w:rsidRPr="00CC6488" w:rsidRDefault="00EC3C7C" w:rsidP="00D01F96">
            <w:pPr>
              <w:bidi w:val="0"/>
              <w:spacing w:after="0" w:line="240" w:lineRule="auto"/>
              <w:rPr>
                <w:rFonts w:ascii="Arial" w:eastAsia="Times New Roman" w:hAnsi="Arial" w:cs="Arial"/>
                <w:color w:val="000000"/>
                <w:sz w:val="20"/>
                <w:szCs w:val="20"/>
              </w:rPr>
            </w:pPr>
            <w:r w:rsidRPr="00CC6488">
              <w:rPr>
                <w:rFonts w:ascii="Arial" w:eastAsia="Times New Roman" w:hAnsi="Arial" w:cs="Arial"/>
                <w:color w:val="000000"/>
                <w:sz w:val="20"/>
                <w:szCs w:val="20"/>
              </w:rPr>
              <w:t>Day 250</w:t>
            </w:r>
          </w:p>
        </w:tc>
        <w:tc>
          <w:tcPr>
            <w:tcW w:w="1843" w:type="dxa"/>
            <w:tcBorders>
              <w:top w:val="nil"/>
              <w:left w:val="single" w:sz="12" w:space="0" w:color="auto"/>
              <w:bottom w:val="nil"/>
              <w:right w:val="nil"/>
            </w:tcBorders>
            <w:shd w:val="clear" w:color="auto" w:fill="auto"/>
            <w:noWrap/>
            <w:vAlign w:val="bottom"/>
            <w:hideMark/>
          </w:tcPr>
          <w:p w14:paraId="052E95D9" w14:textId="77777777" w:rsidR="00EC3C7C" w:rsidRPr="00CC6488" w:rsidRDefault="00EC3C7C" w:rsidP="00D01F96">
            <w:pPr>
              <w:bidi w:val="0"/>
              <w:spacing w:after="0" w:line="240" w:lineRule="auto"/>
              <w:jc w:val="center"/>
              <w:rPr>
                <w:rFonts w:ascii="Arial" w:eastAsia="Times New Roman" w:hAnsi="Arial" w:cs="Arial"/>
                <w:color w:val="000000"/>
                <w:sz w:val="20"/>
                <w:szCs w:val="20"/>
              </w:rPr>
            </w:pPr>
            <w:r w:rsidRPr="00CC6488">
              <w:rPr>
                <w:rFonts w:ascii="Arial" w:eastAsia="Times New Roman" w:hAnsi="Arial" w:cs="Arial"/>
                <w:color w:val="000000"/>
                <w:sz w:val="20"/>
                <w:szCs w:val="20"/>
              </w:rPr>
              <w:t>13.4</w:t>
            </w:r>
          </w:p>
        </w:tc>
        <w:tc>
          <w:tcPr>
            <w:tcW w:w="1701" w:type="dxa"/>
            <w:tcBorders>
              <w:top w:val="nil"/>
              <w:left w:val="single" w:sz="12" w:space="0" w:color="auto"/>
              <w:bottom w:val="nil"/>
              <w:right w:val="single" w:sz="12" w:space="0" w:color="auto"/>
            </w:tcBorders>
            <w:shd w:val="clear" w:color="auto" w:fill="auto"/>
            <w:noWrap/>
            <w:vAlign w:val="bottom"/>
            <w:hideMark/>
          </w:tcPr>
          <w:p w14:paraId="67375A48" w14:textId="77777777" w:rsidR="00EC3C7C" w:rsidRPr="00CC6488" w:rsidRDefault="00EC3C7C" w:rsidP="00D01F96">
            <w:pPr>
              <w:bidi w:val="0"/>
              <w:spacing w:after="0" w:line="240" w:lineRule="auto"/>
              <w:jc w:val="center"/>
              <w:rPr>
                <w:rFonts w:ascii="Arial" w:eastAsia="Times New Roman" w:hAnsi="Arial" w:cs="Arial"/>
                <w:color w:val="000000"/>
                <w:sz w:val="20"/>
                <w:szCs w:val="20"/>
              </w:rPr>
            </w:pPr>
            <w:r w:rsidRPr="00CC6488">
              <w:rPr>
                <w:rFonts w:ascii="Arial" w:eastAsia="Times New Roman" w:hAnsi="Arial" w:cs="Arial"/>
                <w:color w:val="000000"/>
                <w:sz w:val="20"/>
                <w:szCs w:val="20"/>
              </w:rPr>
              <w:t>26.3</w:t>
            </w:r>
          </w:p>
        </w:tc>
        <w:tc>
          <w:tcPr>
            <w:tcW w:w="1701" w:type="dxa"/>
            <w:tcBorders>
              <w:top w:val="nil"/>
              <w:left w:val="nil"/>
              <w:bottom w:val="nil"/>
              <w:right w:val="single" w:sz="12" w:space="0" w:color="auto"/>
            </w:tcBorders>
            <w:shd w:val="clear" w:color="auto" w:fill="auto"/>
            <w:noWrap/>
            <w:vAlign w:val="bottom"/>
            <w:hideMark/>
          </w:tcPr>
          <w:p w14:paraId="518F5BB0" w14:textId="77777777" w:rsidR="00EC3C7C" w:rsidRPr="00CC6488" w:rsidRDefault="00EC3C7C" w:rsidP="00D01F96">
            <w:pPr>
              <w:bidi w:val="0"/>
              <w:spacing w:after="0" w:line="240" w:lineRule="auto"/>
              <w:jc w:val="center"/>
              <w:rPr>
                <w:rFonts w:ascii="Arial" w:eastAsia="Times New Roman" w:hAnsi="Arial" w:cs="Arial"/>
                <w:color w:val="000000"/>
                <w:sz w:val="20"/>
                <w:szCs w:val="20"/>
              </w:rPr>
            </w:pPr>
            <w:r w:rsidRPr="00CC6488">
              <w:rPr>
                <w:rFonts w:ascii="Arial" w:eastAsia="Times New Roman" w:hAnsi="Arial" w:cs="Arial"/>
                <w:color w:val="000000"/>
                <w:sz w:val="20"/>
                <w:szCs w:val="20"/>
              </w:rPr>
              <w:t>&lt;0.01</w:t>
            </w:r>
          </w:p>
        </w:tc>
      </w:tr>
      <w:tr w:rsidR="00EC3C7C" w:rsidRPr="00CE6819" w14:paraId="0455A9E4" w14:textId="77777777" w:rsidTr="003026A0">
        <w:trPr>
          <w:trHeight w:val="315"/>
        </w:trPr>
        <w:tc>
          <w:tcPr>
            <w:tcW w:w="1418" w:type="dxa"/>
            <w:tcBorders>
              <w:top w:val="nil"/>
              <w:left w:val="single" w:sz="12" w:space="0" w:color="auto"/>
              <w:bottom w:val="single" w:sz="12" w:space="0" w:color="auto"/>
              <w:right w:val="nil"/>
            </w:tcBorders>
            <w:shd w:val="clear" w:color="auto" w:fill="auto"/>
            <w:noWrap/>
            <w:vAlign w:val="bottom"/>
            <w:hideMark/>
          </w:tcPr>
          <w:p w14:paraId="1304C4C8" w14:textId="77777777" w:rsidR="00EC3C7C" w:rsidRPr="00CC6488" w:rsidRDefault="00EC3C7C" w:rsidP="00D01F96">
            <w:pPr>
              <w:bidi w:val="0"/>
              <w:spacing w:after="0" w:line="240" w:lineRule="auto"/>
              <w:rPr>
                <w:rFonts w:ascii="Arial" w:eastAsia="Times New Roman" w:hAnsi="Arial" w:cs="Arial"/>
                <w:color w:val="000000"/>
                <w:sz w:val="20"/>
                <w:szCs w:val="20"/>
              </w:rPr>
            </w:pPr>
            <w:r w:rsidRPr="00CC6488">
              <w:rPr>
                <w:rFonts w:ascii="Arial" w:eastAsia="Times New Roman" w:hAnsi="Arial" w:cs="Arial"/>
                <w:color w:val="000000"/>
                <w:sz w:val="20"/>
                <w:szCs w:val="20"/>
              </w:rPr>
              <w:t>Day 375</w:t>
            </w:r>
          </w:p>
        </w:tc>
        <w:tc>
          <w:tcPr>
            <w:tcW w:w="1843" w:type="dxa"/>
            <w:tcBorders>
              <w:top w:val="nil"/>
              <w:left w:val="single" w:sz="12" w:space="0" w:color="auto"/>
              <w:bottom w:val="single" w:sz="12" w:space="0" w:color="auto"/>
              <w:right w:val="nil"/>
            </w:tcBorders>
            <w:shd w:val="clear" w:color="auto" w:fill="auto"/>
            <w:noWrap/>
            <w:vAlign w:val="bottom"/>
            <w:hideMark/>
          </w:tcPr>
          <w:p w14:paraId="38FDF0FE" w14:textId="77777777" w:rsidR="00EC3C7C" w:rsidRPr="00CC6488" w:rsidRDefault="00EC3C7C" w:rsidP="00D01F96">
            <w:pPr>
              <w:bidi w:val="0"/>
              <w:spacing w:after="0" w:line="240" w:lineRule="auto"/>
              <w:jc w:val="center"/>
              <w:rPr>
                <w:rFonts w:ascii="Arial" w:eastAsia="Times New Roman" w:hAnsi="Arial" w:cs="Arial"/>
                <w:color w:val="000000"/>
                <w:sz w:val="20"/>
                <w:szCs w:val="20"/>
              </w:rPr>
            </w:pPr>
            <w:r w:rsidRPr="00CC6488">
              <w:rPr>
                <w:rFonts w:ascii="Arial" w:eastAsia="Times New Roman" w:hAnsi="Arial" w:cs="Arial"/>
                <w:color w:val="000000"/>
                <w:sz w:val="20"/>
                <w:szCs w:val="20"/>
              </w:rPr>
              <w:t>13.7</w:t>
            </w:r>
          </w:p>
        </w:tc>
        <w:tc>
          <w:tcPr>
            <w:tcW w:w="1701" w:type="dxa"/>
            <w:tcBorders>
              <w:top w:val="nil"/>
              <w:left w:val="single" w:sz="12" w:space="0" w:color="auto"/>
              <w:bottom w:val="single" w:sz="12" w:space="0" w:color="auto"/>
              <w:right w:val="single" w:sz="12" w:space="0" w:color="auto"/>
            </w:tcBorders>
            <w:shd w:val="clear" w:color="auto" w:fill="auto"/>
            <w:noWrap/>
            <w:vAlign w:val="bottom"/>
            <w:hideMark/>
          </w:tcPr>
          <w:p w14:paraId="01130CEE" w14:textId="77777777" w:rsidR="00EC3C7C" w:rsidRPr="00CC6488" w:rsidRDefault="00EC3C7C" w:rsidP="00D01F96">
            <w:pPr>
              <w:bidi w:val="0"/>
              <w:spacing w:after="0" w:line="240" w:lineRule="auto"/>
              <w:jc w:val="center"/>
              <w:rPr>
                <w:rFonts w:ascii="Arial" w:eastAsia="Times New Roman" w:hAnsi="Arial" w:cs="Arial"/>
                <w:color w:val="000000"/>
                <w:sz w:val="20"/>
                <w:szCs w:val="20"/>
              </w:rPr>
            </w:pPr>
            <w:r w:rsidRPr="00CC6488">
              <w:rPr>
                <w:rFonts w:ascii="Arial" w:eastAsia="Times New Roman" w:hAnsi="Arial" w:cs="Arial"/>
                <w:color w:val="000000"/>
                <w:sz w:val="20"/>
                <w:szCs w:val="20"/>
              </w:rPr>
              <w:t>27.6</w:t>
            </w:r>
          </w:p>
        </w:tc>
        <w:tc>
          <w:tcPr>
            <w:tcW w:w="1701" w:type="dxa"/>
            <w:tcBorders>
              <w:top w:val="nil"/>
              <w:left w:val="nil"/>
              <w:bottom w:val="single" w:sz="12" w:space="0" w:color="auto"/>
              <w:right w:val="single" w:sz="12" w:space="0" w:color="auto"/>
            </w:tcBorders>
            <w:shd w:val="clear" w:color="auto" w:fill="auto"/>
            <w:noWrap/>
            <w:vAlign w:val="bottom"/>
            <w:hideMark/>
          </w:tcPr>
          <w:p w14:paraId="52E3B2F8" w14:textId="77777777" w:rsidR="00EC3C7C" w:rsidRPr="00CC6488" w:rsidRDefault="00EC3C7C" w:rsidP="00D01F96">
            <w:pPr>
              <w:bidi w:val="0"/>
              <w:spacing w:after="0" w:line="240" w:lineRule="auto"/>
              <w:jc w:val="center"/>
              <w:rPr>
                <w:rFonts w:ascii="Arial" w:eastAsia="Times New Roman" w:hAnsi="Arial" w:cs="Arial"/>
                <w:color w:val="000000"/>
                <w:sz w:val="20"/>
                <w:szCs w:val="20"/>
              </w:rPr>
            </w:pPr>
            <w:r w:rsidRPr="00CC6488">
              <w:rPr>
                <w:rFonts w:ascii="Arial" w:eastAsia="Times New Roman" w:hAnsi="Arial" w:cs="Arial"/>
                <w:color w:val="000000"/>
                <w:sz w:val="20"/>
                <w:szCs w:val="20"/>
              </w:rPr>
              <w:t>&lt;0.01</w:t>
            </w:r>
          </w:p>
        </w:tc>
      </w:tr>
    </w:tbl>
    <w:p w14:paraId="3A53EAEB" w14:textId="1C147A32" w:rsidR="00EC3C7C" w:rsidRPr="00CE6819" w:rsidRDefault="00EC3C7C" w:rsidP="00D01F96">
      <w:pPr>
        <w:bidi w:val="0"/>
        <w:spacing w:line="360" w:lineRule="auto"/>
        <w:rPr>
          <w:b/>
          <w:bCs/>
          <w:sz w:val="24"/>
          <w:szCs w:val="24"/>
        </w:rPr>
      </w:pPr>
      <w:r w:rsidRPr="00CE6819">
        <w:rPr>
          <w:rStyle w:val="tlid-translation"/>
          <w:sz w:val="24"/>
          <w:szCs w:val="24"/>
          <w:lang w:val="en"/>
        </w:rPr>
        <w:lastRenderedPageBreak/>
        <w:t xml:space="preserve">The results in table 5 indicate that, at any given point in time, small </w:t>
      </w:r>
      <w:r w:rsidR="00F73AAD" w:rsidRPr="00CE6819">
        <w:rPr>
          <w:rStyle w:val="tlid-translation"/>
          <w:sz w:val="24"/>
          <w:szCs w:val="24"/>
          <w:lang w:val="en"/>
        </w:rPr>
        <w:t>firms'</w:t>
      </w:r>
      <w:r w:rsidRPr="00CE6819">
        <w:rPr>
          <w:rStyle w:val="tlid-translation"/>
          <w:sz w:val="24"/>
          <w:szCs w:val="24"/>
          <w:lang w:val="en"/>
        </w:rPr>
        <w:t xml:space="preserve"> stocks are characterized by lower stock prices than large </w:t>
      </w:r>
      <w:r w:rsidR="00F73AAD" w:rsidRPr="00CE6819">
        <w:rPr>
          <w:rStyle w:val="tlid-translation"/>
          <w:sz w:val="24"/>
          <w:szCs w:val="24"/>
          <w:lang w:val="en"/>
        </w:rPr>
        <w:t>firms'</w:t>
      </w:r>
      <w:r w:rsidRPr="00CE6819">
        <w:rPr>
          <w:rStyle w:val="tlid-translation"/>
          <w:sz w:val="24"/>
          <w:szCs w:val="24"/>
          <w:lang w:val="en"/>
        </w:rPr>
        <w:t xml:space="preserve"> stocks. In </w:t>
      </w:r>
      <w:r w:rsidR="00F73AAD" w:rsidRPr="00CE6819">
        <w:rPr>
          <w:rStyle w:val="tlid-translation"/>
          <w:sz w:val="24"/>
          <w:szCs w:val="24"/>
          <w:lang w:val="en"/>
        </w:rPr>
        <w:t>addition,</w:t>
      </w:r>
      <w:r w:rsidRPr="00CE6819">
        <w:rPr>
          <w:rStyle w:val="tlid-translation"/>
          <w:sz w:val="24"/>
          <w:szCs w:val="24"/>
          <w:lang w:val="en"/>
        </w:rPr>
        <w:t xml:space="preserve"> as was </w:t>
      </w:r>
      <w:r w:rsidR="00F73AAD" w:rsidRPr="00CE6819">
        <w:rPr>
          <w:rStyle w:val="tlid-translation"/>
          <w:sz w:val="24"/>
          <w:szCs w:val="24"/>
          <w:lang w:val="en"/>
        </w:rPr>
        <w:t xml:space="preserve">presented in table 3, small firms </w:t>
      </w:r>
      <w:r w:rsidRPr="00CE6819">
        <w:rPr>
          <w:rStyle w:val="tlid-translation"/>
          <w:sz w:val="24"/>
          <w:szCs w:val="24"/>
          <w:lang w:val="en"/>
        </w:rPr>
        <w:t>underperform and</w:t>
      </w:r>
      <w:r w:rsidR="00F73AAD" w:rsidRPr="00CE6819">
        <w:rPr>
          <w:rStyle w:val="tlid-translation"/>
          <w:sz w:val="24"/>
          <w:szCs w:val="24"/>
          <w:lang w:val="en"/>
        </w:rPr>
        <w:t xml:space="preserve"> have</w:t>
      </w:r>
      <w:r w:rsidRPr="00CE6819">
        <w:rPr>
          <w:rStyle w:val="tlid-translation"/>
          <w:sz w:val="24"/>
          <w:szCs w:val="24"/>
          <w:lang w:val="en"/>
        </w:rPr>
        <w:t xml:space="preserve"> lower trading volume. We will conclude </w:t>
      </w:r>
      <w:r w:rsidR="00F73AAD" w:rsidRPr="00CE6819">
        <w:rPr>
          <w:rStyle w:val="tlid-translation"/>
          <w:sz w:val="24"/>
          <w:szCs w:val="24"/>
          <w:lang w:val="en"/>
        </w:rPr>
        <w:t xml:space="preserve">therefore </w:t>
      </w:r>
      <w:r w:rsidRPr="00CE6819">
        <w:rPr>
          <w:rStyle w:val="tlid-translation"/>
          <w:sz w:val="24"/>
          <w:szCs w:val="24"/>
          <w:lang w:val="en"/>
        </w:rPr>
        <w:t xml:space="preserve">that small </w:t>
      </w:r>
      <w:r w:rsidR="00F73AAD" w:rsidRPr="00CE6819">
        <w:rPr>
          <w:rStyle w:val="tlid-translation"/>
          <w:sz w:val="24"/>
          <w:szCs w:val="24"/>
          <w:lang w:val="en"/>
        </w:rPr>
        <w:t>firms</w:t>
      </w:r>
      <w:r w:rsidRPr="00CE6819">
        <w:rPr>
          <w:rStyle w:val="tlid-translation"/>
          <w:sz w:val="24"/>
          <w:szCs w:val="24"/>
          <w:lang w:val="en"/>
        </w:rPr>
        <w:t xml:space="preserve"> </w:t>
      </w:r>
      <w:r w:rsidR="00F73AAD" w:rsidRPr="00CE6819">
        <w:rPr>
          <w:rStyle w:val="tlid-translation"/>
          <w:sz w:val="24"/>
          <w:szCs w:val="24"/>
          <w:lang w:val="en"/>
        </w:rPr>
        <w:t>may perceive as lottery stocks</w:t>
      </w:r>
      <w:r w:rsidRPr="00CE6819">
        <w:rPr>
          <w:rStyle w:val="tlid-translation"/>
          <w:sz w:val="24"/>
          <w:szCs w:val="24"/>
          <w:lang w:val="en"/>
        </w:rPr>
        <w:t xml:space="preserve">. And with that we proved the hypothesis </w:t>
      </w:r>
      <w:r w:rsidRPr="00CE6819">
        <w:rPr>
          <w:rStyle w:val="tlid-translation"/>
          <w:b/>
          <w:bCs/>
          <w:sz w:val="24"/>
          <w:szCs w:val="24"/>
          <w:lang w:val="en"/>
        </w:rPr>
        <w:t>H</w:t>
      </w:r>
      <w:r w:rsidR="00F73AAD" w:rsidRPr="00CE6819">
        <w:rPr>
          <w:rStyle w:val="tlid-translation"/>
          <w:b/>
          <w:bCs/>
          <w:sz w:val="24"/>
          <w:szCs w:val="24"/>
          <w:lang w:val="en"/>
        </w:rPr>
        <w:t>9</w:t>
      </w:r>
      <w:r w:rsidRPr="00CE6819">
        <w:rPr>
          <w:rStyle w:val="tlid-translation"/>
          <w:sz w:val="24"/>
          <w:szCs w:val="24"/>
          <w:lang w:val="en"/>
        </w:rPr>
        <w:t>.</w:t>
      </w:r>
    </w:p>
    <w:p w14:paraId="0A545C45" w14:textId="4813DA8A" w:rsidR="001C39A5" w:rsidRPr="00CE6819" w:rsidRDefault="007E067C" w:rsidP="00D01F96">
      <w:pPr>
        <w:bidi w:val="0"/>
        <w:spacing w:line="360" w:lineRule="auto"/>
        <w:rPr>
          <w:b/>
          <w:bCs/>
          <w:sz w:val="24"/>
          <w:szCs w:val="24"/>
          <w:lang w:val="en"/>
        </w:rPr>
      </w:pPr>
      <w:r w:rsidRPr="00CE6819">
        <w:rPr>
          <w:b/>
          <w:bCs/>
          <w:sz w:val="24"/>
          <w:szCs w:val="24"/>
          <w:lang w:val="en"/>
        </w:rPr>
        <w:t>3. Summary and conclusions</w:t>
      </w:r>
    </w:p>
    <w:p w14:paraId="33556391" w14:textId="1099CE2A" w:rsidR="0045522C" w:rsidRPr="0045522C" w:rsidRDefault="00E46857" w:rsidP="00C07522">
      <w:pPr>
        <w:bidi w:val="0"/>
        <w:spacing w:line="360" w:lineRule="auto"/>
        <w:rPr>
          <w:sz w:val="24"/>
          <w:szCs w:val="24"/>
        </w:rPr>
      </w:pPr>
      <w:r>
        <w:rPr>
          <w:sz w:val="24"/>
          <w:szCs w:val="24"/>
          <w:lang w:val="en"/>
        </w:rPr>
        <w:t xml:space="preserve">In this paper we analyzed </w:t>
      </w:r>
      <w:r w:rsidR="00525F0C">
        <w:rPr>
          <w:sz w:val="24"/>
          <w:szCs w:val="24"/>
          <w:lang w:val="en"/>
        </w:rPr>
        <w:t xml:space="preserve">the </w:t>
      </w:r>
      <w:r>
        <w:rPr>
          <w:sz w:val="24"/>
          <w:szCs w:val="24"/>
          <w:lang w:val="en"/>
        </w:rPr>
        <w:t xml:space="preserve">CAAR </w:t>
      </w:r>
      <w:r w:rsidR="001A18FB">
        <w:rPr>
          <w:sz w:val="24"/>
          <w:szCs w:val="24"/>
          <w:lang w:val="en"/>
        </w:rPr>
        <w:t xml:space="preserve">behavior </w:t>
      </w:r>
      <w:r>
        <w:rPr>
          <w:sz w:val="24"/>
          <w:szCs w:val="24"/>
          <w:lang w:val="en"/>
        </w:rPr>
        <w:t>for biotechnology firms</w:t>
      </w:r>
      <w:r w:rsidR="001A18FB">
        <w:rPr>
          <w:sz w:val="24"/>
          <w:szCs w:val="24"/>
          <w:lang w:val="en"/>
        </w:rPr>
        <w:t>,</w:t>
      </w:r>
      <w:r>
        <w:rPr>
          <w:sz w:val="24"/>
          <w:szCs w:val="24"/>
          <w:lang w:val="en"/>
        </w:rPr>
        <w:t xml:space="preserve"> that</w:t>
      </w:r>
      <w:r w:rsidR="001A18FB">
        <w:rPr>
          <w:sz w:val="24"/>
          <w:szCs w:val="24"/>
          <w:lang w:val="en"/>
        </w:rPr>
        <w:t xml:space="preserve"> went public</w:t>
      </w:r>
      <w:r>
        <w:rPr>
          <w:sz w:val="24"/>
          <w:szCs w:val="24"/>
          <w:lang w:val="en"/>
        </w:rPr>
        <w:t xml:space="preserve"> </w:t>
      </w:r>
      <w:r w:rsidR="001A18FB">
        <w:rPr>
          <w:sz w:val="24"/>
          <w:szCs w:val="24"/>
          <w:lang w:val="en"/>
        </w:rPr>
        <w:t>after</w:t>
      </w:r>
      <w:r>
        <w:rPr>
          <w:sz w:val="24"/>
          <w:szCs w:val="24"/>
          <w:lang w:val="en"/>
        </w:rPr>
        <w:t xml:space="preserve"> the JOBS act</w:t>
      </w:r>
      <w:r w:rsidR="00525F0C">
        <w:rPr>
          <w:sz w:val="24"/>
          <w:szCs w:val="24"/>
          <w:lang w:val="en"/>
        </w:rPr>
        <w:t xml:space="preserve"> </w:t>
      </w:r>
      <w:r w:rsidR="001A18FB">
        <w:rPr>
          <w:sz w:val="24"/>
          <w:szCs w:val="24"/>
          <w:lang w:val="en"/>
        </w:rPr>
        <w:t xml:space="preserve">was enacted </w:t>
      </w:r>
      <w:r w:rsidR="009777FA" w:rsidRPr="00CE6819">
        <w:rPr>
          <w:sz w:val="24"/>
          <w:szCs w:val="24"/>
        </w:rPr>
        <w:t xml:space="preserve">and investigate the factors that may influence </w:t>
      </w:r>
      <w:r w:rsidR="00525F0C">
        <w:rPr>
          <w:sz w:val="24"/>
          <w:szCs w:val="24"/>
        </w:rPr>
        <w:t xml:space="preserve">returns. </w:t>
      </w:r>
      <w:r w:rsidR="008A7FE9">
        <w:rPr>
          <w:sz w:val="24"/>
          <w:szCs w:val="24"/>
          <w:lang w:val="en"/>
        </w:rPr>
        <w:t>In general</w:t>
      </w:r>
      <w:r w:rsidR="008A7FE9" w:rsidRPr="00CE6819">
        <w:rPr>
          <w:sz w:val="24"/>
          <w:szCs w:val="24"/>
          <w:lang w:val="en"/>
        </w:rPr>
        <w:t xml:space="preserve">, the JOBS ACT aimed to ease small firm </w:t>
      </w:r>
      <w:r w:rsidR="008A7FE9">
        <w:rPr>
          <w:sz w:val="24"/>
          <w:szCs w:val="24"/>
          <w:lang w:val="en"/>
        </w:rPr>
        <w:t>to access the capital market and boost job creation</w:t>
      </w:r>
      <w:r w:rsidR="00FA0837">
        <w:rPr>
          <w:sz w:val="24"/>
          <w:szCs w:val="24"/>
          <w:lang w:val="en"/>
        </w:rPr>
        <w:t>.</w:t>
      </w:r>
      <w:r w:rsidR="008A7FE9" w:rsidRPr="0045522C">
        <w:rPr>
          <w:sz w:val="24"/>
          <w:szCs w:val="24"/>
        </w:rPr>
        <w:t xml:space="preserve"> </w:t>
      </w:r>
    </w:p>
    <w:p w14:paraId="176B47DB" w14:textId="58FDAB39" w:rsidR="00716C9D" w:rsidRDefault="008444F3" w:rsidP="00C07522">
      <w:pPr>
        <w:bidi w:val="0"/>
        <w:spacing w:line="360" w:lineRule="auto"/>
        <w:rPr>
          <w:sz w:val="24"/>
          <w:szCs w:val="24"/>
          <w:lang w:val="en"/>
        </w:rPr>
      </w:pPr>
      <w:r w:rsidRPr="00CE6819">
        <w:rPr>
          <w:sz w:val="24"/>
          <w:szCs w:val="24"/>
          <w:lang w:val="en"/>
        </w:rPr>
        <w:t>M</w:t>
      </w:r>
      <w:r w:rsidR="00427A8D" w:rsidRPr="00CE6819">
        <w:rPr>
          <w:sz w:val="24"/>
          <w:szCs w:val="24"/>
          <w:lang w:val="en"/>
        </w:rPr>
        <w:t xml:space="preserve">arket </w:t>
      </w:r>
      <w:r w:rsidRPr="00CE6819">
        <w:rPr>
          <w:sz w:val="24"/>
          <w:szCs w:val="24"/>
          <w:lang w:val="en"/>
        </w:rPr>
        <w:t>V</w:t>
      </w:r>
      <w:r w:rsidR="00427A8D" w:rsidRPr="00CE6819">
        <w:rPr>
          <w:sz w:val="24"/>
          <w:szCs w:val="24"/>
          <w:lang w:val="en"/>
        </w:rPr>
        <w:t xml:space="preserve">alue </w:t>
      </w:r>
      <w:r w:rsidR="004B1E77" w:rsidRPr="00CE6819">
        <w:rPr>
          <w:sz w:val="24"/>
          <w:szCs w:val="24"/>
          <w:lang w:val="en"/>
        </w:rPr>
        <w:t>has been</w:t>
      </w:r>
      <w:r w:rsidRPr="00CE6819">
        <w:rPr>
          <w:sz w:val="24"/>
          <w:szCs w:val="24"/>
          <w:lang w:val="en"/>
        </w:rPr>
        <w:t xml:space="preserve"> shown to be a</w:t>
      </w:r>
      <w:r w:rsidR="00427A8D" w:rsidRPr="00CE6819">
        <w:rPr>
          <w:sz w:val="24"/>
          <w:szCs w:val="24"/>
          <w:lang w:val="en"/>
        </w:rPr>
        <w:t xml:space="preserve"> critical predictor </w:t>
      </w:r>
      <w:r w:rsidRPr="00CE6819">
        <w:rPr>
          <w:sz w:val="24"/>
          <w:szCs w:val="24"/>
          <w:lang w:val="en"/>
        </w:rPr>
        <w:t>in the</w:t>
      </w:r>
      <w:r w:rsidR="00427A8D" w:rsidRPr="00CE6819">
        <w:rPr>
          <w:sz w:val="24"/>
          <w:szCs w:val="24"/>
          <w:lang w:val="en"/>
        </w:rPr>
        <w:t xml:space="preserve"> </w:t>
      </w:r>
      <w:r w:rsidR="003920F0" w:rsidRPr="00CE6819">
        <w:rPr>
          <w:sz w:val="24"/>
          <w:szCs w:val="24"/>
          <w:lang w:val="en"/>
        </w:rPr>
        <w:t>succes</w:t>
      </w:r>
      <w:r w:rsidR="003920F0">
        <w:rPr>
          <w:sz w:val="24"/>
          <w:szCs w:val="24"/>
          <w:lang w:val="en"/>
        </w:rPr>
        <w:t>s</w:t>
      </w:r>
      <w:r w:rsidR="00427A8D" w:rsidRPr="00CE6819">
        <w:rPr>
          <w:sz w:val="24"/>
          <w:szCs w:val="24"/>
          <w:lang w:val="en"/>
        </w:rPr>
        <w:t xml:space="preserve"> </w:t>
      </w:r>
      <w:r w:rsidRPr="00CE6819">
        <w:rPr>
          <w:sz w:val="24"/>
          <w:szCs w:val="24"/>
          <w:lang w:val="en"/>
        </w:rPr>
        <w:t xml:space="preserve">of </w:t>
      </w:r>
      <w:r w:rsidRPr="00CE6819">
        <w:rPr>
          <w:sz w:val="24"/>
          <w:szCs w:val="24"/>
          <w:lang w:val="en"/>
        </w:rPr>
        <w:t>a</w:t>
      </w:r>
      <w:r w:rsidR="002548BD" w:rsidRPr="00CE6819">
        <w:rPr>
          <w:sz w:val="24"/>
          <w:szCs w:val="24"/>
          <w:lang w:val="en"/>
        </w:rPr>
        <w:t xml:space="preserve"> </w:t>
      </w:r>
      <w:r w:rsidR="008A7FE9">
        <w:rPr>
          <w:sz w:val="24"/>
          <w:szCs w:val="24"/>
          <w:lang w:val="en"/>
        </w:rPr>
        <w:t xml:space="preserve">biotechnology </w:t>
      </w:r>
      <w:r w:rsidR="008A7FE9" w:rsidRPr="00CE6819">
        <w:rPr>
          <w:sz w:val="24"/>
          <w:szCs w:val="24"/>
          <w:lang w:val="en"/>
        </w:rPr>
        <w:t>firm</w:t>
      </w:r>
      <w:r w:rsidR="004B1E77" w:rsidRPr="00CE6819">
        <w:rPr>
          <w:sz w:val="24"/>
          <w:szCs w:val="24"/>
        </w:rPr>
        <w:t xml:space="preserve"> </w:t>
      </w:r>
      <w:r w:rsidR="004B1E77" w:rsidRPr="00CE6819">
        <w:rPr>
          <w:sz w:val="24"/>
          <w:szCs w:val="24"/>
        </w:rPr>
        <w:t>for the short term after the issuance</w:t>
      </w:r>
      <w:r w:rsidR="00427A8D" w:rsidRPr="00CE6819">
        <w:rPr>
          <w:sz w:val="24"/>
          <w:szCs w:val="24"/>
          <w:lang w:val="en"/>
        </w:rPr>
        <w:t xml:space="preserve">. </w:t>
      </w:r>
      <w:r w:rsidR="008A7FE9">
        <w:rPr>
          <w:sz w:val="24"/>
          <w:szCs w:val="24"/>
          <w:lang w:val="en"/>
        </w:rPr>
        <w:t>A</w:t>
      </w:r>
      <w:r w:rsidR="00427A8D" w:rsidRPr="00CE6819">
        <w:rPr>
          <w:sz w:val="24"/>
          <w:szCs w:val="24"/>
          <w:lang w:val="en"/>
        </w:rPr>
        <w:t xml:space="preserve"> value</w:t>
      </w:r>
      <w:r w:rsidR="004B1E77" w:rsidRPr="00CE6819">
        <w:rPr>
          <w:sz w:val="24"/>
          <w:szCs w:val="24"/>
          <w:lang w:val="en"/>
        </w:rPr>
        <w:t xml:space="preserve"> of</w:t>
      </w:r>
      <w:r w:rsidR="00427A8D" w:rsidRPr="00CE6819">
        <w:rPr>
          <w:sz w:val="24"/>
          <w:szCs w:val="24"/>
          <w:lang w:val="en"/>
        </w:rPr>
        <w:t xml:space="preserve"> </w:t>
      </w:r>
      <w:r w:rsidR="004B1E77" w:rsidRPr="00CE6819">
        <w:rPr>
          <w:sz w:val="24"/>
          <w:szCs w:val="24"/>
          <w:lang w:val="en"/>
        </w:rPr>
        <w:t xml:space="preserve">$500 million was found </w:t>
      </w:r>
      <w:r w:rsidR="002548BD" w:rsidRPr="00CE6819">
        <w:rPr>
          <w:sz w:val="24"/>
          <w:szCs w:val="24"/>
          <w:lang w:val="en"/>
        </w:rPr>
        <w:t xml:space="preserve">to be </w:t>
      </w:r>
      <w:r w:rsidR="004B1E77" w:rsidRPr="00CE6819">
        <w:rPr>
          <w:sz w:val="24"/>
          <w:szCs w:val="24"/>
          <w:lang w:val="en"/>
        </w:rPr>
        <w:t xml:space="preserve">a confidence threshold </w:t>
      </w:r>
      <w:r w:rsidR="00427A8D" w:rsidRPr="00CE6819">
        <w:rPr>
          <w:sz w:val="24"/>
          <w:szCs w:val="24"/>
          <w:lang w:val="en"/>
        </w:rPr>
        <w:t xml:space="preserve">in investors' willingness to </w:t>
      </w:r>
      <w:r w:rsidR="001E3ADB">
        <w:rPr>
          <w:sz w:val="24"/>
          <w:szCs w:val="24"/>
          <w:lang w:val="en"/>
        </w:rPr>
        <w:t xml:space="preserve">buy and </w:t>
      </w:r>
      <w:r w:rsidR="00427A8D" w:rsidRPr="00CE6819">
        <w:rPr>
          <w:sz w:val="24"/>
          <w:szCs w:val="24"/>
          <w:lang w:val="en"/>
        </w:rPr>
        <w:t xml:space="preserve">hold a share. Companies above this threshold </w:t>
      </w:r>
      <w:r w:rsidR="00716C9D">
        <w:rPr>
          <w:sz w:val="24"/>
          <w:szCs w:val="24"/>
          <w:lang w:val="en"/>
        </w:rPr>
        <w:t xml:space="preserve">gain investors' confidence </w:t>
      </w:r>
      <w:r w:rsidR="00F9537B">
        <w:rPr>
          <w:sz w:val="24"/>
          <w:szCs w:val="24"/>
          <w:lang w:val="en"/>
        </w:rPr>
        <w:t xml:space="preserve">as reflected in their </w:t>
      </w:r>
      <w:r w:rsidR="001E3ADB">
        <w:rPr>
          <w:sz w:val="24"/>
          <w:szCs w:val="24"/>
          <w:lang w:val="en"/>
        </w:rPr>
        <w:t xml:space="preserve">higher </w:t>
      </w:r>
      <w:r w:rsidR="00F9537B">
        <w:rPr>
          <w:sz w:val="24"/>
          <w:szCs w:val="24"/>
          <w:lang w:val="en"/>
        </w:rPr>
        <w:t xml:space="preserve">trading volumes </w:t>
      </w:r>
      <w:r w:rsidR="00716C9D">
        <w:rPr>
          <w:sz w:val="24"/>
          <w:szCs w:val="24"/>
          <w:lang w:val="en"/>
        </w:rPr>
        <w:t xml:space="preserve">and </w:t>
      </w:r>
      <w:r w:rsidR="00427A8D" w:rsidRPr="00CE6819">
        <w:rPr>
          <w:sz w:val="24"/>
          <w:szCs w:val="24"/>
          <w:lang w:val="en"/>
        </w:rPr>
        <w:t xml:space="preserve">positive CAAR in the year following the IPO, those below </w:t>
      </w:r>
      <w:r w:rsidR="002548BD" w:rsidRPr="00CE6819">
        <w:rPr>
          <w:sz w:val="24"/>
          <w:szCs w:val="24"/>
          <w:lang w:val="en"/>
        </w:rPr>
        <w:t xml:space="preserve">this threshold </w:t>
      </w:r>
      <w:r w:rsidR="00716C9D">
        <w:rPr>
          <w:sz w:val="24"/>
          <w:szCs w:val="24"/>
          <w:lang w:val="en"/>
        </w:rPr>
        <w:t>might</w:t>
      </w:r>
      <w:r w:rsidR="00716C9D" w:rsidRPr="00CE6819">
        <w:rPr>
          <w:sz w:val="24"/>
          <w:szCs w:val="24"/>
          <w:lang w:val="en"/>
        </w:rPr>
        <w:t xml:space="preserve"> perceived as lottery stocks</w:t>
      </w:r>
      <w:r w:rsidR="00716C9D">
        <w:rPr>
          <w:sz w:val="24"/>
          <w:szCs w:val="24"/>
          <w:lang w:val="en"/>
        </w:rPr>
        <w:t xml:space="preserve"> that </w:t>
      </w:r>
      <w:r w:rsidR="00716C9D" w:rsidRPr="00CE6819">
        <w:rPr>
          <w:sz w:val="24"/>
          <w:szCs w:val="24"/>
          <w:lang w:val="en"/>
        </w:rPr>
        <w:t xml:space="preserve">investors sell them </w:t>
      </w:r>
      <w:r w:rsidR="00716C9D">
        <w:rPr>
          <w:sz w:val="24"/>
          <w:szCs w:val="24"/>
          <w:lang w:val="en"/>
        </w:rPr>
        <w:t xml:space="preserve">in loss </w:t>
      </w:r>
      <w:r w:rsidR="00716C9D" w:rsidRPr="00CE6819">
        <w:rPr>
          <w:sz w:val="24"/>
          <w:szCs w:val="24"/>
          <w:lang w:val="en"/>
        </w:rPr>
        <w:t xml:space="preserve">short time after their </w:t>
      </w:r>
      <w:r w:rsidR="00F9537B">
        <w:rPr>
          <w:sz w:val="24"/>
          <w:szCs w:val="24"/>
          <w:lang w:val="en"/>
        </w:rPr>
        <w:t xml:space="preserve">purchase </w:t>
      </w:r>
      <w:r w:rsidR="00716C9D">
        <w:rPr>
          <w:sz w:val="24"/>
          <w:szCs w:val="24"/>
          <w:lang w:val="en"/>
        </w:rPr>
        <w:t>and hence</w:t>
      </w:r>
      <w:r w:rsidR="00716C9D" w:rsidRPr="00CE6819">
        <w:rPr>
          <w:sz w:val="24"/>
          <w:szCs w:val="24"/>
          <w:lang w:val="en"/>
        </w:rPr>
        <w:t xml:space="preserve"> </w:t>
      </w:r>
      <w:r w:rsidR="002548BD" w:rsidRPr="00CE6819">
        <w:rPr>
          <w:sz w:val="24"/>
          <w:szCs w:val="24"/>
          <w:lang w:val="en"/>
        </w:rPr>
        <w:t xml:space="preserve">exhibits negative </w:t>
      </w:r>
      <w:r w:rsidR="00427A8D" w:rsidRPr="00CE6819">
        <w:rPr>
          <w:sz w:val="24"/>
          <w:szCs w:val="24"/>
          <w:lang w:val="en"/>
        </w:rPr>
        <w:t xml:space="preserve">CAAR </w:t>
      </w:r>
      <w:r w:rsidR="002548BD" w:rsidRPr="00CE6819">
        <w:rPr>
          <w:sz w:val="24"/>
          <w:szCs w:val="24"/>
          <w:lang w:val="en"/>
        </w:rPr>
        <w:t xml:space="preserve">few </w:t>
      </w:r>
      <w:r w:rsidR="00427A8D" w:rsidRPr="00CE6819">
        <w:rPr>
          <w:sz w:val="24"/>
          <w:szCs w:val="24"/>
          <w:lang w:val="en"/>
        </w:rPr>
        <w:t xml:space="preserve">months after the IPO. </w:t>
      </w:r>
      <w:r w:rsidR="007A0CC7">
        <w:rPr>
          <w:sz w:val="24"/>
          <w:szCs w:val="24"/>
        </w:rPr>
        <w:t>The</w:t>
      </w:r>
      <w:r w:rsidR="007A0CC7" w:rsidRPr="005E2880">
        <w:rPr>
          <w:sz w:val="24"/>
          <w:szCs w:val="24"/>
        </w:rPr>
        <w:t xml:space="preserve"> IPO ignites a period of </w:t>
      </w:r>
      <w:r w:rsidR="007A0CC7">
        <w:rPr>
          <w:sz w:val="24"/>
          <w:szCs w:val="24"/>
        </w:rPr>
        <w:t>enthusiasm</w:t>
      </w:r>
      <w:r w:rsidR="007A0CC7" w:rsidRPr="005E2880">
        <w:rPr>
          <w:sz w:val="24"/>
          <w:szCs w:val="24"/>
        </w:rPr>
        <w:t xml:space="preserve"> which rises until the end of quiet period and then investors’ attention to small size firms diminish </w:t>
      </w:r>
      <w:r w:rsidR="007A0CC7">
        <w:rPr>
          <w:sz w:val="24"/>
          <w:szCs w:val="24"/>
        </w:rPr>
        <w:t>gradually</w:t>
      </w:r>
      <w:r w:rsidR="007A0CC7" w:rsidRPr="005E2880">
        <w:rPr>
          <w:sz w:val="24"/>
          <w:szCs w:val="24"/>
        </w:rPr>
        <w:t>, as they see their next lottery like opportunity</w:t>
      </w:r>
      <w:r w:rsidR="007A0CC7">
        <w:rPr>
          <w:sz w:val="24"/>
          <w:szCs w:val="24"/>
          <w:lang w:val="en"/>
        </w:rPr>
        <w:t xml:space="preserve">. </w:t>
      </w:r>
      <w:r w:rsidR="00C07522">
        <w:rPr>
          <w:sz w:val="24"/>
          <w:szCs w:val="24"/>
        </w:rPr>
        <w:t>In spite of the success</w:t>
      </w:r>
      <w:r w:rsidR="00C07522" w:rsidRPr="0045522C">
        <w:rPr>
          <w:sz w:val="24"/>
          <w:szCs w:val="24"/>
        </w:rPr>
        <w:t xml:space="preserve"> of the JOBS Act </w:t>
      </w:r>
      <w:r w:rsidR="00C07522">
        <w:rPr>
          <w:sz w:val="24"/>
          <w:szCs w:val="24"/>
        </w:rPr>
        <w:t>in</w:t>
      </w:r>
      <w:r w:rsidR="00C07522">
        <w:rPr>
          <w:sz w:val="24"/>
          <w:szCs w:val="24"/>
        </w:rPr>
        <w:t xml:space="preserve"> </w:t>
      </w:r>
      <w:r w:rsidR="00C07522" w:rsidRPr="0045522C">
        <w:rPr>
          <w:sz w:val="24"/>
          <w:szCs w:val="24"/>
        </w:rPr>
        <w:t>increas</w:t>
      </w:r>
      <w:r w:rsidR="00C07522">
        <w:rPr>
          <w:sz w:val="24"/>
          <w:szCs w:val="24"/>
        </w:rPr>
        <w:t>ing</w:t>
      </w:r>
      <w:r w:rsidR="00C07522">
        <w:rPr>
          <w:sz w:val="24"/>
          <w:szCs w:val="24"/>
        </w:rPr>
        <w:t xml:space="preserve"> </w:t>
      </w:r>
      <w:r w:rsidR="00C07522" w:rsidRPr="0045522C">
        <w:rPr>
          <w:sz w:val="24"/>
          <w:szCs w:val="24"/>
        </w:rPr>
        <w:t>the share of biopharmaceutical companies from all new offerings</w:t>
      </w:r>
      <w:r w:rsidR="00C07522">
        <w:rPr>
          <w:sz w:val="24"/>
          <w:szCs w:val="24"/>
        </w:rPr>
        <w:t>.</w:t>
      </w:r>
      <w:r w:rsidR="00C11C7C">
        <w:rPr>
          <w:sz w:val="24"/>
          <w:szCs w:val="24"/>
          <w:lang w:val="en"/>
        </w:rPr>
        <w:t xml:space="preserve"> </w:t>
      </w:r>
      <w:r w:rsidR="00C11C7C" w:rsidRPr="00CE6819">
        <w:rPr>
          <w:sz w:val="24"/>
          <w:szCs w:val="24"/>
          <w:lang w:val="en"/>
        </w:rPr>
        <w:t>in the short term</w:t>
      </w:r>
      <w:r w:rsidR="00C11C7C">
        <w:rPr>
          <w:sz w:val="24"/>
          <w:szCs w:val="24"/>
          <w:lang w:val="en"/>
        </w:rPr>
        <w:t>, the consequences for small pharma firms</w:t>
      </w:r>
      <w:r w:rsidR="00C11C7C" w:rsidRPr="00CE6819">
        <w:rPr>
          <w:sz w:val="24"/>
          <w:szCs w:val="24"/>
          <w:lang w:val="en"/>
        </w:rPr>
        <w:t xml:space="preserve"> </w:t>
      </w:r>
      <w:r w:rsidR="00C11C7C">
        <w:rPr>
          <w:sz w:val="24"/>
          <w:szCs w:val="24"/>
          <w:lang w:val="en"/>
        </w:rPr>
        <w:t xml:space="preserve">was a substantial </w:t>
      </w:r>
      <w:r w:rsidR="00CC442B" w:rsidRPr="00CE6819">
        <w:rPr>
          <w:sz w:val="24"/>
          <w:szCs w:val="24"/>
          <w:lang w:val="en"/>
        </w:rPr>
        <w:t xml:space="preserve">loss to </w:t>
      </w:r>
      <w:r w:rsidR="00C11C7C">
        <w:rPr>
          <w:sz w:val="24"/>
          <w:szCs w:val="24"/>
          <w:lang w:val="en"/>
        </w:rPr>
        <w:t xml:space="preserve">their </w:t>
      </w:r>
      <w:r w:rsidR="00CC442B" w:rsidRPr="00CE6819">
        <w:rPr>
          <w:sz w:val="24"/>
          <w:szCs w:val="24"/>
          <w:lang w:val="en"/>
        </w:rPr>
        <w:t>shareholders. As suggested by Zingales (1995), Mello and Parsons (1998) and Dambra et al (2015), IPO can be a first step towards a future sale. This seems particularly relevant to small pharma firms whose acquisition by an established, asset-rich firm is likely to be the best option to support the drug development process until its successful end</w:t>
      </w:r>
      <w:r w:rsidR="00CC442B" w:rsidRPr="00CE6819">
        <w:rPr>
          <w:rFonts w:cs="Arial"/>
          <w:sz w:val="24"/>
          <w:szCs w:val="24"/>
          <w:rtl/>
          <w:lang w:val="en"/>
        </w:rPr>
        <w:t>.</w:t>
      </w:r>
    </w:p>
    <w:p w14:paraId="3593E331" w14:textId="66B91167" w:rsidR="008054A2" w:rsidRPr="00CE6819" w:rsidRDefault="00427A8D" w:rsidP="00716C9D">
      <w:pPr>
        <w:bidi w:val="0"/>
        <w:spacing w:line="360" w:lineRule="auto"/>
        <w:rPr>
          <w:sz w:val="24"/>
          <w:szCs w:val="24"/>
          <w:rtl/>
        </w:rPr>
      </w:pPr>
      <w:r w:rsidRPr="00CE6819">
        <w:rPr>
          <w:sz w:val="24"/>
          <w:szCs w:val="24"/>
          <w:lang w:val="en"/>
        </w:rPr>
        <w:t xml:space="preserve"> </w:t>
      </w:r>
      <w:r w:rsidR="001E3ADB">
        <w:rPr>
          <w:sz w:val="24"/>
          <w:szCs w:val="24"/>
          <w:lang w:val="en"/>
        </w:rPr>
        <w:t xml:space="preserve">Regarding </w:t>
      </w:r>
      <w:r w:rsidR="00FA0837">
        <w:rPr>
          <w:sz w:val="24"/>
          <w:szCs w:val="24"/>
          <w:lang w:val="en"/>
        </w:rPr>
        <w:t xml:space="preserve">other </w:t>
      </w:r>
      <w:r w:rsidR="001E3ADB">
        <w:rPr>
          <w:sz w:val="24"/>
          <w:szCs w:val="24"/>
          <w:lang w:val="en"/>
        </w:rPr>
        <w:t>factors effecting returns, w</w:t>
      </w:r>
      <w:r w:rsidR="002548BD" w:rsidRPr="00CE6819">
        <w:rPr>
          <w:sz w:val="24"/>
          <w:szCs w:val="24"/>
          <w:lang w:val="en"/>
        </w:rPr>
        <w:t xml:space="preserve">e </w:t>
      </w:r>
      <w:r w:rsidR="001E3ADB">
        <w:rPr>
          <w:sz w:val="24"/>
          <w:szCs w:val="24"/>
          <w:lang w:val="en"/>
        </w:rPr>
        <w:t xml:space="preserve">find that </w:t>
      </w:r>
      <w:r w:rsidR="00FA0837" w:rsidRPr="00CE6819">
        <w:rPr>
          <w:sz w:val="24"/>
          <w:szCs w:val="24"/>
          <w:lang w:val="en"/>
        </w:rPr>
        <w:t>shareholder dilution</w:t>
      </w:r>
      <w:r w:rsidR="00FA0837" w:rsidRPr="00CE6819">
        <w:rPr>
          <w:sz w:val="24"/>
          <w:szCs w:val="24"/>
          <w:lang w:val="en"/>
        </w:rPr>
        <w:t xml:space="preserve"> </w:t>
      </w:r>
      <w:r w:rsidR="001E3ADB">
        <w:rPr>
          <w:sz w:val="24"/>
          <w:szCs w:val="24"/>
          <w:lang w:val="en"/>
        </w:rPr>
        <w:t xml:space="preserve">had negative effect </w:t>
      </w:r>
      <w:r w:rsidR="002548BD" w:rsidRPr="00CE6819">
        <w:rPr>
          <w:sz w:val="24"/>
          <w:szCs w:val="24"/>
          <w:lang w:val="en"/>
        </w:rPr>
        <w:t xml:space="preserve">in the </w:t>
      </w:r>
      <w:r w:rsidR="001E3ADB">
        <w:rPr>
          <w:sz w:val="24"/>
          <w:szCs w:val="24"/>
          <w:lang w:val="en"/>
        </w:rPr>
        <w:t>post</w:t>
      </w:r>
      <w:r w:rsidR="002548BD" w:rsidRPr="00CE6819">
        <w:rPr>
          <w:sz w:val="24"/>
          <w:szCs w:val="24"/>
          <w:lang w:val="en"/>
        </w:rPr>
        <w:t xml:space="preserve"> IPO </w:t>
      </w:r>
      <w:r w:rsidR="001E3ADB">
        <w:rPr>
          <w:sz w:val="24"/>
          <w:szCs w:val="24"/>
          <w:lang w:val="en"/>
        </w:rPr>
        <w:t>year</w:t>
      </w:r>
      <w:r w:rsidR="00B66C3A">
        <w:rPr>
          <w:sz w:val="24"/>
          <w:szCs w:val="24"/>
          <w:lang w:val="en"/>
        </w:rPr>
        <w:t xml:space="preserve"> but reversed its direction 18 months post IPO date</w:t>
      </w:r>
      <w:bookmarkStart w:id="1" w:name="_GoBack"/>
      <w:bookmarkEnd w:id="1"/>
      <w:r w:rsidR="002548BD" w:rsidRPr="00CE6819">
        <w:rPr>
          <w:sz w:val="24"/>
          <w:szCs w:val="24"/>
          <w:lang w:val="en"/>
        </w:rPr>
        <w:t xml:space="preserve">. </w:t>
      </w:r>
      <w:r w:rsidR="001E6BA3" w:rsidRPr="00CE6819">
        <w:rPr>
          <w:sz w:val="24"/>
          <w:szCs w:val="24"/>
          <w:lang w:val="en"/>
        </w:rPr>
        <w:t>T</w:t>
      </w:r>
      <w:r w:rsidR="002548BD" w:rsidRPr="00CE6819">
        <w:rPr>
          <w:sz w:val="24"/>
          <w:szCs w:val="24"/>
          <w:lang w:val="en"/>
        </w:rPr>
        <w:t xml:space="preserve">he negative effect of being in its early </w:t>
      </w:r>
      <w:r w:rsidRPr="00CE6819">
        <w:rPr>
          <w:sz w:val="24"/>
          <w:szCs w:val="24"/>
          <w:lang w:val="en"/>
        </w:rPr>
        <w:t>stages of research</w:t>
      </w:r>
      <w:r w:rsidR="002548BD" w:rsidRPr="00CE6819">
        <w:rPr>
          <w:sz w:val="24"/>
          <w:szCs w:val="24"/>
          <w:lang w:val="en"/>
        </w:rPr>
        <w:t xml:space="preserve"> is </w:t>
      </w:r>
      <w:r w:rsidR="001E6BA3" w:rsidRPr="00CE6819">
        <w:rPr>
          <w:sz w:val="24"/>
          <w:szCs w:val="24"/>
          <w:lang w:val="en"/>
        </w:rPr>
        <w:t xml:space="preserve">likely to be </w:t>
      </w:r>
      <w:r w:rsidR="002548BD" w:rsidRPr="00CE6819">
        <w:rPr>
          <w:sz w:val="24"/>
          <w:szCs w:val="24"/>
          <w:lang w:val="en"/>
        </w:rPr>
        <w:t xml:space="preserve">due to </w:t>
      </w:r>
      <w:r w:rsidR="002548BD" w:rsidRPr="00CE6819">
        <w:rPr>
          <w:sz w:val="24"/>
          <w:szCs w:val="24"/>
          <w:lang w:val="en"/>
        </w:rPr>
        <w:lastRenderedPageBreak/>
        <w:t xml:space="preserve">the inherent uncertainty </w:t>
      </w:r>
      <w:r w:rsidR="001E6BA3" w:rsidRPr="00CE6819">
        <w:rPr>
          <w:sz w:val="24"/>
          <w:szCs w:val="24"/>
          <w:lang w:val="en"/>
        </w:rPr>
        <w:t>in</w:t>
      </w:r>
      <w:r w:rsidR="002548BD" w:rsidRPr="00CE6819">
        <w:rPr>
          <w:sz w:val="24"/>
          <w:szCs w:val="24"/>
          <w:lang w:val="en"/>
        </w:rPr>
        <w:t xml:space="preserve"> the process</w:t>
      </w:r>
      <w:r w:rsidR="001E6BA3" w:rsidRPr="00CE6819">
        <w:rPr>
          <w:sz w:val="24"/>
          <w:szCs w:val="24"/>
          <w:lang w:val="en"/>
        </w:rPr>
        <w:t xml:space="preserve"> of developing a drug. </w:t>
      </w:r>
      <w:r w:rsidRPr="00CE6819">
        <w:rPr>
          <w:sz w:val="24"/>
          <w:szCs w:val="24"/>
          <w:lang w:val="en"/>
        </w:rPr>
        <w:t xml:space="preserve"> </w:t>
      </w:r>
      <w:r w:rsidR="001E3ADB">
        <w:rPr>
          <w:sz w:val="24"/>
          <w:szCs w:val="24"/>
          <w:lang w:val="en"/>
        </w:rPr>
        <w:t>Lastly,</w:t>
      </w:r>
      <w:r w:rsidRPr="00CE6819">
        <w:rPr>
          <w:sz w:val="24"/>
          <w:szCs w:val="24"/>
          <w:lang w:val="en"/>
        </w:rPr>
        <w:t xml:space="preserve"> dealing with the </w:t>
      </w:r>
      <w:r w:rsidR="001E6BA3" w:rsidRPr="00CE6819">
        <w:rPr>
          <w:sz w:val="24"/>
          <w:szCs w:val="24"/>
          <w:lang w:val="en"/>
        </w:rPr>
        <w:t>areas</w:t>
      </w:r>
      <w:r w:rsidRPr="00CE6819">
        <w:rPr>
          <w:sz w:val="24"/>
          <w:szCs w:val="24"/>
          <w:lang w:val="en"/>
        </w:rPr>
        <w:t xml:space="preserve"> of oncology and cardiology</w:t>
      </w:r>
      <w:r w:rsidR="001E3ADB">
        <w:rPr>
          <w:rFonts w:cs="Arial"/>
          <w:sz w:val="24"/>
          <w:szCs w:val="24"/>
        </w:rPr>
        <w:t xml:space="preserve"> found to be irrelevant for stocks return.</w:t>
      </w:r>
      <w:r w:rsidR="001E6BA3" w:rsidRPr="00CE6819">
        <w:rPr>
          <w:sz w:val="24"/>
          <w:szCs w:val="24"/>
          <w:lang w:val="en"/>
        </w:rPr>
        <w:t xml:space="preserve"> </w:t>
      </w:r>
    </w:p>
    <w:p w14:paraId="35C9376C" w14:textId="6435D7A7" w:rsidR="00DD3BF0" w:rsidRPr="009118D6" w:rsidRDefault="00DD3BF0" w:rsidP="00D01F96">
      <w:pPr>
        <w:bidi w:val="0"/>
        <w:spacing w:line="360" w:lineRule="auto"/>
        <w:rPr>
          <w:b/>
          <w:bCs/>
          <w:sz w:val="24"/>
          <w:szCs w:val="24"/>
          <w:lang w:val="en"/>
        </w:rPr>
      </w:pPr>
      <w:r w:rsidRPr="009118D6">
        <w:rPr>
          <w:b/>
          <w:bCs/>
          <w:sz w:val="24"/>
          <w:szCs w:val="24"/>
          <w:lang w:val="en"/>
        </w:rPr>
        <w:t>References</w:t>
      </w:r>
    </w:p>
    <w:p w14:paraId="2401A93D" w14:textId="77777777" w:rsidR="00C41EF7" w:rsidRPr="00FD4572" w:rsidRDefault="00C41EF7" w:rsidP="00FD4572">
      <w:pPr>
        <w:bidi w:val="0"/>
        <w:spacing w:line="360" w:lineRule="auto"/>
        <w:rPr>
          <w:sz w:val="24"/>
          <w:szCs w:val="24"/>
        </w:rPr>
      </w:pPr>
      <w:r w:rsidRPr="00FD4572">
        <w:rPr>
          <w:sz w:val="24"/>
          <w:szCs w:val="24"/>
        </w:rPr>
        <w:t>Bradley, D. J., Jordan, B. D., Yi, H. C., &amp; Roten, I. C. (2001). Venture capital and IPO lockup expiration: An empirical analysis. Journal of Financial Research, 24(4), 465-493.</w:t>
      </w:r>
    </w:p>
    <w:p w14:paraId="6EC64241" w14:textId="5CCD5CED" w:rsidR="00C41EF7" w:rsidRPr="00FD4572" w:rsidRDefault="00C41EF7" w:rsidP="00FD4572">
      <w:pPr>
        <w:bidi w:val="0"/>
        <w:spacing w:line="360" w:lineRule="auto"/>
        <w:rPr>
          <w:sz w:val="24"/>
          <w:szCs w:val="24"/>
        </w:rPr>
      </w:pPr>
      <w:r w:rsidRPr="00FD4572">
        <w:rPr>
          <w:sz w:val="24"/>
          <w:szCs w:val="24"/>
        </w:rPr>
        <w:t>Brav, A., &amp; Gompers, P. A. (2003). The role of lockups in initial public offerings. The Review of Financial Studies, 16(1), 1-29.</w:t>
      </w:r>
      <w:r w:rsidRPr="00FD4572">
        <w:rPr>
          <w:sz w:val="24"/>
          <w:szCs w:val="24"/>
          <w:rtl/>
        </w:rPr>
        <w:t>‏</w:t>
      </w:r>
    </w:p>
    <w:p w14:paraId="03347898" w14:textId="77777777" w:rsidR="00A06595" w:rsidRPr="00FD4572" w:rsidRDefault="00A06595" w:rsidP="00FD4572">
      <w:pPr>
        <w:bidi w:val="0"/>
        <w:spacing w:line="360" w:lineRule="auto"/>
        <w:rPr>
          <w:sz w:val="24"/>
          <w:szCs w:val="24"/>
        </w:rPr>
      </w:pPr>
      <w:r w:rsidRPr="00FD4572">
        <w:rPr>
          <w:sz w:val="24"/>
          <w:szCs w:val="24"/>
        </w:rPr>
        <w:t>Chan, K. C., &amp; Lo, Y. L. (2011). Credit ratings and long-term IPO performance. Journal of Economics and Finance, 35(4), 473-483</w:t>
      </w:r>
      <w:r w:rsidRPr="00FD4572">
        <w:rPr>
          <w:rFonts w:cs="Arial"/>
          <w:sz w:val="24"/>
          <w:szCs w:val="24"/>
          <w:rtl/>
        </w:rPr>
        <w:t>.</w:t>
      </w:r>
    </w:p>
    <w:p w14:paraId="752321DC" w14:textId="0DF87FED" w:rsidR="00C41EF7" w:rsidRPr="00FD4572" w:rsidRDefault="00C41EF7" w:rsidP="00FD4572">
      <w:pPr>
        <w:bidi w:val="0"/>
        <w:spacing w:line="360" w:lineRule="auto"/>
        <w:rPr>
          <w:sz w:val="24"/>
          <w:szCs w:val="24"/>
        </w:rPr>
      </w:pPr>
      <w:r w:rsidRPr="00FD4572">
        <w:rPr>
          <w:sz w:val="24"/>
          <w:szCs w:val="24"/>
        </w:rPr>
        <w:t>Chang, C., Chiang, Y. M., Qian, Y., &amp; Ritter, J. R. (2017). Pre-market trading and IPO pricing. The Review of Financial Studies, 30(3), 835-865.</w:t>
      </w:r>
    </w:p>
    <w:p w14:paraId="0CFD3CA9" w14:textId="77777777" w:rsidR="00A06595" w:rsidRPr="00FD4572" w:rsidRDefault="00A06595" w:rsidP="00FD4572">
      <w:pPr>
        <w:bidi w:val="0"/>
        <w:spacing w:line="360" w:lineRule="auto"/>
        <w:rPr>
          <w:sz w:val="24"/>
          <w:szCs w:val="24"/>
        </w:rPr>
      </w:pPr>
      <w:r w:rsidRPr="00FD4572">
        <w:rPr>
          <w:sz w:val="24"/>
          <w:szCs w:val="24"/>
        </w:rPr>
        <w:t>Dambra, M., Field, L. C., &amp; Gustafson, M. T. (2015). The JOBS Act and IPO volume: Evidence that disclosure costs affect the IPO decision. Journal of Financial Economics, 116(1), 121-143</w:t>
      </w:r>
      <w:r w:rsidRPr="00FD4572">
        <w:rPr>
          <w:rFonts w:cs="Arial"/>
          <w:sz w:val="24"/>
          <w:szCs w:val="24"/>
          <w:rtl/>
        </w:rPr>
        <w:t>.‏</w:t>
      </w:r>
    </w:p>
    <w:p w14:paraId="075ED992" w14:textId="77777777" w:rsidR="00A06595" w:rsidRPr="00FD4572" w:rsidRDefault="00A06595" w:rsidP="00FD4572">
      <w:pPr>
        <w:bidi w:val="0"/>
        <w:spacing w:line="360" w:lineRule="auto"/>
        <w:rPr>
          <w:sz w:val="24"/>
          <w:szCs w:val="24"/>
        </w:rPr>
      </w:pPr>
      <w:r w:rsidRPr="00FD4572">
        <w:rPr>
          <w:sz w:val="24"/>
          <w:szCs w:val="24"/>
        </w:rPr>
        <w:t>Durukan, M. B. (2002). The relationship between IPO returns and factors influencing IPO performance: case of Istanbul Stock Exchange. Managerial Finance</w:t>
      </w:r>
    </w:p>
    <w:p w14:paraId="2C70F0DD" w14:textId="77777777" w:rsidR="00D60B04" w:rsidRPr="00FD4572" w:rsidRDefault="00D60B04" w:rsidP="00FD4572">
      <w:pPr>
        <w:bidi w:val="0"/>
        <w:spacing w:line="360" w:lineRule="auto"/>
        <w:rPr>
          <w:sz w:val="24"/>
          <w:szCs w:val="24"/>
        </w:rPr>
      </w:pPr>
      <w:r w:rsidRPr="00FD4572">
        <w:rPr>
          <w:sz w:val="24"/>
          <w:szCs w:val="24"/>
        </w:rPr>
        <w:t xml:space="preserve">Fama, E. F., &amp; French, K. R. (1992). The cross‐section of expected stock returns. </w:t>
      </w:r>
      <w:r w:rsidRPr="00FD4572">
        <w:rPr>
          <w:i/>
          <w:iCs/>
          <w:sz w:val="24"/>
          <w:szCs w:val="24"/>
        </w:rPr>
        <w:t>the Journal of Finance</w:t>
      </w:r>
      <w:r w:rsidRPr="00FD4572">
        <w:rPr>
          <w:sz w:val="24"/>
          <w:szCs w:val="24"/>
        </w:rPr>
        <w:t xml:space="preserve">, </w:t>
      </w:r>
      <w:r w:rsidRPr="00FD4572">
        <w:rPr>
          <w:i/>
          <w:iCs/>
          <w:sz w:val="24"/>
          <w:szCs w:val="24"/>
        </w:rPr>
        <w:t>47</w:t>
      </w:r>
      <w:r w:rsidRPr="00FD4572">
        <w:rPr>
          <w:sz w:val="24"/>
          <w:szCs w:val="24"/>
        </w:rPr>
        <w:t>(2), 427-465</w:t>
      </w:r>
    </w:p>
    <w:p w14:paraId="5FD6E756" w14:textId="5C9D0A2C" w:rsidR="00C41EF7" w:rsidRPr="00FD4572" w:rsidRDefault="00C41EF7" w:rsidP="00FD4572">
      <w:pPr>
        <w:bidi w:val="0"/>
        <w:spacing w:line="360" w:lineRule="auto"/>
        <w:rPr>
          <w:sz w:val="24"/>
          <w:szCs w:val="24"/>
        </w:rPr>
      </w:pPr>
      <w:r w:rsidRPr="00FD4572">
        <w:rPr>
          <w:sz w:val="24"/>
          <w:szCs w:val="24"/>
        </w:rPr>
        <w:t>Field, L. C., &amp; Hanka, G. (2001). The expiration of IPO share lockups. The Journal of Finance, 56(2), 471-500.</w:t>
      </w:r>
      <w:r w:rsidRPr="00FD4572">
        <w:rPr>
          <w:sz w:val="24"/>
          <w:szCs w:val="24"/>
          <w:rtl/>
        </w:rPr>
        <w:t>‏</w:t>
      </w:r>
    </w:p>
    <w:p w14:paraId="0F9C3219" w14:textId="5ABA29C9" w:rsidR="00A06595" w:rsidRPr="00FD4572" w:rsidRDefault="00A06595" w:rsidP="00FD4572">
      <w:pPr>
        <w:bidi w:val="0"/>
        <w:spacing w:line="360" w:lineRule="auto"/>
        <w:rPr>
          <w:sz w:val="24"/>
          <w:szCs w:val="24"/>
        </w:rPr>
      </w:pPr>
      <w:r w:rsidRPr="00FD4572">
        <w:rPr>
          <w:sz w:val="24"/>
          <w:szCs w:val="24"/>
        </w:rPr>
        <w:t>Gao, Y., Mao, C. X., &amp; Zhong, R. (2006). Divergence of opinion and long‐term performance of initial public offerings. Journal of Financial Research, 29(1), 113-129</w:t>
      </w:r>
    </w:p>
    <w:p w14:paraId="0F0C6646" w14:textId="2BF5784B" w:rsidR="00D60B04" w:rsidRPr="00FD4572" w:rsidRDefault="00D60B04" w:rsidP="00FD4572">
      <w:pPr>
        <w:bidi w:val="0"/>
        <w:spacing w:line="360" w:lineRule="auto"/>
        <w:rPr>
          <w:sz w:val="24"/>
          <w:szCs w:val="24"/>
        </w:rPr>
      </w:pPr>
      <w:r w:rsidRPr="00FD4572">
        <w:rPr>
          <w:sz w:val="24"/>
          <w:szCs w:val="24"/>
        </w:rPr>
        <w:t>Goergen, M., Khurshed, A., &amp; Renneboog, L. (2009). Why are the French so different from the Germans? Underpricing of IPOs on the Euro New Markets. International Review of Law and Economics, 29(3), 260-271.</w:t>
      </w:r>
    </w:p>
    <w:p w14:paraId="02AB2E2D" w14:textId="11EFC5EE" w:rsidR="00A06595" w:rsidRPr="00FD4572" w:rsidRDefault="00A06595" w:rsidP="00FD4572">
      <w:pPr>
        <w:autoSpaceDE w:val="0"/>
        <w:autoSpaceDN w:val="0"/>
        <w:bidi w:val="0"/>
        <w:adjustRightInd w:val="0"/>
        <w:spacing w:after="0" w:line="360" w:lineRule="auto"/>
        <w:rPr>
          <w:sz w:val="24"/>
          <w:szCs w:val="24"/>
        </w:rPr>
      </w:pPr>
      <w:r w:rsidRPr="00FD4572">
        <w:rPr>
          <w:rFonts w:ascii="TimesNewRomanPS" w:hAnsi="TimesNewRomanPS" w:cs="TimesNewRomanPS"/>
          <w:sz w:val="24"/>
          <w:szCs w:val="24"/>
        </w:rPr>
        <w:lastRenderedPageBreak/>
        <w:t>Goergen, M., Khurshed, A. and Mudambi, R., ‘The long run performance of IPOs: can it be predicted?’</w:t>
      </w:r>
      <w:r w:rsidR="009118D6" w:rsidRPr="00FD4572">
        <w:rPr>
          <w:rFonts w:ascii="TimesNewRomanPS" w:hAnsi="TimesNewRomanPS" w:cs="TimesNewRomanPS"/>
          <w:sz w:val="24"/>
          <w:szCs w:val="24"/>
        </w:rPr>
        <w:t xml:space="preserve"> </w:t>
      </w:r>
      <w:r w:rsidRPr="00FD4572">
        <w:rPr>
          <w:rFonts w:ascii="TimesNewRomanPS-Italic" w:hAnsi="TimesNewRomanPS-Italic" w:cs="TimesNewRomanPS-Italic"/>
          <w:sz w:val="24"/>
          <w:szCs w:val="24"/>
        </w:rPr>
        <w:t>Managerial Finance</w:t>
      </w:r>
      <w:r w:rsidRPr="00FD4572">
        <w:rPr>
          <w:rFonts w:ascii="TimesNewRomanPS" w:hAnsi="TimesNewRomanPS" w:cs="TimesNewRomanPS"/>
          <w:sz w:val="24"/>
          <w:szCs w:val="24"/>
        </w:rPr>
        <w:t>, Vol. 33, 2007, pp. 401–19</w:t>
      </w:r>
      <w:r w:rsidRPr="00FD4572">
        <w:rPr>
          <w:sz w:val="24"/>
          <w:szCs w:val="24"/>
        </w:rPr>
        <w:t xml:space="preserve"> </w:t>
      </w:r>
    </w:p>
    <w:p w14:paraId="0314AC8B" w14:textId="1DA20F60" w:rsidR="00A06595" w:rsidRPr="00FD4572" w:rsidRDefault="00A06595" w:rsidP="00FD4572">
      <w:pPr>
        <w:bidi w:val="0"/>
        <w:spacing w:line="360" w:lineRule="auto"/>
        <w:rPr>
          <w:sz w:val="24"/>
          <w:szCs w:val="24"/>
        </w:rPr>
      </w:pPr>
      <w:r w:rsidRPr="00FD4572">
        <w:rPr>
          <w:sz w:val="24"/>
          <w:szCs w:val="24"/>
        </w:rPr>
        <w:t>Gorry, P., &amp; Useche, D. (2017). Orphan Drug Designations as Valuable Intangible Assets for IPO Investors in Pharma-Biotech Companies (No. w24021). National Bureau of Economic Research</w:t>
      </w:r>
    </w:p>
    <w:p w14:paraId="7275AAB3" w14:textId="27BC36C3" w:rsidR="00D60B04" w:rsidRPr="00FD4572" w:rsidRDefault="00D60B04" w:rsidP="00FD4572">
      <w:pPr>
        <w:bidi w:val="0"/>
        <w:spacing w:line="360" w:lineRule="auto"/>
        <w:rPr>
          <w:sz w:val="24"/>
          <w:szCs w:val="24"/>
        </w:rPr>
      </w:pPr>
      <w:r w:rsidRPr="00FD4572">
        <w:rPr>
          <w:sz w:val="24"/>
          <w:szCs w:val="24"/>
        </w:rPr>
        <w:t>Jain, B. A., &amp; Kini, O. (1994). The post‐issue operating performance of IPO firms. The journal of finance, 49(5), 1699-1726.</w:t>
      </w:r>
    </w:p>
    <w:p w14:paraId="7A8DA164" w14:textId="2B1F460D" w:rsidR="00A06595" w:rsidRPr="00FD4572" w:rsidRDefault="00A06595" w:rsidP="00FD4572">
      <w:pPr>
        <w:bidi w:val="0"/>
        <w:spacing w:line="360" w:lineRule="auto"/>
        <w:rPr>
          <w:sz w:val="24"/>
          <w:szCs w:val="24"/>
        </w:rPr>
      </w:pPr>
      <w:r w:rsidRPr="00FD4572">
        <w:rPr>
          <w:sz w:val="24"/>
          <w:szCs w:val="24"/>
        </w:rPr>
        <w:t>Higgins, M. J., Stephan, P. E., &amp; Thursby, J. G. (2011). Conveying quality and value in emerging industries: Star scientists and the role of signals in biotechnology. Research Policy, 40(4), 605-617.</w:t>
      </w:r>
      <w:r w:rsidRPr="00FD4572">
        <w:rPr>
          <w:rFonts w:cs="Arial"/>
          <w:sz w:val="24"/>
          <w:szCs w:val="24"/>
          <w:rtl/>
        </w:rPr>
        <w:t>‏</w:t>
      </w:r>
    </w:p>
    <w:p w14:paraId="038FDF6F" w14:textId="521C7CA9" w:rsidR="00A06595" w:rsidRPr="00FD4572" w:rsidRDefault="00A06595" w:rsidP="00FD4572">
      <w:pPr>
        <w:bidi w:val="0"/>
        <w:spacing w:line="360" w:lineRule="auto"/>
        <w:rPr>
          <w:sz w:val="24"/>
          <w:szCs w:val="24"/>
        </w:rPr>
      </w:pPr>
      <w:r w:rsidRPr="00FD4572">
        <w:rPr>
          <w:sz w:val="24"/>
          <w:szCs w:val="24"/>
        </w:rPr>
        <w:t xml:space="preserve">Komenkul, K., &amp; Kiranand, S. (2017). Aftermarket Performance of Health Care and Biopharmaceutical IPOs: Evidence From ASEAN Countries. INQUIRY: The Journal of Health Care Organization, Provision, and Financing, 54, </w:t>
      </w:r>
    </w:p>
    <w:p w14:paraId="08DA66FE" w14:textId="4450FF74" w:rsidR="00C41EF7" w:rsidRPr="00FD4572" w:rsidRDefault="00D60B04" w:rsidP="00FD4572">
      <w:pPr>
        <w:bidi w:val="0"/>
        <w:spacing w:line="360" w:lineRule="auto"/>
        <w:rPr>
          <w:sz w:val="24"/>
          <w:szCs w:val="24"/>
        </w:rPr>
      </w:pPr>
      <w:r w:rsidRPr="00FD4572">
        <w:rPr>
          <w:sz w:val="24"/>
          <w:szCs w:val="24"/>
        </w:rPr>
        <w:t>Kumar, A. (2009). Who gambles in the stock market?. The Journal of Finance, 64(4), 1889-1933.</w:t>
      </w:r>
    </w:p>
    <w:p w14:paraId="7264E1E6" w14:textId="0CE5DACF" w:rsidR="00C01CEC" w:rsidRPr="00FD4572" w:rsidRDefault="00C01CEC" w:rsidP="00FD4572">
      <w:pPr>
        <w:bidi w:val="0"/>
        <w:spacing w:line="360" w:lineRule="auto"/>
        <w:rPr>
          <w:sz w:val="24"/>
          <w:szCs w:val="24"/>
        </w:rPr>
      </w:pPr>
      <w:r w:rsidRPr="00FD4572">
        <w:rPr>
          <w:rFonts w:ascii="Arial" w:hAnsi="Arial" w:cs="Arial"/>
          <w:color w:val="222222"/>
          <w:sz w:val="24"/>
          <w:szCs w:val="24"/>
          <w:shd w:val="clear" w:color="auto" w:fill="FFFFFF"/>
        </w:rPr>
        <w:t>Loughran, T., Ritter, J. R., &amp; Rydqvist, K. (199</w:t>
      </w:r>
      <w:r w:rsidR="00FD4572" w:rsidRPr="00FD4572">
        <w:rPr>
          <w:rFonts w:ascii="Arial" w:hAnsi="Arial" w:cs="Arial"/>
          <w:color w:val="222222"/>
          <w:sz w:val="24"/>
          <w:szCs w:val="24"/>
          <w:shd w:val="clear" w:color="auto" w:fill="FFFFFF"/>
        </w:rPr>
        <w:t>5</w:t>
      </w:r>
      <w:r w:rsidRPr="00FD4572">
        <w:rPr>
          <w:rFonts w:ascii="Arial" w:hAnsi="Arial" w:cs="Arial"/>
          <w:color w:val="222222"/>
          <w:sz w:val="24"/>
          <w:szCs w:val="24"/>
          <w:shd w:val="clear" w:color="auto" w:fill="FFFFFF"/>
        </w:rPr>
        <w:t>). </w:t>
      </w:r>
      <w:r w:rsidRPr="00FD4572">
        <w:rPr>
          <w:rFonts w:ascii="Arial" w:hAnsi="Arial" w:cs="Arial"/>
          <w:i/>
          <w:iCs/>
          <w:color w:val="222222"/>
          <w:sz w:val="24"/>
          <w:szCs w:val="24"/>
          <w:shd w:val="clear" w:color="auto" w:fill="FFFFFF"/>
        </w:rPr>
        <w:t>Initial public offerings: International insights</w:t>
      </w:r>
      <w:r w:rsidRPr="00FD4572">
        <w:rPr>
          <w:rFonts w:ascii="Arial" w:hAnsi="Arial" w:cs="Arial"/>
          <w:color w:val="222222"/>
          <w:sz w:val="24"/>
          <w:szCs w:val="24"/>
          <w:shd w:val="clear" w:color="auto" w:fill="FFFFFF"/>
        </w:rPr>
        <w:t>. Center for International Business Education and Research, College of Commerce and Business Administration, University of Illinois at Urbana-Champaign.</w:t>
      </w:r>
      <w:r w:rsidRPr="00FD4572">
        <w:rPr>
          <w:rFonts w:ascii="Arial" w:hAnsi="Arial" w:cs="Arial"/>
          <w:color w:val="222222"/>
          <w:sz w:val="24"/>
          <w:szCs w:val="24"/>
          <w:shd w:val="clear" w:color="auto" w:fill="FFFFFF"/>
          <w:rtl/>
        </w:rPr>
        <w:t>‏</w:t>
      </w:r>
    </w:p>
    <w:p w14:paraId="0BE0841C" w14:textId="56D3154D" w:rsidR="00D60B04" w:rsidRPr="00FD4572" w:rsidRDefault="00D60B04" w:rsidP="00FD4572">
      <w:pPr>
        <w:bidi w:val="0"/>
        <w:spacing w:line="360" w:lineRule="auto"/>
        <w:rPr>
          <w:rStyle w:val="tlid-translation"/>
          <w:sz w:val="24"/>
          <w:szCs w:val="24"/>
          <w:lang w:val="en"/>
        </w:rPr>
      </w:pPr>
      <w:r w:rsidRPr="00FD4572">
        <w:rPr>
          <w:rStyle w:val="tlid-translation"/>
          <w:sz w:val="24"/>
          <w:szCs w:val="24"/>
          <w:lang w:val="en"/>
        </w:rPr>
        <w:t>Markowitz, Harry, 1952, The Utility of Wealth, Journal of Political Economy 60, 151-15 .</w:t>
      </w:r>
    </w:p>
    <w:p w14:paraId="3E301A29" w14:textId="77777777" w:rsidR="00A06595" w:rsidRPr="00FD4572" w:rsidRDefault="00A06595" w:rsidP="00FD4572">
      <w:pPr>
        <w:bidi w:val="0"/>
        <w:spacing w:line="360" w:lineRule="auto"/>
        <w:rPr>
          <w:rStyle w:val="tlid-translation"/>
          <w:sz w:val="24"/>
          <w:szCs w:val="24"/>
          <w:lang w:val="en"/>
        </w:rPr>
      </w:pPr>
      <w:r w:rsidRPr="00FD4572">
        <w:rPr>
          <w:rStyle w:val="tlid-translation"/>
          <w:sz w:val="24"/>
          <w:szCs w:val="24"/>
          <w:lang w:val="en"/>
        </w:rPr>
        <w:t>Mello, A. S., &amp; Parsons, J. E. (1998). Going public and the ownership structure of the firm. Journal of financial economics, 49(1), 79-109.</w:t>
      </w:r>
      <w:r w:rsidRPr="00FD4572">
        <w:rPr>
          <w:rStyle w:val="tlid-translation"/>
          <w:sz w:val="24"/>
          <w:szCs w:val="24"/>
          <w:rtl/>
          <w:lang w:val="en"/>
        </w:rPr>
        <w:t>‏</w:t>
      </w:r>
    </w:p>
    <w:p w14:paraId="4F23D221" w14:textId="77777777" w:rsidR="00C41EF7" w:rsidRPr="00FD4572" w:rsidRDefault="00C41EF7" w:rsidP="00FD4572">
      <w:pPr>
        <w:bidi w:val="0"/>
        <w:spacing w:line="360" w:lineRule="auto"/>
        <w:rPr>
          <w:rStyle w:val="tlid-translation"/>
          <w:sz w:val="24"/>
          <w:szCs w:val="24"/>
          <w:lang w:val="en"/>
        </w:rPr>
      </w:pPr>
      <w:r w:rsidRPr="00FD4572">
        <w:rPr>
          <w:rStyle w:val="tlid-translation"/>
          <w:sz w:val="24"/>
          <w:szCs w:val="24"/>
          <w:lang w:val="en"/>
        </w:rPr>
        <w:t>Ofek, E. (2000). The IPO lock-up period: Implications for market efficiency and downward sloping demand curves.</w:t>
      </w:r>
    </w:p>
    <w:p w14:paraId="44079F56" w14:textId="77777777" w:rsidR="00C41EF7" w:rsidRPr="00FD4572" w:rsidRDefault="00C41EF7" w:rsidP="00FD4572">
      <w:pPr>
        <w:bidi w:val="0"/>
        <w:spacing w:line="360" w:lineRule="auto"/>
        <w:rPr>
          <w:sz w:val="24"/>
          <w:szCs w:val="24"/>
        </w:rPr>
      </w:pPr>
      <w:r w:rsidRPr="00FD4572">
        <w:rPr>
          <w:sz w:val="24"/>
          <w:szCs w:val="24"/>
        </w:rPr>
        <w:t>Ritter, J. R., &amp; Welch, I. (2002). A review of IPO activity, pricing, and allocations. The journal of Finance, 57(4), 1795-1828.</w:t>
      </w:r>
      <w:r w:rsidRPr="00FD4572">
        <w:rPr>
          <w:sz w:val="24"/>
          <w:szCs w:val="24"/>
          <w:rtl/>
        </w:rPr>
        <w:t>‏</w:t>
      </w:r>
    </w:p>
    <w:p w14:paraId="71EAA63C" w14:textId="797F602F" w:rsidR="00265684" w:rsidRPr="00FD4572" w:rsidRDefault="00265684" w:rsidP="00FD4572">
      <w:pPr>
        <w:bidi w:val="0"/>
        <w:spacing w:line="360" w:lineRule="auto"/>
        <w:rPr>
          <w:sz w:val="24"/>
          <w:szCs w:val="24"/>
          <w:rtl/>
        </w:rPr>
      </w:pPr>
      <w:r w:rsidRPr="00FD4572">
        <w:rPr>
          <w:sz w:val="24"/>
          <w:szCs w:val="24"/>
        </w:rPr>
        <w:lastRenderedPageBreak/>
        <w:t>Thakor, R. T., Anaya, N., Zhang, Y., Vilanilam, C., Siah, K. W., Wong, C. H., &amp; Lo, A. W. (2017). Just how good an investment is the biopharmaceutical sector? Nature biotechnology, 35(12), 1149.</w:t>
      </w:r>
      <w:r w:rsidRPr="00FD4572">
        <w:rPr>
          <w:sz w:val="24"/>
          <w:szCs w:val="24"/>
          <w:rtl/>
        </w:rPr>
        <w:t>‏</w:t>
      </w:r>
    </w:p>
    <w:p w14:paraId="51F8499A" w14:textId="77777777" w:rsidR="00265684" w:rsidRPr="00FD4572" w:rsidRDefault="00265684" w:rsidP="00FD4572">
      <w:pPr>
        <w:bidi w:val="0"/>
        <w:spacing w:line="360" w:lineRule="auto"/>
        <w:rPr>
          <w:sz w:val="24"/>
          <w:szCs w:val="24"/>
        </w:rPr>
      </w:pPr>
      <w:r w:rsidRPr="00FD4572">
        <w:rPr>
          <w:sz w:val="24"/>
          <w:szCs w:val="24"/>
        </w:rPr>
        <w:t xml:space="preserve">Thomadakis, S., Nounis, C., &amp; Gounopoulos, D. (2012). Long‐term Performance of Greek IPOs. European Financial Management, 18(1), 117-141.   </w:t>
      </w:r>
    </w:p>
    <w:p w14:paraId="654EDE9B" w14:textId="3DEA9818" w:rsidR="00F3054C" w:rsidRPr="00FD4572" w:rsidRDefault="00265684" w:rsidP="00FD4572">
      <w:pPr>
        <w:bidi w:val="0"/>
        <w:spacing w:line="360" w:lineRule="auto"/>
      </w:pPr>
      <w:r w:rsidRPr="00FD4572">
        <w:rPr>
          <w:sz w:val="24"/>
          <w:szCs w:val="24"/>
        </w:rPr>
        <w:t>Zingales, L. (1995). Insider ownership and the decision to go public. The review of economic studies, 62(3), 425-448.</w:t>
      </w:r>
      <w:r w:rsidRPr="00FD4572">
        <w:rPr>
          <w:sz w:val="24"/>
          <w:szCs w:val="24"/>
          <w:rtl/>
        </w:rPr>
        <w:t>‏</w:t>
      </w:r>
    </w:p>
    <w:sectPr w:rsidR="00F3054C" w:rsidRPr="00FD4572" w:rsidSect="007730BF">
      <w:head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9EFB7" w14:textId="77777777" w:rsidR="00B7165B" w:rsidRDefault="00B7165B" w:rsidP="00204B9A">
      <w:pPr>
        <w:spacing w:after="0" w:line="240" w:lineRule="auto"/>
      </w:pPr>
      <w:r>
        <w:separator/>
      </w:r>
    </w:p>
  </w:endnote>
  <w:endnote w:type="continuationSeparator" w:id="0">
    <w:p w14:paraId="0BC91D03" w14:textId="77777777" w:rsidR="00B7165B" w:rsidRDefault="00B7165B" w:rsidP="00204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SansStd">
    <w:altName w:val="Arial"/>
    <w:panose1 w:val="00000000000000000000"/>
    <w:charset w:val="B1"/>
    <w:family w:val="swiss"/>
    <w:notTrueType/>
    <w:pitch w:val="default"/>
    <w:sig w:usb0="00000801" w:usb1="00000000" w:usb2="00000000" w:usb3="00000000" w:csb0="00000020" w:csb1="00000000"/>
  </w:font>
  <w:font w:name="Cambria Math">
    <w:panose1 w:val="02040503050406030204"/>
    <w:charset w:val="00"/>
    <w:family w:val="roman"/>
    <w:pitch w:val="variable"/>
    <w:sig w:usb0="E00006FF" w:usb1="420024FF" w:usb2="02000000" w:usb3="00000000" w:csb0="000001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imesNewRomanPS-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BBD7D" w14:textId="77777777" w:rsidR="00B7165B" w:rsidRDefault="00B7165B" w:rsidP="00204B9A">
      <w:pPr>
        <w:spacing w:after="0" w:line="240" w:lineRule="auto"/>
      </w:pPr>
      <w:r>
        <w:separator/>
      </w:r>
    </w:p>
  </w:footnote>
  <w:footnote w:type="continuationSeparator" w:id="0">
    <w:p w14:paraId="6C661C8E" w14:textId="77777777" w:rsidR="00B7165B" w:rsidRDefault="00B7165B" w:rsidP="00204B9A">
      <w:pPr>
        <w:spacing w:after="0" w:line="240" w:lineRule="auto"/>
      </w:pPr>
      <w:r>
        <w:continuationSeparator/>
      </w:r>
    </w:p>
  </w:footnote>
  <w:footnote w:id="1">
    <w:p w14:paraId="2F8DB77F" w14:textId="687C08E7" w:rsidR="00456D20" w:rsidRPr="00FC521A" w:rsidRDefault="00456D20">
      <w:pPr>
        <w:pStyle w:val="FootnoteText"/>
        <w:rPr>
          <w:lang w:val="en"/>
        </w:rPr>
      </w:pPr>
      <w:r>
        <w:rPr>
          <w:rStyle w:val="FootnoteReference"/>
        </w:rPr>
        <w:footnoteRef/>
      </w:r>
      <w:r>
        <w:t xml:space="preserve"> </w:t>
      </w:r>
      <w:r>
        <w:rPr>
          <w:rStyle w:val="tlid-translation"/>
          <w:lang w:val="en"/>
        </w:rPr>
        <w:t>Due to the fact that we deal with new issues, and the short period after the IPO that is being examined, volatility and idiosyncratic bias cannot be examined.</w:t>
      </w:r>
    </w:p>
  </w:footnote>
  <w:footnote w:id="2">
    <w:p w14:paraId="7CE1C68E" w14:textId="77777777" w:rsidR="000D4425" w:rsidRPr="00CF01C8" w:rsidRDefault="000D4425" w:rsidP="000D4425">
      <w:pPr>
        <w:pStyle w:val="FootnoteText"/>
        <w:rPr>
          <w:lang w:val="en-GB"/>
        </w:rPr>
      </w:pPr>
      <w:r>
        <w:rPr>
          <w:rStyle w:val="FootnoteReference"/>
        </w:rPr>
        <w:footnoteRef/>
      </w:r>
      <w:r>
        <w:t xml:space="preserve"> </w:t>
      </w:r>
      <w:r w:rsidRPr="00BF1E23">
        <w:rPr>
          <w:lang w:bidi="he-IL"/>
        </w:rPr>
        <w:t>EvaluatePharma database is one of the top global pharma database</w:t>
      </w:r>
      <w:r>
        <w:rPr>
          <w:lang w:bidi="he-IL"/>
        </w:rPr>
        <w:t>s:</w:t>
      </w:r>
      <w:r w:rsidRPr="00BF1E23">
        <w:rPr>
          <w:lang w:bidi="he-IL"/>
        </w:rPr>
        <w:t xml:space="preserve"> </w:t>
      </w:r>
      <w:hyperlink r:id="rId1" w:history="1">
        <w:r w:rsidRPr="00BF1E23">
          <w:rPr>
            <w:rStyle w:val="Hyperlink"/>
            <w:lang w:bidi="he-IL"/>
          </w:rPr>
          <w:t>http://www.evaluate.com/</w:t>
        </w:r>
      </w:hyperlink>
      <w:r w:rsidRPr="00BF1E23">
        <w:rPr>
          <w:lang w:bidi="he-IL"/>
        </w:rPr>
        <w:t xml:space="preserve"> </w:t>
      </w:r>
    </w:p>
  </w:footnote>
  <w:footnote w:id="3">
    <w:p w14:paraId="0ACF31C9" w14:textId="77777777" w:rsidR="000D4425" w:rsidRDefault="000D4425" w:rsidP="000D4425">
      <w:pPr>
        <w:pStyle w:val="FootnoteText"/>
      </w:pPr>
      <w:r>
        <w:rPr>
          <w:rStyle w:val="FootnoteReference"/>
        </w:rPr>
        <w:footnoteRef/>
      </w:r>
      <w:r>
        <w:t xml:space="preserve"> </w:t>
      </w:r>
      <w:hyperlink r:id="rId2" w:history="1">
        <w:r w:rsidRPr="008C7DDE">
          <w:rPr>
            <w:rFonts w:asciiTheme="minorHAnsi" w:eastAsiaTheme="minorHAnsi" w:hAnsiTheme="minorHAnsi" w:cstheme="minorBidi"/>
            <w:color w:val="0000FF"/>
            <w:sz w:val="22"/>
            <w:szCs w:val="22"/>
            <w:u w:val="single"/>
            <w:lang w:bidi="he-IL"/>
          </w:rPr>
          <w:t>https://www.nasdaq.com/market-activity/ipos</w:t>
        </w:r>
      </w:hyperlink>
    </w:p>
  </w:footnote>
  <w:footnote w:id="4">
    <w:p w14:paraId="4F40F423" w14:textId="4956A684" w:rsidR="00AA569A" w:rsidRDefault="00AA569A">
      <w:pPr>
        <w:pStyle w:val="FootnoteText"/>
      </w:pPr>
      <w:r>
        <w:rPr>
          <w:rStyle w:val="FootnoteReference"/>
        </w:rPr>
        <w:footnoteRef/>
      </w:r>
      <w:r>
        <w:t xml:space="preserve"> </w:t>
      </w:r>
      <w:hyperlink r:id="rId3" w:history="1">
        <w:r w:rsidRPr="00AA569A">
          <w:rPr>
            <w:rFonts w:asciiTheme="minorHAnsi" w:eastAsiaTheme="minorHAnsi" w:hAnsiTheme="minorHAnsi" w:cstheme="minorBidi"/>
            <w:color w:val="0000FF"/>
            <w:sz w:val="22"/>
            <w:szCs w:val="22"/>
            <w:u w:val="single"/>
            <w:lang w:bidi="he-IL"/>
          </w:rPr>
          <w:t>https://finance.yahoo.com/</w:t>
        </w:r>
      </w:hyperlink>
    </w:p>
  </w:footnote>
  <w:footnote w:id="5">
    <w:p w14:paraId="33255B79" w14:textId="71B5FCB7" w:rsidR="00456D20" w:rsidRDefault="00456D20">
      <w:pPr>
        <w:pStyle w:val="FootnoteText"/>
      </w:pPr>
      <w:r>
        <w:rPr>
          <w:rStyle w:val="FootnoteReference"/>
        </w:rPr>
        <w:footnoteRef/>
      </w:r>
      <w:r>
        <w:t xml:space="preserve"> According to Jay R. Ritter, UF Warrington Faculty </w:t>
      </w:r>
      <w:hyperlink r:id="rId4" w:history="1">
        <w:r w:rsidRPr="000D2342">
          <w:rPr>
            <w:rStyle w:val="Hyperlink"/>
          </w:rPr>
          <w:t>https://site.warrington.ufl.edu/ritter/ipo-data/</w:t>
        </w:r>
      </w:hyperlink>
      <w:r>
        <w:t xml:space="preserve"> </w:t>
      </w:r>
    </w:p>
  </w:footnote>
  <w:footnote w:id="6">
    <w:p w14:paraId="1FAE318B" w14:textId="2FDD24A2" w:rsidR="00456D20" w:rsidRPr="001351CB" w:rsidRDefault="00456D20">
      <w:pPr>
        <w:pStyle w:val="FootnoteText"/>
        <w:rPr>
          <w:sz w:val="22"/>
          <w:szCs w:val="22"/>
        </w:rPr>
      </w:pPr>
      <w:r>
        <w:rPr>
          <w:rStyle w:val="FootnoteReference"/>
        </w:rPr>
        <w:footnoteRef/>
      </w:r>
      <w:r>
        <w:t xml:space="preserve"> </w:t>
      </w:r>
      <w:r w:rsidRPr="001351CB">
        <w:rPr>
          <w:rStyle w:val="tlid-translation"/>
          <w:sz w:val="22"/>
          <w:szCs w:val="22"/>
          <w:lang w:val="en"/>
        </w:rPr>
        <w:t>As trading starts at the IPO date, parameters such as risk, book to market, volatility and more could not be measured in a time period before the event and therefore are not included</w:t>
      </w:r>
      <w:r w:rsidR="00D06973">
        <w:rPr>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549951122"/>
      <w:docPartObj>
        <w:docPartGallery w:val="Page Numbers (Top of Page)"/>
        <w:docPartUnique/>
      </w:docPartObj>
    </w:sdtPr>
    <w:sdtEndPr>
      <w:rPr>
        <w:noProof/>
      </w:rPr>
    </w:sdtEndPr>
    <w:sdtContent>
      <w:p w14:paraId="3889D671" w14:textId="31AB4D38" w:rsidR="00ED71A2" w:rsidRDefault="00ED71A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FC9E732" w14:textId="77777777" w:rsidR="00456D20" w:rsidRDefault="00456D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24A1C"/>
    <w:multiLevelType w:val="multilevel"/>
    <w:tmpl w:val="92A0756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C21268A"/>
    <w:multiLevelType w:val="multilevel"/>
    <w:tmpl w:val="D7F45058"/>
    <w:lvl w:ilvl="0">
      <w:start w:val="1"/>
      <w:numFmt w:val="decimal"/>
      <w:lvlText w:val="%1."/>
      <w:lvlJc w:val="left"/>
      <w:pPr>
        <w:ind w:left="720" w:hanging="360"/>
      </w:pPr>
      <w:rPr>
        <w:rFonts w:hint="default"/>
      </w:rPr>
    </w:lvl>
    <w:lvl w:ilvl="1">
      <w:start w:val="2"/>
      <w:numFmt w:val="decimal"/>
      <w:isLgl/>
      <w:lvlText w:val="%1.%2"/>
      <w:lvlJc w:val="left"/>
      <w:pPr>
        <w:ind w:left="830"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3D439E2"/>
    <w:multiLevelType w:val="hybridMultilevel"/>
    <w:tmpl w:val="B972EB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E53030"/>
    <w:multiLevelType w:val="multilevel"/>
    <w:tmpl w:val="C41051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384"/>
    <w:rsid w:val="00001B83"/>
    <w:rsid w:val="000040B0"/>
    <w:rsid w:val="000071E2"/>
    <w:rsid w:val="0001722D"/>
    <w:rsid w:val="00052D5A"/>
    <w:rsid w:val="00061BA0"/>
    <w:rsid w:val="000624FA"/>
    <w:rsid w:val="00071492"/>
    <w:rsid w:val="000727DF"/>
    <w:rsid w:val="0009202C"/>
    <w:rsid w:val="000A152F"/>
    <w:rsid w:val="000A531F"/>
    <w:rsid w:val="000A6966"/>
    <w:rsid w:val="000A6EAE"/>
    <w:rsid w:val="000A7384"/>
    <w:rsid w:val="000D4425"/>
    <w:rsid w:val="000D757F"/>
    <w:rsid w:val="000E2243"/>
    <w:rsid w:val="000E3B5F"/>
    <w:rsid w:val="0010479B"/>
    <w:rsid w:val="001351CB"/>
    <w:rsid w:val="00165BAD"/>
    <w:rsid w:val="00165EC8"/>
    <w:rsid w:val="0017241C"/>
    <w:rsid w:val="00180BFC"/>
    <w:rsid w:val="001818F5"/>
    <w:rsid w:val="00197033"/>
    <w:rsid w:val="001A18FB"/>
    <w:rsid w:val="001A4B64"/>
    <w:rsid w:val="001C1DA8"/>
    <w:rsid w:val="001C39A5"/>
    <w:rsid w:val="001D0EAB"/>
    <w:rsid w:val="001D1F43"/>
    <w:rsid w:val="001E3ADB"/>
    <w:rsid w:val="001E6BA3"/>
    <w:rsid w:val="001F6070"/>
    <w:rsid w:val="00204B9A"/>
    <w:rsid w:val="00205333"/>
    <w:rsid w:val="00221213"/>
    <w:rsid w:val="00224836"/>
    <w:rsid w:val="00227CAB"/>
    <w:rsid w:val="00240DBF"/>
    <w:rsid w:val="002446A6"/>
    <w:rsid w:val="002544A2"/>
    <w:rsid w:val="002548BD"/>
    <w:rsid w:val="0025571F"/>
    <w:rsid w:val="00257B4D"/>
    <w:rsid w:val="00265684"/>
    <w:rsid w:val="00265F6B"/>
    <w:rsid w:val="002B467E"/>
    <w:rsid w:val="002C1506"/>
    <w:rsid w:val="002C58E7"/>
    <w:rsid w:val="002C6462"/>
    <w:rsid w:val="002E2C38"/>
    <w:rsid w:val="002E3E53"/>
    <w:rsid w:val="002E4900"/>
    <w:rsid w:val="002F557B"/>
    <w:rsid w:val="002F6C92"/>
    <w:rsid w:val="003026A0"/>
    <w:rsid w:val="0030345C"/>
    <w:rsid w:val="00312F52"/>
    <w:rsid w:val="00317F5C"/>
    <w:rsid w:val="0032134D"/>
    <w:rsid w:val="00326DD8"/>
    <w:rsid w:val="00333C42"/>
    <w:rsid w:val="00345602"/>
    <w:rsid w:val="0035371E"/>
    <w:rsid w:val="00353803"/>
    <w:rsid w:val="00355331"/>
    <w:rsid w:val="003636BA"/>
    <w:rsid w:val="00372D88"/>
    <w:rsid w:val="003920F0"/>
    <w:rsid w:val="003A4A07"/>
    <w:rsid w:val="003A59AB"/>
    <w:rsid w:val="003A6D16"/>
    <w:rsid w:val="003C7C3A"/>
    <w:rsid w:val="003D05DD"/>
    <w:rsid w:val="003D0DDB"/>
    <w:rsid w:val="003D2055"/>
    <w:rsid w:val="003D4846"/>
    <w:rsid w:val="003E1877"/>
    <w:rsid w:val="003F070C"/>
    <w:rsid w:val="004002EE"/>
    <w:rsid w:val="00427A8D"/>
    <w:rsid w:val="00434555"/>
    <w:rsid w:val="0043640C"/>
    <w:rsid w:val="0045210A"/>
    <w:rsid w:val="0045522C"/>
    <w:rsid w:val="00455F2C"/>
    <w:rsid w:val="00456D20"/>
    <w:rsid w:val="00457FE3"/>
    <w:rsid w:val="00482426"/>
    <w:rsid w:val="004853B2"/>
    <w:rsid w:val="004A2703"/>
    <w:rsid w:val="004A3517"/>
    <w:rsid w:val="004B1E77"/>
    <w:rsid w:val="004C1F67"/>
    <w:rsid w:val="004D347C"/>
    <w:rsid w:val="004D65BC"/>
    <w:rsid w:val="004E2D72"/>
    <w:rsid w:val="004F4196"/>
    <w:rsid w:val="004F45F0"/>
    <w:rsid w:val="00501DC3"/>
    <w:rsid w:val="00505AEE"/>
    <w:rsid w:val="00513EA0"/>
    <w:rsid w:val="0051692D"/>
    <w:rsid w:val="00525F0C"/>
    <w:rsid w:val="005327EF"/>
    <w:rsid w:val="00535961"/>
    <w:rsid w:val="0054408D"/>
    <w:rsid w:val="0054458B"/>
    <w:rsid w:val="00545441"/>
    <w:rsid w:val="0055294B"/>
    <w:rsid w:val="0056427A"/>
    <w:rsid w:val="00566FD6"/>
    <w:rsid w:val="005876E1"/>
    <w:rsid w:val="005A5B4F"/>
    <w:rsid w:val="005B28BE"/>
    <w:rsid w:val="005B481C"/>
    <w:rsid w:val="005B7A36"/>
    <w:rsid w:val="005C1802"/>
    <w:rsid w:val="005C4E13"/>
    <w:rsid w:val="005C6E6F"/>
    <w:rsid w:val="005C7A0B"/>
    <w:rsid w:val="005D0D31"/>
    <w:rsid w:val="005D7378"/>
    <w:rsid w:val="005E2880"/>
    <w:rsid w:val="005E5705"/>
    <w:rsid w:val="005F47E7"/>
    <w:rsid w:val="006110AC"/>
    <w:rsid w:val="00623773"/>
    <w:rsid w:val="0064467A"/>
    <w:rsid w:val="006642A7"/>
    <w:rsid w:val="006652CE"/>
    <w:rsid w:val="006739DE"/>
    <w:rsid w:val="00675789"/>
    <w:rsid w:val="006872E2"/>
    <w:rsid w:val="0069085F"/>
    <w:rsid w:val="006B7D0B"/>
    <w:rsid w:val="00707A3C"/>
    <w:rsid w:val="00714ADB"/>
    <w:rsid w:val="007153CA"/>
    <w:rsid w:val="00716C9D"/>
    <w:rsid w:val="00721247"/>
    <w:rsid w:val="00723499"/>
    <w:rsid w:val="00724289"/>
    <w:rsid w:val="0073783B"/>
    <w:rsid w:val="00750F9F"/>
    <w:rsid w:val="007521A6"/>
    <w:rsid w:val="00752955"/>
    <w:rsid w:val="00767483"/>
    <w:rsid w:val="007730BF"/>
    <w:rsid w:val="00773A18"/>
    <w:rsid w:val="007A0CC7"/>
    <w:rsid w:val="007C6067"/>
    <w:rsid w:val="007E067C"/>
    <w:rsid w:val="0080471D"/>
    <w:rsid w:val="008054A2"/>
    <w:rsid w:val="008122C1"/>
    <w:rsid w:val="008316E9"/>
    <w:rsid w:val="00841735"/>
    <w:rsid w:val="00842AAE"/>
    <w:rsid w:val="00844246"/>
    <w:rsid w:val="008444F3"/>
    <w:rsid w:val="0084726A"/>
    <w:rsid w:val="00864C9E"/>
    <w:rsid w:val="0087693F"/>
    <w:rsid w:val="008821FE"/>
    <w:rsid w:val="008825AD"/>
    <w:rsid w:val="008873C0"/>
    <w:rsid w:val="00892A21"/>
    <w:rsid w:val="008A5BD9"/>
    <w:rsid w:val="008A7FE9"/>
    <w:rsid w:val="008C2ECD"/>
    <w:rsid w:val="008C3C68"/>
    <w:rsid w:val="008C3C7C"/>
    <w:rsid w:val="008C6B93"/>
    <w:rsid w:val="008C7DDE"/>
    <w:rsid w:val="008D62A0"/>
    <w:rsid w:val="008F14A4"/>
    <w:rsid w:val="008F3CF6"/>
    <w:rsid w:val="008F3F96"/>
    <w:rsid w:val="009118D6"/>
    <w:rsid w:val="00913450"/>
    <w:rsid w:val="0091561C"/>
    <w:rsid w:val="0091795D"/>
    <w:rsid w:val="00937A46"/>
    <w:rsid w:val="0094233C"/>
    <w:rsid w:val="00950A34"/>
    <w:rsid w:val="009635FD"/>
    <w:rsid w:val="00966ED7"/>
    <w:rsid w:val="009728C1"/>
    <w:rsid w:val="00977531"/>
    <w:rsid w:val="009777FA"/>
    <w:rsid w:val="00992C5E"/>
    <w:rsid w:val="009A2967"/>
    <w:rsid w:val="009A7D9E"/>
    <w:rsid w:val="009B429F"/>
    <w:rsid w:val="009B5284"/>
    <w:rsid w:val="009C0A59"/>
    <w:rsid w:val="009C3B62"/>
    <w:rsid w:val="00A0160E"/>
    <w:rsid w:val="00A03671"/>
    <w:rsid w:val="00A04AFF"/>
    <w:rsid w:val="00A06595"/>
    <w:rsid w:val="00A11DD9"/>
    <w:rsid w:val="00A1440C"/>
    <w:rsid w:val="00A24B51"/>
    <w:rsid w:val="00A341D8"/>
    <w:rsid w:val="00A43CDF"/>
    <w:rsid w:val="00A44BF0"/>
    <w:rsid w:val="00A944B3"/>
    <w:rsid w:val="00A95DBF"/>
    <w:rsid w:val="00AA3469"/>
    <w:rsid w:val="00AA569A"/>
    <w:rsid w:val="00AB37C3"/>
    <w:rsid w:val="00AB3E38"/>
    <w:rsid w:val="00AB7C00"/>
    <w:rsid w:val="00AE514D"/>
    <w:rsid w:val="00B25327"/>
    <w:rsid w:val="00B62095"/>
    <w:rsid w:val="00B66C3A"/>
    <w:rsid w:val="00B7165B"/>
    <w:rsid w:val="00B86865"/>
    <w:rsid w:val="00B971E2"/>
    <w:rsid w:val="00BA464C"/>
    <w:rsid w:val="00BB2B06"/>
    <w:rsid w:val="00BB4905"/>
    <w:rsid w:val="00BC150C"/>
    <w:rsid w:val="00BD1056"/>
    <w:rsid w:val="00BD2413"/>
    <w:rsid w:val="00BD4B7B"/>
    <w:rsid w:val="00BD7F12"/>
    <w:rsid w:val="00BE50A5"/>
    <w:rsid w:val="00BE727B"/>
    <w:rsid w:val="00BF4ACD"/>
    <w:rsid w:val="00C01CEC"/>
    <w:rsid w:val="00C07522"/>
    <w:rsid w:val="00C113E3"/>
    <w:rsid w:val="00C11C7C"/>
    <w:rsid w:val="00C357C6"/>
    <w:rsid w:val="00C37369"/>
    <w:rsid w:val="00C41EF7"/>
    <w:rsid w:val="00C43768"/>
    <w:rsid w:val="00C47FC6"/>
    <w:rsid w:val="00C53920"/>
    <w:rsid w:val="00C57699"/>
    <w:rsid w:val="00C63F74"/>
    <w:rsid w:val="00C8215F"/>
    <w:rsid w:val="00C9165F"/>
    <w:rsid w:val="00CB1DB7"/>
    <w:rsid w:val="00CB333C"/>
    <w:rsid w:val="00CB6767"/>
    <w:rsid w:val="00CC321A"/>
    <w:rsid w:val="00CC442B"/>
    <w:rsid w:val="00CC6488"/>
    <w:rsid w:val="00CD0B7D"/>
    <w:rsid w:val="00CD2428"/>
    <w:rsid w:val="00CE03CB"/>
    <w:rsid w:val="00CE1AA2"/>
    <w:rsid w:val="00CE6819"/>
    <w:rsid w:val="00CF516F"/>
    <w:rsid w:val="00D01F96"/>
    <w:rsid w:val="00D06973"/>
    <w:rsid w:val="00D215F2"/>
    <w:rsid w:val="00D24309"/>
    <w:rsid w:val="00D257BD"/>
    <w:rsid w:val="00D31669"/>
    <w:rsid w:val="00D3492B"/>
    <w:rsid w:val="00D50A33"/>
    <w:rsid w:val="00D60B04"/>
    <w:rsid w:val="00D64A7F"/>
    <w:rsid w:val="00D66105"/>
    <w:rsid w:val="00D869EA"/>
    <w:rsid w:val="00D90D66"/>
    <w:rsid w:val="00DC3B1A"/>
    <w:rsid w:val="00DC428E"/>
    <w:rsid w:val="00DD3BF0"/>
    <w:rsid w:val="00DF1DA4"/>
    <w:rsid w:val="00DF3C65"/>
    <w:rsid w:val="00E0414A"/>
    <w:rsid w:val="00E14B2F"/>
    <w:rsid w:val="00E40AA9"/>
    <w:rsid w:val="00E42290"/>
    <w:rsid w:val="00E46857"/>
    <w:rsid w:val="00E50E68"/>
    <w:rsid w:val="00E550F9"/>
    <w:rsid w:val="00E5518A"/>
    <w:rsid w:val="00E729D2"/>
    <w:rsid w:val="00E75E78"/>
    <w:rsid w:val="00E934AF"/>
    <w:rsid w:val="00E9414F"/>
    <w:rsid w:val="00EB6A60"/>
    <w:rsid w:val="00EC3C7C"/>
    <w:rsid w:val="00EC6818"/>
    <w:rsid w:val="00ED0953"/>
    <w:rsid w:val="00ED1978"/>
    <w:rsid w:val="00ED71A2"/>
    <w:rsid w:val="00EE67BA"/>
    <w:rsid w:val="00F019A4"/>
    <w:rsid w:val="00F01DF3"/>
    <w:rsid w:val="00F03FF8"/>
    <w:rsid w:val="00F15344"/>
    <w:rsid w:val="00F1625D"/>
    <w:rsid w:val="00F22EFE"/>
    <w:rsid w:val="00F26E1E"/>
    <w:rsid w:val="00F3054C"/>
    <w:rsid w:val="00F30E9C"/>
    <w:rsid w:val="00F516DC"/>
    <w:rsid w:val="00F54F11"/>
    <w:rsid w:val="00F5500A"/>
    <w:rsid w:val="00F5648A"/>
    <w:rsid w:val="00F57723"/>
    <w:rsid w:val="00F64F01"/>
    <w:rsid w:val="00F73AAD"/>
    <w:rsid w:val="00F843D3"/>
    <w:rsid w:val="00F9537B"/>
    <w:rsid w:val="00FA0837"/>
    <w:rsid w:val="00FA7C89"/>
    <w:rsid w:val="00FC0EC8"/>
    <w:rsid w:val="00FC521A"/>
    <w:rsid w:val="00FD0796"/>
    <w:rsid w:val="00FD0A98"/>
    <w:rsid w:val="00FD4572"/>
    <w:rsid w:val="00FD7FA2"/>
    <w:rsid w:val="00FE5FA2"/>
    <w:rsid w:val="00FF6D57"/>
    <w:rsid w:val="00FF72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735BF"/>
  <w15:docId w15:val="{15695F63-4248-4AF9-82F1-71CFD7C14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38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7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384"/>
    <w:rPr>
      <w:rFonts w:ascii="Segoe UI" w:hAnsi="Segoe UI" w:cs="Segoe UI"/>
      <w:sz w:val="18"/>
      <w:szCs w:val="18"/>
    </w:rPr>
  </w:style>
  <w:style w:type="character" w:styleId="CommentReference">
    <w:name w:val="annotation reference"/>
    <w:basedOn w:val="DefaultParagraphFont"/>
    <w:uiPriority w:val="99"/>
    <w:semiHidden/>
    <w:unhideWhenUsed/>
    <w:rsid w:val="00750F9F"/>
    <w:rPr>
      <w:sz w:val="16"/>
      <w:szCs w:val="16"/>
    </w:rPr>
  </w:style>
  <w:style w:type="paragraph" w:styleId="CommentText">
    <w:name w:val="annotation text"/>
    <w:basedOn w:val="Normal"/>
    <w:link w:val="CommentTextChar"/>
    <w:uiPriority w:val="99"/>
    <w:semiHidden/>
    <w:unhideWhenUsed/>
    <w:rsid w:val="00750F9F"/>
    <w:pPr>
      <w:spacing w:line="240" w:lineRule="auto"/>
    </w:pPr>
    <w:rPr>
      <w:sz w:val="20"/>
      <w:szCs w:val="20"/>
    </w:rPr>
  </w:style>
  <w:style w:type="character" w:customStyle="1" w:styleId="CommentTextChar">
    <w:name w:val="Comment Text Char"/>
    <w:basedOn w:val="DefaultParagraphFont"/>
    <w:link w:val="CommentText"/>
    <w:uiPriority w:val="99"/>
    <w:semiHidden/>
    <w:rsid w:val="00750F9F"/>
    <w:rPr>
      <w:sz w:val="20"/>
      <w:szCs w:val="20"/>
    </w:rPr>
  </w:style>
  <w:style w:type="paragraph" w:styleId="CommentSubject">
    <w:name w:val="annotation subject"/>
    <w:basedOn w:val="CommentText"/>
    <w:next w:val="CommentText"/>
    <w:link w:val="CommentSubjectChar"/>
    <w:uiPriority w:val="99"/>
    <w:semiHidden/>
    <w:unhideWhenUsed/>
    <w:rsid w:val="00750F9F"/>
    <w:rPr>
      <w:b/>
      <w:bCs/>
    </w:rPr>
  </w:style>
  <w:style w:type="character" w:customStyle="1" w:styleId="CommentSubjectChar">
    <w:name w:val="Comment Subject Char"/>
    <w:basedOn w:val="CommentTextChar"/>
    <w:link w:val="CommentSubject"/>
    <w:uiPriority w:val="99"/>
    <w:semiHidden/>
    <w:rsid w:val="00750F9F"/>
    <w:rPr>
      <w:b/>
      <w:bCs/>
      <w:sz w:val="20"/>
      <w:szCs w:val="20"/>
    </w:rPr>
  </w:style>
  <w:style w:type="paragraph" w:styleId="ListParagraph">
    <w:name w:val="List Paragraph"/>
    <w:basedOn w:val="Normal"/>
    <w:uiPriority w:val="34"/>
    <w:qFormat/>
    <w:rsid w:val="002C6462"/>
    <w:pPr>
      <w:ind w:left="720"/>
      <w:contextualSpacing/>
    </w:pPr>
  </w:style>
  <w:style w:type="character" w:customStyle="1" w:styleId="tlid-translation">
    <w:name w:val="tlid-translation"/>
    <w:basedOn w:val="DefaultParagraphFont"/>
    <w:rsid w:val="000040B0"/>
  </w:style>
  <w:style w:type="paragraph" w:styleId="FootnoteText">
    <w:name w:val="footnote text"/>
    <w:basedOn w:val="Normal"/>
    <w:link w:val="FootnoteTextChar"/>
    <w:uiPriority w:val="99"/>
    <w:semiHidden/>
    <w:rsid w:val="00204B9A"/>
    <w:pPr>
      <w:bidi w:val="0"/>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uiPriority w:val="99"/>
    <w:semiHidden/>
    <w:rsid w:val="00204B9A"/>
    <w:rPr>
      <w:rFonts w:ascii="Times New Roman" w:eastAsia="Times New Roman" w:hAnsi="Times New Roman" w:cs="Times New Roman"/>
      <w:sz w:val="20"/>
      <w:szCs w:val="20"/>
      <w:lang w:bidi="ar-SA"/>
    </w:rPr>
  </w:style>
  <w:style w:type="character" w:styleId="FootnoteReference">
    <w:name w:val="footnote reference"/>
    <w:uiPriority w:val="99"/>
    <w:semiHidden/>
    <w:rsid w:val="00204B9A"/>
    <w:rPr>
      <w:rFonts w:cs="Times New Roman"/>
      <w:vertAlign w:val="superscript"/>
    </w:rPr>
  </w:style>
  <w:style w:type="character" w:customStyle="1" w:styleId="ms-rtethemefontface-1">
    <w:name w:val="ms-rtethemefontface-1"/>
    <w:rsid w:val="00204B9A"/>
  </w:style>
  <w:style w:type="paragraph" w:styleId="NormalWeb">
    <w:name w:val="Normal (Web)"/>
    <w:basedOn w:val="Normal"/>
    <w:uiPriority w:val="99"/>
    <w:unhideWhenUsed/>
    <w:rsid w:val="002446A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01DF3"/>
    <w:rPr>
      <w:color w:val="0563C1" w:themeColor="hyperlink"/>
      <w:u w:val="single"/>
    </w:rPr>
  </w:style>
  <w:style w:type="character" w:customStyle="1" w:styleId="UnresolvedMention1">
    <w:name w:val="Unresolved Mention1"/>
    <w:basedOn w:val="DefaultParagraphFont"/>
    <w:uiPriority w:val="99"/>
    <w:semiHidden/>
    <w:unhideWhenUsed/>
    <w:rsid w:val="00F01DF3"/>
    <w:rPr>
      <w:color w:val="605E5C"/>
      <w:shd w:val="clear" w:color="auto" w:fill="E1DFDD"/>
    </w:rPr>
  </w:style>
  <w:style w:type="paragraph" w:styleId="Header">
    <w:name w:val="header"/>
    <w:basedOn w:val="Normal"/>
    <w:link w:val="HeaderChar"/>
    <w:uiPriority w:val="99"/>
    <w:unhideWhenUsed/>
    <w:rsid w:val="009C3B62"/>
    <w:pPr>
      <w:tabs>
        <w:tab w:val="center" w:pos="4153"/>
        <w:tab w:val="right" w:pos="8306"/>
      </w:tabs>
      <w:spacing w:after="0" w:line="240" w:lineRule="auto"/>
    </w:pPr>
  </w:style>
  <w:style w:type="character" w:customStyle="1" w:styleId="HeaderChar">
    <w:name w:val="Header Char"/>
    <w:basedOn w:val="DefaultParagraphFont"/>
    <w:link w:val="Header"/>
    <w:uiPriority w:val="99"/>
    <w:rsid w:val="009C3B62"/>
  </w:style>
  <w:style w:type="paragraph" w:styleId="Footer">
    <w:name w:val="footer"/>
    <w:basedOn w:val="Normal"/>
    <w:link w:val="FooterChar"/>
    <w:uiPriority w:val="99"/>
    <w:unhideWhenUsed/>
    <w:rsid w:val="009C3B62"/>
    <w:pPr>
      <w:tabs>
        <w:tab w:val="center" w:pos="4153"/>
        <w:tab w:val="right" w:pos="8306"/>
      </w:tabs>
      <w:spacing w:after="0" w:line="240" w:lineRule="auto"/>
    </w:pPr>
  </w:style>
  <w:style w:type="character" w:customStyle="1" w:styleId="FooterChar">
    <w:name w:val="Footer Char"/>
    <w:basedOn w:val="DefaultParagraphFont"/>
    <w:link w:val="Footer"/>
    <w:uiPriority w:val="99"/>
    <w:rsid w:val="009C3B62"/>
  </w:style>
  <w:style w:type="paragraph" w:customStyle="1" w:styleId="Default">
    <w:name w:val="Default"/>
    <w:rsid w:val="00566FD6"/>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28142">
      <w:bodyDiv w:val="1"/>
      <w:marLeft w:val="0"/>
      <w:marRight w:val="0"/>
      <w:marTop w:val="0"/>
      <w:marBottom w:val="0"/>
      <w:divBdr>
        <w:top w:val="none" w:sz="0" w:space="0" w:color="auto"/>
        <w:left w:val="none" w:sz="0" w:space="0" w:color="auto"/>
        <w:bottom w:val="none" w:sz="0" w:space="0" w:color="auto"/>
        <w:right w:val="none" w:sz="0" w:space="0" w:color="auto"/>
      </w:divBdr>
      <w:divsChild>
        <w:div w:id="1023096539">
          <w:marLeft w:val="0"/>
          <w:marRight w:val="0"/>
          <w:marTop w:val="0"/>
          <w:marBottom w:val="0"/>
          <w:divBdr>
            <w:top w:val="none" w:sz="0" w:space="0" w:color="auto"/>
            <w:left w:val="none" w:sz="0" w:space="0" w:color="auto"/>
            <w:bottom w:val="none" w:sz="0" w:space="0" w:color="auto"/>
            <w:right w:val="none" w:sz="0" w:space="0" w:color="auto"/>
          </w:divBdr>
          <w:divsChild>
            <w:div w:id="8056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330333">
      <w:bodyDiv w:val="1"/>
      <w:marLeft w:val="0"/>
      <w:marRight w:val="0"/>
      <w:marTop w:val="0"/>
      <w:marBottom w:val="0"/>
      <w:divBdr>
        <w:top w:val="none" w:sz="0" w:space="0" w:color="auto"/>
        <w:left w:val="none" w:sz="0" w:space="0" w:color="auto"/>
        <w:bottom w:val="none" w:sz="0" w:space="0" w:color="auto"/>
        <w:right w:val="none" w:sz="0" w:space="0" w:color="auto"/>
      </w:divBdr>
      <w:divsChild>
        <w:div w:id="985547247">
          <w:marLeft w:val="0"/>
          <w:marRight w:val="0"/>
          <w:marTop w:val="0"/>
          <w:marBottom w:val="0"/>
          <w:divBdr>
            <w:top w:val="none" w:sz="0" w:space="0" w:color="auto"/>
            <w:left w:val="none" w:sz="0" w:space="0" w:color="auto"/>
            <w:bottom w:val="none" w:sz="0" w:space="0" w:color="auto"/>
            <w:right w:val="none" w:sz="0" w:space="0" w:color="auto"/>
          </w:divBdr>
          <w:divsChild>
            <w:div w:id="120667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4023">
      <w:bodyDiv w:val="1"/>
      <w:marLeft w:val="0"/>
      <w:marRight w:val="0"/>
      <w:marTop w:val="0"/>
      <w:marBottom w:val="0"/>
      <w:divBdr>
        <w:top w:val="none" w:sz="0" w:space="0" w:color="auto"/>
        <w:left w:val="none" w:sz="0" w:space="0" w:color="auto"/>
        <w:bottom w:val="none" w:sz="0" w:space="0" w:color="auto"/>
        <w:right w:val="none" w:sz="0" w:space="0" w:color="auto"/>
      </w:divBdr>
    </w:div>
    <w:div w:id="212738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s>
</file>

<file path=word/_rels/footnotes.xml.rels><?xml version="1.0" encoding="UTF-8" standalone="yes"?>
<Relationships xmlns="http://schemas.openxmlformats.org/package/2006/relationships"><Relationship Id="rId3" Type="http://schemas.openxmlformats.org/officeDocument/2006/relationships/hyperlink" Target="https://finance.yahoo.com/" TargetMode="External"/><Relationship Id="rId2" Type="http://schemas.openxmlformats.org/officeDocument/2006/relationships/hyperlink" Target="https://www.nasdaq.com/market-activity/ipos" TargetMode="External"/><Relationship Id="rId1" Type="http://schemas.openxmlformats.org/officeDocument/2006/relationships/hyperlink" Target="about:blank" TargetMode="Externa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91ADD-E872-4570-978F-F71969A1E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22</Pages>
  <Words>7215</Words>
  <Characters>36079</Characters>
  <Application>Microsoft Office Word</Application>
  <DocSecurity>0</DocSecurity>
  <Lines>300</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Smadar</dc:creator>
  <cp:lastModifiedBy>Smadar</cp:lastModifiedBy>
  <cp:revision>52</cp:revision>
  <dcterms:created xsi:type="dcterms:W3CDTF">2020-03-08T07:19:00Z</dcterms:created>
  <dcterms:modified xsi:type="dcterms:W3CDTF">2020-03-08T11:17:00Z</dcterms:modified>
</cp:coreProperties>
</file>