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96838" w14:textId="77777777" w:rsidR="00476257" w:rsidRPr="00B41E66" w:rsidRDefault="00476257" w:rsidP="00476257">
      <w:pPr>
        <w:spacing w:line="360" w:lineRule="auto"/>
        <w:jc w:val="center"/>
        <w:rPr>
          <w:b/>
          <w:bCs/>
        </w:rPr>
      </w:pPr>
      <w:r w:rsidRPr="00B41E66">
        <w:rPr>
          <w:b/>
          <w:bCs/>
        </w:rPr>
        <w:t>The Rich Get Richer and the Poor Get Poorer:</w:t>
      </w:r>
    </w:p>
    <w:p w14:paraId="5C201F82" w14:textId="77777777" w:rsidR="00476257" w:rsidRPr="00B41E66" w:rsidRDefault="00476257" w:rsidP="00476257">
      <w:pPr>
        <w:spacing w:line="360" w:lineRule="auto"/>
        <w:jc w:val="center"/>
        <w:rPr>
          <w:b/>
          <w:bCs/>
        </w:rPr>
      </w:pPr>
      <w:r w:rsidRPr="00B41E66">
        <w:rPr>
          <w:b/>
          <w:bCs/>
        </w:rPr>
        <w:t>Behavior of Investors in Biotechnology Firms P</w:t>
      </w:r>
      <w:r w:rsidRPr="00B41E66">
        <w:rPr>
          <w:b/>
          <w:bCs/>
          <w:lang w:bidi="he-IL"/>
        </w:rPr>
        <w:t>ost-</w:t>
      </w:r>
      <w:r w:rsidRPr="00B41E66">
        <w:rPr>
          <w:b/>
          <w:bCs/>
        </w:rPr>
        <w:t>IPOs</w:t>
      </w:r>
    </w:p>
    <w:p w14:paraId="57659F08" w14:textId="77777777" w:rsidR="00476257" w:rsidRPr="00B41E66" w:rsidRDefault="00476257" w:rsidP="00476257">
      <w:pPr>
        <w:spacing w:line="360" w:lineRule="auto"/>
        <w:rPr>
          <w:b/>
          <w:bCs/>
        </w:rPr>
      </w:pPr>
    </w:p>
    <w:p w14:paraId="7092E9D1" w14:textId="77777777" w:rsidR="00476257" w:rsidRPr="00B41E66" w:rsidRDefault="00476257" w:rsidP="00476257">
      <w:pPr>
        <w:spacing w:after="200" w:line="276" w:lineRule="auto"/>
        <w:rPr>
          <w:rFonts w:eastAsia="Calibri"/>
          <w:b/>
          <w:bCs/>
        </w:rPr>
      </w:pPr>
      <w:r w:rsidRPr="00B41E66">
        <w:rPr>
          <w:rFonts w:eastAsia="Calibri"/>
          <w:b/>
          <w:bCs/>
        </w:rPr>
        <w:t>Smadar Siev</w:t>
      </w:r>
    </w:p>
    <w:p w14:paraId="4F20F70D" w14:textId="77777777" w:rsidR="00476257" w:rsidRPr="00B41E66" w:rsidRDefault="00476257" w:rsidP="00476257">
      <w:r w:rsidRPr="00B41E66">
        <w:t xml:space="preserve">Ono Academic College, </w:t>
      </w:r>
      <w:r w:rsidRPr="00B41E66">
        <w:rPr>
          <w:rFonts w:eastAsia="Calibri"/>
        </w:rPr>
        <w:t>Faculty of Business Administration,</w:t>
      </w:r>
      <w:r w:rsidRPr="00B41E66">
        <w:t xml:space="preserve"> Haifa Campus </w:t>
      </w:r>
    </w:p>
    <w:p w14:paraId="3EB29EF1" w14:textId="77777777" w:rsidR="00476257" w:rsidRPr="00B41E66" w:rsidRDefault="00476257" w:rsidP="00476257">
      <w:pPr>
        <w:rPr>
          <w:b/>
          <w:bCs/>
        </w:rPr>
      </w:pPr>
      <w:r w:rsidRPr="00B41E66">
        <w:t>Port Gate Building, Hanamal 32, Haifa</w:t>
      </w:r>
      <w:r w:rsidRPr="00B41E66">
        <w:rPr>
          <w:b/>
          <w:bCs/>
        </w:rPr>
        <w:t xml:space="preserve">, </w:t>
      </w:r>
      <w:r w:rsidRPr="00B41E66">
        <w:t>3303201</w:t>
      </w:r>
      <w:r w:rsidRPr="00B41E66">
        <w:rPr>
          <w:b/>
          <w:bCs/>
        </w:rPr>
        <w:t xml:space="preserve"> </w:t>
      </w:r>
    </w:p>
    <w:p w14:paraId="658848A2" w14:textId="77777777" w:rsidR="00476257" w:rsidRPr="00B41E66" w:rsidRDefault="00476257" w:rsidP="00476257">
      <w:pPr>
        <w:rPr>
          <w:b/>
          <w:bCs/>
        </w:rPr>
      </w:pPr>
      <w:r w:rsidRPr="00B41E66">
        <w:rPr>
          <w:rFonts w:eastAsia="Calibri"/>
        </w:rPr>
        <w:t>Israel</w:t>
      </w:r>
    </w:p>
    <w:p w14:paraId="38575AD3" w14:textId="77777777" w:rsidR="00476257" w:rsidRPr="00B41E66" w:rsidRDefault="00432737" w:rsidP="00476257">
      <w:pPr>
        <w:spacing w:after="200" w:line="276" w:lineRule="auto"/>
        <w:rPr>
          <w:rFonts w:eastAsia="Calibri"/>
          <w:color w:val="0000FF"/>
          <w:u w:val="single"/>
        </w:rPr>
      </w:pPr>
      <w:hyperlink r:id="rId8" w:history="1">
        <w:r w:rsidR="00476257" w:rsidRPr="00B41E66">
          <w:rPr>
            <w:rFonts w:eastAsia="Calibri"/>
            <w:color w:val="0000FF"/>
            <w:u w:val="single"/>
          </w:rPr>
          <w:t>smadar.si@</w:t>
        </w:r>
        <w:r w:rsidR="00613259" w:rsidRPr="00B41E66">
          <w:rPr>
            <w:rFonts w:eastAsia="Calibri"/>
            <w:color w:val="0000FF"/>
            <w:u w:val="single"/>
          </w:rPr>
          <w:t>ono.ac.il</w:t>
        </w:r>
      </w:hyperlink>
    </w:p>
    <w:p w14:paraId="0A4420AE" w14:textId="77777777" w:rsidR="00A426DB" w:rsidRPr="00B41E66" w:rsidRDefault="00A426DB" w:rsidP="00A426DB">
      <w:pPr>
        <w:spacing w:after="200" w:line="276" w:lineRule="auto"/>
        <w:rPr>
          <w:rFonts w:eastAsia="Calibri"/>
          <w:b/>
          <w:bCs/>
        </w:rPr>
      </w:pPr>
      <w:r w:rsidRPr="00B41E66">
        <w:rPr>
          <w:rFonts w:eastAsia="Calibri"/>
          <w:b/>
          <w:bCs/>
        </w:rPr>
        <w:t>Tiran Rothman</w:t>
      </w:r>
    </w:p>
    <w:p w14:paraId="72A66662" w14:textId="77777777" w:rsidR="00A426DB" w:rsidRPr="00B41E66" w:rsidRDefault="00A426DB" w:rsidP="00A426DB">
      <w:pPr>
        <w:rPr>
          <w:rFonts w:eastAsia="Calibri"/>
        </w:rPr>
      </w:pPr>
      <w:r w:rsidRPr="00B41E66">
        <w:rPr>
          <w:rFonts w:eastAsia="Calibri"/>
        </w:rPr>
        <w:t xml:space="preserve">WIZO Academic College, School of Management  </w:t>
      </w:r>
    </w:p>
    <w:p w14:paraId="74B2C020" w14:textId="77777777" w:rsidR="00A426DB" w:rsidRPr="00B41E66" w:rsidRDefault="00A426DB" w:rsidP="00A426DB">
      <w:pPr>
        <w:rPr>
          <w:rFonts w:eastAsia="Calibri"/>
        </w:rPr>
      </w:pPr>
      <w:r w:rsidRPr="00B41E66">
        <w:rPr>
          <w:rFonts w:eastAsia="Calibri"/>
        </w:rPr>
        <w:t xml:space="preserve">Haganim 21, Haifa, 31090 </w:t>
      </w:r>
    </w:p>
    <w:p w14:paraId="088175A7" w14:textId="77777777" w:rsidR="00A426DB" w:rsidRPr="00B41E66" w:rsidRDefault="00A426DB" w:rsidP="00A426DB">
      <w:pPr>
        <w:rPr>
          <w:rFonts w:eastAsia="Calibri"/>
          <w:rtl/>
          <w:lang w:bidi="he-IL"/>
        </w:rPr>
      </w:pPr>
      <w:r w:rsidRPr="00B41E66">
        <w:rPr>
          <w:rFonts w:eastAsia="Calibri"/>
        </w:rPr>
        <w:t>Israel</w:t>
      </w:r>
    </w:p>
    <w:p w14:paraId="698B3C0A" w14:textId="77777777" w:rsidR="00A426DB" w:rsidRPr="00B41E66" w:rsidRDefault="00432737" w:rsidP="00A426DB">
      <w:pPr>
        <w:rPr>
          <w:rFonts w:eastAsia="Calibri"/>
        </w:rPr>
      </w:pPr>
      <w:hyperlink r:id="rId9" w:history="1">
        <w:r w:rsidR="00A426DB" w:rsidRPr="00B41E66">
          <w:rPr>
            <w:rFonts w:eastAsia="Calibri"/>
            <w:color w:val="0000FF"/>
            <w:u w:val="single"/>
          </w:rPr>
          <w:t>tiran@wizodzn.ac.il</w:t>
        </w:r>
      </w:hyperlink>
    </w:p>
    <w:p w14:paraId="1D8B4A90" w14:textId="77777777" w:rsidR="00A426DB" w:rsidRPr="00B41E66" w:rsidRDefault="00A426DB" w:rsidP="00A426DB">
      <w:pPr>
        <w:spacing w:after="200" w:line="276" w:lineRule="auto"/>
        <w:rPr>
          <w:rFonts w:eastAsia="Calibri"/>
        </w:rPr>
      </w:pPr>
    </w:p>
    <w:p w14:paraId="03B8449E" w14:textId="77777777" w:rsidR="00476257" w:rsidRPr="00B41E66" w:rsidRDefault="00476257" w:rsidP="00476257">
      <w:pPr>
        <w:spacing w:after="200" w:line="276" w:lineRule="auto"/>
        <w:rPr>
          <w:b/>
          <w:bCs/>
        </w:rPr>
      </w:pPr>
    </w:p>
    <w:p w14:paraId="4F2D0DC1" w14:textId="77777777" w:rsidR="00476257" w:rsidRPr="00B41E66" w:rsidRDefault="00476257" w:rsidP="00476257">
      <w:pPr>
        <w:spacing w:after="200" w:line="276" w:lineRule="auto"/>
      </w:pPr>
      <w:r w:rsidRPr="00B41E66">
        <w:t>Corresponding Author:</w:t>
      </w:r>
    </w:p>
    <w:p w14:paraId="0E759356" w14:textId="77777777" w:rsidR="00476257" w:rsidRPr="00B41E66" w:rsidRDefault="00476257" w:rsidP="00476257">
      <w:r w:rsidRPr="00B41E66">
        <w:t>Smadar Siev</w:t>
      </w:r>
    </w:p>
    <w:p w14:paraId="4FA20523" w14:textId="77777777" w:rsidR="00476257" w:rsidRPr="00B41E66" w:rsidRDefault="00432737" w:rsidP="00476257">
      <w:pPr>
        <w:rPr>
          <w:rFonts w:eastAsia="Calibri"/>
          <w:color w:val="0000FF"/>
          <w:u w:val="single"/>
        </w:rPr>
      </w:pPr>
      <w:hyperlink r:id="rId10" w:history="1">
        <w:r w:rsidR="00476257" w:rsidRPr="00B41E66">
          <w:rPr>
            <w:rFonts w:eastAsia="Calibri"/>
            <w:color w:val="0000FF"/>
            <w:u w:val="single"/>
          </w:rPr>
          <w:t>smadar.siev@gmail.com</w:t>
        </w:r>
      </w:hyperlink>
    </w:p>
    <w:p w14:paraId="15ABE0B7" w14:textId="77777777" w:rsidR="00476257" w:rsidRPr="00B41E66" w:rsidRDefault="00476257" w:rsidP="00476257">
      <w:pPr>
        <w:rPr>
          <w:rFonts w:eastAsia="Calibri"/>
          <w:color w:val="0000FF"/>
          <w:u w:val="single"/>
        </w:rPr>
      </w:pPr>
      <w:r w:rsidRPr="00B41E66">
        <w:rPr>
          <w:rFonts w:eastAsia="Calibri"/>
          <w:color w:val="0000FF"/>
          <w:u w:val="single"/>
        </w:rPr>
        <w:t>972-544815380</w:t>
      </w:r>
    </w:p>
    <w:p w14:paraId="7DD88D84" w14:textId="77777777" w:rsidR="00476257" w:rsidRPr="00B41E66" w:rsidRDefault="00476257" w:rsidP="00476257">
      <w:pPr>
        <w:spacing w:after="200" w:line="276" w:lineRule="auto"/>
        <w:rPr>
          <w:b/>
          <w:bCs/>
        </w:rPr>
      </w:pPr>
    </w:p>
    <w:p w14:paraId="77B9F444" w14:textId="77777777" w:rsidR="00476257" w:rsidRPr="00B41E66" w:rsidRDefault="00476257" w:rsidP="00476257">
      <w:pPr>
        <w:autoSpaceDE w:val="0"/>
        <w:autoSpaceDN w:val="0"/>
        <w:adjustRightInd w:val="0"/>
        <w:rPr>
          <w:lang w:bidi="he-IL"/>
        </w:rPr>
      </w:pPr>
    </w:p>
    <w:p w14:paraId="33DCC386" w14:textId="77777777" w:rsidR="00476257" w:rsidRPr="00B41E66" w:rsidRDefault="00476257" w:rsidP="00476257">
      <w:pPr>
        <w:autoSpaceDE w:val="0"/>
        <w:autoSpaceDN w:val="0"/>
        <w:adjustRightInd w:val="0"/>
        <w:rPr>
          <w:lang w:bidi="he-IL"/>
        </w:rPr>
      </w:pPr>
    </w:p>
    <w:p w14:paraId="3745B808" w14:textId="77777777" w:rsidR="00476257" w:rsidRPr="00B41E66" w:rsidRDefault="00476257" w:rsidP="00476257">
      <w:pPr>
        <w:autoSpaceDE w:val="0"/>
        <w:autoSpaceDN w:val="0"/>
        <w:adjustRightInd w:val="0"/>
        <w:rPr>
          <w:lang w:bidi="he-IL"/>
        </w:rPr>
      </w:pPr>
    </w:p>
    <w:p w14:paraId="08B1E845" w14:textId="77777777" w:rsidR="00476257" w:rsidRPr="00B41E66" w:rsidRDefault="00476257" w:rsidP="00476257">
      <w:pPr>
        <w:autoSpaceDE w:val="0"/>
        <w:autoSpaceDN w:val="0"/>
        <w:adjustRightInd w:val="0"/>
        <w:rPr>
          <w:lang w:bidi="he-IL"/>
        </w:rPr>
      </w:pPr>
    </w:p>
    <w:p w14:paraId="2C285EFB" w14:textId="77777777" w:rsidR="00476257" w:rsidRPr="00B41E66" w:rsidRDefault="00476257" w:rsidP="00476257">
      <w:pPr>
        <w:autoSpaceDE w:val="0"/>
        <w:autoSpaceDN w:val="0"/>
        <w:adjustRightInd w:val="0"/>
        <w:rPr>
          <w:lang w:bidi="he-IL"/>
        </w:rPr>
      </w:pPr>
    </w:p>
    <w:p w14:paraId="23D09AB4" w14:textId="77777777" w:rsidR="00476257" w:rsidRPr="00B41E66" w:rsidRDefault="00476257" w:rsidP="00476257">
      <w:pPr>
        <w:autoSpaceDE w:val="0"/>
        <w:autoSpaceDN w:val="0"/>
        <w:adjustRightInd w:val="0"/>
        <w:rPr>
          <w:lang w:bidi="he-IL"/>
        </w:rPr>
      </w:pPr>
    </w:p>
    <w:p w14:paraId="14CBA4DD" w14:textId="77777777" w:rsidR="00476257" w:rsidRPr="00B41E66" w:rsidRDefault="00476257" w:rsidP="00476257">
      <w:pPr>
        <w:autoSpaceDE w:val="0"/>
        <w:autoSpaceDN w:val="0"/>
        <w:adjustRightInd w:val="0"/>
        <w:rPr>
          <w:lang w:bidi="he-IL"/>
        </w:rPr>
      </w:pPr>
    </w:p>
    <w:p w14:paraId="638071F9" w14:textId="77777777" w:rsidR="00476257" w:rsidRPr="00B41E66" w:rsidRDefault="00476257" w:rsidP="00476257">
      <w:pPr>
        <w:autoSpaceDE w:val="0"/>
        <w:autoSpaceDN w:val="0"/>
        <w:adjustRightInd w:val="0"/>
        <w:rPr>
          <w:lang w:bidi="he-IL"/>
        </w:rPr>
      </w:pPr>
    </w:p>
    <w:p w14:paraId="51A1466E" w14:textId="77777777" w:rsidR="00476257" w:rsidRPr="00B41E66" w:rsidRDefault="00476257" w:rsidP="00476257">
      <w:pPr>
        <w:autoSpaceDE w:val="0"/>
        <w:autoSpaceDN w:val="0"/>
        <w:adjustRightInd w:val="0"/>
        <w:rPr>
          <w:lang w:bidi="he-IL"/>
        </w:rPr>
      </w:pPr>
    </w:p>
    <w:p w14:paraId="3317D629" w14:textId="77777777" w:rsidR="00476257" w:rsidRPr="00B41E66" w:rsidRDefault="00476257" w:rsidP="00476257">
      <w:pPr>
        <w:autoSpaceDE w:val="0"/>
        <w:autoSpaceDN w:val="0"/>
        <w:adjustRightInd w:val="0"/>
        <w:rPr>
          <w:lang w:bidi="he-IL"/>
        </w:rPr>
      </w:pPr>
    </w:p>
    <w:p w14:paraId="347FA176" w14:textId="77777777" w:rsidR="00476257" w:rsidRPr="00B41E66" w:rsidRDefault="00476257" w:rsidP="00476257">
      <w:pPr>
        <w:spacing w:line="360" w:lineRule="auto"/>
      </w:pPr>
      <w:r w:rsidRPr="00B41E66">
        <w:t xml:space="preserve">Declaration of interest: None. </w:t>
      </w:r>
    </w:p>
    <w:p w14:paraId="1F61F90C" w14:textId="77777777" w:rsidR="00476257" w:rsidRPr="00B41E66" w:rsidRDefault="00476257" w:rsidP="00476257">
      <w:pPr>
        <w:autoSpaceDE w:val="0"/>
        <w:autoSpaceDN w:val="0"/>
        <w:adjustRightInd w:val="0"/>
        <w:rPr>
          <w:lang w:bidi="he-IL"/>
        </w:rPr>
      </w:pPr>
    </w:p>
    <w:p w14:paraId="0C9BF849" w14:textId="77777777" w:rsidR="00476257" w:rsidRPr="00B41E66" w:rsidRDefault="00476257" w:rsidP="00476257">
      <w:pPr>
        <w:autoSpaceDE w:val="0"/>
        <w:autoSpaceDN w:val="0"/>
        <w:adjustRightInd w:val="0"/>
        <w:rPr>
          <w:lang w:bidi="he-IL"/>
        </w:rPr>
      </w:pPr>
    </w:p>
    <w:p w14:paraId="5690C177" w14:textId="77777777" w:rsidR="00476257" w:rsidRPr="00B41E66" w:rsidRDefault="00476257" w:rsidP="00476257">
      <w:pPr>
        <w:spacing w:line="360" w:lineRule="auto"/>
      </w:pPr>
      <w:r w:rsidRPr="00B41E66">
        <w:t>This research did not receive any specific grant from funding agencies in the public, commercial, or not-for-profit sectors.</w:t>
      </w:r>
    </w:p>
    <w:p w14:paraId="0A5ACDDF" w14:textId="77777777" w:rsidR="00476257" w:rsidRPr="00B41E66" w:rsidRDefault="00476257" w:rsidP="007115BF">
      <w:pPr>
        <w:spacing w:line="360" w:lineRule="auto"/>
        <w:jc w:val="center"/>
        <w:rPr>
          <w:b/>
          <w:bCs/>
        </w:rPr>
      </w:pPr>
    </w:p>
    <w:p w14:paraId="58989D1B" w14:textId="77777777" w:rsidR="00476257" w:rsidRPr="00B41E66" w:rsidRDefault="00476257" w:rsidP="007115BF">
      <w:pPr>
        <w:spacing w:line="360" w:lineRule="auto"/>
        <w:jc w:val="center"/>
        <w:rPr>
          <w:b/>
          <w:bCs/>
        </w:rPr>
      </w:pPr>
    </w:p>
    <w:p w14:paraId="71CFFE61" w14:textId="77777777" w:rsidR="00E82A63" w:rsidRPr="00B41E66" w:rsidRDefault="00D71D0B" w:rsidP="007115BF">
      <w:pPr>
        <w:spacing w:line="360" w:lineRule="auto"/>
        <w:jc w:val="center"/>
        <w:rPr>
          <w:b/>
          <w:bCs/>
        </w:rPr>
      </w:pPr>
      <w:r w:rsidRPr="00B41E66">
        <w:rPr>
          <w:b/>
          <w:bCs/>
        </w:rPr>
        <w:t xml:space="preserve">The </w:t>
      </w:r>
      <w:r w:rsidR="006C1EB9" w:rsidRPr="00B41E66">
        <w:rPr>
          <w:b/>
          <w:bCs/>
        </w:rPr>
        <w:t>R</w:t>
      </w:r>
      <w:r w:rsidRPr="00B41E66">
        <w:rPr>
          <w:b/>
          <w:bCs/>
        </w:rPr>
        <w:t xml:space="preserve">ich </w:t>
      </w:r>
      <w:r w:rsidR="006C1EB9" w:rsidRPr="00B41E66">
        <w:rPr>
          <w:b/>
          <w:bCs/>
        </w:rPr>
        <w:t>G</w:t>
      </w:r>
      <w:r w:rsidRPr="00B41E66">
        <w:rPr>
          <w:b/>
          <w:bCs/>
        </w:rPr>
        <w:t xml:space="preserve">et </w:t>
      </w:r>
      <w:r w:rsidR="006C1EB9" w:rsidRPr="00B41E66">
        <w:rPr>
          <w:b/>
          <w:bCs/>
        </w:rPr>
        <w:t>R</w:t>
      </w:r>
      <w:r w:rsidRPr="00B41E66">
        <w:rPr>
          <w:b/>
          <w:bCs/>
        </w:rPr>
        <w:t xml:space="preserve">icher and the </w:t>
      </w:r>
      <w:r w:rsidR="006C1EB9" w:rsidRPr="00B41E66">
        <w:rPr>
          <w:b/>
          <w:bCs/>
        </w:rPr>
        <w:t>P</w:t>
      </w:r>
      <w:r w:rsidRPr="00B41E66">
        <w:rPr>
          <w:b/>
          <w:bCs/>
        </w:rPr>
        <w:t xml:space="preserve">oor </w:t>
      </w:r>
      <w:r w:rsidR="006C1EB9" w:rsidRPr="00B41E66">
        <w:rPr>
          <w:b/>
          <w:bCs/>
        </w:rPr>
        <w:t>G</w:t>
      </w:r>
      <w:r w:rsidRPr="00B41E66">
        <w:rPr>
          <w:b/>
          <w:bCs/>
        </w:rPr>
        <w:t xml:space="preserve">et </w:t>
      </w:r>
      <w:r w:rsidR="006C1EB9" w:rsidRPr="00B41E66">
        <w:rPr>
          <w:b/>
          <w:bCs/>
        </w:rPr>
        <w:t>P</w:t>
      </w:r>
      <w:r w:rsidRPr="00B41E66">
        <w:rPr>
          <w:b/>
          <w:bCs/>
        </w:rPr>
        <w:t>oorer:</w:t>
      </w:r>
    </w:p>
    <w:p w14:paraId="535ECCD1" w14:textId="77777777" w:rsidR="00391C33" w:rsidRPr="00B41E66" w:rsidRDefault="00A311B9" w:rsidP="00A311B9">
      <w:pPr>
        <w:spacing w:line="360" w:lineRule="auto"/>
        <w:jc w:val="center"/>
        <w:rPr>
          <w:b/>
          <w:bCs/>
        </w:rPr>
      </w:pPr>
      <w:r w:rsidRPr="00B41E66">
        <w:rPr>
          <w:b/>
          <w:bCs/>
        </w:rPr>
        <w:lastRenderedPageBreak/>
        <w:t xml:space="preserve">Behavior of </w:t>
      </w:r>
      <w:r w:rsidR="00E41900" w:rsidRPr="00B41E66">
        <w:rPr>
          <w:b/>
          <w:bCs/>
        </w:rPr>
        <w:t>Investors</w:t>
      </w:r>
      <w:r w:rsidR="00C5454C" w:rsidRPr="00B41E66">
        <w:rPr>
          <w:b/>
          <w:bCs/>
        </w:rPr>
        <w:t xml:space="preserve"> in</w:t>
      </w:r>
      <w:r w:rsidR="00D15515" w:rsidRPr="00B41E66">
        <w:rPr>
          <w:b/>
          <w:bCs/>
        </w:rPr>
        <w:t xml:space="preserve"> </w:t>
      </w:r>
      <w:r w:rsidR="006C1EB9" w:rsidRPr="00B41E66">
        <w:rPr>
          <w:b/>
          <w:bCs/>
        </w:rPr>
        <w:t>Biotechnology Firms</w:t>
      </w:r>
      <w:r w:rsidR="00C5454C" w:rsidRPr="00B41E66">
        <w:rPr>
          <w:b/>
          <w:bCs/>
        </w:rPr>
        <w:t xml:space="preserve"> Post-</w:t>
      </w:r>
      <w:r w:rsidR="00391C33" w:rsidRPr="00B41E66">
        <w:rPr>
          <w:b/>
          <w:bCs/>
        </w:rPr>
        <w:t>IPO</w:t>
      </w:r>
      <w:r w:rsidR="00F15AC3" w:rsidRPr="00B41E66">
        <w:rPr>
          <w:b/>
          <w:bCs/>
        </w:rPr>
        <w:t>s</w:t>
      </w:r>
    </w:p>
    <w:p w14:paraId="76E4583F" w14:textId="77777777" w:rsidR="007D2464" w:rsidRPr="00B41E66" w:rsidRDefault="007D2464" w:rsidP="007D2464">
      <w:pPr>
        <w:autoSpaceDE w:val="0"/>
        <w:autoSpaceDN w:val="0"/>
        <w:adjustRightInd w:val="0"/>
        <w:spacing w:line="360" w:lineRule="auto"/>
        <w:rPr>
          <w:rtl/>
          <w:lang w:bidi="he-IL"/>
        </w:rPr>
      </w:pPr>
    </w:p>
    <w:p w14:paraId="311A5F6D" w14:textId="77777777" w:rsidR="00B02880" w:rsidRPr="00B41E66" w:rsidRDefault="00B02880" w:rsidP="001F694D">
      <w:pPr>
        <w:autoSpaceDE w:val="0"/>
        <w:autoSpaceDN w:val="0"/>
        <w:adjustRightInd w:val="0"/>
        <w:spacing w:line="360" w:lineRule="auto"/>
        <w:jc w:val="center"/>
        <w:rPr>
          <w:b/>
          <w:bCs/>
          <w:lang w:bidi="he-IL"/>
        </w:rPr>
      </w:pPr>
      <w:r w:rsidRPr="00B41E66">
        <w:rPr>
          <w:b/>
          <w:bCs/>
          <w:lang w:bidi="he-IL"/>
        </w:rPr>
        <w:t>Abstract</w:t>
      </w:r>
    </w:p>
    <w:p w14:paraId="5BCB99DC" w14:textId="263684A8" w:rsidR="00B02880" w:rsidRPr="00B41E66" w:rsidRDefault="00BA52B6" w:rsidP="00321B91">
      <w:pPr>
        <w:autoSpaceDE w:val="0"/>
        <w:autoSpaceDN w:val="0"/>
        <w:adjustRightInd w:val="0"/>
        <w:spacing w:line="480" w:lineRule="auto"/>
        <w:jc w:val="both"/>
        <w:rPr>
          <w:lang w:bidi="he-IL"/>
        </w:rPr>
      </w:pPr>
      <w:r w:rsidRPr="00B41E66">
        <w:rPr>
          <w:rFonts w:eastAsia="Calibri"/>
          <w:lang w:bidi="he-IL"/>
        </w:rPr>
        <w:t xml:space="preserve">This paper analyzes stocks’ return after initial public offering (IPO) events of biotechnology firms and explores the role of social media in determining this return. </w:t>
      </w:r>
      <w:r w:rsidRPr="00B41E66">
        <w:rPr>
          <w:lang w:bidi="he-IL"/>
        </w:rPr>
        <w:t xml:space="preserve">Results indicate positive </w:t>
      </w:r>
      <w:r w:rsidR="00942CC6" w:rsidRPr="00B41E66">
        <w:rPr>
          <w:color w:val="0000FF"/>
          <w:lang w:bidi="he-IL"/>
        </w:rPr>
        <w:t>yet</w:t>
      </w:r>
      <w:r w:rsidRPr="00B41E66">
        <w:rPr>
          <w:color w:val="0000FF"/>
          <w:lang w:bidi="he-IL"/>
        </w:rPr>
        <w:t xml:space="preserve"> </w:t>
      </w:r>
      <w:r w:rsidR="00942CC6" w:rsidRPr="00B41E66">
        <w:rPr>
          <w:color w:val="0000FF"/>
          <w:lang w:bidi="he-IL"/>
        </w:rPr>
        <w:t>in</w:t>
      </w:r>
      <w:r w:rsidRPr="00B41E66">
        <w:rPr>
          <w:color w:val="0000FF"/>
          <w:lang w:bidi="he-IL"/>
        </w:rPr>
        <w:t xml:space="preserve">significant </w:t>
      </w:r>
      <w:r w:rsidRPr="00B41E66">
        <w:rPr>
          <w:lang w:bidi="he-IL"/>
        </w:rPr>
        <w:t xml:space="preserve">cumulative average abnormal returns (CAAR) </w:t>
      </w:r>
      <w:r w:rsidRPr="00B41E66">
        <w:rPr>
          <w:color w:val="0000FF"/>
          <w:lang w:bidi="he-IL"/>
        </w:rPr>
        <w:t xml:space="preserve">of </w:t>
      </w:r>
      <w:r w:rsidR="00942CC6" w:rsidRPr="00B41E66">
        <w:rPr>
          <w:color w:val="0000FF"/>
          <w:lang w:bidi="he-IL"/>
        </w:rPr>
        <w:t>1</w:t>
      </w:r>
      <w:r w:rsidRPr="00B41E66">
        <w:rPr>
          <w:color w:val="0000FF"/>
          <w:lang w:bidi="he-IL"/>
        </w:rPr>
        <w:t>.</w:t>
      </w:r>
      <w:r w:rsidR="00942CC6" w:rsidRPr="00B41E66">
        <w:rPr>
          <w:color w:val="0000FF"/>
          <w:lang w:bidi="he-IL"/>
        </w:rPr>
        <w:t>9</w:t>
      </w:r>
      <w:r w:rsidRPr="00B41E66">
        <w:rPr>
          <w:color w:val="0000FF"/>
          <w:lang w:bidi="he-IL"/>
        </w:rPr>
        <w:t>7% in</w:t>
      </w:r>
      <w:r w:rsidRPr="00B41E66">
        <w:rPr>
          <w:lang w:bidi="he-IL"/>
        </w:rPr>
        <w:t xml:space="preserve"> the first 20 days following an IPO until the end of quiet period</w:t>
      </w:r>
      <w:r w:rsidR="00DC1EEF" w:rsidRPr="00B41E66">
        <w:rPr>
          <w:lang w:bidi="he-IL"/>
        </w:rPr>
        <w:t>,</w:t>
      </w:r>
      <w:r w:rsidRPr="00B41E66">
        <w:rPr>
          <w:lang w:bidi="he-IL"/>
        </w:rPr>
        <w:t xml:space="preserve"> </w:t>
      </w:r>
      <w:r w:rsidR="00DC1EEF" w:rsidRPr="00B41E66">
        <w:rPr>
          <w:lang w:bidi="he-IL"/>
        </w:rPr>
        <w:t>a</w:t>
      </w:r>
      <w:r w:rsidRPr="00B41E66">
        <w:rPr>
          <w:lang w:bidi="he-IL"/>
        </w:rPr>
        <w:t xml:space="preserve">nd a decline of tens of </w:t>
      </w:r>
      <w:r w:rsidR="00B25301" w:rsidRPr="00B41E66">
        <w:rPr>
          <w:lang w:bidi="he-IL"/>
        </w:rPr>
        <w:t>percents</w:t>
      </w:r>
      <w:r w:rsidRPr="00B41E66">
        <w:rPr>
          <w:lang w:bidi="he-IL"/>
        </w:rPr>
        <w:t xml:space="preserve"> over the following three years. However, when dividing the sample into two subsamples according to firm size, using a separation market value of $500M, the overall picture changes dramatically. Firms with a market value lower than $500M yielded </w:t>
      </w:r>
      <w:r w:rsidR="00942CC6" w:rsidRPr="00B41E66">
        <w:rPr>
          <w:lang w:bidi="he-IL"/>
        </w:rPr>
        <w:t>negative CAAR from the very beginning, however this negative CAAR become</w:t>
      </w:r>
      <w:r w:rsidRPr="00B41E66">
        <w:rPr>
          <w:lang w:bidi="he-IL"/>
        </w:rPr>
        <w:t xml:space="preserve"> </w:t>
      </w:r>
      <w:r w:rsidR="00942CC6" w:rsidRPr="00B41E66">
        <w:rPr>
          <w:lang w:bidi="he-IL"/>
        </w:rPr>
        <w:t xml:space="preserve">significant </w:t>
      </w:r>
      <w:r w:rsidRPr="00B41E66">
        <w:rPr>
          <w:lang w:bidi="he-IL"/>
        </w:rPr>
        <w:t xml:space="preserve">from day 50 onwards. Firms with a market value higher than $500M experienced a positive CAAR from </w:t>
      </w:r>
      <w:r w:rsidR="00942CC6" w:rsidRPr="00B41E66">
        <w:rPr>
          <w:lang w:bidi="he-IL"/>
        </w:rPr>
        <w:t xml:space="preserve">the </w:t>
      </w:r>
      <w:r w:rsidR="00DC1EEF" w:rsidRPr="00B41E66">
        <w:rPr>
          <w:lang w:bidi="he-IL"/>
        </w:rPr>
        <w:t xml:space="preserve">very </w:t>
      </w:r>
      <w:r w:rsidR="00942CC6" w:rsidRPr="00B41E66">
        <w:rPr>
          <w:lang w:bidi="he-IL"/>
        </w:rPr>
        <w:t xml:space="preserve">beginning, </w:t>
      </w:r>
      <w:r w:rsidR="00DC1EEF" w:rsidRPr="00B41E66">
        <w:rPr>
          <w:lang w:bidi="he-IL"/>
        </w:rPr>
        <w:t xml:space="preserve">when </w:t>
      </w:r>
      <w:r w:rsidR="00942CC6" w:rsidRPr="00B41E66">
        <w:rPr>
          <w:lang w:bidi="he-IL"/>
        </w:rPr>
        <w:t xml:space="preserve">this positive CAAR become significant from day 50 </w:t>
      </w:r>
      <w:r w:rsidRPr="00B41E66">
        <w:rPr>
          <w:lang w:bidi="he-IL"/>
        </w:rPr>
        <w:t>and throughout the following year. These findings can be attributed to the limited investors' attention. Attention to new IPOs increases until the end of quiet period and, in the case of small-sized firms, diminishes during the post-IPO years. An examination of social media and share returns demonstrates a robust correlation between the two, which may indicate that investors’ attention to firms is also reflected in social media.</w:t>
      </w:r>
    </w:p>
    <w:p w14:paraId="2CDA6EC8" w14:textId="77777777" w:rsidR="00807C5B" w:rsidRPr="00B41E66" w:rsidRDefault="00807C5B" w:rsidP="00321B91">
      <w:pPr>
        <w:spacing w:line="480" w:lineRule="auto"/>
        <w:jc w:val="both"/>
        <w:rPr>
          <w:b/>
          <w:bCs/>
          <w:rtl/>
          <w:lang w:val="en-GB" w:bidi="he-IL"/>
        </w:rPr>
      </w:pPr>
    </w:p>
    <w:p w14:paraId="52D8AAAC" w14:textId="77777777" w:rsidR="00C55C36" w:rsidRPr="00B41E66" w:rsidRDefault="00C55C36" w:rsidP="00321B91">
      <w:pPr>
        <w:spacing w:line="480" w:lineRule="auto"/>
        <w:jc w:val="both"/>
      </w:pPr>
      <w:r w:rsidRPr="00B41E66">
        <w:rPr>
          <w:b/>
          <w:bCs/>
        </w:rPr>
        <w:t>Keywords:</w:t>
      </w:r>
      <w:r w:rsidRPr="00B41E66">
        <w:t xml:space="preserve"> </w:t>
      </w:r>
      <w:r w:rsidR="00CB62E7" w:rsidRPr="00B41E66">
        <w:t>behavioral finance; biotechnology companies; financial markets; IPO; social media</w:t>
      </w:r>
    </w:p>
    <w:p w14:paraId="5D187547" w14:textId="77777777" w:rsidR="00807C5B" w:rsidRPr="00B41E66" w:rsidRDefault="00807C5B" w:rsidP="00321B91">
      <w:pPr>
        <w:spacing w:line="480" w:lineRule="auto"/>
        <w:jc w:val="both"/>
        <w:rPr>
          <w:b/>
          <w:bCs/>
          <w:rtl/>
          <w:lang w:bidi="he-IL"/>
        </w:rPr>
      </w:pPr>
    </w:p>
    <w:p w14:paraId="0E581B1C" w14:textId="77777777" w:rsidR="005957B5" w:rsidRPr="00B41E66" w:rsidRDefault="00C55C36" w:rsidP="00321B91">
      <w:pPr>
        <w:spacing w:line="480" w:lineRule="auto"/>
        <w:rPr>
          <w:b/>
          <w:bCs/>
        </w:rPr>
      </w:pPr>
      <w:r w:rsidRPr="00B41E66">
        <w:rPr>
          <w:b/>
          <w:bCs/>
        </w:rPr>
        <w:t>JEL Classification:</w:t>
      </w:r>
      <w:r w:rsidRPr="00B41E66">
        <w:t xml:space="preserve"> D8 (</w:t>
      </w:r>
      <w:r w:rsidR="00B42130" w:rsidRPr="00B41E66">
        <w:t>I</w:t>
      </w:r>
      <w:r w:rsidRPr="00B41E66">
        <w:t>nformation, Knowledge, and Uncertainty)</w:t>
      </w:r>
      <w:r w:rsidR="00C5454C" w:rsidRPr="00B41E66">
        <w:t>;</w:t>
      </w:r>
      <w:r w:rsidRPr="00B41E66">
        <w:t xml:space="preserve"> G11 (Portfolio Choice; Investment Decisions)</w:t>
      </w:r>
      <w:r w:rsidR="00C5454C" w:rsidRPr="00B41E66">
        <w:t>;</w:t>
      </w:r>
      <w:r w:rsidRPr="00B41E66">
        <w:t xml:space="preserve"> G14 (Information and Market Efficiency; Event Studies)</w:t>
      </w:r>
      <w:r w:rsidR="00C5454C" w:rsidRPr="00B41E66">
        <w:t>;</w:t>
      </w:r>
      <w:r w:rsidRPr="00B41E66">
        <w:t xml:space="preserve"> G17 (</w:t>
      </w:r>
      <w:r w:rsidR="00B42130" w:rsidRPr="00B41E66">
        <w:t>F</w:t>
      </w:r>
      <w:r w:rsidRPr="00B41E66">
        <w:t xml:space="preserve">inancial </w:t>
      </w:r>
      <w:r w:rsidR="00B42130" w:rsidRPr="00B41E66">
        <w:t>F</w:t>
      </w:r>
      <w:r w:rsidRPr="00B41E66">
        <w:t>orecasting and</w:t>
      </w:r>
      <w:r w:rsidR="00AA5FAC" w:rsidRPr="00B41E66">
        <w:t xml:space="preserve"> </w:t>
      </w:r>
      <w:r w:rsidRPr="00B41E66">
        <w:t xml:space="preserve"> </w:t>
      </w:r>
      <w:r w:rsidR="00B42130" w:rsidRPr="00B41E66">
        <w:t>S</w:t>
      </w:r>
      <w:r w:rsidRPr="00B41E66">
        <w:t>imulation).</w:t>
      </w:r>
      <w:r w:rsidR="005957B5" w:rsidRPr="00B41E66">
        <w:rPr>
          <w:b/>
          <w:bCs/>
        </w:rPr>
        <w:br w:type="page"/>
      </w:r>
    </w:p>
    <w:p w14:paraId="6514AD61" w14:textId="77777777" w:rsidR="00EE58AE" w:rsidRPr="00B41E66" w:rsidRDefault="00DD00DC" w:rsidP="00EE58AE">
      <w:pPr>
        <w:numPr>
          <w:ilvl w:val="0"/>
          <w:numId w:val="14"/>
        </w:numPr>
        <w:spacing w:line="360" w:lineRule="auto"/>
        <w:rPr>
          <w:b/>
          <w:bCs/>
        </w:rPr>
      </w:pPr>
      <w:r w:rsidRPr="00B41E66">
        <w:rPr>
          <w:b/>
          <w:bCs/>
        </w:rPr>
        <w:t>Introduction</w:t>
      </w:r>
    </w:p>
    <w:p w14:paraId="654C4285" w14:textId="77777777" w:rsidR="00EE58AE" w:rsidRPr="00B41E66" w:rsidRDefault="00EE58AE" w:rsidP="00EE58AE">
      <w:pPr>
        <w:spacing w:line="360" w:lineRule="auto"/>
        <w:rPr>
          <w:b/>
          <w:bCs/>
          <w:color w:val="0000FF"/>
          <w:rtl/>
          <w:lang w:bidi="he-IL"/>
        </w:rPr>
      </w:pPr>
      <w:r w:rsidRPr="00B41E66">
        <w:rPr>
          <w:color w:val="0000FF"/>
        </w:rPr>
        <w:t>The pharmaceutical industry develops, produces, and markets drugs to be used as medications. According to its revenues and capitalization, it is one of the world’s top five industries, with total annual revenues worldwide</w:t>
      </w:r>
      <w:r w:rsidR="00AB4C0B" w:rsidRPr="00B41E66">
        <w:rPr>
          <w:color w:val="0000FF"/>
        </w:rPr>
        <w:t xml:space="preserve"> of</w:t>
      </w:r>
      <w:r w:rsidRPr="00B41E66">
        <w:rPr>
          <w:color w:val="0000FF"/>
        </w:rPr>
        <w:t xml:space="preserve"> 1.25 trillion US dollars in 2019 and 1.27 trillion </w:t>
      </w:r>
      <w:r w:rsidR="00A715B9" w:rsidRPr="00B41E66">
        <w:rPr>
          <w:color w:val="0000FF"/>
        </w:rPr>
        <w:t>US</w:t>
      </w:r>
      <w:r w:rsidRPr="00B41E66">
        <w:rPr>
          <w:color w:val="0000FF"/>
        </w:rPr>
        <w:t xml:space="preserve"> dollars in 2020 (statista.com), most of which are generated by multinational pharmaceutical giants that have been dominating the industry for decades</w:t>
      </w:r>
      <w:r w:rsidR="00710FB7" w:rsidRPr="00B41E66">
        <w:rPr>
          <w:color w:val="0000FF"/>
        </w:rPr>
        <w:t>. The United States alone is responsible for almost 50% of these amounts.</w:t>
      </w:r>
    </w:p>
    <w:p w14:paraId="39A0D1D1" w14:textId="77777777" w:rsidR="00DD00DC" w:rsidRPr="00B41E66" w:rsidRDefault="00216616" w:rsidP="00EE58AE">
      <w:pPr>
        <w:spacing w:line="360" w:lineRule="auto"/>
        <w:rPr>
          <w:b/>
          <w:bCs/>
        </w:rPr>
      </w:pPr>
      <w:r w:rsidRPr="00B41E66">
        <w:rPr>
          <w:b/>
          <w:bCs/>
        </w:rPr>
        <w:t xml:space="preserve"> </w:t>
      </w:r>
    </w:p>
    <w:p w14:paraId="699E0F2C" w14:textId="77777777" w:rsidR="00F54011" w:rsidRPr="00B41E66" w:rsidRDefault="00BD51FE" w:rsidP="00321B91">
      <w:pPr>
        <w:spacing w:line="480" w:lineRule="auto"/>
        <w:jc w:val="both"/>
        <w:rPr>
          <w:color w:val="0000FF"/>
          <w:lang w:val="en-GB" w:bidi="he-IL"/>
        </w:rPr>
      </w:pPr>
      <w:r w:rsidRPr="00B41E66">
        <w:rPr>
          <w:lang w:val="en-GB" w:bidi="he-IL"/>
        </w:rPr>
        <w:t xml:space="preserve">The </w:t>
      </w:r>
      <w:r w:rsidR="000538BE" w:rsidRPr="00B41E66">
        <w:rPr>
          <w:lang w:val="en-GB" w:bidi="he-IL"/>
        </w:rPr>
        <w:t>“</w:t>
      </w:r>
      <w:r w:rsidR="001C11DA" w:rsidRPr="00B41E66">
        <w:rPr>
          <w:lang w:val="en-GB" w:bidi="he-IL"/>
        </w:rPr>
        <w:t>new world</w:t>
      </w:r>
      <w:r w:rsidR="000538BE" w:rsidRPr="00B41E66">
        <w:rPr>
          <w:lang w:val="en-GB" w:bidi="he-IL"/>
        </w:rPr>
        <w:t>”</w:t>
      </w:r>
      <w:r w:rsidR="001C11DA" w:rsidRPr="00B41E66">
        <w:rPr>
          <w:lang w:val="en-GB" w:bidi="he-IL"/>
        </w:rPr>
        <w:t xml:space="preserve"> </w:t>
      </w:r>
      <w:r w:rsidR="00710FB7" w:rsidRPr="00B41E66">
        <w:rPr>
          <w:lang w:bidi="he-IL"/>
        </w:rPr>
        <w:t xml:space="preserve">of biotechnology </w:t>
      </w:r>
      <w:r w:rsidR="001C11DA" w:rsidRPr="00B41E66">
        <w:rPr>
          <w:lang w:val="en-GB" w:bidi="he-IL"/>
        </w:rPr>
        <w:t xml:space="preserve">companies seeking to develop one or </w:t>
      </w:r>
      <w:r w:rsidR="000538BE" w:rsidRPr="00B41E66">
        <w:rPr>
          <w:lang w:val="en-GB" w:bidi="he-IL"/>
        </w:rPr>
        <w:t xml:space="preserve">more </w:t>
      </w:r>
      <w:r w:rsidR="001C11DA" w:rsidRPr="00B41E66">
        <w:rPr>
          <w:lang w:val="en-GB" w:bidi="he-IL"/>
        </w:rPr>
        <w:t>drugs start</w:t>
      </w:r>
      <w:r w:rsidR="006554F3" w:rsidRPr="00B41E66">
        <w:rPr>
          <w:lang w:val="en-GB" w:bidi="he-IL"/>
        </w:rPr>
        <w:t>ed</w:t>
      </w:r>
      <w:r w:rsidR="001C11DA" w:rsidRPr="00B41E66">
        <w:rPr>
          <w:lang w:val="en-GB" w:bidi="he-IL"/>
        </w:rPr>
        <w:t xml:space="preserve"> to emerge a </w:t>
      </w:r>
      <w:r w:rsidR="00323336" w:rsidRPr="00B41E66">
        <w:rPr>
          <w:lang w:val="en-GB" w:bidi="he-IL"/>
        </w:rPr>
        <w:t>decade</w:t>
      </w:r>
      <w:r w:rsidR="001C11DA" w:rsidRPr="00B41E66">
        <w:rPr>
          <w:lang w:val="en-GB" w:bidi="he-IL"/>
        </w:rPr>
        <w:t xml:space="preserve"> ago</w:t>
      </w:r>
      <w:r w:rsidR="000D27AD" w:rsidRPr="00B41E66">
        <w:rPr>
          <w:lang w:val="en-GB" w:bidi="he-IL"/>
        </w:rPr>
        <w:t xml:space="preserve"> when technology became less exp</w:t>
      </w:r>
      <w:r w:rsidR="00D74195" w:rsidRPr="00B41E66">
        <w:rPr>
          <w:lang w:val="en-GB" w:bidi="he-IL"/>
        </w:rPr>
        <w:t>e</w:t>
      </w:r>
      <w:r w:rsidR="000D27AD" w:rsidRPr="00B41E66">
        <w:rPr>
          <w:lang w:val="en-GB" w:bidi="he-IL"/>
        </w:rPr>
        <w:t>nsive</w:t>
      </w:r>
      <w:r w:rsidR="000D27AD" w:rsidRPr="00B41E66">
        <w:rPr>
          <w:color w:val="0000FF"/>
          <w:lang w:bidi="he-IL"/>
        </w:rPr>
        <w:t>.</w:t>
      </w:r>
      <w:r w:rsidR="000C7F0F" w:rsidRPr="00B41E66">
        <w:rPr>
          <w:color w:val="0000FF"/>
          <w:lang w:val="en-GB" w:bidi="he-IL"/>
        </w:rPr>
        <w:t xml:space="preserve"> While biotechnology project risk tends to decrease with each stage in the product development cycle, the absolute capital requirements are increasing </w:t>
      </w:r>
      <w:r w:rsidR="0094014B" w:rsidRPr="00B41E66">
        <w:rPr>
          <w:color w:val="0000FF"/>
          <w:lang w:val="en-GB" w:bidi="he-IL"/>
        </w:rPr>
        <w:t>over multiple years of product development</w:t>
      </w:r>
      <w:r w:rsidR="000538BE" w:rsidRPr="00B41E66">
        <w:rPr>
          <w:color w:val="0000FF"/>
          <w:lang w:val="en-GB" w:bidi="he-IL"/>
        </w:rPr>
        <w:t xml:space="preserve">, </w:t>
      </w:r>
      <w:r w:rsidR="0094014B" w:rsidRPr="00B41E66">
        <w:rPr>
          <w:color w:val="0000FF"/>
          <w:lang w:val="en-GB" w:bidi="he-IL"/>
        </w:rPr>
        <w:t xml:space="preserve">hence, </w:t>
      </w:r>
      <w:r w:rsidR="000C7F0F" w:rsidRPr="00B41E66">
        <w:rPr>
          <w:color w:val="0000FF"/>
          <w:lang w:val="en-GB" w:bidi="he-IL"/>
        </w:rPr>
        <w:t>finding</w:t>
      </w:r>
      <w:r w:rsidR="0094014B" w:rsidRPr="00B41E66">
        <w:rPr>
          <w:color w:val="0000FF"/>
          <w:lang w:val="en-GB" w:bidi="he-IL"/>
        </w:rPr>
        <w:t xml:space="preserve"> financing is </w:t>
      </w:r>
      <w:r w:rsidR="007B1C10" w:rsidRPr="00B41E66">
        <w:rPr>
          <w:color w:val="0000FF"/>
          <w:lang w:val="en-GB" w:bidi="he-IL"/>
        </w:rPr>
        <w:t>critical</w:t>
      </w:r>
      <w:r w:rsidR="00727065" w:rsidRPr="00B41E66">
        <w:rPr>
          <w:color w:val="0000FF"/>
          <w:lang w:bidi="he-IL"/>
        </w:rPr>
        <w:t>.</w:t>
      </w:r>
      <w:r w:rsidR="000D27AD" w:rsidRPr="00B41E66">
        <w:rPr>
          <w:color w:val="0000FF"/>
          <w:lang w:val="en-GB" w:bidi="he-IL"/>
        </w:rPr>
        <w:t xml:space="preserve"> </w:t>
      </w:r>
    </w:p>
    <w:p w14:paraId="0146915C" w14:textId="77777777" w:rsidR="007902A3" w:rsidRPr="00B41E66" w:rsidRDefault="00F54011" w:rsidP="007902A3">
      <w:pPr>
        <w:autoSpaceDE w:val="0"/>
        <w:autoSpaceDN w:val="0"/>
        <w:adjustRightInd w:val="0"/>
        <w:spacing w:line="360" w:lineRule="auto"/>
        <w:jc w:val="both"/>
        <w:rPr>
          <w:b/>
          <w:bCs/>
          <w:color w:val="0000FF"/>
        </w:rPr>
      </w:pPr>
      <w:r w:rsidRPr="00B41E66">
        <w:rPr>
          <w:color w:val="0000FF"/>
          <w:lang w:val="en-GB" w:bidi="he-IL"/>
        </w:rPr>
        <w:t xml:space="preserve">The Jumpstart Our Business Startups (JOBS) Act, enacted in the United States in April 2012, was designed to help revitalize the IPO market by providing a series of regulatory, accounting, and disclosure easements for Emerging Growth Companies (EGC). EGCs are characterized by annual gross revenues of less than US $1 billion over the year prior the IPO. Dambra et al. (2015) documented a 25% increase in new IPOs annually in the two years following enactment of the law compared to the two years preceding the law’s enactment. In addition, offerings of EGC and non-ECG firms increased by 53% and 10% respectively following enactment of the law. Of these, pharmaceutical or biopharmaceutical companies had the greatest increase in activity, as they were more likely to take advantage of the act’s risk reduction provisions which permit firms to file their IPO confidentially while making overtures to qualified institutional buyers. </w:t>
      </w:r>
      <w:r w:rsidR="007902A3" w:rsidRPr="00B41E66">
        <w:rPr>
          <w:color w:val="0000FF"/>
        </w:rPr>
        <w:t xml:space="preserve">IPOs, in addition to increasing </w:t>
      </w:r>
      <w:r w:rsidR="007902A3" w:rsidRPr="00B41E66">
        <w:rPr>
          <w:color w:val="0000FF"/>
          <w:lang w:bidi="he-IL"/>
        </w:rPr>
        <w:t>firm’s</w:t>
      </w:r>
      <w:r w:rsidR="007902A3" w:rsidRPr="00B41E66">
        <w:rPr>
          <w:color w:val="0000FF"/>
        </w:rPr>
        <w:t xml:space="preserve"> equity, </w:t>
      </w:r>
      <w:r w:rsidR="007902A3" w:rsidRPr="00B41E66">
        <w:rPr>
          <w:color w:val="0000FF"/>
          <w:lang w:bidi="he-IL"/>
        </w:rPr>
        <w:t>s</w:t>
      </w:r>
      <w:r w:rsidR="007902A3" w:rsidRPr="00B41E66">
        <w:rPr>
          <w:color w:val="0000FF"/>
        </w:rPr>
        <w:t xml:space="preserve">ignificantly increases its exposure to the public as well as to other pharma companies. This exposure was well utilized in the years 2013-2020 </w:t>
      </w:r>
      <w:r w:rsidR="007902A3" w:rsidRPr="00B41E66">
        <w:rPr>
          <w:color w:val="0000FF"/>
          <w:lang w:bidi="he-IL"/>
        </w:rPr>
        <w:t xml:space="preserve">when </w:t>
      </w:r>
      <w:r w:rsidR="007902A3" w:rsidRPr="00B41E66">
        <w:rPr>
          <w:color w:val="0000FF"/>
        </w:rPr>
        <w:t>biotech companies raised additional significant financing through $100M+ acquisitions and alliances. 146 companies raised $85.9B in pre-IPO deals, 133 companies raised $113.2B in post-IPO deals and 40 companies were acquired for a total amount of $83.8B. (Edwards 2021)</w:t>
      </w:r>
    </w:p>
    <w:p w14:paraId="6FB8F96D" w14:textId="0B432807" w:rsidR="00F54011" w:rsidRPr="00B41E66" w:rsidRDefault="00F54011" w:rsidP="00F54011">
      <w:pPr>
        <w:spacing w:line="480" w:lineRule="auto"/>
        <w:jc w:val="both"/>
        <w:rPr>
          <w:color w:val="0000FF"/>
          <w:lang w:bidi="he-IL"/>
        </w:rPr>
      </w:pPr>
    </w:p>
    <w:p w14:paraId="141BDC0A" w14:textId="520573E8" w:rsidR="00962A6A" w:rsidRPr="00B41E66" w:rsidRDefault="00727065" w:rsidP="00A24D4E">
      <w:pPr>
        <w:spacing w:line="480" w:lineRule="auto"/>
        <w:jc w:val="both"/>
        <w:rPr>
          <w:lang w:val="en-GB" w:bidi="he-IL"/>
        </w:rPr>
      </w:pPr>
      <w:r w:rsidRPr="00B41E66">
        <w:rPr>
          <w:lang w:val="en-GB" w:bidi="he-IL"/>
        </w:rPr>
        <w:lastRenderedPageBreak/>
        <w:t>This</w:t>
      </w:r>
      <w:r w:rsidR="00BC4F9D" w:rsidRPr="00B41E66">
        <w:rPr>
          <w:lang w:val="en-GB" w:bidi="he-IL"/>
        </w:rPr>
        <w:t xml:space="preserve"> paper focuses on the </w:t>
      </w:r>
      <w:r w:rsidR="000B7F72" w:rsidRPr="00B41E66">
        <w:rPr>
          <w:lang w:val="en-GB" w:bidi="he-IL"/>
        </w:rPr>
        <w:t>“</w:t>
      </w:r>
      <w:r w:rsidR="00BC4F9D" w:rsidRPr="00B41E66">
        <w:rPr>
          <w:lang w:val="en-GB" w:bidi="he-IL"/>
        </w:rPr>
        <w:t>new world</w:t>
      </w:r>
      <w:r w:rsidR="000B7F72" w:rsidRPr="00B41E66">
        <w:rPr>
          <w:lang w:val="en-GB" w:bidi="he-IL"/>
        </w:rPr>
        <w:t>”</w:t>
      </w:r>
      <w:r w:rsidR="00BC4F9D" w:rsidRPr="00B41E66">
        <w:rPr>
          <w:lang w:val="en-GB" w:bidi="he-IL"/>
        </w:rPr>
        <w:t xml:space="preserve"> of </w:t>
      </w:r>
      <w:r w:rsidR="00BC4F9D" w:rsidRPr="00B41E66">
        <w:t>biotech</w:t>
      </w:r>
      <w:r w:rsidR="00BC4F9D" w:rsidRPr="00B41E66">
        <w:rPr>
          <w:lang w:val="en-GB" w:bidi="he-IL"/>
        </w:rPr>
        <w:t xml:space="preserve"> firms </w:t>
      </w:r>
      <w:r w:rsidR="00BC4F9D" w:rsidRPr="00B41E66">
        <w:rPr>
          <w:lang w:bidi="he-IL"/>
        </w:rPr>
        <w:t>that</w:t>
      </w:r>
      <w:r w:rsidR="00BC4F9D" w:rsidRPr="00B41E66">
        <w:t xml:space="preserve"> </w:t>
      </w:r>
      <w:r w:rsidR="00C84C04" w:rsidRPr="00B41E66">
        <w:rPr>
          <w:color w:val="0000FF"/>
        </w:rPr>
        <w:t xml:space="preserve">perform an IPO </w:t>
      </w:r>
      <w:r w:rsidR="001D4569" w:rsidRPr="00B41E66">
        <w:rPr>
          <w:color w:val="0000FF"/>
          <w:lang w:val="en-GB" w:bidi="he-IL"/>
        </w:rPr>
        <w:t>between 2013 and 2019</w:t>
      </w:r>
      <w:r w:rsidR="00C84C04" w:rsidRPr="00B41E66">
        <w:rPr>
          <w:color w:val="0000FF"/>
          <w:lang w:val="en-GB" w:bidi="he-IL"/>
        </w:rPr>
        <w:t xml:space="preserve"> </w:t>
      </w:r>
      <w:r w:rsidR="007326E8" w:rsidRPr="00B41E66">
        <w:rPr>
          <w:color w:val="0000FF"/>
        </w:rPr>
        <w:t xml:space="preserve">after the JOBS act was </w:t>
      </w:r>
      <w:r w:rsidR="00C84C04" w:rsidRPr="00B41E66">
        <w:rPr>
          <w:color w:val="0000FF"/>
        </w:rPr>
        <w:t>enacted</w:t>
      </w:r>
      <w:r w:rsidR="00BC4F9D" w:rsidRPr="00B41E66">
        <w:rPr>
          <w:lang w:val="en-GB" w:bidi="he-IL"/>
        </w:rPr>
        <w:t xml:space="preserve">. </w:t>
      </w:r>
      <w:r w:rsidRPr="00B41E66">
        <w:rPr>
          <w:lang w:val="en-GB" w:bidi="he-IL"/>
        </w:rPr>
        <w:t>The first part of the paper examines</w:t>
      </w:r>
      <w:r w:rsidR="00BC4F9D" w:rsidRPr="00B41E66">
        <w:rPr>
          <w:lang w:val="en-GB" w:bidi="he-IL"/>
        </w:rPr>
        <w:t xml:space="preserve"> how the new </w:t>
      </w:r>
      <w:r w:rsidR="000B7F72" w:rsidRPr="00B41E66">
        <w:rPr>
          <w:lang w:val="en-GB" w:bidi="he-IL"/>
        </w:rPr>
        <w:t>Jumpstart Our Business Startup</w:t>
      </w:r>
      <w:r w:rsidR="00DC23F7" w:rsidRPr="00B41E66">
        <w:rPr>
          <w:lang w:val="en-GB" w:bidi="he-IL"/>
        </w:rPr>
        <w:t>s</w:t>
      </w:r>
      <w:r w:rsidR="000B7F72" w:rsidRPr="00B41E66">
        <w:rPr>
          <w:lang w:val="en-GB" w:bidi="he-IL"/>
        </w:rPr>
        <w:t xml:space="preserve"> Act</w:t>
      </w:r>
      <w:r w:rsidR="00BC4F9D" w:rsidRPr="00B41E66">
        <w:rPr>
          <w:lang w:val="en-GB" w:bidi="he-IL"/>
        </w:rPr>
        <w:t xml:space="preserve"> (JOBS A</w:t>
      </w:r>
      <w:r w:rsidR="000B7F72" w:rsidRPr="00B41E66">
        <w:rPr>
          <w:lang w:val="en-GB" w:bidi="he-IL"/>
        </w:rPr>
        <w:t>ct</w:t>
      </w:r>
      <w:r w:rsidR="00BC4F9D" w:rsidRPr="00B41E66">
        <w:rPr>
          <w:lang w:val="en-GB" w:bidi="he-IL"/>
        </w:rPr>
        <w:t>) has influenced investors’ activity</w:t>
      </w:r>
      <w:r w:rsidR="00BC4F9D" w:rsidRPr="00B41E66">
        <w:t xml:space="preserve"> during the </w:t>
      </w:r>
      <w:r w:rsidR="003A14D2" w:rsidRPr="00B41E66">
        <w:t>three</w:t>
      </w:r>
      <w:r w:rsidR="00BC4F9D" w:rsidRPr="00B41E66">
        <w:t xml:space="preserve"> years post</w:t>
      </w:r>
      <w:r w:rsidR="000B7F72" w:rsidRPr="00B41E66">
        <w:t>-</w:t>
      </w:r>
      <w:r w:rsidR="00BC4F9D" w:rsidRPr="00B41E66">
        <w:t>IPO</w:t>
      </w:r>
      <w:r w:rsidR="00BC4F9D" w:rsidRPr="00B41E66">
        <w:rPr>
          <w:lang w:bidi="he-IL"/>
        </w:rPr>
        <w:t xml:space="preserve"> as reflected in the</w:t>
      </w:r>
      <w:r w:rsidR="007231BC" w:rsidRPr="00B41E66">
        <w:rPr>
          <w:lang w:bidi="he-IL"/>
        </w:rPr>
        <w:t>ir</w:t>
      </w:r>
      <w:r w:rsidR="00BC4F9D" w:rsidRPr="00B41E66">
        <w:rPr>
          <w:lang w:bidi="he-IL"/>
        </w:rPr>
        <w:t xml:space="preserve"> cumulative average abnormal return</w:t>
      </w:r>
      <w:r w:rsidR="000B7F72" w:rsidRPr="00B41E66">
        <w:rPr>
          <w:lang w:bidi="he-IL"/>
        </w:rPr>
        <w:t xml:space="preserve"> (CAAR)</w:t>
      </w:r>
      <w:r w:rsidR="00BC4F9D" w:rsidRPr="00B41E66">
        <w:rPr>
          <w:lang w:bidi="he-IL"/>
        </w:rPr>
        <w:t>.</w:t>
      </w:r>
      <w:r w:rsidR="00BC4F9D" w:rsidRPr="00B41E66">
        <w:rPr>
          <w:rtl/>
          <w:lang w:val="en-GB" w:bidi="he-IL"/>
        </w:rPr>
        <w:t xml:space="preserve"> </w:t>
      </w:r>
    </w:p>
    <w:p w14:paraId="2F6DD58F" w14:textId="77777777" w:rsidR="00962A6A" w:rsidRPr="00B41E66" w:rsidRDefault="00962A6A" w:rsidP="00A24D4E">
      <w:pPr>
        <w:spacing w:line="480" w:lineRule="auto"/>
        <w:jc w:val="both"/>
        <w:rPr>
          <w:lang w:val="en-GB" w:bidi="he-IL"/>
        </w:rPr>
      </w:pPr>
    </w:p>
    <w:p w14:paraId="173D9922" w14:textId="207E0BF3" w:rsidR="00A24D4E" w:rsidRPr="00B41E66" w:rsidRDefault="00962A6A" w:rsidP="00B90001">
      <w:pPr>
        <w:spacing w:line="480" w:lineRule="auto"/>
        <w:jc w:val="both"/>
        <w:rPr>
          <w:lang w:val="en-GB" w:bidi="he-IL"/>
        </w:rPr>
      </w:pPr>
      <w:bookmarkStart w:id="0" w:name="_Hlk80809787"/>
      <w:r w:rsidRPr="00B41E66">
        <w:rPr>
          <w:color w:val="0000FF"/>
          <w:lang w:eastAsia="en-IL" w:bidi="he-IL"/>
        </w:rPr>
        <w:t xml:space="preserve">Numerous studies have attempted to </w:t>
      </w:r>
      <w:r w:rsidRPr="00B41E66">
        <w:rPr>
          <w:color w:val="0000FF"/>
          <w:lang w:eastAsia="en-IL"/>
        </w:rPr>
        <w:t xml:space="preserve">explore variables that might affect </w:t>
      </w:r>
      <w:r w:rsidRPr="00B41E66">
        <w:rPr>
          <w:color w:val="0000FF"/>
          <w:lang w:eastAsia="en-IL" w:bidi="he-IL"/>
        </w:rPr>
        <w:t>the behavior of stock prices after a</w:t>
      </w:r>
      <w:r w:rsidRPr="00B41E66">
        <w:rPr>
          <w:color w:val="0000FF"/>
          <w:lang w:eastAsia="en-IL"/>
        </w:rPr>
        <w:t xml:space="preserve">n IPO, </w:t>
      </w:r>
      <w:r w:rsidR="00B90001" w:rsidRPr="00B41E66">
        <w:rPr>
          <w:color w:val="0000FF"/>
          <w:lang w:eastAsia="en-IL"/>
        </w:rPr>
        <w:t xml:space="preserve">part </w:t>
      </w:r>
      <w:r w:rsidRPr="00B41E66">
        <w:rPr>
          <w:color w:val="0000FF"/>
          <w:lang w:eastAsia="en-IL"/>
        </w:rPr>
        <w:t>of them dealt with media coverage</w:t>
      </w:r>
      <w:r w:rsidRPr="00B41E66">
        <w:rPr>
          <w:color w:val="0000FF"/>
          <w:lang w:eastAsia="en-IL" w:bidi="he-IL"/>
        </w:rPr>
        <w:t xml:space="preserve">, whether it </w:t>
      </w:r>
      <w:r w:rsidRPr="00B41E66">
        <w:rPr>
          <w:color w:val="0000FF"/>
          <w:lang w:eastAsia="en-IL"/>
        </w:rPr>
        <w:t>was originated by</w:t>
      </w:r>
      <w:r w:rsidRPr="00B41E66">
        <w:rPr>
          <w:color w:val="0000FF"/>
          <w:lang w:eastAsia="en-IL" w:bidi="he-IL"/>
        </w:rPr>
        <w:t xml:space="preserve"> the firm</w:t>
      </w:r>
      <w:r w:rsidRPr="00B41E66">
        <w:rPr>
          <w:color w:val="0000FF"/>
          <w:lang w:eastAsia="en-IL"/>
        </w:rPr>
        <w:t xml:space="preserve">, like press releases </w:t>
      </w:r>
      <w:r w:rsidRPr="00B41E66">
        <w:rPr>
          <w:color w:val="0000FF"/>
          <w:lang w:eastAsia="en-IL" w:bidi="he-IL"/>
        </w:rPr>
        <w:t xml:space="preserve">or publications originating outside the firm, </w:t>
      </w:r>
      <w:r w:rsidR="007231BC" w:rsidRPr="00B41E66">
        <w:rPr>
          <w:color w:val="0000FF"/>
          <w:lang w:eastAsia="en-IL" w:bidi="he-IL"/>
        </w:rPr>
        <w:t>yet</w:t>
      </w:r>
      <w:r w:rsidR="00B90001" w:rsidRPr="00B41E66">
        <w:rPr>
          <w:color w:val="0000FF"/>
          <w:lang w:eastAsia="en-IL" w:bidi="he-IL"/>
        </w:rPr>
        <w:t xml:space="preserve"> very f</w:t>
      </w:r>
      <w:r w:rsidRPr="00B41E66">
        <w:rPr>
          <w:color w:val="0000FF"/>
          <w:lang w:eastAsia="en-IL" w:bidi="he-IL"/>
        </w:rPr>
        <w:t xml:space="preserve">ew studies </w:t>
      </w:r>
      <w:r w:rsidRPr="00B41E66">
        <w:rPr>
          <w:color w:val="0000FF"/>
          <w:lang w:eastAsia="en-IL"/>
        </w:rPr>
        <w:t>investigated</w:t>
      </w:r>
      <w:r w:rsidRPr="00B41E66">
        <w:rPr>
          <w:color w:val="0000FF"/>
          <w:lang w:eastAsia="en-IL" w:bidi="he-IL"/>
        </w:rPr>
        <w:t xml:space="preserve"> the </w:t>
      </w:r>
      <w:r w:rsidRPr="00B41E66">
        <w:rPr>
          <w:color w:val="0000FF"/>
          <w:lang w:eastAsia="en-IL"/>
        </w:rPr>
        <w:t xml:space="preserve">relations between </w:t>
      </w:r>
      <w:r w:rsidRPr="00B41E66">
        <w:rPr>
          <w:color w:val="0000FF"/>
          <w:lang w:eastAsia="en-IL" w:bidi="he-IL"/>
        </w:rPr>
        <w:t xml:space="preserve">tweets </w:t>
      </w:r>
      <w:r w:rsidRPr="00B41E66">
        <w:rPr>
          <w:color w:val="0000FF"/>
          <w:lang w:eastAsia="en-IL"/>
        </w:rPr>
        <w:t>and returns</w:t>
      </w:r>
      <w:r w:rsidRPr="00B41E66">
        <w:rPr>
          <w:color w:val="0000FF"/>
          <w:lang w:eastAsia="en-IL" w:bidi="he-IL"/>
        </w:rPr>
        <w:t>, and</w:t>
      </w:r>
      <w:r w:rsidRPr="00B41E66">
        <w:rPr>
          <w:color w:val="0000FF"/>
          <w:lang w:eastAsia="en-IL"/>
        </w:rPr>
        <w:t xml:space="preserve"> hence we wish to contribute of filling this gap by focusing on Twitter</w:t>
      </w:r>
      <w:r w:rsidRPr="00B41E66">
        <w:rPr>
          <w:color w:val="0000FF"/>
          <w:lang w:eastAsia="en-IL" w:bidi="he-IL"/>
        </w:rPr>
        <w:t xml:space="preserve">. </w:t>
      </w:r>
      <w:bookmarkEnd w:id="0"/>
      <w:r w:rsidR="00B90001" w:rsidRPr="00B41E66">
        <w:rPr>
          <w:color w:val="0000FF"/>
          <w:lang w:eastAsia="en-IL" w:bidi="he-IL"/>
        </w:rPr>
        <w:t>Thus,</w:t>
      </w:r>
      <w:r w:rsidR="007604BE" w:rsidRPr="00B41E66">
        <w:rPr>
          <w:lang w:val="en-GB" w:bidi="he-IL"/>
        </w:rPr>
        <w:t xml:space="preserve"> </w:t>
      </w:r>
      <w:r w:rsidR="00B90001" w:rsidRPr="00B41E66">
        <w:rPr>
          <w:lang w:val="en-GB" w:bidi="he-IL"/>
        </w:rPr>
        <w:t>i</w:t>
      </w:r>
      <w:r w:rsidR="007604BE" w:rsidRPr="00B41E66">
        <w:rPr>
          <w:color w:val="0000FF"/>
        </w:rPr>
        <w:t xml:space="preserve">n the second part we investigate the relation between the volume of the text messages posted on Twitter known as “tweets” and stock returns. </w:t>
      </w:r>
      <w:r w:rsidR="00BC4F9D" w:rsidRPr="00B41E66">
        <w:t xml:space="preserve"> </w:t>
      </w:r>
      <w:r w:rsidR="00C842B8" w:rsidRPr="00B41E66">
        <w:t>The d</w:t>
      </w:r>
      <w:r w:rsidR="00BC4F9D" w:rsidRPr="00B41E66">
        <w:t xml:space="preserve">ecision-making </w:t>
      </w:r>
      <w:r w:rsidR="00BC4F9D" w:rsidRPr="00B41E66">
        <w:rPr>
          <w:lang w:bidi="he-IL"/>
        </w:rPr>
        <w:t xml:space="preserve">process </w:t>
      </w:r>
      <w:r w:rsidR="00BC4F9D" w:rsidRPr="00B41E66">
        <w:t xml:space="preserve">of </w:t>
      </w:r>
      <w:r w:rsidR="00C842B8" w:rsidRPr="00B41E66">
        <w:t xml:space="preserve">participants in </w:t>
      </w:r>
      <w:r w:rsidR="00BC4F9D" w:rsidRPr="00B41E66">
        <w:t xml:space="preserve">financial markets is not always rational and is often influenced by motives other than risk and return, such as the perceived quality of a firm. One of the channels </w:t>
      </w:r>
      <w:r w:rsidR="00C842B8" w:rsidRPr="00B41E66">
        <w:t>for shaping investors’ perceptions</w:t>
      </w:r>
      <w:r w:rsidR="00BC4F9D" w:rsidRPr="00B41E66">
        <w:t xml:space="preserve"> is </w:t>
      </w:r>
      <w:r w:rsidR="0089520B" w:rsidRPr="00B41E66">
        <w:t xml:space="preserve">publishing posts </w:t>
      </w:r>
      <w:r w:rsidR="00BC4F9D" w:rsidRPr="00B41E66">
        <w:t xml:space="preserve">about </w:t>
      </w:r>
      <w:r w:rsidR="00C842B8" w:rsidRPr="00B41E66">
        <w:t>a firm</w:t>
      </w:r>
      <w:r w:rsidR="00BC4F9D" w:rsidRPr="00B41E66">
        <w:t xml:space="preserve"> through social media channels, from online message boards to Facebook and Tw</w:t>
      </w:r>
      <w:r w:rsidR="00727065" w:rsidRPr="00B41E66">
        <w:t>itter</w:t>
      </w:r>
      <w:r w:rsidR="00BC4F9D" w:rsidRPr="00B41E66">
        <w:t xml:space="preserve">. </w:t>
      </w:r>
      <w:bookmarkStart w:id="1" w:name="_Hlk80810058"/>
      <w:r w:rsidR="007231BC" w:rsidRPr="00B41E66">
        <w:t>We choose to focus on Tweeter</w:t>
      </w:r>
      <w:r w:rsidR="00BC4F9D" w:rsidRPr="00B41E66">
        <w:rPr>
          <w:lang w:bidi="he-IL"/>
        </w:rPr>
        <w:t>, as it</w:t>
      </w:r>
      <w:r w:rsidR="00727065" w:rsidRPr="00B41E66">
        <w:rPr>
          <w:lang w:bidi="he-IL"/>
        </w:rPr>
        <w:t xml:space="preserve"> enjoys</w:t>
      </w:r>
      <w:r w:rsidR="00BC4F9D" w:rsidRPr="00B41E66">
        <w:t xml:space="preserve"> increasing popularity </w:t>
      </w:r>
      <w:r w:rsidR="007231BC" w:rsidRPr="00B41E66">
        <w:t>and because tweets</w:t>
      </w:r>
      <w:r w:rsidR="00BC4F9D" w:rsidRPr="00B41E66">
        <w:rPr>
          <w:lang w:bidi="he-IL"/>
        </w:rPr>
        <w:t xml:space="preserve"> are character</w:t>
      </w:r>
      <w:r w:rsidR="00727065" w:rsidRPr="00B41E66">
        <w:rPr>
          <w:lang w:bidi="he-IL"/>
        </w:rPr>
        <w:t>ized by</w:t>
      </w:r>
      <w:r w:rsidR="00BC4F9D" w:rsidRPr="00B41E66">
        <w:rPr>
          <w:lang w:bidi="he-IL"/>
        </w:rPr>
        <w:t xml:space="preserve"> </w:t>
      </w:r>
      <w:r w:rsidR="00BC4F9D" w:rsidRPr="00B41E66">
        <w:t>non-</w:t>
      </w:r>
      <w:r w:rsidR="00BC4F9D" w:rsidRPr="00B41E66">
        <w:rPr>
          <w:rStyle w:val="word"/>
        </w:rPr>
        <w:t>scrutinize</w:t>
      </w:r>
      <w:r w:rsidR="00C842B8" w:rsidRPr="00B41E66">
        <w:rPr>
          <w:rStyle w:val="word"/>
        </w:rPr>
        <w:t>d,</w:t>
      </w:r>
      <w:r w:rsidR="00BC4F9D" w:rsidRPr="00B41E66">
        <w:t xml:space="preserve"> unstructured, </w:t>
      </w:r>
      <w:r w:rsidR="007604BE" w:rsidRPr="00B41E66">
        <w:t>informal,</w:t>
      </w:r>
      <w:r w:rsidR="00BC4F9D" w:rsidRPr="00B41E66">
        <w:t xml:space="preserve"> and very short text</w:t>
      </w:r>
      <w:r w:rsidR="00727065" w:rsidRPr="00B41E66">
        <w:t>s</w:t>
      </w:r>
      <w:r w:rsidR="00BC4F9D" w:rsidRPr="00B41E66">
        <w:t xml:space="preserve">. </w:t>
      </w:r>
      <w:r w:rsidR="00BC4F9D" w:rsidRPr="00B41E66">
        <w:rPr>
          <w:lang w:val="en-GB" w:bidi="he-IL"/>
        </w:rPr>
        <w:t>In a world where the</w:t>
      </w:r>
      <w:r w:rsidR="00C842B8" w:rsidRPr="00B41E66">
        <w:rPr>
          <w:lang w:val="en-GB" w:bidi="he-IL"/>
        </w:rPr>
        <w:t>re is almost an endless</w:t>
      </w:r>
      <w:r w:rsidR="00BC4F9D" w:rsidRPr="00B41E66">
        <w:rPr>
          <w:lang w:val="en-GB" w:bidi="he-IL"/>
        </w:rPr>
        <w:t xml:space="preserve"> amount of available information</w:t>
      </w:r>
      <w:r w:rsidR="00C842B8" w:rsidRPr="00B41E66">
        <w:rPr>
          <w:lang w:val="en-GB" w:bidi="he-IL"/>
        </w:rPr>
        <w:t>,</w:t>
      </w:r>
      <w:r w:rsidR="00BC4F9D" w:rsidRPr="00B41E66">
        <w:rPr>
          <w:lang w:val="en-GB" w:bidi="he-IL"/>
        </w:rPr>
        <w:t xml:space="preserve"> firms</w:t>
      </w:r>
      <w:r w:rsidR="00C842B8" w:rsidRPr="00B41E66">
        <w:rPr>
          <w:lang w:val="en-GB" w:bidi="he-IL"/>
        </w:rPr>
        <w:t>’</w:t>
      </w:r>
      <w:r w:rsidR="00BC4F9D" w:rsidRPr="00B41E66">
        <w:rPr>
          <w:lang w:val="en-GB" w:bidi="he-IL"/>
        </w:rPr>
        <w:t xml:space="preserve"> competition for investors</w:t>
      </w:r>
      <w:r w:rsidR="00A82CF3" w:rsidRPr="00B41E66">
        <w:rPr>
          <w:lang w:val="en-GB" w:bidi="he-IL"/>
        </w:rPr>
        <w:t>’</w:t>
      </w:r>
      <w:r w:rsidR="00BC4F9D" w:rsidRPr="00B41E66">
        <w:rPr>
          <w:lang w:val="en-GB" w:bidi="he-IL"/>
        </w:rPr>
        <w:t xml:space="preserve"> attention has become </w:t>
      </w:r>
      <w:r w:rsidR="00C842B8" w:rsidRPr="00B41E66">
        <w:rPr>
          <w:lang w:val="en-GB" w:bidi="he-IL"/>
        </w:rPr>
        <w:t>fiercer</w:t>
      </w:r>
      <w:r w:rsidR="00BC4F9D" w:rsidRPr="00B41E66">
        <w:rPr>
          <w:lang w:val="en-GB" w:bidi="he-IL"/>
        </w:rPr>
        <w:t xml:space="preserve"> than ever</w:t>
      </w:r>
      <w:r w:rsidR="00C842B8" w:rsidRPr="00B41E66">
        <w:rPr>
          <w:lang w:val="en-GB" w:bidi="he-IL"/>
        </w:rPr>
        <w:t>. We were therefore interested in exploring how</w:t>
      </w:r>
      <w:r w:rsidR="0089520B" w:rsidRPr="00B41E66">
        <w:rPr>
          <w:lang w:val="en-GB" w:bidi="he-IL"/>
        </w:rPr>
        <w:t xml:space="preserve"> </w:t>
      </w:r>
      <w:r w:rsidR="00C842B8" w:rsidRPr="00B41E66">
        <w:rPr>
          <w:color w:val="0000FF"/>
        </w:rPr>
        <w:t xml:space="preserve">the </w:t>
      </w:r>
      <w:r w:rsidR="007604BE" w:rsidRPr="00B41E66">
        <w:rPr>
          <w:color w:val="0000FF"/>
        </w:rPr>
        <w:t>volume</w:t>
      </w:r>
      <w:r w:rsidR="00C842B8" w:rsidRPr="00B41E66">
        <w:rPr>
          <w:lang w:val="en-GB" w:bidi="he-IL"/>
        </w:rPr>
        <w:t xml:space="preserve"> </w:t>
      </w:r>
      <w:r w:rsidR="00C12E33" w:rsidRPr="00B41E66">
        <w:rPr>
          <w:lang w:val="en-GB" w:bidi="he-IL"/>
        </w:rPr>
        <w:t xml:space="preserve">of </w:t>
      </w:r>
      <w:r w:rsidR="00ED6488" w:rsidRPr="00B41E66">
        <w:rPr>
          <w:lang w:val="en-GB" w:bidi="he-IL"/>
        </w:rPr>
        <w:t>tweets</w:t>
      </w:r>
      <w:r w:rsidR="00C842B8" w:rsidRPr="00B41E66">
        <w:rPr>
          <w:lang w:val="en-GB" w:bidi="he-IL"/>
        </w:rPr>
        <w:t xml:space="preserve">, without any potentially </w:t>
      </w:r>
      <w:r w:rsidR="00C842B8" w:rsidRPr="00B41E66">
        <w:t xml:space="preserve">controversial evaluation of </w:t>
      </w:r>
      <w:r w:rsidR="00C12E33" w:rsidRPr="00B41E66">
        <w:t xml:space="preserve">their </w:t>
      </w:r>
      <w:r w:rsidR="00C842B8" w:rsidRPr="00B41E66">
        <w:t>content,</w:t>
      </w:r>
      <w:r w:rsidR="00C842B8" w:rsidRPr="00B41E66">
        <w:rPr>
          <w:lang w:val="en-GB" w:bidi="he-IL"/>
        </w:rPr>
        <w:t xml:space="preserve"> </w:t>
      </w:r>
      <w:r w:rsidR="006709F2" w:rsidRPr="00B41E66">
        <w:rPr>
          <w:lang w:val="en-GB" w:bidi="he-IL"/>
        </w:rPr>
        <w:t xml:space="preserve">influence </w:t>
      </w:r>
      <w:r w:rsidR="00C842B8" w:rsidRPr="00B41E66">
        <w:rPr>
          <w:lang w:val="en-GB" w:bidi="he-IL"/>
        </w:rPr>
        <w:t>main capital market variables after the IPO</w:t>
      </w:r>
      <w:bookmarkStart w:id="2" w:name="_Hlk80615148"/>
      <w:bookmarkEnd w:id="1"/>
      <w:r w:rsidR="0089520B" w:rsidRPr="00B41E66">
        <w:rPr>
          <w:lang w:val="en-GB" w:bidi="he-IL"/>
        </w:rPr>
        <w:t>.</w:t>
      </w:r>
      <w:r w:rsidR="00ED6488" w:rsidRPr="00B41E66">
        <w:rPr>
          <w:lang w:val="en-GB" w:bidi="he-IL"/>
        </w:rPr>
        <w:t xml:space="preserve"> </w:t>
      </w:r>
      <w:bookmarkStart w:id="3" w:name="_Hlk80618732"/>
      <w:r w:rsidR="00A24D4E" w:rsidRPr="00B41E66">
        <w:rPr>
          <w:color w:val="0000FF"/>
          <w:lang w:eastAsia="en-IL"/>
        </w:rPr>
        <w:t xml:space="preserve">The contribution of this paper is twofold, first, </w:t>
      </w:r>
      <w:r w:rsidR="00A24D4E" w:rsidRPr="00B41E66">
        <w:rPr>
          <w:color w:val="0000FF"/>
        </w:rPr>
        <w:t xml:space="preserve">our focus on </w:t>
      </w:r>
      <w:r w:rsidR="00A24D4E" w:rsidRPr="00B41E66">
        <w:rPr>
          <w:color w:val="0000FF"/>
          <w:lang w:bidi="he-IL"/>
        </w:rPr>
        <w:t xml:space="preserve">the </w:t>
      </w:r>
      <w:r w:rsidR="00A24D4E" w:rsidRPr="00B41E66">
        <w:rPr>
          <w:color w:val="0000FF"/>
        </w:rPr>
        <w:t xml:space="preserve">biotechnology sector, which despite of being one of the leadings based on its revenues, got relatively low academic </w:t>
      </w:r>
      <w:r w:rsidR="00D2628F" w:rsidRPr="00B41E66">
        <w:rPr>
          <w:color w:val="0000FF"/>
        </w:rPr>
        <w:t>attention, and</w:t>
      </w:r>
      <w:r w:rsidR="00A24D4E" w:rsidRPr="00B41E66">
        <w:rPr>
          <w:color w:val="0000FF"/>
        </w:rPr>
        <w:t xml:space="preserve"> second</w:t>
      </w:r>
      <w:r w:rsidR="00D2628F" w:rsidRPr="00B41E66">
        <w:rPr>
          <w:color w:val="0000FF"/>
        </w:rPr>
        <w:t>,</w:t>
      </w:r>
      <w:r w:rsidR="00A24D4E" w:rsidRPr="00B41E66">
        <w:rPr>
          <w:color w:val="0000FF"/>
        </w:rPr>
        <w:t xml:space="preserve"> analyzing the relation between investors’ attention as reflected in the sheer Twitters’ discourse level and stock returns.</w:t>
      </w:r>
    </w:p>
    <w:bookmarkEnd w:id="3"/>
    <w:p w14:paraId="5D00BD8C" w14:textId="0C6E3883" w:rsidR="00ED6488" w:rsidRPr="00B41E66" w:rsidRDefault="00ED6488" w:rsidP="00A24D4E">
      <w:pPr>
        <w:spacing w:line="480" w:lineRule="auto"/>
        <w:jc w:val="both"/>
        <w:rPr>
          <w:color w:val="0000FF"/>
        </w:rPr>
      </w:pPr>
      <w:r w:rsidRPr="00B41E66">
        <w:rPr>
          <w:color w:val="0000FF"/>
        </w:rPr>
        <w:lastRenderedPageBreak/>
        <w:t>The rest of the paper is organized as follows: section 2 contains literature review of relevant studies</w:t>
      </w:r>
      <w:r w:rsidR="00087F6D" w:rsidRPr="00B41E66">
        <w:rPr>
          <w:color w:val="0000FF"/>
        </w:rPr>
        <w:t xml:space="preserve">. Section 3 </w:t>
      </w:r>
      <w:r w:rsidR="006C0183" w:rsidRPr="00B41E66">
        <w:rPr>
          <w:color w:val="0000FF"/>
        </w:rPr>
        <w:t xml:space="preserve">analyzes the behavior of CAAR post IPO, section 4 </w:t>
      </w:r>
      <w:r w:rsidR="006E116A" w:rsidRPr="00B41E66">
        <w:rPr>
          <w:color w:val="0000FF"/>
        </w:rPr>
        <w:t>analyzes</w:t>
      </w:r>
      <w:r w:rsidR="006C0183" w:rsidRPr="00B41E66">
        <w:rPr>
          <w:color w:val="0000FF"/>
        </w:rPr>
        <w:t xml:space="preserve"> the relations between tweets volume and stock behavior</w:t>
      </w:r>
      <w:r w:rsidR="00D2628F" w:rsidRPr="00B41E66">
        <w:rPr>
          <w:color w:val="0000FF"/>
          <w:lang w:bidi="he-IL"/>
        </w:rPr>
        <w:t>, and</w:t>
      </w:r>
      <w:r w:rsidR="006C0183" w:rsidRPr="00B41E66">
        <w:rPr>
          <w:color w:val="0000FF"/>
        </w:rPr>
        <w:t xml:space="preserve"> section 5 contain discussion and conclusions</w:t>
      </w:r>
      <w:r w:rsidR="001514DE" w:rsidRPr="00B41E66">
        <w:rPr>
          <w:color w:val="0000FF"/>
        </w:rPr>
        <w:t>.</w:t>
      </w:r>
    </w:p>
    <w:bookmarkEnd w:id="2"/>
    <w:p w14:paraId="0074935B" w14:textId="77777777" w:rsidR="00F851A3" w:rsidRPr="00B41E66" w:rsidRDefault="00F851A3" w:rsidP="0087536A">
      <w:pPr>
        <w:spacing w:line="480" w:lineRule="auto"/>
        <w:jc w:val="both"/>
        <w:rPr>
          <w:b/>
          <w:bCs/>
          <w:color w:val="0000FF"/>
        </w:rPr>
      </w:pPr>
    </w:p>
    <w:p w14:paraId="1345C854" w14:textId="77777777" w:rsidR="00C33869" w:rsidRPr="00B41E66" w:rsidRDefault="00ED6488" w:rsidP="0087536A">
      <w:pPr>
        <w:spacing w:line="480" w:lineRule="auto"/>
        <w:jc w:val="both"/>
        <w:rPr>
          <w:b/>
          <w:bCs/>
          <w:color w:val="0000FF"/>
        </w:rPr>
      </w:pPr>
      <w:r w:rsidRPr="00B41E66">
        <w:rPr>
          <w:b/>
          <w:bCs/>
          <w:color w:val="0000FF"/>
        </w:rPr>
        <w:t>2. Literature Review</w:t>
      </w:r>
    </w:p>
    <w:p w14:paraId="7722EFD1" w14:textId="77777777" w:rsidR="008174D1" w:rsidRPr="00B41E66" w:rsidRDefault="0087536A" w:rsidP="00F4343F">
      <w:pPr>
        <w:spacing w:line="360" w:lineRule="auto"/>
        <w:rPr>
          <w:b/>
          <w:bCs/>
        </w:rPr>
      </w:pPr>
      <w:r w:rsidRPr="00B41E66">
        <w:rPr>
          <w:b/>
          <w:bCs/>
          <w:lang w:bidi="he-IL"/>
        </w:rPr>
        <w:t>2.1</w:t>
      </w:r>
      <w:r w:rsidR="008174D1" w:rsidRPr="00B41E66">
        <w:rPr>
          <w:b/>
          <w:bCs/>
        </w:rPr>
        <w:t xml:space="preserve"> IPO and </w:t>
      </w:r>
      <w:r w:rsidR="003A14D2" w:rsidRPr="00B41E66">
        <w:rPr>
          <w:color w:val="0000FF"/>
        </w:rPr>
        <w:t>Long Run</w:t>
      </w:r>
      <w:r w:rsidR="003A14D2" w:rsidRPr="00B41E66">
        <w:rPr>
          <w:b/>
          <w:bCs/>
          <w:color w:val="0043C8"/>
        </w:rPr>
        <w:t xml:space="preserve"> </w:t>
      </w:r>
      <w:r w:rsidR="00F4343F" w:rsidRPr="00B41E66">
        <w:rPr>
          <w:b/>
          <w:bCs/>
        </w:rPr>
        <w:t>S</w:t>
      </w:r>
      <w:r w:rsidR="002E56EA" w:rsidRPr="00B41E66">
        <w:rPr>
          <w:b/>
          <w:bCs/>
          <w:lang w:bidi="he-IL"/>
        </w:rPr>
        <w:t xml:space="preserve">tock </w:t>
      </w:r>
      <w:r w:rsidR="00F4343F" w:rsidRPr="00B41E66">
        <w:rPr>
          <w:b/>
          <w:bCs/>
          <w:lang w:bidi="he-IL"/>
        </w:rPr>
        <w:t>P</w:t>
      </w:r>
      <w:r w:rsidR="00221E3C" w:rsidRPr="00B41E66">
        <w:rPr>
          <w:b/>
          <w:bCs/>
          <w:lang w:bidi="he-IL"/>
        </w:rPr>
        <w:t>erformance</w:t>
      </w:r>
      <w:r w:rsidR="00221E3C" w:rsidRPr="00B41E66">
        <w:rPr>
          <w:b/>
          <w:bCs/>
        </w:rPr>
        <w:t xml:space="preserve"> </w:t>
      </w:r>
    </w:p>
    <w:p w14:paraId="12571E33" w14:textId="31D31FA5" w:rsidR="001E09A1" w:rsidRPr="00B41E66" w:rsidRDefault="00F44407" w:rsidP="00321B91">
      <w:pPr>
        <w:spacing w:before="240" w:after="240" w:line="480" w:lineRule="auto"/>
        <w:jc w:val="both"/>
        <w:rPr>
          <w:rtl/>
          <w:lang w:bidi="he-IL"/>
        </w:rPr>
      </w:pPr>
      <w:r w:rsidRPr="00B41E66">
        <w:t xml:space="preserve">While numerous issues involving </w:t>
      </w:r>
      <w:r w:rsidR="0038441A" w:rsidRPr="00B41E66">
        <w:t>IPOs have</w:t>
      </w:r>
      <w:r w:rsidR="00335724" w:rsidRPr="00B41E66">
        <w:t xml:space="preserve"> been widely studied</w:t>
      </w:r>
      <w:r w:rsidRPr="00B41E66">
        <w:t>, those m</w:t>
      </w:r>
      <w:r w:rsidR="00335724" w:rsidRPr="00B41E66">
        <w:t>ost relevant</w:t>
      </w:r>
      <w:r w:rsidR="00E97EB0" w:rsidRPr="00B41E66">
        <w:t xml:space="preserve"> </w:t>
      </w:r>
      <w:r w:rsidR="00335724" w:rsidRPr="00B41E66">
        <w:t xml:space="preserve">to </w:t>
      </w:r>
      <w:r w:rsidR="00DF2A4B" w:rsidRPr="00B41E66">
        <w:t>this</w:t>
      </w:r>
      <w:r w:rsidR="00335724" w:rsidRPr="00B41E66">
        <w:t xml:space="preserve"> study </w:t>
      </w:r>
      <w:r w:rsidR="00530874" w:rsidRPr="00B41E66">
        <w:rPr>
          <w:lang w:bidi="he-IL"/>
        </w:rPr>
        <w:t>analyzed</w:t>
      </w:r>
      <w:r w:rsidR="00530874" w:rsidRPr="00B41E66">
        <w:t xml:space="preserve"> </w:t>
      </w:r>
      <w:r w:rsidR="002273E4" w:rsidRPr="00B41E66">
        <w:rPr>
          <w:lang w:bidi="he-IL"/>
        </w:rPr>
        <w:t>the</w:t>
      </w:r>
      <w:r w:rsidR="00B627EB" w:rsidRPr="00B41E66">
        <w:rPr>
          <w:lang w:bidi="he-IL"/>
        </w:rPr>
        <w:t xml:space="preserve"> performance </w:t>
      </w:r>
      <w:r w:rsidR="00070672" w:rsidRPr="00B41E66">
        <w:t xml:space="preserve">of </w:t>
      </w:r>
      <w:r w:rsidR="002273E4" w:rsidRPr="00B41E66">
        <w:t>stocks</w:t>
      </w:r>
      <w:r w:rsidR="00E459A6" w:rsidRPr="00B41E66">
        <w:t>,</w:t>
      </w:r>
      <w:r w:rsidR="00070672" w:rsidRPr="00B41E66">
        <w:t xml:space="preserve"> that </w:t>
      </w:r>
      <w:r w:rsidR="002273E4" w:rsidRPr="00B41E66">
        <w:t xml:space="preserve">were </w:t>
      </w:r>
      <w:r w:rsidR="00070672" w:rsidRPr="00B41E66">
        <w:t>issued in the United States</w:t>
      </w:r>
      <w:r w:rsidR="00E459A6" w:rsidRPr="00B41E66">
        <w:t>,</w:t>
      </w:r>
      <w:r w:rsidR="00070672" w:rsidRPr="00B41E66">
        <w:t xml:space="preserve"> </w:t>
      </w:r>
      <w:r w:rsidR="00B627EB" w:rsidRPr="00B41E66">
        <w:t>up to three years following the IPOs</w:t>
      </w:r>
      <w:r w:rsidR="00941E0A" w:rsidRPr="00B41E66">
        <w:t>,</w:t>
      </w:r>
      <w:r w:rsidR="00E609B5" w:rsidRPr="00B41E66">
        <w:t xml:space="preserve"> </w:t>
      </w:r>
      <w:r w:rsidR="00941E0A" w:rsidRPr="00B41E66">
        <w:t>and optional factors that may influenced these performance</w:t>
      </w:r>
      <w:r w:rsidR="00F54F4C" w:rsidRPr="00B41E66">
        <w:t>s</w:t>
      </w:r>
      <w:r w:rsidR="00517F35" w:rsidRPr="00B41E66">
        <w:t xml:space="preserve">. </w:t>
      </w:r>
      <w:r w:rsidR="00E609B5" w:rsidRPr="00B41E66">
        <w:t xml:space="preserve">We will mention </w:t>
      </w:r>
      <w:r w:rsidR="00E459A6" w:rsidRPr="00B41E66">
        <w:t xml:space="preserve">a </w:t>
      </w:r>
      <w:r w:rsidR="00E609B5" w:rsidRPr="00B41E66">
        <w:t>few of than in chronological order</w:t>
      </w:r>
      <w:r w:rsidR="00E609B5" w:rsidRPr="00B41E66">
        <w:rPr>
          <w:highlight w:val="yellow"/>
        </w:rPr>
        <w:t xml:space="preserve">. </w:t>
      </w:r>
      <w:r w:rsidR="003D24E7" w:rsidRPr="00B41E66">
        <w:rPr>
          <w:highlight w:val="yellow"/>
        </w:rPr>
        <w:t>Jain and Kini</w:t>
      </w:r>
      <w:r w:rsidR="00517F35" w:rsidRPr="00B41E66">
        <w:rPr>
          <w:highlight w:val="yellow"/>
        </w:rPr>
        <w:t xml:space="preserve"> (1994</w:t>
      </w:r>
      <w:r w:rsidR="00517F35" w:rsidRPr="00B41E66">
        <w:t xml:space="preserve">) </w:t>
      </w:r>
      <w:r w:rsidR="00F54F4C" w:rsidRPr="00B41E66">
        <w:t xml:space="preserve">investigate firms that were issued between 1976 and 1988 and found significant decline in operating </w:t>
      </w:r>
      <w:r w:rsidR="003D24E7" w:rsidRPr="00B41E66">
        <w:t>performance for up to three years after the offering</w:t>
      </w:r>
      <w:r w:rsidR="00F54F4C" w:rsidRPr="00B41E66">
        <w:t>. In addition</w:t>
      </w:r>
      <w:r w:rsidR="001E09A1" w:rsidRPr="00B41E66">
        <w:t>,</w:t>
      </w:r>
      <w:r w:rsidR="00F54F4C" w:rsidRPr="00B41E66">
        <w:t xml:space="preserve"> they found a significant positive relation between post-IPO operating performance and equity retention by the original entrepreneur.</w:t>
      </w:r>
      <w:r w:rsidRPr="00B41E66">
        <w:t xml:space="preserve"> </w:t>
      </w:r>
      <w:r w:rsidR="0011306F" w:rsidRPr="00B41E66">
        <w:rPr>
          <w:highlight w:val="yellow"/>
        </w:rPr>
        <w:t>Loughran and Ritter</w:t>
      </w:r>
      <w:r w:rsidR="00335724" w:rsidRPr="00B41E66">
        <w:rPr>
          <w:highlight w:val="yellow"/>
        </w:rPr>
        <w:t xml:space="preserve"> (19</w:t>
      </w:r>
      <w:r w:rsidR="00335724" w:rsidRPr="00B41E66">
        <w:t xml:space="preserve">95) </w:t>
      </w:r>
      <w:r w:rsidR="00F1070C" w:rsidRPr="00B41E66">
        <w:t>analyze</w:t>
      </w:r>
      <w:r w:rsidR="00CD0B82" w:rsidRPr="00B41E66">
        <w:t>d</w:t>
      </w:r>
      <w:r w:rsidR="00F1070C" w:rsidRPr="00B41E66">
        <w:t xml:space="preserve"> companies going public between 1970 and 1990 </w:t>
      </w:r>
      <w:r w:rsidR="00165F0A" w:rsidRPr="00B41E66">
        <w:t xml:space="preserve">and </w:t>
      </w:r>
      <w:r w:rsidR="00335724" w:rsidRPr="00B41E66">
        <w:t xml:space="preserve">reported that IPO stocks yielded an average of </w:t>
      </w:r>
      <w:r w:rsidR="00165F0A" w:rsidRPr="00B41E66">
        <w:t>8.4%</w:t>
      </w:r>
      <w:r w:rsidR="00335724" w:rsidRPr="00B41E66">
        <w:t xml:space="preserve"> </w:t>
      </w:r>
      <w:r w:rsidR="00165F0A" w:rsidRPr="00B41E66">
        <w:t xml:space="preserve">for the three </w:t>
      </w:r>
      <w:r w:rsidR="00285725" w:rsidRPr="00B41E66">
        <w:t>-year</w:t>
      </w:r>
      <w:r w:rsidR="00165F0A" w:rsidRPr="00B41E66">
        <w:t xml:space="preserve"> </w:t>
      </w:r>
      <w:r w:rsidR="00335724" w:rsidRPr="00B41E66">
        <w:t>post</w:t>
      </w:r>
      <w:r w:rsidRPr="00B41E66">
        <w:t>-</w:t>
      </w:r>
      <w:r w:rsidR="00335724" w:rsidRPr="00B41E66">
        <w:t xml:space="preserve">IPO, compared to </w:t>
      </w:r>
      <w:r w:rsidR="00165F0A" w:rsidRPr="00B41E66">
        <w:t>35</w:t>
      </w:r>
      <w:r w:rsidR="00335724" w:rsidRPr="00B41E66">
        <w:t xml:space="preserve">% for </w:t>
      </w:r>
      <w:r w:rsidRPr="00B41E66">
        <w:t>a comparably</w:t>
      </w:r>
      <w:r w:rsidR="00A53A13" w:rsidRPr="00B41E66">
        <w:t xml:space="preserve"> </w:t>
      </w:r>
      <w:r w:rsidR="00335724" w:rsidRPr="00B41E66">
        <w:t>non-IPO benchmark</w:t>
      </w:r>
      <w:r w:rsidR="00AE0818" w:rsidRPr="00B41E66">
        <w:t xml:space="preserve">. </w:t>
      </w:r>
      <w:r w:rsidRPr="00B41E66">
        <w:t>In a seminal paper</w:t>
      </w:r>
      <w:r w:rsidRPr="00B41E66">
        <w:rPr>
          <w:highlight w:val="yellow"/>
        </w:rPr>
        <w:t xml:space="preserve">, </w:t>
      </w:r>
      <w:r w:rsidR="00A53A13" w:rsidRPr="00B41E66">
        <w:rPr>
          <w:highlight w:val="yellow"/>
        </w:rPr>
        <w:t>Ritter</w:t>
      </w:r>
      <w:r w:rsidR="002E56EA" w:rsidRPr="00B41E66">
        <w:rPr>
          <w:highlight w:val="yellow"/>
        </w:rPr>
        <w:t xml:space="preserve"> and Welch (2002)</w:t>
      </w:r>
      <w:r w:rsidR="002E56EA" w:rsidRPr="00B41E66">
        <w:t xml:space="preserve"> investigated</w:t>
      </w:r>
      <w:r w:rsidRPr="00B41E66">
        <w:t xml:space="preserve"> the</w:t>
      </w:r>
      <w:r w:rsidR="002E56EA" w:rsidRPr="00B41E66">
        <w:t xml:space="preserve"> long-</w:t>
      </w:r>
      <w:r w:rsidRPr="00B41E66">
        <w:t>term</w:t>
      </w:r>
      <w:r w:rsidR="002E56EA" w:rsidRPr="00B41E66">
        <w:t xml:space="preserve"> performance of IPOs </w:t>
      </w:r>
      <w:r w:rsidR="00AB4C0B" w:rsidRPr="00B41E66">
        <w:t xml:space="preserve">issued between 1980 and 2001 </w:t>
      </w:r>
      <w:r w:rsidR="002E56EA" w:rsidRPr="00B41E66">
        <w:t xml:space="preserve">and found that </w:t>
      </w:r>
      <w:r w:rsidRPr="00B41E66">
        <w:t xml:space="preserve">the </w:t>
      </w:r>
      <w:r w:rsidR="002E56EA" w:rsidRPr="00B41E66">
        <w:t xml:space="preserve">three-year average market-adjusted return </w:t>
      </w:r>
      <w:r w:rsidRPr="00B41E66">
        <w:t>was</w:t>
      </w:r>
      <w:r w:rsidR="002E56EA" w:rsidRPr="00B41E66">
        <w:t xml:space="preserve"> a negative </w:t>
      </w:r>
      <w:r w:rsidR="001E09A1" w:rsidRPr="00B41E66">
        <w:t>-</w:t>
      </w:r>
      <w:r w:rsidR="002E56EA" w:rsidRPr="00B41E66">
        <w:t xml:space="preserve">23.4%. </w:t>
      </w:r>
      <w:r w:rsidR="00C94FA5" w:rsidRPr="00B41E66">
        <w:rPr>
          <w:color w:val="0000FF"/>
          <w:highlight w:val="yellow"/>
        </w:rPr>
        <w:t>Gao at al</w:t>
      </w:r>
      <w:r w:rsidR="004A696D" w:rsidRPr="00B41E66">
        <w:rPr>
          <w:color w:val="0000FF"/>
          <w:highlight w:val="yellow"/>
        </w:rPr>
        <w:t>.</w:t>
      </w:r>
      <w:r w:rsidR="00C94FA5" w:rsidRPr="00B41E66">
        <w:rPr>
          <w:color w:val="0000FF"/>
          <w:highlight w:val="yellow"/>
        </w:rPr>
        <w:t xml:space="preserve"> </w:t>
      </w:r>
      <w:r w:rsidR="00CA4CC0" w:rsidRPr="00B41E66">
        <w:rPr>
          <w:color w:val="0000FF"/>
          <w:highlight w:val="yellow"/>
        </w:rPr>
        <w:t>(2006)</w:t>
      </w:r>
      <w:r w:rsidR="00CA4CC0" w:rsidRPr="00B41E66">
        <w:rPr>
          <w:color w:val="0000FF"/>
        </w:rPr>
        <w:t xml:space="preserve"> analyzed firms that were issued between 1980 </w:t>
      </w:r>
      <w:r w:rsidR="004A696D" w:rsidRPr="00B41E66">
        <w:rPr>
          <w:color w:val="0000FF"/>
        </w:rPr>
        <w:t xml:space="preserve">and 2000 and </w:t>
      </w:r>
      <w:r w:rsidR="00CA4CC0" w:rsidRPr="00B41E66">
        <w:rPr>
          <w:color w:val="0000FF"/>
        </w:rPr>
        <w:t xml:space="preserve">documented </w:t>
      </w:r>
      <w:r w:rsidR="00B04A24" w:rsidRPr="00B41E66">
        <w:rPr>
          <w:color w:val="0000FF"/>
        </w:rPr>
        <w:t xml:space="preserve">a negative </w:t>
      </w:r>
      <w:r w:rsidR="00CA4CC0" w:rsidRPr="00B41E66">
        <w:rPr>
          <w:color w:val="0000FF"/>
        </w:rPr>
        <w:t>-38.48% excess return over NASDAQ</w:t>
      </w:r>
      <w:r w:rsidR="004A696D" w:rsidRPr="00B41E66">
        <w:rPr>
          <w:color w:val="0000FF"/>
        </w:rPr>
        <w:t xml:space="preserve"> for the 3 years </w:t>
      </w:r>
      <w:r w:rsidR="00E423B7" w:rsidRPr="00B41E66">
        <w:rPr>
          <w:color w:val="0000FF"/>
        </w:rPr>
        <w:t>following the IPO</w:t>
      </w:r>
      <w:r w:rsidR="00CA4CC0" w:rsidRPr="00B41E66">
        <w:rPr>
          <w:color w:val="0000FF"/>
        </w:rPr>
        <w:t xml:space="preserve">, their findings suggests that wider divergence of opinion in the IPO market leads to greater long-term underperformance. </w:t>
      </w:r>
      <w:r w:rsidR="00EE0499" w:rsidRPr="00B41E66">
        <w:rPr>
          <w:color w:val="0000FF"/>
        </w:rPr>
        <w:t xml:space="preserve"> Lin et al. (2021) used IPOs data from 1970 to 2008 </w:t>
      </w:r>
      <w:r w:rsidR="0093212D" w:rsidRPr="00B41E66">
        <w:rPr>
          <w:color w:val="0000FF"/>
          <w:lang w:bidi="he-IL"/>
        </w:rPr>
        <w:t>to</w:t>
      </w:r>
      <w:r w:rsidR="00EE0499" w:rsidRPr="00B41E66">
        <w:rPr>
          <w:color w:val="0000FF"/>
        </w:rPr>
        <w:t xml:space="preserve"> investigate the role of “Hot market” and earnings management in explaining IPO’s long-running underperformance. The</w:t>
      </w:r>
      <w:r w:rsidR="00406ABB" w:rsidRPr="00B41E66">
        <w:rPr>
          <w:color w:val="0000FF"/>
        </w:rPr>
        <w:t>ir findings suggest that, because the information asymmetry is more severe in hot market condition, IPOs issued in hot market tend to exhibit poorer returns than those issued in cold market</w:t>
      </w:r>
      <w:r w:rsidR="003B484A" w:rsidRPr="00B41E66">
        <w:rPr>
          <w:color w:val="0000FF"/>
        </w:rPr>
        <w:t>.</w:t>
      </w:r>
      <w:r w:rsidR="00406ABB" w:rsidRPr="00B41E66">
        <w:rPr>
          <w:color w:val="0000FF"/>
        </w:rPr>
        <w:t xml:space="preserve"> </w:t>
      </w:r>
      <w:r w:rsidR="003B484A" w:rsidRPr="00B41E66">
        <w:rPr>
          <w:color w:val="0000FF"/>
        </w:rPr>
        <w:lastRenderedPageBreak/>
        <w:t>E</w:t>
      </w:r>
      <w:r w:rsidR="00406ABB" w:rsidRPr="00B41E66">
        <w:rPr>
          <w:color w:val="0000FF"/>
        </w:rPr>
        <w:t>arnings management no longer exhibits significant explanatory power when the IPOs are issued in the cold market</w:t>
      </w:r>
      <w:r w:rsidR="003B484A" w:rsidRPr="00B41E66">
        <w:t>.</w:t>
      </w:r>
    </w:p>
    <w:p w14:paraId="332E50BC" w14:textId="636F4924" w:rsidR="00DD7FD0" w:rsidRPr="00B41E66" w:rsidRDefault="003B484A" w:rsidP="009A03CC">
      <w:pPr>
        <w:spacing w:before="240" w:after="240" w:line="360" w:lineRule="auto"/>
        <w:jc w:val="both"/>
        <w:rPr>
          <w:color w:val="0000FF"/>
        </w:rPr>
      </w:pPr>
      <w:r w:rsidRPr="00B41E66">
        <w:t>I</w:t>
      </w:r>
      <w:r w:rsidR="00037171" w:rsidRPr="00B41E66">
        <w:t xml:space="preserve">n </w:t>
      </w:r>
      <w:r w:rsidR="00B04A24" w:rsidRPr="00B41E66">
        <w:t>continents</w:t>
      </w:r>
      <w:r w:rsidR="00037171" w:rsidRPr="00B41E66">
        <w:t xml:space="preserve"> other than the US</w:t>
      </w:r>
      <w:r w:rsidRPr="00B41E66">
        <w:t>:</w:t>
      </w:r>
      <w:r w:rsidR="00C94FA5" w:rsidRPr="00B41E66">
        <w:t xml:space="preserve"> </w:t>
      </w:r>
      <w:r w:rsidR="00037171" w:rsidRPr="00B41E66">
        <w:t>Goergen et al. (2009) studied long run performance of U.K IPOs between 1991 to 1995</w:t>
      </w:r>
      <w:r w:rsidR="009A03CC" w:rsidRPr="00B41E66">
        <w:t xml:space="preserve"> and found </w:t>
      </w:r>
      <w:r w:rsidR="00037171" w:rsidRPr="00B41E66">
        <w:t>a negative -19.94% adjusted return for the 3 years post IPO</w:t>
      </w:r>
      <w:r w:rsidR="009A03CC" w:rsidRPr="00B41E66">
        <w:t>;</w:t>
      </w:r>
      <w:r w:rsidR="00037171" w:rsidRPr="00B41E66">
        <w:t xml:space="preserve"> </w:t>
      </w:r>
      <w:r w:rsidRPr="00B41E66">
        <w:t>S</w:t>
      </w:r>
      <w:r w:rsidR="00037171" w:rsidRPr="00B41E66">
        <w:t xml:space="preserve">mall firms suffer from worse long-run performance than large firms. </w:t>
      </w:r>
      <w:r w:rsidRPr="00B41E66">
        <w:t>T</w:t>
      </w:r>
      <w:r w:rsidR="00037171" w:rsidRPr="00B41E66">
        <w:t xml:space="preserve">he percentage of equity issued and the degree of multinationality of a firm are key predictors of its performance after the IPO. </w:t>
      </w:r>
      <w:r w:rsidR="00DA3933" w:rsidRPr="00B41E66">
        <w:rPr>
          <w:color w:val="0000FF"/>
        </w:rPr>
        <w:t>Berk and Peterle (2015) analyzed IPOs in central and eastern Europe between 2000 and 2009</w:t>
      </w:r>
      <w:r w:rsidRPr="00B41E66">
        <w:rPr>
          <w:color w:val="0000FF"/>
        </w:rPr>
        <w:t xml:space="preserve"> and</w:t>
      </w:r>
      <w:r w:rsidR="00DA3933" w:rsidRPr="00B41E66">
        <w:rPr>
          <w:color w:val="0000FF"/>
        </w:rPr>
        <w:t xml:space="preserve"> found 3 years underperformance of -14% to -31% depends in the benchmark. </w:t>
      </w:r>
      <w:r w:rsidR="00FA09D6" w:rsidRPr="00B41E66">
        <w:rPr>
          <w:color w:val="0000FF"/>
        </w:rPr>
        <w:t>Like</w:t>
      </w:r>
      <w:r w:rsidR="009A03CC" w:rsidRPr="00B41E66">
        <w:rPr>
          <w:color w:val="0000FF"/>
        </w:rPr>
        <w:t xml:space="preserve"> Georgen et al. (2009) they found that s</w:t>
      </w:r>
      <w:r w:rsidR="00DA3933" w:rsidRPr="00B41E66">
        <w:rPr>
          <w:color w:val="0000FF"/>
        </w:rPr>
        <w:t xml:space="preserve">maller IPOs exhibit greater long-run underperformance compared to their larger counterparts. </w:t>
      </w:r>
      <w:r w:rsidR="00DD7FD0" w:rsidRPr="00B41E66">
        <w:rPr>
          <w:color w:val="0000FF"/>
        </w:rPr>
        <w:t xml:space="preserve">Shimizu and Takei (2016) examined </w:t>
      </w:r>
      <w:r w:rsidR="009A03CC" w:rsidRPr="00B41E66">
        <w:rPr>
          <w:color w:val="0000FF"/>
        </w:rPr>
        <w:t>IPOs stock behavior during 2004 to 2011 at three different stock exchange markets in Japan.</w:t>
      </w:r>
      <w:r w:rsidR="00DD7FD0" w:rsidRPr="00B41E66">
        <w:rPr>
          <w:color w:val="0000FF"/>
        </w:rPr>
        <w:t xml:space="preserve"> For </w:t>
      </w:r>
      <w:r w:rsidR="00800E5E" w:rsidRPr="00B41E66">
        <w:rPr>
          <w:color w:val="0000FF"/>
        </w:rPr>
        <w:t>two</w:t>
      </w:r>
      <w:r w:rsidR="00DD7FD0" w:rsidRPr="00B41E66">
        <w:rPr>
          <w:color w:val="0000FF"/>
        </w:rPr>
        <w:t xml:space="preserve"> of the three exchanges the CAAR was not statistically significant 3 years post IPO, in the third exchange CAAR was -30.08% on month 36.</w:t>
      </w:r>
      <w:r w:rsidR="000E112C" w:rsidRPr="00B41E66">
        <w:rPr>
          <w:color w:val="0000FF"/>
        </w:rPr>
        <w:t xml:space="preserve"> Boubaker at al.</w:t>
      </w:r>
      <w:r w:rsidR="001B6760" w:rsidRPr="00B41E66">
        <w:rPr>
          <w:color w:val="0000FF"/>
        </w:rPr>
        <w:t xml:space="preserve"> </w:t>
      </w:r>
      <w:r w:rsidR="000E112C" w:rsidRPr="00B41E66">
        <w:rPr>
          <w:color w:val="0000FF"/>
        </w:rPr>
        <w:t xml:space="preserve">(2020) investigate the underperformance of 402 French firms that went public during 1998 – 2011. </w:t>
      </w:r>
      <w:r w:rsidR="00310024" w:rsidRPr="00B41E66">
        <w:rPr>
          <w:color w:val="0000FF"/>
        </w:rPr>
        <w:t>T</w:t>
      </w:r>
      <w:r w:rsidR="000E112C" w:rsidRPr="00B41E66">
        <w:rPr>
          <w:color w:val="0000FF"/>
        </w:rPr>
        <w:t xml:space="preserve">heir finding </w:t>
      </w:r>
      <w:r w:rsidR="00312B05" w:rsidRPr="00B41E66">
        <w:rPr>
          <w:color w:val="0000FF"/>
        </w:rPr>
        <w:t>suggests</w:t>
      </w:r>
      <w:r w:rsidR="000E112C" w:rsidRPr="00B41E66">
        <w:rPr>
          <w:color w:val="0000FF"/>
        </w:rPr>
        <w:t xml:space="preserve"> that excess control (the difference between control rights and cash flow rights) is negatively associated with long-term performance because it increased the likelihood that controlling shareholders extract private benefits of control to the detriment of minority shareholders.</w:t>
      </w:r>
      <w:r w:rsidRPr="00B41E66">
        <w:rPr>
          <w:color w:val="0000FF"/>
        </w:rPr>
        <w:t xml:space="preserve"> </w:t>
      </w:r>
      <w:r w:rsidRPr="00B41E66">
        <w:rPr>
          <w:color w:val="0000FF"/>
          <w:highlight w:val="yellow"/>
        </w:rPr>
        <w:t>Kumar and Sahoo</w:t>
      </w:r>
      <w:r w:rsidRPr="00B41E66">
        <w:rPr>
          <w:color w:val="0000FF"/>
        </w:rPr>
        <w:t xml:space="preserve"> (2021) who analyzed the Indian market IPOs from 2009 to 2014 reported a negative average CAAR of -41.05% in the 36 months post IPO.</w:t>
      </w:r>
    </w:p>
    <w:p w14:paraId="12DC1DB5" w14:textId="4CD8006D" w:rsidR="00C94FA5" w:rsidRPr="00B41E66" w:rsidRDefault="00800E5E" w:rsidP="00994B57">
      <w:pPr>
        <w:spacing w:before="240" w:after="240" w:line="480" w:lineRule="auto"/>
        <w:jc w:val="both"/>
        <w:rPr>
          <w:color w:val="0000FF"/>
          <w:shd w:val="clear" w:color="auto" w:fill="FFFFFF"/>
        </w:rPr>
      </w:pPr>
      <w:r w:rsidRPr="00B41E66">
        <w:rPr>
          <w:color w:val="0000FF"/>
        </w:rPr>
        <w:t xml:space="preserve">Evidence regarding the importance of innovations in </w:t>
      </w:r>
      <w:r w:rsidR="00CA4CC0" w:rsidRPr="00B41E66">
        <w:rPr>
          <w:color w:val="0000FF"/>
        </w:rPr>
        <w:t>the pharmaceutical industry</w:t>
      </w:r>
      <w:r w:rsidR="0038761E" w:rsidRPr="00B41E66">
        <w:rPr>
          <w:color w:val="0000FF"/>
        </w:rPr>
        <w:t xml:space="preserve"> was studied by Chen and Xu (2015) who found that firms with higher level of pre-IPO innovation outcome have a higher buy and hold abnormal return in 24 and 36 months after IPO. Guo </w:t>
      </w:r>
      <w:r w:rsidR="00D149F1" w:rsidRPr="00B41E66">
        <w:rPr>
          <w:color w:val="0000FF"/>
        </w:rPr>
        <w:t xml:space="preserve">and Zhou </w:t>
      </w:r>
      <w:r w:rsidR="00DA3933" w:rsidRPr="00B41E66">
        <w:rPr>
          <w:color w:val="0000FF"/>
        </w:rPr>
        <w:t xml:space="preserve">(2016) </w:t>
      </w:r>
      <w:r w:rsidR="00D149F1" w:rsidRPr="00B41E66">
        <w:rPr>
          <w:color w:val="0000FF"/>
        </w:rPr>
        <w:t xml:space="preserve">studied post-IPO performance of 151 biotech IPO firms from 1991 to 2012. They found that innovation capability is critical to contemporaneous stock performance and eventual firm survival. Biotech IPO firms are more likely to succeed in the long run, if they </w:t>
      </w:r>
      <w:r w:rsidR="00FA09D6" w:rsidRPr="00B41E66">
        <w:rPr>
          <w:color w:val="0000FF"/>
        </w:rPr>
        <w:t>can</w:t>
      </w:r>
      <w:r w:rsidR="00D149F1" w:rsidRPr="00B41E66">
        <w:rPr>
          <w:color w:val="0000FF"/>
        </w:rPr>
        <w:t xml:space="preserve"> expand the scale of their research undertakings and make progress in these research activities.</w:t>
      </w:r>
      <w:r w:rsidR="001963B5" w:rsidRPr="00B41E66">
        <w:rPr>
          <w:color w:val="0000FF"/>
        </w:rPr>
        <w:t xml:space="preserve"> </w:t>
      </w:r>
    </w:p>
    <w:p w14:paraId="216C6154" w14:textId="3F55E0D7" w:rsidR="00C94FA5" w:rsidRPr="00B41E66" w:rsidRDefault="00CD3673" w:rsidP="00321B91">
      <w:pPr>
        <w:spacing w:before="240" w:after="240" w:line="480" w:lineRule="auto"/>
        <w:jc w:val="both"/>
        <w:rPr>
          <w:color w:val="0000FF"/>
        </w:rPr>
      </w:pPr>
      <w:r w:rsidRPr="00B41E66">
        <w:rPr>
          <w:color w:val="0000FF"/>
          <w:shd w:val="clear" w:color="auto" w:fill="FFFFFF"/>
        </w:rPr>
        <w:t xml:space="preserve"> Komenkul and  Kiranand (2017)  </w:t>
      </w:r>
      <w:r w:rsidR="0038761E" w:rsidRPr="00B41E66">
        <w:rPr>
          <w:color w:val="0000FF"/>
        </w:rPr>
        <w:t xml:space="preserve">investigated 76 health care and biopharmaceutical IPOs in ASEAN (Association of Southeast Asian Nations) countries between 1986 and 2014 and found </w:t>
      </w:r>
      <w:r w:rsidR="0038761E" w:rsidRPr="00B41E66">
        <w:rPr>
          <w:color w:val="0000FF"/>
        </w:rPr>
        <w:lastRenderedPageBreak/>
        <w:t>positive and significant CAAR of 5.57% 36 months post-IPO</w:t>
      </w:r>
      <w:r w:rsidR="00800E5E" w:rsidRPr="00B41E66">
        <w:rPr>
          <w:color w:val="0000FF"/>
        </w:rPr>
        <w:t>.</w:t>
      </w:r>
      <w:r w:rsidR="0038761E" w:rsidRPr="00B41E66">
        <w:rPr>
          <w:color w:val="0000FF"/>
        </w:rPr>
        <w:t xml:space="preserve"> Malaysia and Singapore present the highest and lowest CAARs of 57.25% and -39.4%, respectivel</w:t>
      </w:r>
      <w:r w:rsidRPr="00B41E66">
        <w:rPr>
          <w:color w:val="0000FF"/>
        </w:rPr>
        <w:t>y</w:t>
      </w:r>
      <w:r w:rsidR="0038761E" w:rsidRPr="00B41E66">
        <w:rPr>
          <w:color w:val="0000FF"/>
        </w:rPr>
        <w:t xml:space="preserve">. </w:t>
      </w:r>
      <w:r w:rsidR="0038761E" w:rsidRPr="00B41E66">
        <w:rPr>
          <w:color w:val="0000FF"/>
          <w:shd w:val="clear" w:color="auto" w:fill="FFFFFF"/>
        </w:rPr>
        <w:t xml:space="preserve">Thakor et al. (2017) tracks pharma firms from 1930 to 2015. They found that from 1930 to 2015, the pharma industry outperforms the market with 3% per year, however the biotech sector which began in the 1980s underperform the market by 5% per year in the years 1980-2015. They </w:t>
      </w:r>
      <w:r w:rsidR="0038761E" w:rsidRPr="00B41E66">
        <w:rPr>
          <w:color w:val="0000FF"/>
        </w:rPr>
        <w:t>confirm that almost all biotechnology companies are loss-making enterprises.</w:t>
      </w:r>
    </w:p>
    <w:p w14:paraId="55DE8C4F" w14:textId="77777777" w:rsidR="00A47BA5" w:rsidRPr="00B41E66" w:rsidRDefault="0087536A" w:rsidP="0087536A">
      <w:pPr>
        <w:spacing w:before="240" w:after="240" w:line="480" w:lineRule="auto"/>
        <w:jc w:val="both"/>
        <w:rPr>
          <w:b/>
          <w:bCs/>
          <w:color w:val="0000FF"/>
          <w:rtl/>
        </w:rPr>
      </w:pPr>
      <w:r w:rsidRPr="00B41E66">
        <w:rPr>
          <w:b/>
          <w:bCs/>
          <w:color w:val="0000FF"/>
        </w:rPr>
        <w:t>2.2</w:t>
      </w:r>
      <w:r w:rsidR="00A47BA5" w:rsidRPr="00B41E66">
        <w:rPr>
          <w:b/>
          <w:bCs/>
          <w:color w:val="0000FF"/>
        </w:rPr>
        <w:t xml:space="preserve"> Media and </w:t>
      </w:r>
      <w:r w:rsidR="008270BF" w:rsidRPr="00B41E66">
        <w:rPr>
          <w:b/>
          <w:bCs/>
          <w:color w:val="0000FF"/>
        </w:rPr>
        <w:t xml:space="preserve">(IPOs) </w:t>
      </w:r>
      <w:r w:rsidR="00A47BA5" w:rsidRPr="00B41E66">
        <w:rPr>
          <w:b/>
          <w:bCs/>
          <w:color w:val="0000FF"/>
        </w:rPr>
        <w:t xml:space="preserve">Stock </w:t>
      </w:r>
      <w:r w:rsidR="00895416" w:rsidRPr="00B41E66">
        <w:rPr>
          <w:b/>
          <w:bCs/>
          <w:color w:val="0000FF"/>
        </w:rPr>
        <w:t>P</w:t>
      </w:r>
      <w:r w:rsidR="00A47BA5" w:rsidRPr="00B41E66">
        <w:rPr>
          <w:b/>
          <w:bCs/>
          <w:color w:val="0000FF"/>
        </w:rPr>
        <w:t xml:space="preserve">erformance </w:t>
      </w:r>
    </w:p>
    <w:p w14:paraId="55B9A6C3" w14:textId="77777777" w:rsidR="00865657" w:rsidRPr="00B41E66" w:rsidRDefault="00865657" w:rsidP="00321B91">
      <w:pPr>
        <w:pStyle w:val="Default"/>
        <w:spacing w:line="480" w:lineRule="auto"/>
        <w:jc w:val="both"/>
        <w:rPr>
          <w:color w:val="auto"/>
        </w:rPr>
      </w:pPr>
      <w:r w:rsidRPr="00B41E66">
        <w:rPr>
          <w:color w:val="auto"/>
        </w:rPr>
        <w:t>According</w:t>
      </w:r>
      <w:r w:rsidR="00A47BA5" w:rsidRPr="00B41E66">
        <w:rPr>
          <w:color w:val="auto"/>
        </w:rPr>
        <w:t xml:space="preserve"> </w:t>
      </w:r>
      <w:r w:rsidRPr="00B41E66">
        <w:rPr>
          <w:color w:val="auto"/>
          <w:highlight w:val="yellow"/>
        </w:rPr>
        <w:t>to Merton (1987)</w:t>
      </w:r>
      <w:r w:rsidRPr="00B41E66">
        <w:rPr>
          <w:color w:val="auto"/>
        </w:rPr>
        <w:t xml:space="preserve">, the most </w:t>
      </w:r>
      <w:r w:rsidR="00A47BA5" w:rsidRPr="00B41E66">
        <w:rPr>
          <w:color w:val="auto"/>
        </w:rPr>
        <w:t>common way to boost investors</w:t>
      </w:r>
      <w:r w:rsidR="00DF2A4B" w:rsidRPr="00B41E66">
        <w:rPr>
          <w:color w:val="auto"/>
        </w:rPr>
        <w:t>’</w:t>
      </w:r>
      <w:r w:rsidR="00A47BA5" w:rsidRPr="00B41E66">
        <w:rPr>
          <w:color w:val="auto"/>
        </w:rPr>
        <w:t xml:space="preserve"> awareness is to promote the visibility of the firm through the media.</w:t>
      </w:r>
      <w:r w:rsidR="00B1755D" w:rsidRPr="00B41E66">
        <w:rPr>
          <w:color w:val="auto"/>
        </w:rPr>
        <w:t xml:space="preserve"> </w:t>
      </w:r>
      <w:r w:rsidR="00A47BA5" w:rsidRPr="00B41E66">
        <w:rPr>
          <w:color w:val="auto"/>
          <w:highlight w:val="yellow"/>
        </w:rPr>
        <w:t>Shiller (2000)</w:t>
      </w:r>
      <w:r w:rsidR="00A47BA5" w:rsidRPr="00B41E66">
        <w:rPr>
          <w:color w:val="auto"/>
        </w:rPr>
        <w:t xml:space="preserve"> wrote</w:t>
      </w:r>
      <w:r w:rsidRPr="00B41E66">
        <w:rPr>
          <w:color w:val="auto"/>
        </w:rPr>
        <w:t>:</w:t>
      </w:r>
      <w:r w:rsidR="00A47BA5" w:rsidRPr="00B41E66">
        <w:rPr>
          <w:color w:val="auto"/>
        </w:rPr>
        <w:t xml:space="preserve"> </w:t>
      </w:r>
    </w:p>
    <w:p w14:paraId="4E3F6E8A" w14:textId="77777777" w:rsidR="00865657" w:rsidRPr="00B41E66" w:rsidRDefault="00321B91" w:rsidP="00321B91">
      <w:pPr>
        <w:pStyle w:val="Default"/>
        <w:spacing w:line="480" w:lineRule="auto"/>
        <w:ind w:left="720"/>
        <w:jc w:val="both"/>
        <w:rPr>
          <w:color w:val="auto"/>
        </w:rPr>
      </w:pPr>
      <w:r w:rsidRPr="00B41E66">
        <w:rPr>
          <w:i/>
          <w:iCs/>
          <w:color w:val="auto"/>
        </w:rPr>
        <w:t>"</w:t>
      </w:r>
      <w:r w:rsidR="00A47BA5" w:rsidRPr="00B41E66">
        <w:rPr>
          <w:i/>
          <w:iCs/>
          <w:color w:val="auto"/>
        </w:rPr>
        <w:t>The role of the news media in the stock market is not, as commonly believed, simply as a convenient tool for investors who are reacting directly to the economically significant news itself. The media actively shape public attention and categories of thought, and they create the environment within which the stock market events we see are played out</w:t>
      </w:r>
      <w:r w:rsidR="00A47BA5" w:rsidRPr="00B41E66">
        <w:rPr>
          <w:color w:val="auto"/>
        </w:rPr>
        <w:t>.</w:t>
      </w:r>
      <w:r w:rsidRPr="00B41E66">
        <w:rPr>
          <w:color w:val="auto"/>
        </w:rPr>
        <w:t>"</w:t>
      </w:r>
      <w:r w:rsidR="00A10A5B" w:rsidRPr="00B41E66">
        <w:rPr>
          <w:rStyle w:val="FootnoteReference"/>
          <w:color w:val="auto"/>
        </w:rPr>
        <w:footnoteReference w:id="1"/>
      </w:r>
      <w:r w:rsidR="00A47BA5" w:rsidRPr="00B41E66">
        <w:rPr>
          <w:color w:val="auto"/>
        </w:rPr>
        <w:t xml:space="preserve"> </w:t>
      </w:r>
    </w:p>
    <w:p w14:paraId="72808CF4" w14:textId="77777777" w:rsidR="00F839EC" w:rsidRPr="00B41E66" w:rsidRDefault="00F839EC" w:rsidP="00865657">
      <w:pPr>
        <w:pStyle w:val="Default"/>
        <w:spacing w:line="360" w:lineRule="auto"/>
        <w:jc w:val="both"/>
        <w:rPr>
          <w:color w:val="auto"/>
        </w:rPr>
      </w:pPr>
    </w:p>
    <w:p w14:paraId="48AC7143" w14:textId="77777777" w:rsidR="00A47BA5" w:rsidRPr="00B41E66" w:rsidRDefault="00A47BA5" w:rsidP="00294479">
      <w:pPr>
        <w:spacing w:line="480" w:lineRule="auto"/>
      </w:pPr>
      <w:r w:rsidRPr="00B41E66">
        <w:rPr>
          <w:highlight w:val="yellow"/>
        </w:rPr>
        <w:t>Shiller (2000)</w:t>
      </w:r>
      <w:r w:rsidRPr="00B41E66">
        <w:t xml:space="preserve"> found that extra media coverage draws investors</w:t>
      </w:r>
      <w:r w:rsidR="00865657" w:rsidRPr="00B41E66">
        <w:t>’</w:t>
      </w:r>
      <w:r w:rsidRPr="00B41E66">
        <w:t xml:space="preserve"> attention to these stocks. This leads to a positive feedback effect, in which big returns </w:t>
      </w:r>
      <w:r w:rsidR="00A77CEC" w:rsidRPr="00B41E66">
        <w:t>are followed by more</w:t>
      </w:r>
      <w:r w:rsidRPr="00B41E66">
        <w:t xml:space="preserve"> big returns because of increased media coverage. </w:t>
      </w:r>
      <w:r w:rsidR="00865657" w:rsidRPr="00B41E66">
        <w:t xml:space="preserve">In contrast, </w:t>
      </w:r>
      <w:r w:rsidRPr="00B41E66">
        <w:rPr>
          <w:highlight w:val="yellow"/>
        </w:rPr>
        <w:t>Fang and Peress (2009)</w:t>
      </w:r>
      <w:r w:rsidR="00865657" w:rsidRPr="00B41E66">
        <w:rPr>
          <w:highlight w:val="yellow"/>
        </w:rPr>
        <w:t>,</w:t>
      </w:r>
      <w:r w:rsidRPr="00B41E66">
        <w:t xml:space="preserve"> found that a portfolio of stocks not covered by the media outperformed a portfolio of stocks with high media coverage by 3% per year following portfolio formation. In their view</w:t>
      </w:r>
      <w:r w:rsidR="00865657" w:rsidRPr="00B41E66">
        <w:t>,</w:t>
      </w:r>
      <w:r w:rsidRPr="00B41E66">
        <w:t xml:space="preserve"> the </w:t>
      </w:r>
      <w:r w:rsidR="00C63CB0" w:rsidRPr="00B41E66">
        <w:t>“</w:t>
      </w:r>
      <w:r w:rsidRPr="00B41E66">
        <w:t>no media premium</w:t>
      </w:r>
      <w:r w:rsidR="00C63CB0" w:rsidRPr="00B41E66">
        <w:t>”</w:t>
      </w:r>
      <w:r w:rsidRPr="00B41E66">
        <w:t xml:space="preserve"> may stem from limitation</w:t>
      </w:r>
      <w:r w:rsidR="00865657" w:rsidRPr="00B41E66">
        <w:t>s</w:t>
      </w:r>
      <w:r w:rsidRPr="00B41E66">
        <w:t xml:space="preserve"> </w:t>
      </w:r>
      <w:r w:rsidR="00865657" w:rsidRPr="00B41E66">
        <w:t>on trading or to</w:t>
      </w:r>
      <w:r w:rsidRPr="00B41E66">
        <w:t xml:space="preserve"> compensation for little or lack of information. </w:t>
      </w:r>
      <w:r w:rsidR="00294479" w:rsidRPr="00B41E66">
        <w:rPr>
          <w:highlight w:val="yellow"/>
          <w:lang w:bidi="he-IL"/>
        </w:rPr>
        <w:t>Bhattacharya at, et al. (2009)</w:t>
      </w:r>
      <w:r w:rsidR="00294479" w:rsidRPr="00B41E66">
        <w:rPr>
          <w:lang w:bidi="he-IL"/>
        </w:rPr>
        <w:t xml:space="preserve"> explored the role of the media in the internet IPO bubble between 1996 and 2000.</w:t>
      </w:r>
      <w:r w:rsidR="00294479" w:rsidRPr="00B41E66">
        <w:t xml:space="preserve"> </w:t>
      </w:r>
      <w:r w:rsidR="00294479" w:rsidRPr="00B41E66">
        <w:rPr>
          <w:lang w:bidi="he-IL"/>
        </w:rPr>
        <w:t xml:space="preserve">They found that media coverage was much more intense for internet IPOs. There were more total new items, good and bad </w:t>
      </w:r>
      <w:r w:rsidR="00294479" w:rsidRPr="00B41E66">
        <w:rPr>
          <w:lang w:bidi="he-IL"/>
        </w:rPr>
        <w:lastRenderedPageBreak/>
        <w:t>for internet IPOs than for a matching sample of non-internet IPOs</w:t>
      </w:r>
      <w:r w:rsidR="00294479" w:rsidRPr="00B41E66">
        <w:t>.</w:t>
      </w:r>
      <w:r w:rsidR="00294479" w:rsidRPr="00B41E66">
        <w:rPr>
          <w:lang w:bidi="he-IL"/>
        </w:rPr>
        <w:t xml:space="preserve"> The effect on daily abnormal returns, which was lower for internet IPOs, especially during the bubble period, indicates that the market largely discounted the media hype. </w:t>
      </w:r>
      <w:r w:rsidRPr="00B41E66">
        <w:rPr>
          <w:highlight w:val="yellow"/>
          <w:lang w:bidi="he-IL"/>
        </w:rPr>
        <w:t>Siev (2014)</w:t>
      </w:r>
      <w:r w:rsidRPr="00B41E66">
        <w:rPr>
          <w:lang w:bidi="he-IL"/>
        </w:rPr>
        <w:t xml:space="preserve"> documented </w:t>
      </w:r>
      <w:r w:rsidR="00AF0580" w:rsidRPr="00B41E66">
        <w:rPr>
          <w:lang w:bidi="he-IL"/>
        </w:rPr>
        <w:t>that</w:t>
      </w:r>
      <w:r w:rsidRPr="00B41E66">
        <w:rPr>
          <w:lang w:bidi="he-IL"/>
        </w:rPr>
        <w:t xml:space="preserve"> firms </w:t>
      </w:r>
      <w:r w:rsidR="00C63CB0" w:rsidRPr="00B41E66">
        <w:rPr>
          <w:lang w:bidi="he-IL"/>
        </w:rPr>
        <w:t xml:space="preserve">publishing a low number of press releases </w:t>
      </w:r>
      <w:r w:rsidR="00AF0580" w:rsidRPr="00B41E66">
        <w:rPr>
          <w:lang w:bidi="he-IL"/>
        </w:rPr>
        <w:t>enjoy higher returns than</w:t>
      </w:r>
      <w:r w:rsidR="00C63CB0" w:rsidRPr="00B41E66">
        <w:rPr>
          <w:lang w:bidi="he-IL"/>
        </w:rPr>
        <w:t xml:space="preserve"> those publishing a high number of press releases</w:t>
      </w:r>
      <w:r w:rsidR="00AF0580" w:rsidRPr="00B41E66">
        <w:rPr>
          <w:lang w:bidi="he-IL"/>
        </w:rPr>
        <w:t xml:space="preserve"> (PR)</w:t>
      </w:r>
      <w:r w:rsidRPr="00B41E66">
        <w:rPr>
          <w:lang w:bidi="he-IL"/>
        </w:rPr>
        <w:t xml:space="preserve">. firms that </w:t>
      </w:r>
      <w:r w:rsidR="00C63CB0" w:rsidRPr="00B41E66">
        <w:rPr>
          <w:lang w:bidi="he-IL"/>
        </w:rPr>
        <w:t>enjoy</w:t>
      </w:r>
      <w:r w:rsidRPr="00B41E66">
        <w:rPr>
          <w:lang w:bidi="he-IL"/>
        </w:rPr>
        <w:t xml:space="preserve"> a </w:t>
      </w:r>
      <w:r w:rsidR="00C15202" w:rsidRPr="00B41E66">
        <w:rPr>
          <w:lang w:bidi="he-IL"/>
        </w:rPr>
        <w:t>high</w:t>
      </w:r>
      <w:r w:rsidRPr="00B41E66">
        <w:rPr>
          <w:lang w:bidi="he-IL"/>
        </w:rPr>
        <w:t xml:space="preserve"> </w:t>
      </w:r>
      <w:r w:rsidR="00C63CB0" w:rsidRPr="00B41E66">
        <w:rPr>
          <w:lang w:bidi="he-IL"/>
        </w:rPr>
        <w:t xml:space="preserve">level of </w:t>
      </w:r>
      <w:r w:rsidRPr="00B41E66">
        <w:rPr>
          <w:lang w:bidi="he-IL"/>
        </w:rPr>
        <w:t xml:space="preserve">public attention due to a much </w:t>
      </w:r>
      <w:r w:rsidR="00C15202" w:rsidRPr="00B41E66">
        <w:rPr>
          <w:lang w:bidi="he-IL"/>
        </w:rPr>
        <w:t>higher</w:t>
      </w:r>
      <w:r w:rsidRPr="00B41E66">
        <w:rPr>
          <w:lang w:bidi="he-IL"/>
        </w:rPr>
        <w:t xml:space="preserve"> volume of annual PR</w:t>
      </w:r>
      <w:r w:rsidR="00C63CB0" w:rsidRPr="00B41E66">
        <w:rPr>
          <w:lang w:bidi="he-IL"/>
        </w:rPr>
        <w:t>s</w:t>
      </w:r>
      <w:r w:rsidRPr="00B41E66">
        <w:rPr>
          <w:lang w:bidi="he-IL"/>
        </w:rPr>
        <w:t xml:space="preserve"> get noticed</w:t>
      </w:r>
      <w:r w:rsidR="00C63CB0" w:rsidRPr="00B41E66">
        <w:rPr>
          <w:lang w:bidi="he-IL"/>
        </w:rPr>
        <w:t xml:space="preserve"> more</w:t>
      </w:r>
      <w:r w:rsidRPr="00B41E66">
        <w:rPr>
          <w:lang w:bidi="he-IL"/>
        </w:rPr>
        <w:t xml:space="preserve">, which leads to </w:t>
      </w:r>
      <w:r w:rsidR="00C15202" w:rsidRPr="00B41E66">
        <w:rPr>
          <w:lang w:bidi="he-IL"/>
        </w:rPr>
        <w:t>ove</w:t>
      </w:r>
      <w:r w:rsidRPr="00B41E66">
        <w:rPr>
          <w:lang w:bidi="he-IL"/>
        </w:rPr>
        <w:t xml:space="preserve">rpricing, which can ultimately yield </w:t>
      </w:r>
      <w:r w:rsidR="00C15202" w:rsidRPr="00B41E66">
        <w:rPr>
          <w:lang w:bidi="he-IL"/>
        </w:rPr>
        <w:t>lower</w:t>
      </w:r>
      <w:r w:rsidRPr="00B41E66">
        <w:rPr>
          <w:lang w:bidi="he-IL"/>
        </w:rPr>
        <w:t xml:space="preserve"> returns.</w:t>
      </w:r>
    </w:p>
    <w:p w14:paraId="1A8204AA" w14:textId="77777777" w:rsidR="00763C7C" w:rsidRPr="00B41E66" w:rsidRDefault="00F839EC" w:rsidP="00B04F13">
      <w:pPr>
        <w:pStyle w:val="Default"/>
        <w:spacing w:line="360" w:lineRule="auto"/>
        <w:jc w:val="both"/>
      </w:pPr>
      <w:r w:rsidRPr="00B41E66">
        <w:t>In addition to the information generated by the firms and the press, discussed in the previous section, firm-related information is also disseminated using online social media</w:t>
      </w:r>
      <w:r w:rsidR="00B04F13" w:rsidRPr="00B41E66">
        <w:t xml:space="preserve">. </w:t>
      </w:r>
      <w:r w:rsidR="007235C8" w:rsidRPr="00B41E66">
        <w:t xml:space="preserve">One of the earliest studies conducted about internet stock messages boards was that of </w:t>
      </w:r>
      <w:r w:rsidR="007235C8" w:rsidRPr="00B41E66">
        <w:rPr>
          <w:highlight w:val="yellow"/>
        </w:rPr>
        <w:t>Wysocki (1998)</w:t>
      </w:r>
      <w:r w:rsidR="00A06694" w:rsidRPr="00B41E66">
        <w:rPr>
          <w:highlight w:val="yellow"/>
        </w:rPr>
        <w:t>,</w:t>
      </w:r>
      <w:r w:rsidR="00A06694" w:rsidRPr="00B41E66">
        <w:t xml:space="preserve"> </w:t>
      </w:r>
      <w:r w:rsidR="00CF0F4B" w:rsidRPr="00B41E66">
        <w:t>who found that</w:t>
      </w:r>
      <w:r w:rsidR="007235C8" w:rsidRPr="00B41E66">
        <w:t xml:space="preserve"> firms whose stocks receive the highest volume of posted messages</w:t>
      </w:r>
      <w:r w:rsidR="00CF0F4B" w:rsidRPr="00B41E66">
        <w:t xml:space="preserve"> </w:t>
      </w:r>
      <w:r w:rsidR="007235C8" w:rsidRPr="00B41E66">
        <w:t xml:space="preserve">were characterized by: </w:t>
      </w:r>
      <w:r w:rsidR="00A06694" w:rsidRPr="00B41E66">
        <w:t>e</w:t>
      </w:r>
      <w:r w:rsidR="007235C8" w:rsidRPr="00B41E66">
        <w:t>xtreme returns</w:t>
      </w:r>
      <w:r w:rsidR="00CF0F4B" w:rsidRPr="00B41E66">
        <w:t>,</w:t>
      </w:r>
      <w:r w:rsidR="007235C8" w:rsidRPr="00B41E66">
        <w:t xml:space="preserve"> high market value </w:t>
      </w:r>
      <w:r w:rsidR="00CF0F4B" w:rsidRPr="00B41E66">
        <w:t xml:space="preserve">and </w:t>
      </w:r>
      <w:r w:rsidR="007235C8" w:rsidRPr="00B41E66">
        <w:t>high trading volume</w:t>
      </w:r>
      <w:r w:rsidR="00CF0F4B" w:rsidRPr="00B41E66">
        <w:t>.</w:t>
      </w:r>
      <w:r w:rsidR="00B04F13" w:rsidRPr="00B41E66">
        <w:t xml:space="preserve"> An</w:t>
      </w:r>
      <w:r w:rsidR="00A06694" w:rsidRPr="00B41E66">
        <w:t xml:space="preserve"> </w:t>
      </w:r>
      <w:r w:rsidR="00253636" w:rsidRPr="00B41E66">
        <w:t>increase in overnight message postings le</w:t>
      </w:r>
      <w:r w:rsidR="00FB778E" w:rsidRPr="00B41E66">
        <w:t>d</w:t>
      </w:r>
      <w:r w:rsidR="00253636" w:rsidRPr="00B41E66">
        <w:t xml:space="preserve"> to </w:t>
      </w:r>
      <w:r w:rsidR="00A06694" w:rsidRPr="00B41E66">
        <w:t xml:space="preserve">a </w:t>
      </w:r>
      <w:r w:rsidR="00253636" w:rsidRPr="00B41E66">
        <w:t xml:space="preserve">positive abnormal return on the next day. </w:t>
      </w:r>
      <w:r w:rsidR="00A47BA5" w:rsidRPr="00B41E66">
        <w:t xml:space="preserve">Studies on the online </w:t>
      </w:r>
      <w:r w:rsidR="00C003FA" w:rsidRPr="00B41E66">
        <w:t>s</w:t>
      </w:r>
      <w:r w:rsidR="00C15202" w:rsidRPr="00B41E66">
        <w:t>o</w:t>
      </w:r>
      <w:r w:rsidR="00A47BA5" w:rsidRPr="00B41E66">
        <w:t xml:space="preserve">cial networks </w:t>
      </w:r>
      <w:r w:rsidR="001E1EE9" w:rsidRPr="00B41E66">
        <w:t>effect</w:t>
      </w:r>
      <w:r w:rsidR="00A06694" w:rsidRPr="00B41E66">
        <w:t>, such as that of</w:t>
      </w:r>
      <w:r w:rsidR="007235C8" w:rsidRPr="00B41E66">
        <w:t xml:space="preserve"> </w:t>
      </w:r>
      <w:r w:rsidR="007235C8" w:rsidRPr="00B41E66">
        <w:rPr>
          <w:highlight w:val="yellow"/>
        </w:rPr>
        <w:t>Antweiler and Frank (2004</w:t>
      </w:r>
      <w:r w:rsidR="007235C8" w:rsidRPr="00B41E66">
        <w:t>)</w:t>
      </w:r>
      <w:r w:rsidR="00CF0F4B" w:rsidRPr="00B41E66">
        <w:t xml:space="preserve"> </w:t>
      </w:r>
      <w:r w:rsidR="00A06694" w:rsidRPr="00B41E66">
        <w:t>determined</w:t>
      </w:r>
      <w:r w:rsidR="00253636" w:rsidRPr="00B41E66">
        <w:t xml:space="preserve"> that when many messages </w:t>
      </w:r>
      <w:r w:rsidR="00A06694" w:rsidRPr="00B41E66">
        <w:t>were</w:t>
      </w:r>
      <w:r w:rsidR="00253636" w:rsidRPr="00B41E66">
        <w:t xml:space="preserve"> posted on a given day, there </w:t>
      </w:r>
      <w:r w:rsidR="00A06694" w:rsidRPr="00B41E66">
        <w:t>wa</w:t>
      </w:r>
      <w:r w:rsidR="00253636" w:rsidRPr="00B41E66">
        <w:t xml:space="preserve">s a negative return on the next day. </w:t>
      </w:r>
      <w:r w:rsidR="00763C7C" w:rsidRPr="00B41E66">
        <w:t xml:space="preserve">Das and </w:t>
      </w:r>
      <w:r w:rsidR="00763C7C" w:rsidRPr="00B41E66">
        <w:rPr>
          <w:highlight w:val="yellow"/>
        </w:rPr>
        <w:t>Chen (2007)</w:t>
      </w:r>
      <w:r w:rsidR="00763C7C" w:rsidRPr="00B41E66">
        <w:t xml:space="preserve"> found a negative correlation between changes in the </w:t>
      </w:r>
      <w:r w:rsidR="00A06694" w:rsidRPr="00B41E66">
        <w:t>number</w:t>
      </w:r>
      <w:r w:rsidR="00763C7C" w:rsidRPr="00B41E66">
        <w:t xml:space="preserve"> of messages and changes in the contemporaneous stock prices. </w:t>
      </w:r>
      <w:r w:rsidR="00B04F13" w:rsidRPr="00B41E66">
        <w:rPr>
          <w:highlight w:val="yellow"/>
        </w:rPr>
        <w:t>Gilbert and Karahalios (2010)</w:t>
      </w:r>
      <w:r w:rsidR="00B04F13" w:rsidRPr="00B41E66">
        <w:t xml:space="preserve"> used over 20 million posts from the LiveJournal website to create an index of the national mood in the United States, when this index rose sharply, the S&amp;P 500 Index ended the same day marginally lower than was expected. </w:t>
      </w:r>
      <w:r w:rsidR="00A06694" w:rsidRPr="00B41E66">
        <w:t xml:space="preserve">According </w:t>
      </w:r>
      <w:r w:rsidR="00A06694" w:rsidRPr="00B41E66">
        <w:rPr>
          <w:color w:val="FF0000"/>
        </w:rPr>
        <w:t xml:space="preserve">to </w:t>
      </w:r>
      <w:r w:rsidR="00253636" w:rsidRPr="00B41E66">
        <w:rPr>
          <w:color w:val="FF0000"/>
          <w:highlight w:val="yellow"/>
        </w:rPr>
        <w:t xml:space="preserve">Chen </w:t>
      </w:r>
      <w:r w:rsidR="00856C9C" w:rsidRPr="00B41E66">
        <w:rPr>
          <w:color w:val="FF0000"/>
          <w:highlight w:val="yellow"/>
        </w:rPr>
        <w:t>et al</w:t>
      </w:r>
      <w:r w:rsidR="00A24DA0" w:rsidRPr="00B41E66">
        <w:rPr>
          <w:color w:val="FF0000"/>
          <w:highlight w:val="yellow"/>
        </w:rPr>
        <w:t>.</w:t>
      </w:r>
      <w:r w:rsidR="00856C9C" w:rsidRPr="00B41E66">
        <w:rPr>
          <w:color w:val="FF0000"/>
          <w:highlight w:val="yellow"/>
        </w:rPr>
        <w:t xml:space="preserve"> </w:t>
      </w:r>
      <w:r w:rsidR="00253636" w:rsidRPr="00B41E66">
        <w:rPr>
          <w:color w:val="FF0000"/>
          <w:highlight w:val="yellow"/>
        </w:rPr>
        <w:t>(2014</w:t>
      </w:r>
      <w:r w:rsidR="00253636" w:rsidRPr="00B41E66">
        <w:t>)</w:t>
      </w:r>
      <w:r w:rsidR="00A06694" w:rsidRPr="00B41E66">
        <w:t>,</w:t>
      </w:r>
      <w:r w:rsidR="00253636" w:rsidRPr="00B41E66">
        <w:t xml:space="preserve"> the views expressed in both articles and commentaries posted on a popular social media outlet predict</w:t>
      </w:r>
      <w:r w:rsidR="00A06694" w:rsidRPr="00B41E66">
        <w:t>ed</w:t>
      </w:r>
      <w:r w:rsidR="00253636" w:rsidRPr="00B41E66">
        <w:t xml:space="preserve"> future stock returns </w:t>
      </w:r>
      <w:r w:rsidR="00A06694" w:rsidRPr="00B41E66">
        <w:t>for</w:t>
      </w:r>
      <w:r w:rsidR="00253636" w:rsidRPr="00B41E66">
        <w:t xml:space="preserve"> a period of three months after the</w:t>
      </w:r>
      <w:r w:rsidR="00FB778E" w:rsidRPr="00B41E66">
        <w:t>ir</w:t>
      </w:r>
      <w:r w:rsidR="00253636" w:rsidRPr="00B41E66">
        <w:t xml:space="preserve"> publication</w:t>
      </w:r>
      <w:r w:rsidR="00B93ECD" w:rsidRPr="00B41E66">
        <w:t>.</w:t>
      </w:r>
      <w:r w:rsidR="0071276A" w:rsidRPr="00B41E66">
        <w:t xml:space="preserve"> </w:t>
      </w:r>
    </w:p>
    <w:p w14:paraId="08F9A1C3" w14:textId="77777777" w:rsidR="00FB778E" w:rsidRPr="00B41E66" w:rsidRDefault="00FB778E" w:rsidP="00321B91">
      <w:pPr>
        <w:autoSpaceDE w:val="0"/>
        <w:autoSpaceDN w:val="0"/>
        <w:adjustRightInd w:val="0"/>
        <w:spacing w:line="480" w:lineRule="auto"/>
        <w:jc w:val="both"/>
        <w:rPr>
          <w:lang w:bidi="he-IL"/>
        </w:rPr>
      </w:pPr>
    </w:p>
    <w:p w14:paraId="6BBF6B90" w14:textId="77777777" w:rsidR="00580EBF" w:rsidRPr="00B41E66" w:rsidRDefault="00E2245C" w:rsidP="00321B91">
      <w:pPr>
        <w:autoSpaceDE w:val="0"/>
        <w:autoSpaceDN w:val="0"/>
        <w:adjustRightInd w:val="0"/>
        <w:spacing w:line="480" w:lineRule="auto"/>
      </w:pPr>
      <w:r w:rsidRPr="00B41E66">
        <w:rPr>
          <w:color w:val="0000FF"/>
          <w:lang w:bidi="he-IL"/>
        </w:rPr>
        <w:t>The f</w:t>
      </w:r>
      <w:r w:rsidR="00DE45B1" w:rsidRPr="00B41E66">
        <w:rPr>
          <w:color w:val="0000FF"/>
          <w:lang w:bidi="he-IL"/>
        </w:rPr>
        <w:t xml:space="preserve">ew studies </w:t>
      </w:r>
      <w:r w:rsidRPr="00B41E66">
        <w:rPr>
          <w:color w:val="0000FF"/>
          <w:lang w:bidi="he-IL"/>
        </w:rPr>
        <w:t>that investigated the role o</w:t>
      </w:r>
      <w:r w:rsidR="00294479" w:rsidRPr="00B41E66">
        <w:rPr>
          <w:color w:val="0000FF"/>
          <w:lang w:bidi="he-IL"/>
        </w:rPr>
        <w:t xml:space="preserve">f Twitter </w:t>
      </w:r>
      <w:r w:rsidR="00DE45B1" w:rsidRPr="00B41E66">
        <w:rPr>
          <w:color w:val="0000FF"/>
          <w:lang w:bidi="he-IL"/>
        </w:rPr>
        <w:t xml:space="preserve">tweets </w:t>
      </w:r>
      <w:r w:rsidRPr="00B41E66">
        <w:rPr>
          <w:color w:val="0000FF"/>
          <w:lang w:bidi="he-IL"/>
        </w:rPr>
        <w:t xml:space="preserve">on stock returns, had mainly </w:t>
      </w:r>
      <w:r w:rsidR="00294479" w:rsidRPr="00B41E66">
        <w:rPr>
          <w:color w:val="0000FF"/>
          <w:lang w:bidi="he-IL"/>
        </w:rPr>
        <w:t xml:space="preserve">dealt </w:t>
      </w:r>
      <w:r w:rsidRPr="00B41E66">
        <w:rPr>
          <w:color w:val="0000FF"/>
          <w:lang w:bidi="he-IL"/>
        </w:rPr>
        <w:t xml:space="preserve">with their sentiment and not </w:t>
      </w:r>
      <w:r w:rsidR="00294479" w:rsidRPr="00B41E66">
        <w:rPr>
          <w:color w:val="0000FF"/>
          <w:lang w:bidi="he-IL"/>
        </w:rPr>
        <w:t>with the volume of tweets per se</w:t>
      </w:r>
      <w:r w:rsidR="00294479" w:rsidRPr="00B41E66">
        <w:rPr>
          <w:color w:val="FF0000"/>
          <w:lang w:bidi="he-IL"/>
        </w:rPr>
        <w:t>.</w:t>
      </w:r>
      <w:r w:rsidR="00C77559" w:rsidRPr="00B41E66">
        <w:rPr>
          <w:highlight w:val="yellow"/>
          <w:lang w:bidi="he-IL"/>
        </w:rPr>
        <w:t xml:space="preserve"> Zhang et al</w:t>
      </w:r>
      <w:r w:rsidR="00A24DA0" w:rsidRPr="00B41E66">
        <w:rPr>
          <w:highlight w:val="yellow"/>
          <w:lang w:bidi="he-IL"/>
        </w:rPr>
        <w:t>.</w:t>
      </w:r>
      <w:r w:rsidR="00C77559" w:rsidRPr="00B41E66">
        <w:rPr>
          <w:highlight w:val="yellow"/>
          <w:lang w:bidi="he-IL"/>
        </w:rPr>
        <w:t xml:space="preserve"> (2011)</w:t>
      </w:r>
      <w:r w:rsidR="00C77559" w:rsidRPr="00B41E66">
        <w:rPr>
          <w:lang w:bidi="he-IL"/>
        </w:rPr>
        <w:t xml:space="preserve"> </w:t>
      </w:r>
      <w:r w:rsidR="00A06694" w:rsidRPr="00B41E66">
        <w:t xml:space="preserve">analyzed </w:t>
      </w:r>
      <w:r w:rsidR="00A06694" w:rsidRPr="00B41E66">
        <w:rPr>
          <w:lang w:bidi="he-IL"/>
        </w:rPr>
        <w:t xml:space="preserve">a sample of Twitter posts for six months to </w:t>
      </w:r>
      <w:r w:rsidR="00C77559" w:rsidRPr="00B41E66">
        <w:rPr>
          <w:lang w:bidi="he-IL"/>
        </w:rPr>
        <w:t xml:space="preserve">measure collective fear and hope. </w:t>
      </w:r>
      <w:r w:rsidR="00A06694" w:rsidRPr="00B41E66">
        <w:rPr>
          <w:lang w:bidi="he-IL"/>
        </w:rPr>
        <w:t>Examining</w:t>
      </w:r>
      <w:r w:rsidR="00C77559" w:rsidRPr="00B41E66">
        <w:rPr>
          <w:lang w:bidi="he-IL"/>
        </w:rPr>
        <w:t xml:space="preserve"> whether these collective emotions correlated with major stock indices in the U</w:t>
      </w:r>
      <w:r w:rsidR="00A06694" w:rsidRPr="00B41E66">
        <w:rPr>
          <w:lang w:bidi="he-IL"/>
        </w:rPr>
        <w:t>.</w:t>
      </w:r>
      <w:r w:rsidR="00C77559" w:rsidRPr="00B41E66">
        <w:rPr>
          <w:lang w:bidi="he-IL"/>
        </w:rPr>
        <w:t>S</w:t>
      </w:r>
      <w:r w:rsidR="00A06694" w:rsidRPr="00B41E66">
        <w:rPr>
          <w:lang w:bidi="he-IL"/>
        </w:rPr>
        <w:t>.</w:t>
      </w:r>
      <w:r w:rsidR="00C77559" w:rsidRPr="00B41E66">
        <w:rPr>
          <w:lang w:bidi="he-IL"/>
        </w:rPr>
        <w:t xml:space="preserve"> market</w:t>
      </w:r>
      <w:r w:rsidR="00A06694" w:rsidRPr="00B41E66">
        <w:rPr>
          <w:lang w:bidi="he-IL"/>
        </w:rPr>
        <w:t>, the authors</w:t>
      </w:r>
      <w:r w:rsidR="00C77559" w:rsidRPr="00B41E66">
        <w:rPr>
          <w:lang w:bidi="he-IL"/>
        </w:rPr>
        <w:t xml:space="preserve"> found that “emotional tweet percentage significantly negatively correlated with Dow Jones, NASDAQ and </w:t>
      </w:r>
      <w:r w:rsidR="00C77559" w:rsidRPr="00B41E66">
        <w:rPr>
          <w:lang w:bidi="he-IL"/>
        </w:rPr>
        <w:lastRenderedPageBreak/>
        <w:t>S&amp;P 500, but displayed significant positive correlation to VIX</w:t>
      </w:r>
      <w:r w:rsidR="00BC0289" w:rsidRPr="00B41E66">
        <w:rPr>
          <w:rStyle w:val="FootnoteReference"/>
          <w:highlight w:val="yellow"/>
          <w:lang w:bidi="he-IL"/>
        </w:rPr>
        <w:footnoteReference w:id="2"/>
      </w:r>
      <w:r w:rsidR="00C77559" w:rsidRPr="00B41E66">
        <w:rPr>
          <w:highlight w:val="yellow"/>
          <w:lang w:bidi="he-IL"/>
        </w:rPr>
        <w:t>.</w:t>
      </w:r>
      <w:r w:rsidR="00A06694" w:rsidRPr="00B41E66">
        <w:rPr>
          <w:highlight w:val="yellow"/>
          <w:lang w:bidi="he-IL"/>
        </w:rPr>
        <w:t>”</w:t>
      </w:r>
      <w:r w:rsidR="005515FB" w:rsidRPr="00B41E66">
        <w:rPr>
          <w:highlight w:val="yellow"/>
          <w:lang w:bidi="he-IL"/>
        </w:rPr>
        <w:t xml:space="preserve"> Forbergskog</w:t>
      </w:r>
      <w:r w:rsidR="005515FB" w:rsidRPr="00B41E66">
        <w:rPr>
          <w:highlight w:val="yellow"/>
          <w:rtl/>
        </w:rPr>
        <w:t xml:space="preserve"> </w:t>
      </w:r>
      <w:r w:rsidR="005515FB" w:rsidRPr="00B41E66">
        <w:rPr>
          <w:highlight w:val="yellow"/>
          <w:lang w:bidi="he-IL"/>
        </w:rPr>
        <w:t>and Blom</w:t>
      </w:r>
      <w:r w:rsidR="003D7128" w:rsidRPr="00B41E66">
        <w:rPr>
          <w:highlight w:val="yellow"/>
          <w:lang w:bidi="he-IL"/>
        </w:rPr>
        <w:t xml:space="preserve"> (</w:t>
      </w:r>
      <w:r w:rsidR="005515FB" w:rsidRPr="00B41E66">
        <w:rPr>
          <w:highlight w:val="yellow"/>
          <w:lang w:bidi="he-IL"/>
        </w:rPr>
        <w:t>201</w:t>
      </w:r>
      <w:r w:rsidR="007C7FD8" w:rsidRPr="00B41E66">
        <w:rPr>
          <w:highlight w:val="yellow"/>
          <w:lang w:bidi="he-IL"/>
        </w:rPr>
        <w:t>4</w:t>
      </w:r>
      <w:r w:rsidR="003D7128" w:rsidRPr="00B41E66">
        <w:t>)</w:t>
      </w:r>
      <w:r w:rsidR="005515FB" w:rsidRPr="00B41E66">
        <w:t xml:space="preserve"> demonstrate that the positive and negative</w:t>
      </w:r>
      <w:r w:rsidR="005515FB" w:rsidRPr="00B41E66">
        <w:rPr>
          <w:rtl/>
        </w:rPr>
        <w:t xml:space="preserve"> </w:t>
      </w:r>
      <w:r w:rsidR="005515FB" w:rsidRPr="00B41E66">
        <w:t xml:space="preserve">sentiment extracted from tweets </w:t>
      </w:r>
      <w:r w:rsidR="00C60A8C" w:rsidRPr="00B41E66">
        <w:t>could</w:t>
      </w:r>
      <w:r w:rsidR="005515FB" w:rsidRPr="00B41E66">
        <w:t xml:space="preserve"> predict</w:t>
      </w:r>
      <w:r w:rsidR="00C60A8C" w:rsidRPr="00B41E66">
        <w:t xml:space="preserve"> both positive and negative</w:t>
      </w:r>
      <w:r w:rsidR="005515FB" w:rsidRPr="00B41E66">
        <w:rPr>
          <w:rtl/>
        </w:rPr>
        <w:t xml:space="preserve"> </w:t>
      </w:r>
      <w:r w:rsidR="005515FB" w:rsidRPr="00B41E66">
        <w:t xml:space="preserve">S&amp;P 500 returns </w:t>
      </w:r>
      <w:r w:rsidR="00C60A8C" w:rsidRPr="00B41E66">
        <w:t xml:space="preserve">the following day. </w:t>
      </w:r>
      <w:r w:rsidR="005515FB" w:rsidRPr="00B41E66">
        <w:rPr>
          <w:highlight w:val="yellow"/>
        </w:rPr>
        <w:t>Furthermore, Sul</w:t>
      </w:r>
      <w:r w:rsidR="00D43464" w:rsidRPr="00B41E66">
        <w:rPr>
          <w:highlight w:val="yellow"/>
        </w:rPr>
        <w:t>, et. al.</w:t>
      </w:r>
      <w:r w:rsidR="003D7128" w:rsidRPr="00B41E66">
        <w:rPr>
          <w:highlight w:val="yellow"/>
        </w:rPr>
        <w:t xml:space="preserve"> (2014</w:t>
      </w:r>
      <w:r w:rsidR="003D7128" w:rsidRPr="00B41E66">
        <w:t>)</w:t>
      </w:r>
      <w:r w:rsidR="005515FB" w:rsidRPr="00B41E66">
        <w:t xml:space="preserve"> </w:t>
      </w:r>
      <w:r w:rsidR="00666555" w:rsidRPr="00B41E66">
        <w:t>showed</w:t>
      </w:r>
      <w:r w:rsidR="005515FB" w:rsidRPr="00B41E66">
        <w:t xml:space="preserve"> that sentiment polarities extracted from tweets positively</w:t>
      </w:r>
      <w:r w:rsidR="005515FB" w:rsidRPr="00B41E66">
        <w:rPr>
          <w:rtl/>
        </w:rPr>
        <w:t xml:space="preserve"> </w:t>
      </w:r>
      <w:r w:rsidR="005515FB" w:rsidRPr="00B41E66">
        <w:t>correlated with intraday returns of the S&amp;P 500, and Twitter users with more followers</w:t>
      </w:r>
      <w:r w:rsidR="005515FB" w:rsidRPr="00B41E66">
        <w:rPr>
          <w:rtl/>
        </w:rPr>
        <w:t xml:space="preserve"> </w:t>
      </w:r>
      <w:r w:rsidR="00C60A8C" w:rsidRPr="00B41E66">
        <w:t xml:space="preserve">had </w:t>
      </w:r>
      <w:r w:rsidR="00666555" w:rsidRPr="00B41E66">
        <w:t>greater</w:t>
      </w:r>
      <w:r w:rsidR="005515FB" w:rsidRPr="00B41E66">
        <w:t xml:space="preserve"> influence on the returns</w:t>
      </w:r>
      <w:r w:rsidR="00B63947" w:rsidRPr="00B41E66">
        <w:t xml:space="preserve">. </w:t>
      </w:r>
    </w:p>
    <w:p w14:paraId="298E5638" w14:textId="70D814B7" w:rsidR="00441731" w:rsidRPr="00B41E66" w:rsidRDefault="00E2245C" w:rsidP="00441731">
      <w:pPr>
        <w:autoSpaceDE w:val="0"/>
        <w:autoSpaceDN w:val="0"/>
        <w:adjustRightInd w:val="0"/>
        <w:spacing w:line="480" w:lineRule="auto"/>
        <w:rPr>
          <w:color w:val="0000FF"/>
          <w:rtl/>
          <w:lang w:bidi="he-IL"/>
        </w:rPr>
      </w:pPr>
      <w:r w:rsidRPr="00B41E66">
        <w:rPr>
          <w:lang w:bidi="he-IL"/>
        </w:rPr>
        <w:t xml:space="preserve">Even fewer studies analyzed the role of Tweeter </w:t>
      </w:r>
      <w:r w:rsidR="004A5F04" w:rsidRPr="00B41E66">
        <w:rPr>
          <w:lang w:bidi="he-IL"/>
        </w:rPr>
        <w:t>on</w:t>
      </w:r>
      <w:r w:rsidRPr="00B41E66">
        <w:rPr>
          <w:lang w:bidi="he-IL"/>
        </w:rPr>
        <w:t xml:space="preserve"> IPOs. </w:t>
      </w:r>
      <w:r w:rsidR="0071276A" w:rsidRPr="00B41E66">
        <w:rPr>
          <w:highlight w:val="yellow"/>
        </w:rPr>
        <w:t>Liew and Wang (2016</w:t>
      </w:r>
      <w:r w:rsidR="0071276A" w:rsidRPr="00B41E66">
        <w:t>)</w:t>
      </w:r>
      <w:r w:rsidR="0071276A" w:rsidRPr="00B41E66">
        <w:rPr>
          <w:lang w:bidi="he-IL"/>
        </w:rPr>
        <w:t xml:space="preserve"> documented </w:t>
      </w:r>
      <w:r w:rsidR="00C60A8C" w:rsidRPr="00B41E66">
        <w:rPr>
          <w:lang w:bidi="he-IL"/>
        </w:rPr>
        <w:t xml:space="preserve">a </w:t>
      </w:r>
      <w:r w:rsidR="0071276A" w:rsidRPr="00B41E66">
        <w:rPr>
          <w:lang w:bidi="he-IL"/>
        </w:rPr>
        <w:t xml:space="preserve">contemporaneous </w:t>
      </w:r>
      <w:r w:rsidR="008B723C" w:rsidRPr="00B41E66">
        <w:rPr>
          <w:lang w:bidi="he-IL"/>
        </w:rPr>
        <w:t xml:space="preserve">positive correlation </w:t>
      </w:r>
      <w:r w:rsidR="0071276A" w:rsidRPr="00B41E66">
        <w:rPr>
          <w:lang w:bidi="he-IL"/>
        </w:rPr>
        <w:t>between IPOs</w:t>
      </w:r>
      <w:r w:rsidR="00C60A8C" w:rsidRPr="00B41E66">
        <w:rPr>
          <w:lang w:bidi="he-IL"/>
        </w:rPr>
        <w:t>’</w:t>
      </w:r>
      <w:r w:rsidR="0071276A" w:rsidRPr="00B41E66">
        <w:rPr>
          <w:lang w:bidi="he-IL"/>
        </w:rPr>
        <w:t xml:space="preserve"> tweet sentiment and returns in the first trading day. In addition</w:t>
      </w:r>
      <w:r w:rsidR="00C60A8C" w:rsidRPr="00B41E66">
        <w:rPr>
          <w:lang w:bidi="he-IL"/>
        </w:rPr>
        <w:t>,</w:t>
      </w:r>
      <w:r w:rsidR="0071276A" w:rsidRPr="00B41E66">
        <w:rPr>
          <w:lang w:bidi="he-IL"/>
        </w:rPr>
        <w:t xml:space="preserve"> they found that </w:t>
      </w:r>
      <w:r w:rsidR="00C60A8C" w:rsidRPr="00B41E66">
        <w:rPr>
          <w:lang w:bidi="he-IL"/>
        </w:rPr>
        <w:t xml:space="preserve">tweet </w:t>
      </w:r>
      <w:r w:rsidR="0071276A" w:rsidRPr="00B41E66">
        <w:rPr>
          <w:lang w:bidi="he-IL"/>
        </w:rPr>
        <w:t xml:space="preserve">sentiment </w:t>
      </w:r>
      <w:r w:rsidR="00C60A8C" w:rsidRPr="00B41E66">
        <w:rPr>
          <w:lang w:bidi="he-IL"/>
        </w:rPr>
        <w:t>in the days preceding the IPO could predict the</w:t>
      </w:r>
      <w:r w:rsidR="0071276A" w:rsidRPr="00B41E66">
        <w:rPr>
          <w:lang w:bidi="he-IL"/>
        </w:rPr>
        <w:t xml:space="preserve"> IPO’s </w:t>
      </w:r>
      <w:r w:rsidR="004A5F04" w:rsidRPr="00B41E66">
        <w:rPr>
          <w:lang w:bidi="he-IL"/>
        </w:rPr>
        <w:t>first day</w:t>
      </w:r>
      <w:r w:rsidR="0071276A" w:rsidRPr="00B41E66">
        <w:rPr>
          <w:lang w:bidi="he-IL"/>
        </w:rPr>
        <w:t xml:space="preserve"> returns from opening price to closing price</w:t>
      </w:r>
      <w:r w:rsidR="00441731" w:rsidRPr="00B41E66">
        <w:rPr>
          <w:lang w:bidi="he-IL"/>
        </w:rPr>
        <w:t xml:space="preserve">. </w:t>
      </w:r>
      <w:r w:rsidR="00441731" w:rsidRPr="00B41E66">
        <w:rPr>
          <w:color w:val="0000FF"/>
          <w:highlight w:val="yellow"/>
          <w:lang w:bidi="he-IL"/>
        </w:rPr>
        <w:t>Gregori et al. (2020)</w:t>
      </w:r>
      <w:r w:rsidR="00441731" w:rsidRPr="00B41E66">
        <w:rPr>
          <w:color w:val="0000FF"/>
          <w:lang w:bidi="he-IL"/>
        </w:rPr>
        <w:t xml:space="preserve"> analyzed </w:t>
      </w:r>
      <w:r w:rsidR="00441731" w:rsidRPr="00B41E66">
        <w:rPr>
          <w:color w:val="0000FF"/>
        </w:rPr>
        <w:t>Tweets in the 3 months prior to each IPO</w:t>
      </w:r>
      <w:r w:rsidR="00441731" w:rsidRPr="00B41E66">
        <w:rPr>
          <w:color w:val="0000FF"/>
          <w:lang w:bidi="he-IL"/>
        </w:rPr>
        <w:t xml:space="preserve"> for a sample of 412 US IPOs between 2010 and 2016</w:t>
      </w:r>
      <w:r w:rsidR="00441731" w:rsidRPr="00B41E66">
        <w:rPr>
          <w:color w:val="0000FF"/>
        </w:rPr>
        <w:t xml:space="preserve">. Results show that the more favorable the sentiment, the closer the offer price is set to the maximum achievable to the benefit of the issuer; on the contrary, negative sentiments seem to play no effect on the pricing, supporting the idea that investors are net buyers of attention-grabbing news. The number of Tweets shows no effect as well. </w:t>
      </w:r>
      <w:r w:rsidR="00171EA1" w:rsidRPr="00B41E66">
        <w:rPr>
          <w:color w:val="0000FF"/>
        </w:rPr>
        <w:t>Kwan (2015) found that higher Twitter volume on the first trade day is correlated with higher first day returns and did not find a significant predictive relationship between Tweets volume and IPO performance.</w:t>
      </w:r>
    </w:p>
    <w:p w14:paraId="548E7331" w14:textId="77777777" w:rsidR="00A47BA5" w:rsidRPr="00B41E66" w:rsidRDefault="009A20A4" w:rsidP="00D32936">
      <w:pPr>
        <w:spacing w:before="240" w:after="240" w:line="360" w:lineRule="auto"/>
        <w:rPr>
          <w:lang w:bidi="he-IL"/>
        </w:rPr>
      </w:pPr>
      <w:r w:rsidRPr="00B41E66">
        <w:rPr>
          <w:b/>
          <w:bCs/>
          <w:lang w:bidi="he-IL"/>
        </w:rPr>
        <w:t>3</w:t>
      </w:r>
      <w:r w:rsidR="003A2718" w:rsidRPr="00B41E66">
        <w:rPr>
          <w:b/>
          <w:bCs/>
        </w:rPr>
        <w:t xml:space="preserve">. Stock </w:t>
      </w:r>
      <w:r w:rsidR="00D32936" w:rsidRPr="00B41E66">
        <w:rPr>
          <w:b/>
          <w:bCs/>
        </w:rPr>
        <w:t>B</w:t>
      </w:r>
      <w:r w:rsidR="003A2718" w:rsidRPr="00B41E66">
        <w:rPr>
          <w:b/>
          <w:bCs/>
        </w:rPr>
        <w:t xml:space="preserve">ehavior </w:t>
      </w:r>
      <w:r w:rsidR="00D32936" w:rsidRPr="00B41E66">
        <w:rPr>
          <w:b/>
          <w:bCs/>
        </w:rPr>
        <w:t>P</w:t>
      </w:r>
      <w:r w:rsidR="003A2718" w:rsidRPr="00B41E66">
        <w:rPr>
          <w:b/>
          <w:bCs/>
        </w:rPr>
        <w:t>ost</w:t>
      </w:r>
      <w:r w:rsidR="00D32936" w:rsidRPr="00B41E66">
        <w:rPr>
          <w:b/>
          <w:bCs/>
        </w:rPr>
        <w:t>-</w:t>
      </w:r>
      <w:r w:rsidR="00D40B15" w:rsidRPr="00B41E66">
        <w:rPr>
          <w:b/>
          <w:bCs/>
        </w:rPr>
        <w:t xml:space="preserve">IPO </w:t>
      </w:r>
    </w:p>
    <w:p w14:paraId="77E5F843" w14:textId="77777777" w:rsidR="00E457B9" w:rsidRPr="00B41E66" w:rsidRDefault="00581D89" w:rsidP="00D40B15">
      <w:pPr>
        <w:pStyle w:val="Default"/>
        <w:spacing w:line="360" w:lineRule="auto"/>
        <w:jc w:val="both"/>
        <w:rPr>
          <w:b/>
          <w:bCs/>
          <w:color w:val="auto"/>
        </w:rPr>
      </w:pPr>
      <w:r w:rsidRPr="00B41E66">
        <w:rPr>
          <w:color w:val="auto"/>
        </w:rPr>
        <w:t>3</w:t>
      </w:r>
      <w:r w:rsidR="003A2718" w:rsidRPr="00B41E66">
        <w:rPr>
          <w:color w:val="auto"/>
        </w:rPr>
        <w:t>.1</w:t>
      </w:r>
      <w:r w:rsidR="00E457B9" w:rsidRPr="00B41E66">
        <w:rPr>
          <w:color w:val="auto"/>
        </w:rPr>
        <w:t xml:space="preserve">. </w:t>
      </w:r>
      <w:r w:rsidR="00E457B9" w:rsidRPr="00B41E66">
        <w:rPr>
          <w:b/>
          <w:bCs/>
          <w:color w:val="auto"/>
        </w:rPr>
        <w:t>Research Goals and Hypotheses</w:t>
      </w:r>
      <w:r w:rsidR="00D40B15" w:rsidRPr="00B41E66">
        <w:rPr>
          <w:b/>
          <w:bCs/>
          <w:color w:val="auto"/>
        </w:rPr>
        <w:t xml:space="preserve"> </w:t>
      </w:r>
    </w:p>
    <w:p w14:paraId="4C721DE5" w14:textId="77777777" w:rsidR="00F851A3" w:rsidRPr="00B41E66" w:rsidRDefault="003A41C5" w:rsidP="00D977A6">
      <w:pPr>
        <w:autoSpaceDE w:val="0"/>
        <w:autoSpaceDN w:val="0"/>
        <w:adjustRightInd w:val="0"/>
        <w:spacing w:line="480" w:lineRule="auto"/>
        <w:jc w:val="both"/>
      </w:pPr>
      <w:r w:rsidRPr="00B41E66">
        <w:t>I</w:t>
      </w:r>
      <w:r w:rsidR="00610089" w:rsidRPr="00B41E66">
        <w:t>n</w:t>
      </w:r>
      <w:r w:rsidR="00843F3B" w:rsidRPr="00B41E66">
        <w:t xml:space="preserve"> the first 25 days</w:t>
      </w:r>
      <w:r w:rsidR="00EE79D8" w:rsidRPr="00B41E66">
        <w:t xml:space="preserve"> </w:t>
      </w:r>
      <w:r w:rsidR="009C5E3A" w:rsidRPr="00B41E66">
        <w:t>after an IPO is priced and opens for trading</w:t>
      </w:r>
      <w:r w:rsidR="00843F3B" w:rsidRPr="00B41E66">
        <w:t>,</w:t>
      </w:r>
      <w:r w:rsidR="00EE79D8" w:rsidRPr="00B41E66">
        <w:t xml:space="preserve"> underwriters </w:t>
      </w:r>
      <w:r w:rsidR="00843F3B" w:rsidRPr="00B41E66">
        <w:t xml:space="preserve">and their </w:t>
      </w:r>
      <w:r w:rsidR="00843F3B" w:rsidRPr="00B41E66">
        <w:rPr>
          <w:lang w:bidi="he-IL"/>
        </w:rPr>
        <w:t xml:space="preserve">affiliated </w:t>
      </w:r>
      <w:r w:rsidR="00843F3B" w:rsidRPr="00B41E66">
        <w:t xml:space="preserve">analysts </w:t>
      </w:r>
      <w:r w:rsidR="00EE79D8" w:rsidRPr="00B41E66">
        <w:t>are not allowed to publish any research about the company</w:t>
      </w:r>
      <w:r w:rsidR="00666555" w:rsidRPr="00B41E66">
        <w:t>.</w:t>
      </w:r>
      <w:r w:rsidR="00EE79D8" w:rsidRPr="00B41E66">
        <w:t xml:space="preserve"> Consequently, the stock trades as an “uncovered</w:t>
      </w:r>
      <w:r w:rsidR="00A254E7" w:rsidRPr="00B41E66">
        <w:t>”</w:t>
      </w:r>
      <w:r w:rsidR="00EE79D8" w:rsidRPr="00B41E66">
        <w:t xml:space="preserve"> stock.</w:t>
      </w:r>
      <w:r w:rsidR="00E457B9" w:rsidRPr="00B41E66">
        <w:t xml:space="preserve"> The ending of th</w:t>
      </w:r>
      <w:r w:rsidRPr="00B41E66">
        <w:t>is</w:t>
      </w:r>
      <w:r w:rsidR="00E457B9" w:rsidRPr="00B41E66">
        <w:t xml:space="preserve"> quiet period</w:t>
      </w:r>
      <w:r w:rsidR="00EE79D8" w:rsidRPr="00B41E66">
        <w:t xml:space="preserve"> is </w:t>
      </w:r>
      <w:r w:rsidRPr="00B41E66">
        <w:t>important because</w:t>
      </w:r>
      <w:r w:rsidR="007917B5" w:rsidRPr="00B41E66">
        <w:t xml:space="preserve"> </w:t>
      </w:r>
      <w:r w:rsidR="00814B43" w:rsidRPr="00B41E66">
        <w:t xml:space="preserve">the simultaneous launching of coverage by several underwriters </w:t>
      </w:r>
      <w:r w:rsidR="007917B5" w:rsidRPr="00B41E66">
        <w:t xml:space="preserve">on that day can have a </w:t>
      </w:r>
      <w:r w:rsidR="00610089" w:rsidRPr="00B41E66">
        <w:t xml:space="preserve">significant </w:t>
      </w:r>
      <w:r w:rsidR="007917B5" w:rsidRPr="00B41E66">
        <w:t xml:space="preserve">impact on the </w:t>
      </w:r>
      <w:r w:rsidR="007917B5" w:rsidRPr="00B41E66">
        <w:lastRenderedPageBreak/>
        <w:t>stock</w:t>
      </w:r>
      <w:r w:rsidR="00610089" w:rsidRPr="00B41E66">
        <w:t xml:space="preserve"> </w:t>
      </w:r>
      <w:r w:rsidR="00EE79D8" w:rsidRPr="00B41E66">
        <w:t>price</w:t>
      </w:r>
      <w:r w:rsidR="00E457B9" w:rsidRPr="00B41E66">
        <w:t xml:space="preserve">. </w:t>
      </w:r>
      <w:r w:rsidR="008806E3" w:rsidRPr="00B41E66">
        <w:t xml:space="preserve">The </w:t>
      </w:r>
      <w:r w:rsidR="009F4C9E" w:rsidRPr="00B41E66">
        <w:t>duration</w:t>
      </w:r>
      <w:r w:rsidR="008806E3" w:rsidRPr="00B41E66">
        <w:t xml:space="preserve"> of th</w:t>
      </w:r>
      <w:r w:rsidRPr="00B41E66">
        <w:rPr>
          <w:lang w:bidi="he-IL"/>
        </w:rPr>
        <w:t>is per</w:t>
      </w:r>
      <w:r w:rsidR="008806E3" w:rsidRPr="00B41E66">
        <w:t>iod has changed over the years</w:t>
      </w:r>
      <w:r w:rsidR="00EE79D8" w:rsidRPr="00B41E66">
        <w:t>,</w:t>
      </w:r>
      <w:r w:rsidR="008806E3" w:rsidRPr="00B41E66">
        <w:t xml:space="preserve"> and the </w:t>
      </w:r>
      <w:r w:rsidR="00A66DE5" w:rsidRPr="00B41E66">
        <w:t xml:space="preserve">SEC </w:t>
      </w:r>
      <w:r w:rsidR="00EE79D8" w:rsidRPr="00B41E66">
        <w:t xml:space="preserve">recently </w:t>
      </w:r>
      <w:r w:rsidR="00A66DE5" w:rsidRPr="00B41E66">
        <w:t>shortened it to 10 days</w:t>
      </w:r>
      <w:r w:rsidR="00610089" w:rsidRPr="00B41E66">
        <w:t xml:space="preserve"> after the IPO</w:t>
      </w:r>
      <w:r w:rsidR="00E833B8" w:rsidRPr="00B41E66">
        <w:t>.</w:t>
      </w:r>
      <w:r w:rsidR="008806E3" w:rsidRPr="00B41E66">
        <w:t xml:space="preserve"> </w:t>
      </w:r>
      <w:r w:rsidR="00E457B9" w:rsidRPr="00B41E66">
        <w:t xml:space="preserve">However, </w:t>
      </w:r>
      <w:r w:rsidRPr="00B41E66">
        <w:t>most</w:t>
      </w:r>
      <w:r w:rsidR="00E457B9" w:rsidRPr="00B41E66">
        <w:t xml:space="preserve"> investment banks still observe the 25</w:t>
      </w:r>
      <w:r w:rsidR="00666555" w:rsidRPr="00B41E66">
        <w:t>-</w:t>
      </w:r>
      <w:r w:rsidR="00E457B9" w:rsidRPr="00B41E66">
        <w:t>day rule</w:t>
      </w:r>
      <w:r w:rsidR="00EE79D8" w:rsidRPr="00B41E66">
        <w:t>, so that outside coverage commences</w:t>
      </w:r>
      <w:r w:rsidR="00E457B9" w:rsidRPr="00B41E66">
        <w:t xml:space="preserve"> 25 days after </w:t>
      </w:r>
      <w:r w:rsidR="00EE79D8" w:rsidRPr="00B41E66">
        <w:t>first</w:t>
      </w:r>
      <w:r w:rsidR="00E457B9" w:rsidRPr="00B41E66">
        <w:t xml:space="preserve"> day of </w:t>
      </w:r>
      <w:r w:rsidR="00EE79D8" w:rsidRPr="00B41E66">
        <w:t xml:space="preserve">the IPO </w:t>
      </w:r>
      <w:r w:rsidR="00E457B9" w:rsidRPr="00B41E66">
        <w:t>pricing.</w:t>
      </w:r>
      <w:r w:rsidR="00E457B9" w:rsidRPr="00B41E66">
        <w:rPr>
          <w:rStyle w:val="FootnoteReference"/>
        </w:rPr>
        <w:t xml:space="preserve"> </w:t>
      </w:r>
      <w:r w:rsidR="00242568" w:rsidRPr="00B41E66">
        <w:rPr>
          <w:rStyle w:val="tlid-translation"/>
        </w:rPr>
        <w:t xml:space="preserve">Our goal was to investigate CAAR </w:t>
      </w:r>
      <w:r w:rsidR="00FE6FE0" w:rsidRPr="00B41E66">
        <w:rPr>
          <w:rStyle w:val="tlid-translation"/>
        </w:rPr>
        <w:t>behavior</w:t>
      </w:r>
      <w:r w:rsidR="00242568" w:rsidRPr="00B41E66">
        <w:rPr>
          <w:rStyle w:val="tlid-translation"/>
        </w:rPr>
        <w:t xml:space="preserve"> from the IPO date to the end of the quiet period and </w:t>
      </w:r>
      <w:r w:rsidR="00666555" w:rsidRPr="00B41E66">
        <w:rPr>
          <w:rStyle w:val="tlid-translation"/>
        </w:rPr>
        <w:t>thereafter</w:t>
      </w:r>
      <w:r w:rsidR="00242568" w:rsidRPr="00B41E66">
        <w:rPr>
          <w:rStyle w:val="tlid-translation"/>
        </w:rPr>
        <w:t>.</w:t>
      </w:r>
      <w:r w:rsidR="00D977A6" w:rsidRPr="00B41E66">
        <w:rPr>
          <w:rStyle w:val="tlid-translation"/>
        </w:rPr>
        <w:t xml:space="preserve"> </w:t>
      </w:r>
      <w:r w:rsidR="00285725" w:rsidRPr="00B41E66">
        <w:t xml:space="preserve">Thus, </w:t>
      </w:r>
      <w:r w:rsidR="00666555" w:rsidRPr="00B41E66">
        <w:t>it can be expected</w:t>
      </w:r>
      <w:r w:rsidR="00285725" w:rsidRPr="00B41E66">
        <w:t xml:space="preserve"> to see an upward trend in CAAR during the quiet period</w:t>
      </w:r>
      <w:r w:rsidR="00285725" w:rsidRPr="00B41E66">
        <w:rPr>
          <w:lang w:bidi="he-IL"/>
        </w:rPr>
        <w:t xml:space="preserve"> and </w:t>
      </w:r>
      <w:r w:rsidR="00285725" w:rsidRPr="00B41E66">
        <w:t xml:space="preserve">a downward trend after </w:t>
      </w:r>
      <w:r w:rsidRPr="00B41E66">
        <w:t>it</w:t>
      </w:r>
      <w:r w:rsidR="00285725" w:rsidRPr="00B41E66">
        <w:t xml:space="preserve"> ends. </w:t>
      </w:r>
      <w:r w:rsidR="00EE79D8" w:rsidRPr="00B41E66">
        <w:t xml:space="preserve">An increase in </w:t>
      </w:r>
      <w:r w:rsidR="00285725" w:rsidRPr="00B41E66">
        <w:t xml:space="preserve">CAAR is expected due to the natural hype immediately </w:t>
      </w:r>
      <w:r w:rsidR="00EE79D8" w:rsidRPr="00B41E66">
        <w:t>following</w:t>
      </w:r>
      <w:r w:rsidR="00285725" w:rsidRPr="00B41E66">
        <w:t xml:space="preserve"> the IPO. The </w:t>
      </w:r>
      <w:r w:rsidR="00EE79D8" w:rsidRPr="00B41E66">
        <w:t>later</w:t>
      </w:r>
      <w:r w:rsidR="00285725" w:rsidRPr="00B41E66">
        <w:t xml:space="preserve"> downward </w:t>
      </w:r>
      <w:r w:rsidR="00EE79D8" w:rsidRPr="00B41E66">
        <w:t>trend can be explained,</w:t>
      </w:r>
      <w:r w:rsidR="00285725" w:rsidRPr="00B41E66">
        <w:t xml:space="preserve"> in part, to the </w:t>
      </w:r>
      <w:r w:rsidR="00285725" w:rsidRPr="00B41E66">
        <w:rPr>
          <w:lang w:bidi="he-IL"/>
        </w:rPr>
        <w:t xml:space="preserve">publishing </w:t>
      </w:r>
      <w:r w:rsidR="00285725" w:rsidRPr="00B41E66">
        <w:t xml:space="preserve">of numerous </w:t>
      </w:r>
      <w:r w:rsidR="00F405A3" w:rsidRPr="00B41E66">
        <w:t xml:space="preserve">reports about the company </w:t>
      </w:r>
      <w:r w:rsidR="00285725" w:rsidRPr="00B41E66">
        <w:rPr>
          <w:lang w:bidi="he-IL"/>
        </w:rPr>
        <w:t xml:space="preserve">and </w:t>
      </w:r>
      <w:r w:rsidR="00285725" w:rsidRPr="00B41E66">
        <w:t>future forecasts</w:t>
      </w:r>
      <w:r w:rsidR="00285725" w:rsidRPr="00B41E66" w:rsidDel="00512651">
        <w:t xml:space="preserve"> </w:t>
      </w:r>
      <w:r w:rsidR="00285725" w:rsidRPr="00B41E66">
        <w:rPr>
          <w:lang w:bidi="he-IL"/>
        </w:rPr>
        <w:t xml:space="preserve">by </w:t>
      </w:r>
      <w:r w:rsidR="00285725" w:rsidRPr="00B41E66">
        <w:t>affiliated analysts.</w:t>
      </w:r>
      <w:r w:rsidRPr="00B41E66">
        <w:t xml:space="preserve"> </w:t>
      </w:r>
    </w:p>
    <w:p w14:paraId="50F1C843" w14:textId="77777777" w:rsidR="00F851A3" w:rsidRPr="00B41E66" w:rsidRDefault="00F851A3" w:rsidP="00321B91">
      <w:pPr>
        <w:autoSpaceDE w:val="0"/>
        <w:autoSpaceDN w:val="0"/>
        <w:adjustRightInd w:val="0"/>
        <w:spacing w:line="480" w:lineRule="auto"/>
        <w:jc w:val="both"/>
      </w:pPr>
    </w:p>
    <w:p w14:paraId="669C85A8" w14:textId="77777777" w:rsidR="00285725" w:rsidRPr="00B41E66" w:rsidRDefault="006B73C4" w:rsidP="006B73C4">
      <w:pPr>
        <w:autoSpaceDE w:val="0"/>
        <w:autoSpaceDN w:val="0"/>
        <w:adjustRightInd w:val="0"/>
        <w:spacing w:line="480" w:lineRule="auto"/>
        <w:jc w:val="both"/>
      </w:pPr>
      <w:r w:rsidRPr="00B41E66">
        <w:rPr>
          <w:rStyle w:val="tlid-translation"/>
          <w:color w:val="0000FF"/>
          <w:lang w:val="en"/>
        </w:rPr>
        <w:t>Biotechnology d</w:t>
      </w:r>
      <w:r w:rsidR="007E72EC" w:rsidRPr="00B41E66">
        <w:rPr>
          <w:rStyle w:val="tlid-translation"/>
          <w:color w:val="0000FF"/>
          <w:lang w:val="en"/>
        </w:rPr>
        <w:t>rug development is a long and expensive process</w:t>
      </w:r>
      <w:r w:rsidRPr="00B41E66">
        <w:rPr>
          <w:rStyle w:val="tlid-translation"/>
          <w:color w:val="0000FF"/>
          <w:lang w:val="en"/>
        </w:rPr>
        <w:t>. Hundreds of millions of dollars are needed to develop a biotechnological drug</w:t>
      </w:r>
      <w:r w:rsidRPr="00B41E66">
        <w:rPr>
          <w:rStyle w:val="tlid-translation"/>
          <w:color w:val="0000FF"/>
          <w:rtl/>
          <w:lang w:val="en" w:bidi="he-IL"/>
        </w:rPr>
        <w:t xml:space="preserve"> </w:t>
      </w:r>
      <w:r w:rsidRPr="00B41E66">
        <w:rPr>
          <w:rStyle w:val="tlid-translation"/>
          <w:color w:val="0000FF"/>
          <w:lang w:bidi="he-IL"/>
        </w:rPr>
        <w:t>a</w:t>
      </w:r>
      <w:r w:rsidRPr="00B41E66">
        <w:rPr>
          <w:rStyle w:val="tlid-translation"/>
          <w:lang w:val="en"/>
        </w:rPr>
        <w:t>nd the chances of success of a product developed in the laboratory to pass the experiments in animals and humans and reach the market, are one in ten thousand.</w:t>
      </w:r>
      <w:r w:rsidR="00F851A3" w:rsidRPr="00B41E66">
        <w:rPr>
          <w:rStyle w:val="tlid-translation"/>
          <w:color w:val="0000FF"/>
          <w:lang w:val="en"/>
        </w:rPr>
        <w:t xml:space="preserve"> Naturally, </w:t>
      </w:r>
      <w:r w:rsidRPr="00B41E66">
        <w:rPr>
          <w:lang w:bidi="he-IL"/>
        </w:rPr>
        <w:t xml:space="preserve">large-sized firms are likely to have more experience, more available resources, and a bigger product portfolio. The presence of these factors is likely to enhance a large firm’s potential for future success as well as to attract greater attention from investors. </w:t>
      </w:r>
      <w:r w:rsidR="00F851A3" w:rsidRPr="00B41E66">
        <w:rPr>
          <w:rStyle w:val="tlid-translation"/>
          <w:color w:val="0000FF"/>
          <w:lang w:val="en"/>
        </w:rPr>
        <w:t xml:space="preserve">Accordingly, we assume that </w:t>
      </w:r>
      <w:r w:rsidR="00FA09D6" w:rsidRPr="00B41E66">
        <w:rPr>
          <w:rStyle w:val="tlid-translation"/>
          <w:color w:val="0000FF"/>
          <w:lang w:val="en"/>
        </w:rPr>
        <w:t>bigger firms</w:t>
      </w:r>
      <w:r w:rsidR="00F851A3" w:rsidRPr="00B41E66">
        <w:rPr>
          <w:rStyle w:val="tlid-translation"/>
          <w:color w:val="0000FF"/>
          <w:lang w:val="en"/>
        </w:rPr>
        <w:t xml:space="preserve"> will </w:t>
      </w:r>
      <w:r w:rsidR="00FA09D6" w:rsidRPr="00B41E66">
        <w:rPr>
          <w:rStyle w:val="tlid-translation"/>
          <w:color w:val="0000FF"/>
          <w:lang w:val="en"/>
        </w:rPr>
        <w:t xml:space="preserve">perform better than smaller ones. (See </w:t>
      </w:r>
      <w:r w:rsidRPr="00B41E66">
        <w:rPr>
          <w:rStyle w:val="tlid-translation"/>
          <w:color w:val="0000FF"/>
          <w:lang w:val="en"/>
        </w:rPr>
        <w:t xml:space="preserve">also </w:t>
      </w:r>
      <w:r w:rsidR="00FA09D6" w:rsidRPr="00B41E66">
        <w:rPr>
          <w:color w:val="0000FF"/>
        </w:rPr>
        <w:t>Georgen et al. (2009)</w:t>
      </w:r>
      <w:r w:rsidR="00FA09D6" w:rsidRPr="00B41E66">
        <w:rPr>
          <w:rStyle w:val="tlid-translation"/>
          <w:color w:val="0000FF"/>
          <w:lang w:val="en"/>
        </w:rPr>
        <w:t xml:space="preserve"> and </w:t>
      </w:r>
      <w:r w:rsidR="00FA09D6" w:rsidRPr="00B41E66">
        <w:rPr>
          <w:color w:val="0000FF"/>
        </w:rPr>
        <w:t>Berk and Peterle (2015))</w:t>
      </w:r>
      <w:r w:rsidRPr="00B41E66">
        <w:rPr>
          <w:color w:val="0000FF"/>
        </w:rPr>
        <w:t xml:space="preserve">. </w:t>
      </w:r>
      <w:r w:rsidRPr="00B41E66">
        <w:t>To that end, w</w:t>
      </w:r>
      <w:r w:rsidR="003A41C5" w:rsidRPr="00B41E66">
        <w:t xml:space="preserve">e </w:t>
      </w:r>
      <w:r w:rsidRPr="00B41E66">
        <w:t xml:space="preserve">divided the sample into </w:t>
      </w:r>
      <w:r w:rsidR="003A41C5" w:rsidRPr="00B41E66">
        <w:t>two</w:t>
      </w:r>
      <w:r w:rsidR="005A571D" w:rsidRPr="00B41E66">
        <w:t xml:space="preserve"> subsamples </w:t>
      </w:r>
      <w:r w:rsidR="00F405A3" w:rsidRPr="00B41E66">
        <w:t>according to</w:t>
      </w:r>
      <w:r w:rsidR="00285725" w:rsidRPr="00B41E66">
        <w:t xml:space="preserve"> firm size, we expect</w:t>
      </w:r>
      <w:r w:rsidR="00285725" w:rsidRPr="00B41E66">
        <w:rPr>
          <w:rtl/>
          <w:lang w:bidi="he-IL"/>
        </w:rPr>
        <w:t xml:space="preserve"> </w:t>
      </w:r>
      <w:r w:rsidR="00285725" w:rsidRPr="00B41E66">
        <w:rPr>
          <w:lang w:bidi="he-IL"/>
        </w:rPr>
        <w:t>to observe better performance among large</w:t>
      </w:r>
      <w:r w:rsidR="00B42AA6" w:rsidRPr="00B41E66">
        <w:rPr>
          <w:lang w:bidi="he-IL"/>
        </w:rPr>
        <w:t>-sized</w:t>
      </w:r>
      <w:r w:rsidR="00C003FA" w:rsidRPr="00B41E66">
        <w:rPr>
          <w:lang w:bidi="he-IL"/>
        </w:rPr>
        <w:t xml:space="preserve"> </w:t>
      </w:r>
      <w:r w:rsidR="00285725" w:rsidRPr="00B41E66">
        <w:rPr>
          <w:lang w:bidi="he-IL"/>
        </w:rPr>
        <w:t xml:space="preserve">firms. </w:t>
      </w:r>
      <w:r w:rsidR="00F405A3" w:rsidRPr="00B41E66">
        <w:rPr>
          <w:lang w:bidi="he-IL"/>
        </w:rPr>
        <w:t>We formulated t</w:t>
      </w:r>
      <w:r w:rsidR="00285725" w:rsidRPr="00B41E66">
        <w:t>he following hypotheses</w:t>
      </w:r>
      <w:r w:rsidR="00F405A3" w:rsidRPr="00B41E66">
        <w:t xml:space="preserve"> to reflect these expectations</w:t>
      </w:r>
      <w:r w:rsidR="00285725" w:rsidRPr="00B41E66">
        <w:t>:</w:t>
      </w:r>
    </w:p>
    <w:p w14:paraId="1DC07DA3" w14:textId="77777777" w:rsidR="00F04355" w:rsidRPr="00B41E66" w:rsidRDefault="00F04355" w:rsidP="00321B91">
      <w:pPr>
        <w:autoSpaceDE w:val="0"/>
        <w:autoSpaceDN w:val="0"/>
        <w:adjustRightInd w:val="0"/>
        <w:spacing w:line="480" w:lineRule="auto"/>
        <w:jc w:val="both"/>
      </w:pPr>
    </w:p>
    <w:p w14:paraId="7CA09680" w14:textId="77777777" w:rsidR="00E457B9" w:rsidRPr="00B41E66" w:rsidRDefault="00E457B9" w:rsidP="00321B91">
      <w:pPr>
        <w:autoSpaceDE w:val="0"/>
        <w:autoSpaceDN w:val="0"/>
        <w:adjustRightInd w:val="0"/>
        <w:spacing w:line="480" w:lineRule="auto"/>
        <w:jc w:val="both"/>
        <w:rPr>
          <w:rtl/>
          <w:lang w:bidi="he-IL"/>
        </w:rPr>
      </w:pPr>
      <w:r w:rsidRPr="00B41E66">
        <w:rPr>
          <w:b/>
          <w:bCs/>
          <w:i/>
          <w:iCs/>
        </w:rPr>
        <w:t>H1</w:t>
      </w:r>
      <w:r w:rsidR="00F405A3" w:rsidRPr="00B41E66">
        <w:rPr>
          <w:b/>
          <w:bCs/>
          <w:i/>
          <w:iCs/>
        </w:rPr>
        <w:t>:</w:t>
      </w:r>
      <w:r w:rsidRPr="00B41E66">
        <w:rPr>
          <w:b/>
          <w:bCs/>
          <w:i/>
          <w:iCs/>
        </w:rPr>
        <w:t xml:space="preserve"> </w:t>
      </w:r>
      <w:r w:rsidRPr="00B41E66">
        <w:rPr>
          <w:b/>
          <w:bCs/>
          <w:i/>
          <w:iCs/>
          <w:lang w:val="en-GB"/>
        </w:rPr>
        <w:t>Quiet</w:t>
      </w:r>
      <w:r w:rsidR="00F405A3" w:rsidRPr="00B41E66">
        <w:rPr>
          <w:b/>
          <w:bCs/>
          <w:i/>
          <w:iCs/>
          <w:lang w:val="en-GB"/>
        </w:rPr>
        <w:t xml:space="preserve"> P</w:t>
      </w:r>
      <w:r w:rsidRPr="00B41E66">
        <w:rPr>
          <w:b/>
          <w:bCs/>
          <w:i/>
          <w:iCs/>
          <w:lang w:val="en-GB"/>
        </w:rPr>
        <w:t xml:space="preserve">eriod: </w:t>
      </w:r>
      <w:r w:rsidR="00F405A3" w:rsidRPr="00B41E66">
        <w:rPr>
          <w:b/>
          <w:bCs/>
          <w:lang w:val="en-GB"/>
        </w:rPr>
        <w:t>S</w:t>
      </w:r>
      <w:r w:rsidRPr="00B41E66">
        <w:rPr>
          <w:b/>
          <w:bCs/>
        </w:rPr>
        <w:t>tock</w:t>
      </w:r>
      <w:r w:rsidR="00F405A3" w:rsidRPr="00B41E66">
        <w:rPr>
          <w:b/>
          <w:bCs/>
        </w:rPr>
        <w:t>’</w:t>
      </w:r>
      <w:r w:rsidR="00F04355" w:rsidRPr="00B41E66">
        <w:rPr>
          <w:b/>
          <w:bCs/>
        </w:rPr>
        <w:t>s</w:t>
      </w:r>
      <w:r w:rsidRPr="00B41E66">
        <w:rPr>
          <w:b/>
          <w:bCs/>
        </w:rPr>
        <w:t xml:space="preserve"> return </w:t>
      </w:r>
      <w:r w:rsidR="00DC052F" w:rsidRPr="00B41E66">
        <w:rPr>
          <w:b/>
          <w:bCs/>
        </w:rPr>
        <w:t xml:space="preserve">until the end of </w:t>
      </w:r>
      <w:r w:rsidRPr="00B41E66">
        <w:rPr>
          <w:b/>
          <w:bCs/>
        </w:rPr>
        <w:t>the quiet period</w:t>
      </w:r>
      <w:r w:rsidR="00F405A3" w:rsidRPr="00B41E66">
        <w:rPr>
          <w:b/>
          <w:bCs/>
        </w:rPr>
        <w:t>:</w:t>
      </w:r>
    </w:p>
    <w:p w14:paraId="37BAA6DC" w14:textId="77777777" w:rsidR="00F04355" w:rsidRPr="00B41E66" w:rsidRDefault="00F04355" w:rsidP="00321B91">
      <w:pPr>
        <w:autoSpaceDE w:val="0"/>
        <w:autoSpaceDN w:val="0"/>
        <w:adjustRightInd w:val="0"/>
        <w:spacing w:line="480" w:lineRule="auto"/>
        <w:jc w:val="both"/>
      </w:pPr>
      <w:r w:rsidRPr="00B41E66">
        <w:t>The natural hype from the new IPO will yield positive CAAR from the IPO date until the end of the quiet period.</w:t>
      </w:r>
    </w:p>
    <w:p w14:paraId="0EA0113A" w14:textId="77777777" w:rsidR="00E457B9" w:rsidRPr="00B41E66" w:rsidRDefault="00E457B9" w:rsidP="00321B91">
      <w:pPr>
        <w:autoSpaceDE w:val="0"/>
        <w:autoSpaceDN w:val="0"/>
        <w:adjustRightInd w:val="0"/>
        <w:spacing w:line="480" w:lineRule="auto"/>
        <w:jc w:val="both"/>
      </w:pPr>
    </w:p>
    <w:p w14:paraId="2DC1A69A" w14:textId="77777777" w:rsidR="00E457B9" w:rsidRPr="00B41E66" w:rsidRDefault="00E457B9" w:rsidP="00321B91">
      <w:pPr>
        <w:autoSpaceDE w:val="0"/>
        <w:autoSpaceDN w:val="0"/>
        <w:adjustRightInd w:val="0"/>
        <w:spacing w:line="480" w:lineRule="auto"/>
        <w:jc w:val="both"/>
        <w:rPr>
          <w:rtl/>
          <w:lang w:bidi="he-IL"/>
        </w:rPr>
      </w:pPr>
      <w:r w:rsidRPr="00B41E66">
        <w:rPr>
          <w:b/>
          <w:bCs/>
          <w:i/>
          <w:iCs/>
        </w:rPr>
        <w:lastRenderedPageBreak/>
        <w:t>H2</w:t>
      </w:r>
      <w:r w:rsidR="00F405A3" w:rsidRPr="00B41E66">
        <w:rPr>
          <w:b/>
          <w:bCs/>
          <w:i/>
          <w:iCs/>
        </w:rPr>
        <w:t>:</w:t>
      </w:r>
      <w:r w:rsidRPr="00B41E66">
        <w:rPr>
          <w:b/>
          <w:bCs/>
          <w:i/>
          <w:iCs/>
          <w:lang w:val="en-GB"/>
        </w:rPr>
        <w:t xml:space="preserve"> Quiet </w:t>
      </w:r>
      <w:r w:rsidR="00F405A3" w:rsidRPr="00B41E66">
        <w:rPr>
          <w:b/>
          <w:bCs/>
          <w:i/>
          <w:iCs/>
          <w:lang w:val="en-GB"/>
        </w:rPr>
        <w:t>P</w:t>
      </w:r>
      <w:r w:rsidRPr="00B41E66">
        <w:rPr>
          <w:b/>
          <w:bCs/>
          <w:i/>
          <w:iCs/>
          <w:lang w:val="en-GB"/>
        </w:rPr>
        <w:t>eriod:</w:t>
      </w:r>
      <w:r w:rsidRPr="00B41E66">
        <w:rPr>
          <w:b/>
          <w:bCs/>
          <w:i/>
          <w:iCs/>
        </w:rPr>
        <w:t xml:space="preserve"> </w:t>
      </w:r>
      <w:r w:rsidR="00F405A3" w:rsidRPr="00B41E66">
        <w:rPr>
          <w:b/>
          <w:bCs/>
        </w:rPr>
        <w:t>S</w:t>
      </w:r>
      <w:r w:rsidRPr="00B41E66">
        <w:rPr>
          <w:b/>
          <w:bCs/>
        </w:rPr>
        <w:t>tock</w:t>
      </w:r>
      <w:r w:rsidR="00F04355" w:rsidRPr="00B41E66">
        <w:rPr>
          <w:b/>
          <w:bCs/>
        </w:rPr>
        <w:t>s</w:t>
      </w:r>
      <w:r w:rsidRPr="00B41E66">
        <w:rPr>
          <w:b/>
          <w:bCs/>
        </w:rPr>
        <w:t xml:space="preserve"> return </w:t>
      </w:r>
      <w:r w:rsidR="00C91286" w:rsidRPr="00B41E66">
        <w:rPr>
          <w:b/>
          <w:bCs/>
        </w:rPr>
        <w:t>post-quiet</w:t>
      </w:r>
      <w:r w:rsidRPr="00B41E66">
        <w:rPr>
          <w:b/>
          <w:bCs/>
        </w:rPr>
        <w:t xml:space="preserve"> period:</w:t>
      </w:r>
    </w:p>
    <w:p w14:paraId="79213530" w14:textId="77777777" w:rsidR="00E67C34" w:rsidRPr="00B41E66" w:rsidRDefault="00E67C34" w:rsidP="00321B91">
      <w:pPr>
        <w:autoSpaceDE w:val="0"/>
        <w:autoSpaceDN w:val="0"/>
        <w:adjustRightInd w:val="0"/>
        <w:spacing w:line="480" w:lineRule="auto"/>
        <w:jc w:val="both"/>
        <w:rPr>
          <w:lang w:bidi="he-IL"/>
        </w:rPr>
      </w:pPr>
      <w:r w:rsidRPr="00B41E66">
        <w:rPr>
          <w:lang w:bidi="he-IL"/>
        </w:rPr>
        <w:t xml:space="preserve">As </w:t>
      </w:r>
      <w:r w:rsidR="00715681" w:rsidRPr="00B41E66">
        <w:rPr>
          <w:lang w:bidi="he-IL"/>
        </w:rPr>
        <w:t xml:space="preserve">coverage </w:t>
      </w:r>
      <w:r w:rsidR="00AC0E26" w:rsidRPr="00B41E66">
        <w:rPr>
          <w:lang w:bidi="he-IL"/>
        </w:rPr>
        <w:t>initiates</w:t>
      </w:r>
      <w:r w:rsidR="0082651A" w:rsidRPr="00B41E66">
        <w:rPr>
          <w:lang w:bidi="he-IL"/>
        </w:rPr>
        <w:t xml:space="preserve"> </w:t>
      </w:r>
      <w:r w:rsidR="00715681" w:rsidRPr="00B41E66">
        <w:rPr>
          <w:lang w:bidi="he-IL"/>
        </w:rPr>
        <w:t xml:space="preserve">by underwriters and their affiliated analysts </w:t>
      </w:r>
      <w:r w:rsidR="0082651A" w:rsidRPr="00B41E66">
        <w:rPr>
          <w:lang w:bidi="he-IL"/>
        </w:rPr>
        <w:t xml:space="preserve">at </w:t>
      </w:r>
      <w:r w:rsidRPr="00B41E66">
        <w:rPr>
          <w:lang w:bidi="he-IL"/>
        </w:rPr>
        <w:t xml:space="preserve">the end of the quiet period, </w:t>
      </w:r>
      <w:r w:rsidR="00F405A3" w:rsidRPr="00B41E66">
        <w:rPr>
          <w:lang w:bidi="he-IL"/>
        </w:rPr>
        <w:t xml:space="preserve">and </w:t>
      </w:r>
      <w:r w:rsidR="00666555" w:rsidRPr="00B41E66">
        <w:rPr>
          <w:lang w:bidi="he-IL"/>
        </w:rPr>
        <w:t>as</w:t>
      </w:r>
      <w:r w:rsidR="00F405A3" w:rsidRPr="00B41E66">
        <w:rPr>
          <w:lang w:bidi="he-IL"/>
        </w:rPr>
        <w:t xml:space="preserve"> </w:t>
      </w:r>
      <w:r w:rsidRPr="00B41E66">
        <w:rPr>
          <w:lang w:bidi="he-IL"/>
        </w:rPr>
        <w:t xml:space="preserve">the </w:t>
      </w:r>
      <w:r w:rsidR="0074449C" w:rsidRPr="00B41E66">
        <w:rPr>
          <w:lang w:bidi="he-IL"/>
        </w:rPr>
        <w:t>initial hype diminishes,</w:t>
      </w:r>
      <w:r w:rsidR="00F405A3" w:rsidRPr="00B41E66">
        <w:rPr>
          <w:lang w:bidi="he-IL"/>
        </w:rPr>
        <w:t xml:space="preserve"> the stock will experience</w:t>
      </w:r>
      <w:r w:rsidRPr="00B41E66">
        <w:rPr>
          <w:lang w:bidi="he-IL"/>
        </w:rPr>
        <w:t xml:space="preserve"> </w:t>
      </w:r>
      <w:r w:rsidR="000034FD" w:rsidRPr="00B41E66">
        <w:rPr>
          <w:lang w:bidi="he-IL"/>
        </w:rPr>
        <w:t xml:space="preserve">a </w:t>
      </w:r>
      <w:r w:rsidRPr="00B41E66">
        <w:rPr>
          <w:lang w:bidi="he-IL"/>
        </w:rPr>
        <w:t xml:space="preserve">negative CAAR. </w:t>
      </w:r>
    </w:p>
    <w:p w14:paraId="0A026B13" w14:textId="77777777" w:rsidR="00E457B9" w:rsidRPr="00B41E66" w:rsidRDefault="00E457B9" w:rsidP="00321B91">
      <w:pPr>
        <w:autoSpaceDE w:val="0"/>
        <w:autoSpaceDN w:val="0"/>
        <w:adjustRightInd w:val="0"/>
        <w:spacing w:line="480" w:lineRule="auto"/>
        <w:jc w:val="both"/>
        <w:rPr>
          <w:b/>
          <w:bCs/>
          <w:i/>
          <w:iCs/>
          <w:lang w:bidi="he-IL"/>
        </w:rPr>
      </w:pPr>
    </w:p>
    <w:p w14:paraId="19D27C77" w14:textId="77777777" w:rsidR="000034FD" w:rsidRPr="00B41E66" w:rsidRDefault="00E457B9" w:rsidP="00321B91">
      <w:pPr>
        <w:autoSpaceDE w:val="0"/>
        <w:autoSpaceDN w:val="0"/>
        <w:adjustRightInd w:val="0"/>
        <w:spacing w:line="480" w:lineRule="auto"/>
        <w:jc w:val="both"/>
        <w:rPr>
          <w:lang w:bidi="he-IL"/>
        </w:rPr>
      </w:pPr>
      <w:r w:rsidRPr="00B41E66">
        <w:rPr>
          <w:b/>
          <w:bCs/>
          <w:i/>
          <w:iCs/>
        </w:rPr>
        <w:t>H3</w:t>
      </w:r>
      <w:r w:rsidR="00F405A3" w:rsidRPr="00B41E66">
        <w:rPr>
          <w:b/>
          <w:bCs/>
          <w:i/>
          <w:iCs/>
        </w:rPr>
        <w:t>:</w:t>
      </w:r>
      <w:r w:rsidRPr="00B41E66">
        <w:rPr>
          <w:b/>
          <w:bCs/>
          <w:i/>
          <w:iCs/>
        </w:rPr>
        <w:t xml:space="preserve"> </w:t>
      </w:r>
      <w:r w:rsidR="00F405A3" w:rsidRPr="00B41E66">
        <w:rPr>
          <w:b/>
          <w:bCs/>
        </w:rPr>
        <w:t>S</w:t>
      </w:r>
      <w:r w:rsidRPr="00B41E66">
        <w:rPr>
          <w:b/>
          <w:bCs/>
        </w:rPr>
        <w:t xml:space="preserve">ock returns </w:t>
      </w:r>
      <w:r w:rsidR="00020C1B" w:rsidRPr="00B41E66">
        <w:rPr>
          <w:b/>
          <w:bCs/>
          <w:lang w:bidi="he-IL"/>
        </w:rPr>
        <w:t>and</w:t>
      </w:r>
      <w:r w:rsidRPr="00B41E66">
        <w:rPr>
          <w:b/>
          <w:bCs/>
        </w:rPr>
        <w:t xml:space="preserve"> </w:t>
      </w:r>
      <w:r w:rsidRPr="00B41E66">
        <w:rPr>
          <w:b/>
          <w:bCs/>
          <w:lang w:bidi="he-IL"/>
        </w:rPr>
        <w:t>market capitalization</w:t>
      </w:r>
      <w:r w:rsidRPr="00B41E66">
        <w:rPr>
          <w:b/>
          <w:bCs/>
        </w:rPr>
        <w:t>:</w:t>
      </w:r>
    </w:p>
    <w:p w14:paraId="3AFD9C6D" w14:textId="77777777" w:rsidR="00E457B9" w:rsidRPr="00B41E66" w:rsidRDefault="00285725" w:rsidP="00321B91">
      <w:pPr>
        <w:autoSpaceDE w:val="0"/>
        <w:autoSpaceDN w:val="0"/>
        <w:adjustRightInd w:val="0"/>
        <w:spacing w:line="480" w:lineRule="auto"/>
        <w:jc w:val="both"/>
        <w:rPr>
          <w:lang w:bidi="he-IL"/>
        </w:rPr>
      </w:pPr>
      <w:r w:rsidRPr="00B41E66">
        <w:rPr>
          <w:lang w:bidi="he-IL"/>
        </w:rPr>
        <w:t>Large</w:t>
      </w:r>
      <w:r w:rsidR="00B42AA6" w:rsidRPr="00B41E66">
        <w:rPr>
          <w:lang w:bidi="he-IL"/>
        </w:rPr>
        <w:t>-sized</w:t>
      </w:r>
      <w:r w:rsidR="0074449C" w:rsidRPr="00B41E66">
        <w:rPr>
          <w:lang w:bidi="he-IL"/>
        </w:rPr>
        <w:t xml:space="preserve"> </w:t>
      </w:r>
      <w:r w:rsidRPr="00B41E66">
        <w:rPr>
          <w:lang w:bidi="he-IL"/>
        </w:rPr>
        <w:t xml:space="preserve">firms are likely to </w:t>
      </w:r>
      <w:r w:rsidR="00F405A3" w:rsidRPr="00B41E66">
        <w:rPr>
          <w:lang w:bidi="he-IL"/>
        </w:rPr>
        <w:t>perform better than</w:t>
      </w:r>
      <w:r w:rsidRPr="00B41E66">
        <w:rPr>
          <w:lang w:bidi="he-IL"/>
        </w:rPr>
        <w:t xml:space="preserve"> small</w:t>
      </w:r>
      <w:r w:rsidR="00B42AA6" w:rsidRPr="00B41E66">
        <w:rPr>
          <w:lang w:bidi="he-IL"/>
        </w:rPr>
        <w:t>-sized</w:t>
      </w:r>
      <w:r w:rsidRPr="00B41E66">
        <w:rPr>
          <w:lang w:bidi="he-IL"/>
        </w:rPr>
        <w:t xml:space="preserve"> firms, due to </w:t>
      </w:r>
      <w:r w:rsidR="00F405A3" w:rsidRPr="00B41E66">
        <w:rPr>
          <w:lang w:bidi="he-IL"/>
        </w:rPr>
        <w:t xml:space="preserve">their </w:t>
      </w:r>
      <w:r w:rsidRPr="00B41E66">
        <w:rPr>
          <w:lang w:bidi="he-IL"/>
        </w:rPr>
        <w:t xml:space="preserve">higher potential for future success and </w:t>
      </w:r>
      <w:r w:rsidR="0040631F" w:rsidRPr="00B41E66">
        <w:rPr>
          <w:lang w:bidi="he-IL"/>
        </w:rPr>
        <w:t>their greater share of investor</w:t>
      </w:r>
      <w:r w:rsidRPr="00B41E66">
        <w:rPr>
          <w:lang w:bidi="he-IL"/>
        </w:rPr>
        <w:t xml:space="preserve"> attention</w:t>
      </w:r>
      <w:r w:rsidR="0016450C" w:rsidRPr="00B41E66">
        <w:rPr>
          <w:lang w:bidi="he-IL"/>
        </w:rPr>
        <w:t>.</w:t>
      </w:r>
    </w:p>
    <w:p w14:paraId="2E66C81B" w14:textId="77777777" w:rsidR="00F328D5" w:rsidRPr="00B41E66" w:rsidRDefault="00F328D5" w:rsidP="0074481E">
      <w:pPr>
        <w:autoSpaceDE w:val="0"/>
        <w:autoSpaceDN w:val="0"/>
        <w:adjustRightInd w:val="0"/>
        <w:spacing w:line="360" w:lineRule="auto"/>
        <w:jc w:val="both"/>
        <w:rPr>
          <w:lang w:bidi="he-IL"/>
        </w:rPr>
      </w:pPr>
    </w:p>
    <w:p w14:paraId="38178ABA" w14:textId="77777777" w:rsidR="00E457B9" w:rsidRPr="00B41E66" w:rsidRDefault="00087F6D" w:rsidP="00C5454C">
      <w:pPr>
        <w:autoSpaceDE w:val="0"/>
        <w:autoSpaceDN w:val="0"/>
        <w:adjustRightInd w:val="0"/>
        <w:spacing w:line="360" w:lineRule="auto"/>
        <w:jc w:val="both"/>
        <w:rPr>
          <w:b/>
          <w:bCs/>
        </w:rPr>
      </w:pPr>
      <w:r w:rsidRPr="00B41E66">
        <w:rPr>
          <w:b/>
          <w:bCs/>
          <w:lang w:bidi="he-IL"/>
        </w:rPr>
        <w:t>3</w:t>
      </w:r>
      <w:r w:rsidR="003A2718" w:rsidRPr="00B41E66">
        <w:rPr>
          <w:b/>
          <w:bCs/>
        </w:rPr>
        <w:t>.2</w:t>
      </w:r>
      <w:r w:rsidR="00E457B9" w:rsidRPr="00B41E66">
        <w:rPr>
          <w:b/>
          <w:bCs/>
        </w:rPr>
        <w:t xml:space="preserve"> </w:t>
      </w:r>
      <w:r w:rsidR="00D46211" w:rsidRPr="00B41E66">
        <w:rPr>
          <w:b/>
          <w:bCs/>
        </w:rPr>
        <w:t>D</w:t>
      </w:r>
      <w:r w:rsidR="00E457B9" w:rsidRPr="00B41E66">
        <w:rPr>
          <w:b/>
          <w:bCs/>
        </w:rPr>
        <w:t xml:space="preserve">ata and </w:t>
      </w:r>
      <w:r w:rsidR="00C003FA" w:rsidRPr="00B41E66">
        <w:rPr>
          <w:b/>
          <w:bCs/>
        </w:rPr>
        <w:t>M</w:t>
      </w:r>
      <w:r w:rsidR="00E457B9" w:rsidRPr="00B41E66">
        <w:rPr>
          <w:b/>
          <w:bCs/>
        </w:rPr>
        <w:t>ethod</w:t>
      </w:r>
    </w:p>
    <w:p w14:paraId="7A31D004" w14:textId="77777777" w:rsidR="00E457B9" w:rsidRPr="00B41E66" w:rsidRDefault="00E457B9" w:rsidP="00321B91">
      <w:pPr>
        <w:autoSpaceDE w:val="0"/>
        <w:autoSpaceDN w:val="0"/>
        <w:adjustRightInd w:val="0"/>
        <w:spacing w:line="480" w:lineRule="auto"/>
        <w:jc w:val="both"/>
        <w:rPr>
          <w:lang w:bidi="he-IL"/>
        </w:rPr>
      </w:pPr>
      <w:r w:rsidRPr="00B41E66">
        <w:t>Our initial database consist</w:t>
      </w:r>
      <w:r w:rsidR="0074449C" w:rsidRPr="00B41E66">
        <w:t>ed</w:t>
      </w:r>
      <w:r w:rsidRPr="00B41E66">
        <w:t xml:space="preserve"> of all</w:t>
      </w:r>
      <w:r w:rsidR="006C3E91" w:rsidRPr="00B41E66">
        <w:t xml:space="preserve"> </w:t>
      </w:r>
      <w:r w:rsidR="00DA5523" w:rsidRPr="00B41E66">
        <w:t>biotech</w:t>
      </w:r>
      <w:r w:rsidRPr="00B41E66">
        <w:t xml:space="preserve"> companies that </w:t>
      </w:r>
      <w:r w:rsidR="0091159B" w:rsidRPr="00B41E66">
        <w:t>issued</w:t>
      </w:r>
      <w:r w:rsidRPr="00B41E66">
        <w:t xml:space="preserve"> IPOs in the period from January 2013 to </w:t>
      </w:r>
      <w:r w:rsidR="0001574B" w:rsidRPr="00B41E66">
        <w:rPr>
          <w:color w:val="0000FF"/>
        </w:rPr>
        <w:t>December</w:t>
      </w:r>
      <w:r w:rsidRPr="00B41E66">
        <w:t xml:space="preserve"> </w:t>
      </w:r>
      <w:r w:rsidRPr="00B41E66">
        <w:rPr>
          <w:color w:val="0000FF"/>
        </w:rPr>
        <w:t>201</w:t>
      </w:r>
      <w:r w:rsidR="00D977A6" w:rsidRPr="00B41E66">
        <w:rPr>
          <w:color w:val="0000FF"/>
        </w:rPr>
        <w:t>9</w:t>
      </w:r>
      <w:r w:rsidR="00DA16FD" w:rsidRPr="00B41E66">
        <w:rPr>
          <w:lang w:bidi="he-IL"/>
        </w:rPr>
        <w:t>.</w:t>
      </w:r>
      <w:r w:rsidR="00095948" w:rsidRPr="00B41E66">
        <w:rPr>
          <w:lang w:bidi="he-IL"/>
        </w:rPr>
        <w:t xml:space="preserve"> Data</w:t>
      </w:r>
      <w:r w:rsidR="00DF69BE" w:rsidRPr="00B41E66">
        <w:rPr>
          <w:lang w:bidi="he-IL"/>
        </w:rPr>
        <w:t xml:space="preserve"> was extracted from </w:t>
      </w:r>
      <w:r w:rsidR="0091159B" w:rsidRPr="00B41E66">
        <w:rPr>
          <w:lang w:bidi="he-IL"/>
        </w:rPr>
        <w:t xml:space="preserve">the </w:t>
      </w:r>
      <w:r w:rsidR="00A46A02" w:rsidRPr="00B41E66">
        <w:rPr>
          <w:lang w:bidi="he-IL"/>
        </w:rPr>
        <w:t>E</w:t>
      </w:r>
      <w:r w:rsidR="00DF69BE" w:rsidRPr="00B41E66">
        <w:rPr>
          <w:lang w:bidi="he-IL"/>
        </w:rPr>
        <w:t>valuate</w:t>
      </w:r>
      <w:r w:rsidR="00A46A02" w:rsidRPr="00B41E66">
        <w:rPr>
          <w:lang w:bidi="he-IL"/>
        </w:rPr>
        <w:t>P</w:t>
      </w:r>
      <w:r w:rsidR="00DF69BE" w:rsidRPr="00B41E66">
        <w:rPr>
          <w:lang w:bidi="he-IL"/>
        </w:rPr>
        <w:t>harma database</w:t>
      </w:r>
      <w:r w:rsidRPr="00B41E66">
        <w:t xml:space="preserve"> </w:t>
      </w:r>
      <w:r w:rsidR="00DC1EEF" w:rsidRPr="00B41E66">
        <w:t xml:space="preserve">and NASDAQ web site </w:t>
      </w:r>
      <w:r w:rsidRPr="00B41E66">
        <w:t xml:space="preserve">and </w:t>
      </w:r>
      <w:r w:rsidR="006C3E91" w:rsidRPr="00B41E66">
        <w:rPr>
          <w:lang w:bidi="he-IL"/>
        </w:rPr>
        <w:t>consist</w:t>
      </w:r>
      <w:r w:rsidR="0091159B" w:rsidRPr="00B41E66">
        <w:rPr>
          <w:lang w:bidi="he-IL"/>
        </w:rPr>
        <w:t>ed</w:t>
      </w:r>
      <w:r w:rsidRPr="00B41E66">
        <w:t xml:space="preserve"> </w:t>
      </w:r>
      <w:r w:rsidR="00095948" w:rsidRPr="00B41E66">
        <w:t xml:space="preserve">of </w:t>
      </w:r>
      <w:r w:rsidR="00F851A3" w:rsidRPr="00B41E66">
        <w:t>434</w:t>
      </w:r>
      <w:r w:rsidRPr="00B41E66">
        <w:t xml:space="preserve"> companies</w:t>
      </w:r>
      <w:r w:rsidR="00095948" w:rsidRPr="00B41E66">
        <w:t>.</w:t>
      </w:r>
      <w:r w:rsidR="00CF01C8" w:rsidRPr="00B41E66">
        <w:rPr>
          <w:rStyle w:val="FootnoteReference"/>
        </w:rPr>
        <w:footnoteReference w:id="3"/>
      </w:r>
      <w:r w:rsidR="00095948" w:rsidRPr="00B41E66">
        <w:t xml:space="preserve"> </w:t>
      </w:r>
      <w:r w:rsidRPr="00B41E66">
        <w:t>We focus</w:t>
      </w:r>
      <w:r w:rsidRPr="00B41E66">
        <w:rPr>
          <w:lang w:bidi="he-IL"/>
        </w:rPr>
        <w:t>e</w:t>
      </w:r>
      <w:r w:rsidRPr="00B41E66">
        <w:t>d on companies</w:t>
      </w:r>
      <w:r w:rsidR="0091159B" w:rsidRPr="00B41E66">
        <w:t xml:space="preserve"> traded in the United States, thus excluding</w:t>
      </w:r>
      <w:r w:rsidRPr="00B41E66">
        <w:t xml:space="preserve"> firms traded </w:t>
      </w:r>
      <w:r w:rsidR="0074449C" w:rsidRPr="00B41E66">
        <w:t>o</w:t>
      </w:r>
      <w:r w:rsidR="00BD3F18" w:rsidRPr="00B41E66">
        <w:t>n non-U</w:t>
      </w:r>
      <w:r w:rsidR="0091159B" w:rsidRPr="00B41E66">
        <w:t>.</w:t>
      </w:r>
      <w:r w:rsidR="00BD3F18" w:rsidRPr="00B41E66">
        <w:t>S</w:t>
      </w:r>
      <w:r w:rsidR="0091159B" w:rsidRPr="00B41E66">
        <w:t>.</w:t>
      </w:r>
      <w:r w:rsidR="00BD3F18" w:rsidRPr="00B41E66">
        <w:t xml:space="preserve"> stock exchanges</w:t>
      </w:r>
      <w:r w:rsidRPr="00B41E66">
        <w:t xml:space="preserve">. We also excluded firms that became private or were merged into </w:t>
      </w:r>
      <w:r w:rsidRPr="00B41E66">
        <w:rPr>
          <w:lang w:bidi="he-IL"/>
        </w:rPr>
        <w:t xml:space="preserve">or </w:t>
      </w:r>
      <w:r w:rsidRPr="00B41E66">
        <w:t>acquired by others</w:t>
      </w:r>
      <w:r w:rsidR="00056310" w:rsidRPr="00B41E66">
        <w:t xml:space="preserve"> from</w:t>
      </w:r>
      <w:r w:rsidR="00563FE5" w:rsidRPr="00B41E66">
        <w:t xml:space="preserve"> the</w:t>
      </w:r>
      <w:r w:rsidR="00056310" w:rsidRPr="00B41E66">
        <w:t xml:space="preserve"> </w:t>
      </w:r>
      <w:r w:rsidR="0091159B" w:rsidRPr="00B41E66">
        <w:t xml:space="preserve">time of the </w:t>
      </w:r>
      <w:r w:rsidR="00056310" w:rsidRPr="00B41E66">
        <w:t xml:space="preserve">IPO </w:t>
      </w:r>
      <w:r w:rsidR="0091159B" w:rsidRPr="00B41E66">
        <w:t>until three years following the</w:t>
      </w:r>
      <w:r w:rsidR="00056310" w:rsidRPr="00B41E66">
        <w:t xml:space="preserve"> IPO</w:t>
      </w:r>
      <w:r w:rsidRPr="00B41E66">
        <w:t>.</w:t>
      </w:r>
      <w:r w:rsidR="00563FE5" w:rsidRPr="00B41E66">
        <w:t xml:space="preserve"> </w:t>
      </w:r>
      <w:r w:rsidRPr="00B41E66">
        <w:t xml:space="preserve">Our final database </w:t>
      </w:r>
      <w:r w:rsidR="000451CF" w:rsidRPr="00B41E66">
        <w:t>consist</w:t>
      </w:r>
      <w:r w:rsidR="0091159B" w:rsidRPr="00B41E66">
        <w:t>ed</w:t>
      </w:r>
      <w:r w:rsidR="000451CF" w:rsidRPr="00B41E66">
        <w:t xml:space="preserve"> of </w:t>
      </w:r>
      <w:r w:rsidR="00F851A3" w:rsidRPr="00B41E66">
        <w:t>367</w:t>
      </w:r>
      <w:r w:rsidRPr="00B41E66">
        <w:t xml:space="preserve"> firms</w:t>
      </w:r>
      <w:r w:rsidR="00AF3B90" w:rsidRPr="00B41E66">
        <w:t>.</w:t>
      </w:r>
      <w:r w:rsidR="00E4379E" w:rsidRPr="00B41E66">
        <w:t xml:space="preserve"> </w:t>
      </w:r>
      <w:r w:rsidR="00AE1F9C" w:rsidRPr="00B41E66">
        <w:t xml:space="preserve">Table 1 displays the </w:t>
      </w:r>
      <w:r w:rsidR="00AF3B90" w:rsidRPr="00B41E66">
        <w:t>number</w:t>
      </w:r>
      <w:r w:rsidR="00826CD7" w:rsidRPr="00B41E66">
        <w:t xml:space="preserve"> of IPOs</w:t>
      </w:r>
      <w:r w:rsidR="00826CD7" w:rsidRPr="00B41E66">
        <w:rPr>
          <w:rtl/>
          <w:lang w:bidi="he-IL"/>
        </w:rPr>
        <w:t xml:space="preserve"> </w:t>
      </w:r>
      <w:r w:rsidR="002945D8" w:rsidRPr="00B41E66">
        <w:rPr>
          <w:lang w:bidi="he-IL"/>
        </w:rPr>
        <w:t xml:space="preserve">per year </w:t>
      </w:r>
      <w:r w:rsidR="00826CD7" w:rsidRPr="00B41E66">
        <w:rPr>
          <w:lang w:bidi="he-IL"/>
        </w:rPr>
        <w:t>in our final database</w:t>
      </w:r>
      <w:r w:rsidR="0091159B" w:rsidRPr="00B41E66">
        <w:rPr>
          <w:lang w:bidi="he-IL"/>
        </w:rPr>
        <w:t>.</w:t>
      </w:r>
      <w:r w:rsidR="0062456C" w:rsidRPr="00B41E66">
        <w:rPr>
          <w:rStyle w:val="FootnoteReference"/>
          <w:rtl/>
          <w:lang w:bidi="he-IL"/>
        </w:rPr>
        <w:footnoteReference w:id="4"/>
      </w:r>
      <w:r w:rsidRPr="00B41E66">
        <w:rPr>
          <w:rtl/>
          <w:lang w:bidi="he-IL"/>
        </w:rPr>
        <w:t xml:space="preserve"> </w:t>
      </w:r>
    </w:p>
    <w:p w14:paraId="64063079" w14:textId="77777777" w:rsidR="00FC5121" w:rsidRPr="00B41E66" w:rsidRDefault="00FC5121" w:rsidP="00FC5121">
      <w:pPr>
        <w:autoSpaceDE w:val="0"/>
        <w:autoSpaceDN w:val="0"/>
        <w:adjustRightInd w:val="0"/>
        <w:spacing w:line="276" w:lineRule="auto"/>
        <w:ind w:left="-426" w:right="-625"/>
        <w:jc w:val="both"/>
        <w:rPr>
          <w:color w:val="0000FF"/>
          <w:lang w:bidi="he-IL"/>
        </w:rPr>
      </w:pPr>
      <w:r w:rsidRPr="00B41E66">
        <w:rPr>
          <w:color w:val="0000FF"/>
          <w:lang w:bidi="he-IL"/>
        </w:rPr>
        <w:t>Table 1: Number of IPOs per year</w:t>
      </w:r>
    </w:p>
    <w:tbl>
      <w:tblPr>
        <w:tblW w:w="5230" w:type="dxa"/>
        <w:tblLook w:val="04A0" w:firstRow="1" w:lastRow="0" w:firstColumn="1" w:lastColumn="0" w:noHBand="0" w:noVBand="1"/>
      </w:tblPr>
      <w:tblGrid>
        <w:gridCol w:w="968"/>
        <w:gridCol w:w="937"/>
        <w:gridCol w:w="1023"/>
        <w:gridCol w:w="1284"/>
        <w:gridCol w:w="1018"/>
      </w:tblGrid>
      <w:tr w:rsidR="00FC5121" w:rsidRPr="00B41E66" w14:paraId="3600D769" w14:textId="77777777" w:rsidTr="00B26DFD">
        <w:trPr>
          <w:trHeight w:val="420"/>
        </w:trPr>
        <w:tc>
          <w:tcPr>
            <w:tcW w:w="968" w:type="dxa"/>
            <w:tcBorders>
              <w:top w:val="single" w:sz="12" w:space="0" w:color="auto"/>
              <w:left w:val="single" w:sz="12" w:space="0" w:color="auto"/>
              <w:bottom w:val="nil"/>
              <w:right w:val="nil"/>
            </w:tcBorders>
            <w:shd w:val="clear" w:color="auto" w:fill="auto"/>
            <w:noWrap/>
            <w:vAlign w:val="center"/>
            <w:hideMark/>
          </w:tcPr>
          <w:p w14:paraId="5C7E7815" w14:textId="77777777" w:rsidR="00FC5121" w:rsidRPr="00B41E66" w:rsidRDefault="00FC5121" w:rsidP="00FC5121">
            <w:pPr>
              <w:bidi/>
              <w:jc w:val="center"/>
              <w:rPr>
                <w:b/>
                <w:bCs/>
                <w:color w:val="0000FF"/>
                <w:u w:val="single"/>
                <w:lang w:val="en-IL" w:eastAsia="en-IL" w:bidi="he-IL"/>
              </w:rPr>
            </w:pPr>
            <w:r w:rsidRPr="00B41E66">
              <w:rPr>
                <w:b/>
                <w:bCs/>
                <w:color w:val="0000FF"/>
                <w:u w:val="single"/>
                <w:lang w:eastAsia="en-IL" w:bidi="he-IL"/>
              </w:rPr>
              <w:t>y</w:t>
            </w:r>
            <w:r w:rsidRPr="00B41E66">
              <w:rPr>
                <w:b/>
                <w:bCs/>
                <w:color w:val="0000FF"/>
                <w:u w:val="single"/>
                <w:lang w:val="en-IL" w:eastAsia="en-IL" w:bidi="he-IL"/>
              </w:rPr>
              <w:t>ear</w:t>
            </w:r>
          </w:p>
        </w:tc>
        <w:tc>
          <w:tcPr>
            <w:tcW w:w="957" w:type="dxa"/>
            <w:tcBorders>
              <w:top w:val="single" w:sz="12" w:space="0" w:color="auto"/>
              <w:left w:val="nil"/>
              <w:bottom w:val="nil"/>
              <w:right w:val="nil"/>
            </w:tcBorders>
            <w:shd w:val="clear" w:color="auto" w:fill="auto"/>
            <w:vAlign w:val="center"/>
            <w:hideMark/>
          </w:tcPr>
          <w:p w14:paraId="7AD1AD92" w14:textId="77777777" w:rsidR="00FC5121" w:rsidRPr="00B41E66" w:rsidRDefault="00FC5121" w:rsidP="00FC5121">
            <w:pPr>
              <w:bidi/>
              <w:jc w:val="center"/>
              <w:rPr>
                <w:b/>
                <w:bCs/>
                <w:color w:val="0000FF"/>
                <w:u w:val="single"/>
                <w:rtl/>
                <w:lang w:eastAsia="en-IL" w:bidi="he-IL"/>
              </w:rPr>
            </w:pPr>
            <w:r w:rsidRPr="00B41E66">
              <w:rPr>
                <w:b/>
                <w:bCs/>
                <w:color w:val="0000FF"/>
                <w:u w:val="single"/>
                <w:lang w:eastAsia="en-IL" w:bidi="he-IL"/>
              </w:rPr>
              <w:t>total</w:t>
            </w:r>
          </w:p>
        </w:tc>
        <w:tc>
          <w:tcPr>
            <w:tcW w:w="959" w:type="dxa"/>
            <w:tcBorders>
              <w:top w:val="single" w:sz="12" w:space="0" w:color="auto"/>
              <w:left w:val="nil"/>
              <w:bottom w:val="nil"/>
              <w:right w:val="nil"/>
            </w:tcBorders>
            <w:shd w:val="clear" w:color="auto" w:fill="auto"/>
            <w:vAlign w:val="center"/>
            <w:hideMark/>
          </w:tcPr>
          <w:p w14:paraId="58FCA21D" w14:textId="77777777" w:rsidR="00FC5121" w:rsidRPr="00B41E66" w:rsidRDefault="00FC5121" w:rsidP="00FC5121">
            <w:pPr>
              <w:bidi/>
              <w:jc w:val="center"/>
              <w:rPr>
                <w:b/>
                <w:bCs/>
                <w:color w:val="0000FF"/>
                <w:u w:val="single"/>
                <w:rtl/>
                <w:lang w:eastAsia="en-IL" w:bidi="he-IL"/>
              </w:rPr>
            </w:pPr>
            <w:r w:rsidRPr="00B41E66">
              <w:rPr>
                <w:b/>
                <w:bCs/>
                <w:color w:val="0000FF"/>
                <w:u w:val="single"/>
                <w:lang w:eastAsia="en-IL" w:bidi="he-IL"/>
              </w:rPr>
              <w:t>biotech.</w:t>
            </w:r>
          </w:p>
        </w:tc>
        <w:tc>
          <w:tcPr>
            <w:tcW w:w="1319" w:type="dxa"/>
            <w:tcBorders>
              <w:top w:val="single" w:sz="12" w:space="0" w:color="auto"/>
              <w:left w:val="nil"/>
              <w:bottom w:val="nil"/>
              <w:right w:val="nil"/>
            </w:tcBorders>
            <w:shd w:val="clear" w:color="auto" w:fill="auto"/>
            <w:vAlign w:val="center"/>
            <w:hideMark/>
          </w:tcPr>
          <w:p w14:paraId="6EE417E9" w14:textId="77777777" w:rsidR="00FC5121" w:rsidRPr="00B41E66" w:rsidRDefault="00FC5121" w:rsidP="00FC5121">
            <w:pPr>
              <w:bidi/>
              <w:jc w:val="center"/>
              <w:rPr>
                <w:b/>
                <w:bCs/>
                <w:color w:val="0000FF"/>
                <w:u w:val="single"/>
                <w:rtl/>
                <w:lang w:val="en-IL" w:eastAsia="en-IL" w:bidi="he-IL"/>
              </w:rPr>
            </w:pPr>
            <w:r w:rsidRPr="00B41E66">
              <w:rPr>
                <w:b/>
                <w:bCs/>
                <w:color w:val="0000FF"/>
                <w:u w:val="single"/>
                <w:lang w:eastAsia="en-IL" w:bidi="he-IL"/>
              </w:rPr>
              <w:t>biotech</w:t>
            </w:r>
            <w:r w:rsidRPr="00B41E66">
              <w:rPr>
                <w:b/>
                <w:bCs/>
                <w:color w:val="0000FF"/>
                <w:u w:val="single"/>
                <w:rtl/>
                <w:lang w:val="en-IL" w:eastAsia="en-IL" w:bidi="he-IL"/>
              </w:rPr>
              <w:t xml:space="preserve"> (%)</w:t>
            </w:r>
          </w:p>
        </w:tc>
        <w:tc>
          <w:tcPr>
            <w:tcW w:w="1027" w:type="dxa"/>
            <w:tcBorders>
              <w:top w:val="single" w:sz="12" w:space="0" w:color="auto"/>
              <w:left w:val="nil"/>
              <w:bottom w:val="nil"/>
              <w:right w:val="single" w:sz="12" w:space="0" w:color="auto"/>
            </w:tcBorders>
            <w:shd w:val="clear" w:color="auto" w:fill="auto"/>
            <w:vAlign w:val="center"/>
            <w:hideMark/>
          </w:tcPr>
          <w:p w14:paraId="3F763CA2" w14:textId="77777777" w:rsidR="00FC5121" w:rsidRPr="00B41E66" w:rsidRDefault="00FC5121" w:rsidP="00FC5121">
            <w:pPr>
              <w:bidi/>
              <w:jc w:val="center"/>
              <w:rPr>
                <w:b/>
                <w:bCs/>
                <w:color w:val="0000FF"/>
                <w:u w:val="single"/>
                <w:rtl/>
                <w:lang w:val="en-IL" w:eastAsia="en-IL" w:bidi="he-IL"/>
              </w:rPr>
            </w:pPr>
            <w:r w:rsidRPr="00B41E66">
              <w:rPr>
                <w:b/>
                <w:bCs/>
                <w:color w:val="0000FF"/>
                <w:u w:val="single"/>
                <w:rtl/>
                <w:lang w:val="en-IL" w:eastAsia="en-IL" w:bidi="he-IL"/>
              </w:rPr>
              <w:t xml:space="preserve"> </w:t>
            </w:r>
            <w:r w:rsidRPr="00B41E66">
              <w:rPr>
                <w:b/>
                <w:bCs/>
                <w:color w:val="0000FF"/>
                <w:u w:val="single"/>
                <w:lang w:eastAsia="en-IL" w:bidi="he-IL"/>
              </w:rPr>
              <w:t>s</w:t>
            </w:r>
            <w:r w:rsidRPr="00B41E66">
              <w:rPr>
                <w:b/>
                <w:bCs/>
                <w:color w:val="0000FF"/>
                <w:u w:val="single"/>
                <w:lang w:val="en-IL" w:eastAsia="en-IL" w:bidi="he-IL"/>
              </w:rPr>
              <w:t>ample</w:t>
            </w:r>
          </w:p>
        </w:tc>
      </w:tr>
      <w:tr w:rsidR="00FC5121" w:rsidRPr="00B41E66" w14:paraId="2B29C9AB" w14:textId="77777777" w:rsidTr="00B26DFD">
        <w:trPr>
          <w:trHeight w:val="300"/>
        </w:trPr>
        <w:tc>
          <w:tcPr>
            <w:tcW w:w="968" w:type="dxa"/>
            <w:tcBorders>
              <w:top w:val="nil"/>
              <w:left w:val="single" w:sz="12" w:space="0" w:color="auto"/>
              <w:bottom w:val="nil"/>
              <w:right w:val="nil"/>
            </w:tcBorders>
            <w:shd w:val="clear" w:color="auto" w:fill="auto"/>
            <w:noWrap/>
            <w:vAlign w:val="center"/>
            <w:hideMark/>
          </w:tcPr>
          <w:p w14:paraId="5954B8B3" w14:textId="77777777" w:rsidR="00FC5121" w:rsidRPr="00B41E66" w:rsidRDefault="00FC5121" w:rsidP="00FC5121">
            <w:pPr>
              <w:bidi/>
              <w:jc w:val="center"/>
              <w:rPr>
                <w:color w:val="0000FF"/>
                <w:rtl/>
                <w:lang w:val="en-IL" w:eastAsia="en-IL" w:bidi="he-IL"/>
              </w:rPr>
            </w:pPr>
            <w:r w:rsidRPr="00B41E66">
              <w:rPr>
                <w:color w:val="0000FF"/>
                <w:rtl/>
                <w:lang w:val="en-IL" w:eastAsia="en-IL" w:bidi="he-IL"/>
              </w:rPr>
              <w:t>2013</w:t>
            </w:r>
          </w:p>
        </w:tc>
        <w:tc>
          <w:tcPr>
            <w:tcW w:w="957" w:type="dxa"/>
            <w:tcBorders>
              <w:top w:val="nil"/>
              <w:left w:val="nil"/>
              <w:bottom w:val="nil"/>
              <w:right w:val="nil"/>
            </w:tcBorders>
            <w:shd w:val="clear" w:color="auto" w:fill="auto"/>
            <w:vAlign w:val="center"/>
            <w:hideMark/>
          </w:tcPr>
          <w:p w14:paraId="223E97E6" w14:textId="77777777" w:rsidR="00FC5121" w:rsidRPr="00B41E66" w:rsidRDefault="00FC5121" w:rsidP="00FC5121">
            <w:pPr>
              <w:bidi/>
              <w:jc w:val="center"/>
              <w:rPr>
                <w:color w:val="0000FF"/>
                <w:rtl/>
                <w:lang w:val="en-IL" w:eastAsia="en-IL" w:bidi="he-IL"/>
              </w:rPr>
            </w:pPr>
            <w:r w:rsidRPr="00B41E66">
              <w:rPr>
                <w:color w:val="0000FF"/>
                <w:rtl/>
                <w:lang w:val="en-IL" w:eastAsia="en-IL" w:bidi="he-IL"/>
              </w:rPr>
              <w:t>248</w:t>
            </w:r>
          </w:p>
        </w:tc>
        <w:tc>
          <w:tcPr>
            <w:tcW w:w="959" w:type="dxa"/>
            <w:tcBorders>
              <w:top w:val="nil"/>
              <w:left w:val="nil"/>
              <w:bottom w:val="nil"/>
              <w:right w:val="nil"/>
            </w:tcBorders>
            <w:shd w:val="clear" w:color="auto" w:fill="auto"/>
            <w:noWrap/>
            <w:vAlign w:val="bottom"/>
            <w:hideMark/>
          </w:tcPr>
          <w:p w14:paraId="56562978" w14:textId="77777777" w:rsidR="00FC5121" w:rsidRPr="00B41E66" w:rsidRDefault="00FC5121" w:rsidP="00FC5121">
            <w:pPr>
              <w:jc w:val="center"/>
              <w:rPr>
                <w:color w:val="0000FF"/>
                <w:rtl/>
                <w:lang w:val="en-IL" w:eastAsia="en-IL" w:bidi="he-IL"/>
              </w:rPr>
            </w:pPr>
            <w:r w:rsidRPr="00B41E66">
              <w:rPr>
                <w:color w:val="0000FF"/>
                <w:rtl/>
                <w:lang w:val="en-IL" w:eastAsia="en-IL" w:bidi="he-IL"/>
              </w:rPr>
              <w:t>52</w:t>
            </w:r>
          </w:p>
        </w:tc>
        <w:tc>
          <w:tcPr>
            <w:tcW w:w="1319" w:type="dxa"/>
            <w:tcBorders>
              <w:top w:val="nil"/>
              <w:left w:val="nil"/>
              <w:bottom w:val="nil"/>
              <w:right w:val="nil"/>
            </w:tcBorders>
            <w:shd w:val="clear" w:color="auto" w:fill="auto"/>
            <w:vAlign w:val="center"/>
            <w:hideMark/>
          </w:tcPr>
          <w:p w14:paraId="4281D568" w14:textId="77777777" w:rsidR="00FC5121" w:rsidRPr="00B41E66" w:rsidRDefault="00FC5121" w:rsidP="00FC5121">
            <w:pPr>
              <w:bidi/>
              <w:jc w:val="center"/>
              <w:rPr>
                <w:color w:val="0000FF"/>
                <w:lang w:val="en-IL" w:eastAsia="en-IL" w:bidi="he-IL"/>
              </w:rPr>
            </w:pPr>
            <w:r w:rsidRPr="00B41E66">
              <w:rPr>
                <w:color w:val="0000FF"/>
                <w:rtl/>
                <w:lang w:val="en-IL" w:eastAsia="en-IL" w:bidi="he-IL"/>
              </w:rPr>
              <w:t>17%</w:t>
            </w:r>
          </w:p>
        </w:tc>
        <w:tc>
          <w:tcPr>
            <w:tcW w:w="1027" w:type="dxa"/>
            <w:tcBorders>
              <w:top w:val="nil"/>
              <w:left w:val="nil"/>
              <w:bottom w:val="nil"/>
              <w:right w:val="single" w:sz="12" w:space="0" w:color="auto"/>
            </w:tcBorders>
            <w:shd w:val="clear" w:color="auto" w:fill="auto"/>
            <w:vAlign w:val="center"/>
            <w:hideMark/>
          </w:tcPr>
          <w:p w14:paraId="09E4D771" w14:textId="77777777" w:rsidR="00FC5121" w:rsidRPr="00B41E66" w:rsidRDefault="00FC5121" w:rsidP="00FC5121">
            <w:pPr>
              <w:bidi/>
              <w:jc w:val="center"/>
              <w:rPr>
                <w:color w:val="0000FF"/>
                <w:rtl/>
                <w:lang w:val="en-IL" w:eastAsia="en-IL" w:bidi="he-IL"/>
              </w:rPr>
            </w:pPr>
            <w:r w:rsidRPr="00B41E66">
              <w:rPr>
                <w:color w:val="0000FF"/>
                <w:rtl/>
                <w:lang w:val="en-IL" w:eastAsia="en-IL" w:bidi="he-IL"/>
              </w:rPr>
              <w:t>30</w:t>
            </w:r>
          </w:p>
        </w:tc>
      </w:tr>
      <w:tr w:rsidR="00FC5121" w:rsidRPr="00B41E66" w14:paraId="3E7523BB" w14:textId="77777777" w:rsidTr="00B26DFD">
        <w:trPr>
          <w:trHeight w:val="300"/>
        </w:trPr>
        <w:tc>
          <w:tcPr>
            <w:tcW w:w="968" w:type="dxa"/>
            <w:tcBorders>
              <w:top w:val="nil"/>
              <w:left w:val="single" w:sz="12" w:space="0" w:color="auto"/>
              <w:bottom w:val="nil"/>
              <w:right w:val="nil"/>
            </w:tcBorders>
            <w:shd w:val="clear" w:color="auto" w:fill="auto"/>
            <w:noWrap/>
            <w:vAlign w:val="center"/>
            <w:hideMark/>
          </w:tcPr>
          <w:p w14:paraId="7D2A60C3" w14:textId="77777777" w:rsidR="00FC5121" w:rsidRPr="00B41E66" w:rsidRDefault="00FC5121" w:rsidP="00FC5121">
            <w:pPr>
              <w:bidi/>
              <w:jc w:val="center"/>
              <w:rPr>
                <w:color w:val="0000FF"/>
                <w:rtl/>
                <w:lang w:val="en-IL" w:eastAsia="en-IL" w:bidi="he-IL"/>
              </w:rPr>
            </w:pPr>
            <w:r w:rsidRPr="00B41E66">
              <w:rPr>
                <w:color w:val="0000FF"/>
                <w:rtl/>
                <w:lang w:val="en-IL" w:eastAsia="en-IL" w:bidi="he-IL"/>
              </w:rPr>
              <w:t>2014</w:t>
            </w:r>
          </w:p>
        </w:tc>
        <w:tc>
          <w:tcPr>
            <w:tcW w:w="957" w:type="dxa"/>
            <w:tcBorders>
              <w:top w:val="nil"/>
              <w:left w:val="nil"/>
              <w:bottom w:val="nil"/>
              <w:right w:val="nil"/>
            </w:tcBorders>
            <w:shd w:val="clear" w:color="auto" w:fill="auto"/>
            <w:vAlign w:val="center"/>
            <w:hideMark/>
          </w:tcPr>
          <w:p w14:paraId="5DCF0928" w14:textId="77777777" w:rsidR="00FC5121" w:rsidRPr="00B41E66" w:rsidRDefault="00FC5121" w:rsidP="00FC5121">
            <w:pPr>
              <w:bidi/>
              <w:jc w:val="center"/>
              <w:rPr>
                <w:color w:val="0000FF"/>
                <w:rtl/>
                <w:lang w:val="en-IL" w:eastAsia="en-IL" w:bidi="he-IL"/>
              </w:rPr>
            </w:pPr>
            <w:r w:rsidRPr="00B41E66">
              <w:rPr>
                <w:color w:val="0000FF"/>
                <w:rtl/>
                <w:lang w:val="en-IL" w:eastAsia="en-IL" w:bidi="he-IL"/>
              </w:rPr>
              <w:t>312</w:t>
            </w:r>
          </w:p>
        </w:tc>
        <w:tc>
          <w:tcPr>
            <w:tcW w:w="959" w:type="dxa"/>
            <w:tcBorders>
              <w:top w:val="nil"/>
              <w:left w:val="nil"/>
              <w:bottom w:val="nil"/>
              <w:right w:val="nil"/>
            </w:tcBorders>
            <w:shd w:val="clear" w:color="auto" w:fill="auto"/>
            <w:noWrap/>
            <w:vAlign w:val="bottom"/>
            <w:hideMark/>
          </w:tcPr>
          <w:p w14:paraId="6A9F2828" w14:textId="77777777" w:rsidR="00FC5121" w:rsidRPr="00B41E66" w:rsidRDefault="00FC5121" w:rsidP="00FC5121">
            <w:pPr>
              <w:jc w:val="center"/>
              <w:rPr>
                <w:color w:val="0000FF"/>
                <w:rtl/>
                <w:lang w:eastAsia="en-IL" w:bidi="he-IL"/>
              </w:rPr>
            </w:pPr>
            <w:r w:rsidRPr="00B41E66">
              <w:rPr>
                <w:color w:val="0000FF"/>
                <w:lang w:eastAsia="en-IL" w:bidi="he-IL"/>
              </w:rPr>
              <w:t>85</w:t>
            </w:r>
          </w:p>
        </w:tc>
        <w:tc>
          <w:tcPr>
            <w:tcW w:w="1319" w:type="dxa"/>
            <w:tcBorders>
              <w:top w:val="nil"/>
              <w:left w:val="nil"/>
              <w:bottom w:val="nil"/>
              <w:right w:val="nil"/>
            </w:tcBorders>
            <w:shd w:val="clear" w:color="auto" w:fill="auto"/>
            <w:vAlign w:val="center"/>
            <w:hideMark/>
          </w:tcPr>
          <w:p w14:paraId="76D4848F" w14:textId="77777777" w:rsidR="00FC5121" w:rsidRPr="00B41E66" w:rsidRDefault="00FC5121" w:rsidP="00FC5121">
            <w:pPr>
              <w:bidi/>
              <w:jc w:val="center"/>
              <w:rPr>
                <w:color w:val="0000FF"/>
                <w:lang w:val="en-IL" w:eastAsia="en-IL" w:bidi="he-IL"/>
              </w:rPr>
            </w:pPr>
            <w:r w:rsidRPr="00B41E66">
              <w:rPr>
                <w:color w:val="0000FF"/>
                <w:rtl/>
                <w:lang w:val="en-IL" w:eastAsia="en-IL" w:bidi="he-IL"/>
              </w:rPr>
              <w:t>24%</w:t>
            </w:r>
          </w:p>
        </w:tc>
        <w:tc>
          <w:tcPr>
            <w:tcW w:w="1027" w:type="dxa"/>
            <w:tcBorders>
              <w:top w:val="nil"/>
              <w:left w:val="nil"/>
              <w:bottom w:val="nil"/>
              <w:right w:val="single" w:sz="12" w:space="0" w:color="auto"/>
            </w:tcBorders>
            <w:shd w:val="clear" w:color="auto" w:fill="auto"/>
            <w:vAlign w:val="center"/>
            <w:hideMark/>
          </w:tcPr>
          <w:p w14:paraId="51EE4FB8" w14:textId="77777777" w:rsidR="00FC5121" w:rsidRPr="00B41E66" w:rsidRDefault="00FC5121" w:rsidP="00FC5121">
            <w:pPr>
              <w:bidi/>
              <w:jc w:val="center"/>
              <w:rPr>
                <w:color w:val="0000FF"/>
                <w:rtl/>
                <w:lang w:val="en-IL" w:eastAsia="en-IL" w:bidi="he-IL"/>
              </w:rPr>
            </w:pPr>
            <w:r w:rsidRPr="00B41E66">
              <w:rPr>
                <w:color w:val="0000FF"/>
                <w:rtl/>
                <w:lang w:val="en-IL" w:eastAsia="en-IL" w:bidi="he-IL"/>
              </w:rPr>
              <w:t>70</w:t>
            </w:r>
          </w:p>
        </w:tc>
      </w:tr>
      <w:tr w:rsidR="00FC5121" w:rsidRPr="00B41E66" w14:paraId="4F4CD8AD" w14:textId="77777777" w:rsidTr="00B26DFD">
        <w:trPr>
          <w:trHeight w:val="300"/>
        </w:trPr>
        <w:tc>
          <w:tcPr>
            <w:tcW w:w="968" w:type="dxa"/>
            <w:tcBorders>
              <w:top w:val="nil"/>
              <w:left w:val="single" w:sz="12" w:space="0" w:color="auto"/>
              <w:bottom w:val="nil"/>
              <w:right w:val="nil"/>
            </w:tcBorders>
            <w:shd w:val="clear" w:color="auto" w:fill="auto"/>
            <w:noWrap/>
            <w:vAlign w:val="center"/>
            <w:hideMark/>
          </w:tcPr>
          <w:p w14:paraId="2EE88744" w14:textId="77777777" w:rsidR="00FC5121" w:rsidRPr="00B41E66" w:rsidRDefault="00FC5121" w:rsidP="00FC5121">
            <w:pPr>
              <w:bidi/>
              <w:jc w:val="center"/>
              <w:rPr>
                <w:color w:val="0000FF"/>
                <w:rtl/>
                <w:lang w:val="en-IL" w:eastAsia="en-IL" w:bidi="he-IL"/>
              </w:rPr>
            </w:pPr>
            <w:r w:rsidRPr="00B41E66">
              <w:rPr>
                <w:color w:val="0000FF"/>
                <w:rtl/>
                <w:lang w:val="en-IL" w:eastAsia="en-IL" w:bidi="he-IL"/>
              </w:rPr>
              <w:t>2015</w:t>
            </w:r>
          </w:p>
        </w:tc>
        <w:tc>
          <w:tcPr>
            <w:tcW w:w="957" w:type="dxa"/>
            <w:tcBorders>
              <w:top w:val="nil"/>
              <w:left w:val="nil"/>
              <w:bottom w:val="nil"/>
              <w:right w:val="nil"/>
            </w:tcBorders>
            <w:shd w:val="clear" w:color="auto" w:fill="auto"/>
            <w:vAlign w:val="center"/>
            <w:hideMark/>
          </w:tcPr>
          <w:p w14:paraId="2999F660" w14:textId="77777777" w:rsidR="00FC5121" w:rsidRPr="00B41E66" w:rsidRDefault="00FC5121" w:rsidP="00FC5121">
            <w:pPr>
              <w:bidi/>
              <w:jc w:val="center"/>
              <w:rPr>
                <w:color w:val="0000FF"/>
                <w:rtl/>
                <w:lang w:val="en-IL" w:eastAsia="en-IL" w:bidi="he-IL"/>
              </w:rPr>
            </w:pPr>
            <w:r w:rsidRPr="00B41E66">
              <w:rPr>
                <w:color w:val="0000FF"/>
                <w:rtl/>
                <w:lang w:val="en-IL" w:eastAsia="en-IL" w:bidi="he-IL"/>
              </w:rPr>
              <w:t>200</w:t>
            </w:r>
          </w:p>
        </w:tc>
        <w:tc>
          <w:tcPr>
            <w:tcW w:w="959" w:type="dxa"/>
            <w:tcBorders>
              <w:top w:val="nil"/>
              <w:left w:val="nil"/>
              <w:bottom w:val="nil"/>
              <w:right w:val="nil"/>
            </w:tcBorders>
            <w:shd w:val="clear" w:color="auto" w:fill="auto"/>
            <w:noWrap/>
            <w:vAlign w:val="bottom"/>
            <w:hideMark/>
          </w:tcPr>
          <w:p w14:paraId="128D7CF8" w14:textId="77777777" w:rsidR="00FC5121" w:rsidRPr="00B41E66" w:rsidRDefault="00FC5121" w:rsidP="00FC5121">
            <w:pPr>
              <w:jc w:val="center"/>
              <w:rPr>
                <w:color w:val="0000FF"/>
                <w:rtl/>
                <w:lang w:val="en-IL" w:eastAsia="en-IL" w:bidi="he-IL"/>
              </w:rPr>
            </w:pPr>
            <w:r w:rsidRPr="00B41E66">
              <w:rPr>
                <w:color w:val="0000FF"/>
                <w:lang w:eastAsia="en-IL" w:bidi="he-IL"/>
              </w:rPr>
              <w:t>6</w:t>
            </w:r>
            <w:r w:rsidRPr="00B41E66">
              <w:rPr>
                <w:color w:val="0000FF"/>
                <w:lang w:val="en-IL" w:eastAsia="en-IL" w:bidi="he-IL"/>
              </w:rPr>
              <w:t>4</w:t>
            </w:r>
          </w:p>
        </w:tc>
        <w:tc>
          <w:tcPr>
            <w:tcW w:w="1319" w:type="dxa"/>
            <w:tcBorders>
              <w:top w:val="nil"/>
              <w:left w:val="nil"/>
              <w:bottom w:val="nil"/>
              <w:right w:val="nil"/>
            </w:tcBorders>
            <w:shd w:val="clear" w:color="auto" w:fill="auto"/>
            <w:vAlign w:val="center"/>
            <w:hideMark/>
          </w:tcPr>
          <w:p w14:paraId="5900037E" w14:textId="77777777" w:rsidR="00FC5121" w:rsidRPr="00B41E66" w:rsidRDefault="00FC5121" w:rsidP="00FC5121">
            <w:pPr>
              <w:bidi/>
              <w:jc w:val="center"/>
              <w:rPr>
                <w:color w:val="0000FF"/>
                <w:lang w:val="en-IL" w:eastAsia="en-IL" w:bidi="he-IL"/>
              </w:rPr>
            </w:pPr>
            <w:r w:rsidRPr="00B41E66">
              <w:rPr>
                <w:color w:val="0000FF"/>
                <w:rtl/>
                <w:lang w:val="en-IL" w:eastAsia="en-IL" w:bidi="he-IL"/>
              </w:rPr>
              <w:t>27%</w:t>
            </w:r>
          </w:p>
        </w:tc>
        <w:tc>
          <w:tcPr>
            <w:tcW w:w="1027" w:type="dxa"/>
            <w:tcBorders>
              <w:top w:val="nil"/>
              <w:left w:val="nil"/>
              <w:bottom w:val="nil"/>
              <w:right w:val="single" w:sz="12" w:space="0" w:color="auto"/>
            </w:tcBorders>
            <w:shd w:val="clear" w:color="auto" w:fill="auto"/>
            <w:vAlign w:val="center"/>
            <w:hideMark/>
          </w:tcPr>
          <w:p w14:paraId="7092EAF6" w14:textId="77777777" w:rsidR="00FC5121" w:rsidRPr="00B41E66" w:rsidRDefault="00FC5121" w:rsidP="00FC5121">
            <w:pPr>
              <w:bidi/>
              <w:jc w:val="center"/>
              <w:rPr>
                <w:color w:val="0000FF"/>
                <w:rtl/>
                <w:lang w:val="en-IL" w:eastAsia="en-IL" w:bidi="he-IL"/>
              </w:rPr>
            </w:pPr>
            <w:r w:rsidRPr="00B41E66">
              <w:rPr>
                <w:color w:val="0000FF"/>
                <w:rtl/>
                <w:lang w:val="en-IL" w:eastAsia="en-IL" w:bidi="he-IL"/>
              </w:rPr>
              <w:t>49</w:t>
            </w:r>
          </w:p>
        </w:tc>
      </w:tr>
      <w:tr w:rsidR="00FC5121" w:rsidRPr="00B41E66" w14:paraId="6BC6B233" w14:textId="77777777" w:rsidTr="00B26DFD">
        <w:trPr>
          <w:trHeight w:val="300"/>
        </w:trPr>
        <w:tc>
          <w:tcPr>
            <w:tcW w:w="968" w:type="dxa"/>
            <w:tcBorders>
              <w:top w:val="nil"/>
              <w:left w:val="single" w:sz="12" w:space="0" w:color="auto"/>
              <w:bottom w:val="nil"/>
              <w:right w:val="nil"/>
            </w:tcBorders>
            <w:shd w:val="clear" w:color="auto" w:fill="auto"/>
            <w:noWrap/>
            <w:vAlign w:val="center"/>
            <w:hideMark/>
          </w:tcPr>
          <w:p w14:paraId="522141AF" w14:textId="77777777" w:rsidR="00FC5121" w:rsidRPr="00B41E66" w:rsidRDefault="00FC5121" w:rsidP="00FC5121">
            <w:pPr>
              <w:bidi/>
              <w:jc w:val="center"/>
              <w:rPr>
                <w:color w:val="0000FF"/>
                <w:rtl/>
                <w:lang w:val="en-IL" w:eastAsia="en-IL" w:bidi="he-IL"/>
              </w:rPr>
            </w:pPr>
            <w:r w:rsidRPr="00B41E66">
              <w:rPr>
                <w:color w:val="0000FF"/>
                <w:rtl/>
                <w:lang w:val="en-IL" w:eastAsia="en-IL" w:bidi="he-IL"/>
              </w:rPr>
              <w:t>2016</w:t>
            </w:r>
          </w:p>
        </w:tc>
        <w:tc>
          <w:tcPr>
            <w:tcW w:w="957" w:type="dxa"/>
            <w:tcBorders>
              <w:top w:val="nil"/>
              <w:left w:val="nil"/>
              <w:bottom w:val="nil"/>
              <w:right w:val="nil"/>
            </w:tcBorders>
            <w:shd w:val="clear" w:color="auto" w:fill="auto"/>
            <w:vAlign w:val="center"/>
            <w:hideMark/>
          </w:tcPr>
          <w:p w14:paraId="60E1B26F" w14:textId="77777777" w:rsidR="00FC5121" w:rsidRPr="00B41E66" w:rsidRDefault="00FC5121" w:rsidP="00FC5121">
            <w:pPr>
              <w:bidi/>
              <w:jc w:val="center"/>
              <w:rPr>
                <w:color w:val="0000FF"/>
                <w:rtl/>
                <w:lang w:val="en-IL" w:eastAsia="en-IL" w:bidi="he-IL"/>
              </w:rPr>
            </w:pPr>
            <w:r w:rsidRPr="00B41E66">
              <w:rPr>
                <w:color w:val="0000FF"/>
                <w:rtl/>
                <w:lang w:val="en-IL" w:eastAsia="en-IL" w:bidi="he-IL"/>
              </w:rPr>
              <w:t>128</w:t>
            </w:r>
          </w:p>
        </w:tc>
        <w:tc>
          <w:tcPr>
            <w:tcW w:w="959" w:type="dxa"/>
            <w:tcBorders>
              <w:top w:val="nil"/>
              <w:left w:val="nil"/>
              <w:bottom w:val="nil"/>
              <w:right w:val="nil"/>
            </w:tcBorders>
            <w:shd w:val="clear" w:color="auto" w:fill="auto"/>
            <w:noWrap/>
            <w:vAlign w:val="bottom"/>
            <w:hideMark/>
          </w:tcPr>
          <w:p w14:paraId="4D8740B0" w14:textId="77777777" w:rsidR="00FC5121" w:rsidRPr="00B41E66" w:rsidRDefault="00FC5121" w:rsidP="00FC5121">
            <w:pPr>
              <w:jc w:val="center"/>
              <w:rPr>
                <w:color w:val="0000FF"/>
                <w:rtl/>
                <w:lang w:eastAsia="en-IL" w:bidi="he-IL"/>
              </w:rPr>
            </w:pPr>
            <w:r w:rsidRPr="00B41E66">
              <w:rPr>
                <w:color w:val="0000FF"/>
                <w:lang w:val="en-IL" w:eastAsia="en-IL" w:bidi="he-IL"/>
              </w:rPr>
              <w:t>3</w:t>
            </w:r>
            <w:r w:rsidRPr="00B41E66">
              <w:rPr>
                <w:color w:val="0000FF"/>
                <w:lang w:eastAsia="en-IL" w:bidi="he-IL"/>
              </w:rPr>
              <w:t>3</w:t>
            </w:r>
          </w:p>
        </w:tc>
        <w:tc>
          <w:tcPr>
            <w:tcW w:w="1319" w:type="dxa"/>
            <w:tcBorders>
              <w:top w:val="nil"/>
              <w:left w:val="nil"/>
              <w:bottom w:val="nil"/>
              <w:right w:val="nil"/>
            </w:tcBorders>
            <w:shd w:val="clear" w:color="auto" w:fill="auto"/>
            <w:vAlign w:val="center"/>
            <w:hideMark/>
          </w:tcPr>
          <w:p w14:paraId="58C97D26" w14:textId="77777777" w:rsidR="00FC5121" w:rsidRPr="00B41E66" w:rsidRDefault="00FC5121" w:rsidP="00FC5121">
            <w:pPr>
              <w:bidi/>
              <w:jc w:val="center"/>
              <w:rPr>
                <w:color w:val="0000FF"/>
                <w:lang w:val="en-IL" w:eastAsia="en-IL" w:bidi="he-IL"/>
              </w:rPr>
            </w:pPr>
            <w:r w:rsidRPr="00B41E66">
              <w:rPr>
                <w:color w:val="0000FF"/>
                <w:rtl/>
                <w:lang w:val="en-IL" w:eastAsia="en-IL" w:bidi="he-IL"/>
              </w:rPr>
              <w:t>25%</w:t>
            </w:r>
          </w:p>
        </w:tc>
        <w:tc>
          <w:tcPr>
            <w:tcW w:w="1027" w:type="dxa"/>
            <w:tcBorders>
              <w:top w:val="nil"/>
              <w:left w:val="nil"/>
              <w:bottom w:val="nil"/>
              <w:right w:val="single" w:sz="12" w:space="0" w:color="auto"/>
            </w:tcBorders>
            <w:shd w:val="clear" w:color="auto" w:fill="auto"/>
            <w:vAlign w:val="center"/>
            <w:hideMark/>
          </w:tcPr>
          <w:p w14:paraId="44D2F325" w14:textId="77777777" w:rsidR="00FC5121" w:rsidRPr="00B41E66" w:rsidRDefault="00FC5121" w:rsidP="00FC5121">
            <w:pPr>
              <w:bidi/>
              <w:jc w:val="center"/>
              <w:rPr>
                <w:color w:val="0000FF"/>
                <w:rtl/>
                <w:lang w:val="en-IL" w:eastAsia="en-IL" w:bidi="he-IL"/>
              </w:rPr>
            </w:pPr>
            <w:r w:rsidRPr="00B41E66">
              <w:rPr>
                <w:color w:val="0000FF"/>
                <w:rtl/>
                <w:lang w:val="en-IL" w:eastAsia="en-IL" w:bidi="he-IL"/>
              </w:rPr>
              <w:t>29</w:t>
            </w:r>
          </w:p>
        </w:tc>
      </w:tr>
      <w:tr w:rsidR="00FC5121" w:rsidRPr="00B41E66" w14:paraId="01A47F00" w14:textId="77777777" w:rsidTr="00B26DFD">
        <w:trPr>
          <w:trHeight w:val="300"/>
        </w:trPr>
        <w:tc>
          <w:tcPr>
            <w:tcW w:w="968" w:type="dxa"/>
            <w:tcBorders>
              <w:top w:val="nil"/>
              <w:left w:val="single" w:sz="12" w:space="0" w:color="auto"/>
              <w:bottom w:val="nil"/>
              <w:right w:val="nil"/>
            </w:tcBorders>
            <w:shd w:val="clear" w:color="auto" w:fill="auto"/>
            <w:noWrap/>
            <w:vAlign w:val="center"/>
            <w:hideMark/>
          </w:tcPr>
          <w:p w14:paraId="40AF2D9D" w14:textId="77777777" w:rsidR="00FC5121" w:rsidRPr="00B41E66" w:rsidRDefault="00FC5121" w:rsidP="00FC5121">
            <w:pPr>
              <w:bidi/>
              <w:jc w:val="center"/>
              <w:rPr>
                <w:color w:val="0000FF"/>
                <w:rtl/>
                <w:lang w:val="en-IL" w:eastAsia="en-IL" w:bidi="he-IL"/>
              </w:rPr>
            </w:pPr>
            <w:r w:rsidRPr="00B41E66">
              <w:rPr>
                <w:color w:val="0000FF"/>
                <w:rtl/>
                <w:lang w:val="en-IL" w:eastAsia="en-IL" w:bidi="he-IL"/>
              </w:rPr>
              <w:t>2017</w:t>
            </w:r>
          </w:p>
        </w:tc>
        <w:tc>
          <w:tcPr>
            <w:tcW w:w="957" w:type="dxa"/>
            <w:tcBorders>
              <w:top w:val="nil"/>
              <w:left w:val="nil"/>
              <w:bottom w:val="nil"/>
              <w:right w:val="nil"/>
            </w:tcBorders>
            <w:shd w:val="clear" w:color="auto" w:fill="auto"/>
            <w:vAlign w:val="center"/>
            <w:hideMark/>
          </w:tcPr>
          <w:p w14:paraId="1B75A6D8" w14:textId="77777777" w:rsidR="00FC5121" w:rsidRPr="00B41E66" w:rsidRDefault="00FC5121" w:rsidP="00FC5121">
            <w:pPr>
              <w:bidi/>
              <w:jc w:val="center"/>
              <w:rPr>
                <w:color w:val="0000FF"/>
                <w:rtl/>
                <w:lang w:val="en-IL" w:eastAsia="en-IL" w:bidi="he-IL"/>
              </w:rPr>
            </w:pPr>
            <w:r w:rsidRPr="00B41E66">
              <w:rPr>
                <w:color w:val="0000FF"/>
                <w:rtl/>
                <w:lang w:val="en-IL" w:eastAsia="en-IL" w:bidi="he-IL"/>
              </w:rPr>
              <w:t>210</w:t>
            </w:r>
          </w:p>
        </w:tc>
        <w:tc>
          <w:tcPr>
            <w:tcW w:w="959" w:type="dxa"/>
            <w:tcBorders>
              <w:top w:val="nil"/>
              <w:left w:val="nil"/>
              <w:bottom w:val="nil"/>
              <w:right w:val="nil"/>
            </w:tcBorders>
            <w:shd w:val="clear" w:color="auto" w:fill="auto"/>
            <w:noWrap/>
            <w:vAlign w:val="bottom"/>
            <w:hideMark/>
          </w:tcPr>
          <w:p w14:paraId="0B8E78E6" w14:textId="77777777" w:rsidR="00FC5121" w:rsidRPr="00B41E66" w:rsidRDefault="00FC5121" w:rsidP="00FC5121">
            <w:pPr>
              <w:jc w:val="center"/>
              <w:rPr>
                <w:color w:val="0000FF"/>
                <w:rtl/>
                <w:lang w:val="en-IL" w:eastAsia="en-IL" w:bidi="he-IL"/>
              </w:rPr>
            </w:pPr>
            <w:r w:rsidRPr="00B41E66">
              <w:rPr>
                <w:color w:val="0000FF"/>
                <w:lang w:val="en-IL" w:eastAsia="en-IL" w:bidi="he-IL"/>
              </w:rPr>
              <w:t>51</w:t>
            </w:r>
          </w:p>
        </w:tc>
        <w:tc>
          <w:tcPr>
            <w:tcW w:w="1319" w:type="dxa"/>
            <w:tcBorders>
              <w:top w:val="nil"/>
              <w:left w:val="nil"/>
              <w:bottom w:val="nil"/>
              <w:right w:val="nil"/>
            </w:tcBorders>
            <w:shd w:val="clear" w:color="auto" w:fill="auto"/>
            <w:vAlign w:val="center"/>
            <w:hideMark/>
          </w:tcPr>
          <w:p w14:paraId="73C0CD84" w14:textId="77777777" w:rsidR="00FC5121" w:rsidRPr="00B41E66" w:rsidRDefault="00FC5121" w:rsidP="00FC5121">
            <w:pPr>
              <w:bidi/>
              <w:jc w:val="center"/>
              <w:rPr>
                <w:color w:val="0000FF"/>
                <w:lang w:val="en-IL" w:eastAsia="en-IL" w:bidi="he-IL"/>
              </w:rPr>
            </w:pPr>
            <w:r w:rsidRPr="00B41E66">
              <w:rPr>
                <w:color w:val="0000FF"/>
                <w:rtl/>
                <w:lang w:val="en-IL" w:eastAsia="en-IL" w:bidi="he-IL"/>
              </w:rPr>
              <w:t>24%</w:t>
            </w:r>
          </w:p>
        </w:tc>
        <w:tc>
          <w:tcPr>
            <w:tcW w:w="1027" w:type="dxa"/>
            <w:tcBorders>
              <w:top w:val="nil"/>
              <w:left w:val="nil"/>
              <w:bottom w:val="nil"/>
              <w:right w:val="single" w:sz="12" w:space="0" w:color="auto"/>
            </w:tcBorders>
            <w:shd w:val="clear" w:color="auto" w:fill="auto"/>
            <w:vAlign w:val="center"/>
            <w:hideMark/>
          </w:tcPr>
          <w:p w14:paraId="46994979" w14:textId="77777777" w:rsidR="00FC5121" w:rsidRPr="00B41E66" w:rsidRDefault="00FC5121" w:rsidP="00FC5121">
            <w:pPr>
              <w:bidi/>
              <w:jc w:val="center"/>
              <w:rPr>
                <w:color w:val="0000FF"/>
                <w:rtl/>
                <w:lang w:val="en-IL" w:eastAsia="en-IL" w:bidi="he-IL"/>
              </w:rPr>
            </w:pPr>
            <w:r w:rsidRPr="00B41E66">
              <w:rPr>
                <w:color w:val="0000FF"/>
                <w:rtl/>
                <w:lang w:val="en-IL" w:eastAsia="en-IL" w:bidi="he-IL"/>
              </w:rPr>
              <w:t>50</w:t>
            </w:r>
          </w:p>
        </w:tc>
      </w:tr>
      <w:tr w:rsidR="00FC5121" w:rsidRPr="00B41E66" w14:paraId="70B23AA3" w14:textId="77777777" w:rsidTr="00B26DFD">
        <w:trPr>
          <w:trHeight w:val="300"/>
        </w:trPr>
        <w:tc>
          <w:tcPr>
            <w:tcW w:w="968" w:type="dxa"/>
            <w:tcBorders>
              <w:top w:val="nil"/>
              <w:left w:val="single" w:sz="12" w:space="0" w:color="auto"/>
              <w:bottom w:val="nil"/>
              <w:right w:val="nil"/>
            </w:tcBorders>
            <w:shd w:val="clear" w:color="auto" w:fill="auto"/>
            <w:noWrap/>
            <w:vAlign w:val="center"/>
            <w:hideMark/>
          </w:tcPr>
          <w:p w14:paraId="1EA8E6E3" w14:textId="77777777" w:rsidR="00FC5121" w:rsidRPr="00B41E66" w:rsidRDefault="00FC5121" w:rsidP="00FC5121">
            <w:pPr>
              <w:bidi/>
              <w:jc w:val="center"/>
              <w:rPr>
                <w:color w:val="0000FF"/>
                <w:rtl/>
                <w:lang w:val="en-IL" w:eastAsia="en-IL" w:bidi="he-IL"/>
              </w:rPr>
            </w:pPr>
            <w:r w:rsidRPr="00B41E66">
              <w:rPr>
                <w:color w:val="0000FF"/>
                <w:rtl/>
                <w:lang w:val="en-IL" w:eastAsia="en-IL" w:bidi="he-IL"/>
              </w:rPr>
              <w:t>2018</w:t>
            </w:r>
          </w:p>
        </w:tc>
        <w:tc>
          <w:tcPr>
            <w:tcW w:w="957" w:type="dxa"/>
            <w:tcBorders>
              <w:top w:val="nil"/>
              <w:left w:val="nil"/>
              <w:bottom w:val="nil"/>
              <w:right w:val="nil"/>
            </w:tcBorders>
            <w:shd w:val="clear" w:color="auto" w:fill="auto"/>
            <w:vAlign w:val="center"/>
            <w:hideMark/>
          </w:tcPr>
          <w:p w14:paraId="50AE5BAC" w14:textId="77777777" w:rsidR="00FC5121" w:rsidRPr="00B41E66" w:rsidRDefault="00FC5121" w:rsidP="00FC5121">
            <w:pPr>
              <w:bidi/>
              <w:jc w:val="center"/>
              <w:rPr>
                <w:color w:val="0000FF"/>
                <w:rtl/>
                <w:lang w:val="en-IL" w:eastAsia="en-IL" w:bidi="he-IL"/>
              </w:rPr>
            </w:pPr>
            <w:r w:rsidRPr="00B41E66">
              <w:rPr>
                <w:color w:val="0000FF"/>
                <w:rtl/>
                <w:lang w:val="en-IL" w:eastAsia="en-IL" w:bidi="he-IL"/>
              </w:rPr>
              <w:t>258</w:t>
            </w:r>
          </w:p>
        </w:tc>
        <w:tc>
          <w:tcPr>
            <w:tcW w:w="959" w:type="dxa"/>
            <w:tcBorders>
              <w:top w:val="nil"/>
              <w:left w:val="nil"/>
              <w:bottom w:val="nil"/>
              <w:right w:val="nil"/>
            </w:tcBorders>
            <w:shd w:val="clear" w:color="auto" w:fill="auto"/>
            <w:noWrap/>
            <w:vAlign w:val="bottom"/>
            <w:hideMark/>
          </w:tcPr>
          <w:p w14:paraId="4BFFA638" w14:textId="77777777" w:rsidR="00FC5121" w:rsidRPr="00B41E66" w:rsidRDefault="00FC5121" w:rsidP="00FC5121">
            <w:pPr>
              <w:jc w:val="center"/>
              <w:rPr>
                <w:color w:val="0000FF"/>
                <w:rtl/>
                <w:lang w:val="en-IL" w:eastAsia="en-IL" w:bidi="he-IL"/>
              </w:rPr>
            </w:pPr>
            <w:r w:rsidRPr="00B41E66">
              <w:rPr>
                <w:color w:val="0000FF"/>
                <w:lang w:val="en-IL" w:eastAsia="en-IL" w:bidi="he-IL"/>
              </w:rPr>
              <w:t>82</w:t>
            </w:r>
          </w:p>
        </w:tc>
        <w:tc>
          <w:tcPr>
            <w:tcW w:w="1319" w:type="dxa"/>
            <w:tcBorders>
              <w:top w:val="nil"/>
              <w:left w:val="nil"/>
              <w:bottom w:val="nil"/>
              <w:right w:val="nil"/>
            </w:tcBorders>
            <w:shd w:val="clear" w:color="auto" w:fill="auto"/>
            <w:vAlign w:val="center"/>
            <w:hideMark/>
          </w:tcPr>
          <w:p w14:paraId="29989480" w14:textId="77777777" w:rsidR="00FC5121" w:rsidRPr="00B41E66" w:rsidRDefault="00FC5121" w:rsidP="00FC5121">
            <w:pPr>
              <w:bidi/>
              <w:jc w:val="center"/>
              <w:rPr>
                <w:color w:val="0000FF"/>
                <w:lang w:val="en-IL" w:eastAsia="en-IL" w:bidi="he-IL"/>
              </w:rPr>
            </w:pPr>
            <w:r w:rsidRPr="00B41E66">
              <w:rPr>
                <w:color w:val="0000FF"/>
                <w:rtl/>
                <w:lang w:val="en-IL" w:eastAsia="en-IL" w:bidi="he-IL"/>
              </w:rPr>
              <w:t>32%</w:t>
            </w:r>
          </w:p>
        </w:tc>
        <w:tc>
          <w:tcPr>
            <w:tcW w:w="1027" w:type="dxa"/>
            <w:tcBorders>
              <w:top w:val="nil"/>
              <w:left w:val="nil"/>
              <w:bottom w:val="nil"/>
              <w:right w:val="single" w:sz="12" w:space="0" w:color="auto"/>
            </w:tcBorders>
            <w:shd w:val="clear" w:color="auto" w:fill="auto"/>
            <w:vAlign w:val="center"/>
            <w:hideMark/>
          </w:tcPr>
          <w:p w14:paraId="5D85CA64" w14:textId="77777777" w:rsidR="00FC5121" w:rsidRPr="00B41E66" w:rsidRDefault="00FC5121" w:rsidP="00FC5121">
            <w:pPr>
              <w:bidi/>
              <w:jc w:val="center"/>
              <w:rPr>
                <w:color w:val="0000FF"/>
                <w:rtl/>
                <w:lang w:val="en-IL" w:eastAsia="en-IL" w:bidi="he-IL"/>
              </w:rPr>
            </w:pPr>
            <w:r w:rsidRPr="00B41E66">
              <w:rPr>
                <w:color w:val="0000FF"/>
                <w:rtl/>
                <w:lang w:val="en-IL" w:eastAsia="en-IL" w:bidi="he-IL"/>
              </w:rPr>
              <w:t>82</w:t>
            </w:r>
          </w:p>
        </w:tc>
      </w:tr>
      <w:tr w:rsidR="00FC5121" w:rsidRPr="00B41E66" w14:paraId="39977130" w14:textId="77777777" w:rsidTr="00B26DFD">
        <w:trPr>
          <w:trHeight w:val="300"/>
        </w:trPr>
        <w:tc>
          <w:tcPr>
            <w:tcW w:w="968" w:type="dxa"/>
            <w:tcBorders>
              <w:top w:val="nil"/>
              <w:left w:val="single" w:sz="12" w:space="0" w:color="auto"/>
              <w:bottom w:val="nil"/>
              <w:right w:val="nil"/>
            </w:tcBorders>
            <w:shd w:val="clear" w:color="auto" w:fill="auto"/>
            <w:noWrap/>
            <w:vAlign w:val="center"/>
            <w:hideMark/>
          </w:tcPr>
          <w:p w14:paraId="00807708" w14:textId="77777777" w:rsidR="00FC5121" w:rsidRPr="00B41E66" w:rsidRDefault="00FC5121" w:rsidP="00FC5121">
            <w:pPr>
              <w:bidi/>
              <w:jc w:val="center"/>
              <w:rPr>
                <w:color w:val="0000FF"/>
                <w:rtl/>
                <w:lang w:val="en-IL" w:eastAsia="en-IL" w:bidi="he-IL"/>
              </w:rPr>
            </w:pPr>
            <w:r w:rsidRPr="00B41E66">
              <w:rPr>
                <w:color w:val="0000FF"/>
                <w:rtl/>
                <w:lang w:val="en-IL" w:eastAsia="en-IL" w:bidi="he-IL"/>
              </w:rPr>
              <w:t>2019</w:t>
            </w:r>
          </w:p>
        </w:tc>
        <w:tc>
          <w:tcPr>
            <w:tcW w:w="957" w:type="dxa"/>
            <w:tcBorders>
              <w:top w:val="nil"/>
              <w:left w:val="nil"/>
              <w:bottom w:val="nil"/>
              <w:right w:val="nil"/>
            </w:tcBorders>
            <w:shd w:val="clear" w:color="auto" w:fill="auto"/>
            <w:vAlign w:val="center"/>
            <w:hideMark/>
          </w:tcPr>
          <w:p w14:paraId="5B630C1A" w14:textId="77777777" w:rsidR="00FC5121" w:rsidRPr="00B41E66" w:rsidRDefault="00FC5121" w:rsidP="00FC5121">
            <w:pPr>
              <w:bidi/>
              <w:jc w:val="center"/>
              <w:rPr>
                <w:color w:val="0000FF"/>
                <w:u w:val="single"/>
                <w:rtl/>
                <w:lang w:val="en-IL" w:eastAsia="en-IL" w:bidi="he-IL"/>
              </w:rPr>
            </w:pPr>
            <w:r w:rsidRPr="00B41E66">
              <w:rPr>
                <w:color w:val="0000FF"/>
                <w:u w:val="single"/>
                <w:rtl/>
                <w:lang w:val="en-IL" w:eastAsia="en-IL" w:bidi="he-IL"/>
              </w:rPr>
              <w:t>266</w:t>
            </w:r>
          </w:p>
        </w:tc>
        <w:tc>
          <w:tcPr>
            <w:tcW w:w="959" w:type="dxa"/>
            <w:tcBorders>
              <w:top w:val="nil"/>
              <w:left w:val="nil"/>
              <w:bottom w:val="nil"/>
              <w:right w:val="nil"/>
            </w:tcBorders>
            <w:shd w:val="clear" w:color="auto" w:fill="auto"/>
            <w:noWrap/>
            <w:vAlign w:val="bottom"/>
            <w:hideMark/>
          </w:tcPr>
          <w:p w14:paraId="01D42302" w14:textId="77777777" w:rsidR="00FC5121" w:rsidRPr="00B41E66" w:rsidRDefault="00FC5121" w:rsidP="00FC5121">
            <w:pPr>
              <w:jc w:val="center"/>
              <w:rPr>
                <w:color w:val="0000FF"/>
                <w:u w:val="single"/>
                <w:rtl/>
                <w:lang w:val="en-IL" w:eastAsia="en-IL" w:bidi="he-IL"/>
              </w:rPr>
            </w:pPr>
            <w:r w:rsidRPr="00B41E66">
              <w:rPr>
                <w:color w:val="0000FF"/>
                <w:u w:val="single"/>
                <w:lang w:val="en-IL" w:eastAsia="en-IL" w:bidi="he-IL"/>
              </w:rPr>
              <w:t>69</w:t>
            </w:r>
          </w:p>
        </w:tc>
        <w:tc>
          <w:tcPr>
            <w:tcW w:w="1319" w:type="dxa"/>
            <w:tcBorders>
              <w:top w:val="nil"/>
              <w:left w:val="nil"/>
              <w:bottom w:val="nil"/>
              <w:right w:val="nil"/>
            </w:tcBorders>
            <w:shd w:val="clear" w:color="auto" w:fill="auto"/>
            <w:vAlign w:val="center"/>
            <w:hideMark/>
          </w:tcPr>
          <w:p w14:paraId="424FAF56" w14:textId="77777777" w:rsidR="00FC5121" w:rsidRPr="00B41E66" w:rsidRDefault="00FC5121" w:rsidP="00FC5121">
            <w:pPr>
              <w:bidi/>
              <w:jc w:val="center"/>
              <w:rPr>
                <w:color w:val="0000FF"/>
                <w:lang w:val="en-IL" w:eastAsia="en-IL" w:bidi="he-IL"/>
              </w:rPr>
            </w:pPr>
            <w:r w:rsidRPr="00B41E66">
              <w:rPr>
                <w:color w:val="0000FF"/>
                <w:rtl/>
                <w:lang w:val="en-IL" w:eastAsia="en-IL" w:bidi="he-IL"/>
              </w:rPr>
              <w:t>26%</w:t>
            </w:r>
          </w:p>
        </w:tc>
        <w:tc>
          <w:tcPr>
            <w:tcW w:w="1027" w:type="dxa"/>
            <w:tcBorders>
              <w:top w:val="nil"/>
              <w:left w:val="nil"/>
              <w:bottom w:val="nil"/>
              <w:right w:val="single" w:sz="12" w:space="0" w:color="auto"/>
            </w:tcBorders>
            <w:shd w:val="clear" w:color="auto" w:fill="auto"/>
            <w:vAlign w:val="center"/>
            <w:hideMark/>
          </w:tcPr>
          <w:p w14:paraId="06064526" w14:textId="77777777" w:rsidR="00FC5121" w:rsidRPr="00B41E66" w:rsidRDefault="00FC5121" w:rsidP="00FC5121">
            <w:pPr>
              <w:bidi/>
              <w:jc w:val="center"/>
              <w:rPr>
                <w:color w:val="0000FF"/>
                <w:u w:val="single"/>
                <w:rtl/>
                <w:lang w:val="en-IL" w:eastAsia="en-IL" w:bidi="he-IL"/>
              </w:rPr>
            </w:pPr>
            <w:r w:rsidRPr="00B41E66">
              <w:rPr>
                <w:color w:val="0000FF"/>
                <w:u w:val="single"/>
                <w:rtl/>
                <w:lang w:val="en-IL" w:eastAsia="en-IL" w:bidi="he-IL"/>
              </w:rPr>
              <w:t>57</w:t>
            </w:r>
          </w:p>
        </w:tc>
      </w:tr>
      <w:tr w:rsidR="00FC5121" w:rsidRPr="00B41E66" w14:paraId="3C0E0748" w14:textId="77777777" w:rsidTr="00B26DFD">
        <w:trPr>
          <w:trHeight w:val="315"/>
        </w:trPr>
        <w:tc>
          <w:tcPr>
            <w:tcW w:w="968" w:type="dxa"/>
            <w:tcBorders>
              <w:top w:val="nil"/>
              <w:left w:val="single" w:sz="12" w:space="0" w:color="auto"/>
              <w:bottom w:val="single" w:sz="12" w:space="0" w:color="auto"/>
              <w:right w:val="nil"/>
            </w:tcBorders>
            <w:shd w:val="clear" w:color="auto" w:fill="auto"/>
            <w:noWrap/>
            <w:vAlign w:val="center"/>
            <w:hideMark/>
          </w:tcPr>
          <w:p w14:paraId="01DE02A0" w14:textId="77777777" w:rsidR="00FC5121" w:rsidRPr="00B41E66" w:rsidRDefault="00FC5121" w:rsidP="00FC5121">
            <w:pPr>
              <w:bidi/>
              <w:jc w:val="center"/>
              <w:rPr>
                <w:color w:val="0000FF"/>
                <w:rtl/>
                <w:lang w:val="en-IL" w:eastAsia="en-IL" w:bidi="he-IL"/>
              </w:rPr>
            </w:pPr>
            <w:r w:rsidRPr="00B41E66">
              <w:rPr>
                <w:color w:val="0000FF"/>
                <w:lang w:val="en-IL" w:eastAsia="en-IL" w:bidi="he-IL"/>
              </w:rPr>
              <w:t>Total</w:t>
            </w:r>
          </w:p>
        </w:tc>
        <w:tc>
          <w:tcPr>
            <w:tcW w:w="957" w:type="dxa"/>
            <w:tcBorders>
              <w:top w:val="nil"/>
              <w:left w:val="nil"/>
              <w:bottom w:val="single" w:sz="12" w:space="0" w:color="auto"/>
              <w:right w:val="nil"/>
            </w:tcBorders>
            <w:shd w:val="clear" w:color="auto" w:fill="auto"/>
            <w:vAlign w:val="center"/>
            <w:hideMark/>
          </w:tcPr>
          <w:p w14:paraId="3D1772D7" w14:textId="77777777" w:rsidR="00FC5121" w:rsidRPr="00B41E66" w:rsidRDefault="00FC5121" w:rsidP="00FC5121">
            <w:pPr>
              <w:bidi/>
              <w:jc w:val="center"/>
              <w:rPr>
                <w:color w:val="0000FF"/>
                <w:rtl/>
                <w:lang w:val="en-IL" w:eastAsia="en-IL" w:bidi="he-IL"/>
              </w:rPr>
            </w:pPr>
            <w:r w:rsidRPr="00B41E66">
              <w:rPr>
                <w:color w:val="0000FF"/>
                <w:rtl/>
                <w:lang w:val="en-IL" w:eastAsia="en-IL" w:bidi="he-IL"/>
              </w:rPr>
              <w:t>1,622</w:t>
            </w:r>
          </w:p>
        </w:tc>
        <w:tc>
          <w:tcPr>
            <w:tcW w:w="959" w:type="dxa"/>
            <w:tcBorders>
              <w:top w:val="nil"/>
              <w:left w:val="nil"/>
              <w:bottom w:val="single" w:sz="12" w:space="0" w:color="auto"/>
              <w:right w:val="nil"/>
            </w:tcBorders>
            <w:shd w:val="clear" w:color="auto" w:fill="auto"/>
            <w:vAlign w:val="center"/>
            <w:hideMark/>
          </w:tcPr>
          <w:p w14:paraId="479D7D38" w14:textId="77777777" w:rsidR="00FC5121" w:rsidRPr="00B41E66" w:rsidRDefault="00FC5121" w:rsidP="00FC5121">
            <w:pPr>
              <w:bidi/>
              <w:jc w:val="center"/>
              <w:rPr>
                <w:color w:val="0000FF"/>
                <w:rtl/>
                <w:lang w:val="en-IL" w:eastAsia="en-IL" w:bidi="he-IL"/>
              </w:rPr>
            </w:pPr>
            <w:r w:rsidRPr="00B41E66">
              <w:rPr>
                <w:color w:val="0000FF"/>
                <w:rtl/>
                <w:lang w:val="en-IL" w:eastAsia="en-IL" w:bidi="he-IL"/>
              </w:rPr>
              <w:t>403</w:t>
            </w:r>
          </w:p>
        </w:tc>
        <w:tc>
          <w:tcPr>
            <w:tcW w:w="1319" w:type="dxa"/>
            <w:tcBorders>
              <w:top w:val="nil"/>
              <w:left w:val="nil"/>
              <w:bottom w:val="single" w:sz="12" w:space="0" w:color="auto"/>
              <w:right w:val="nil"/>
            </w:tcBorders>
            <w:shd w:val="clear" w:color="auto" w:fill="auto"/>
            <w:vAlign w:val="center"/>
            <w:hideMark/>
          </w:tcPr>
          <w:p w14:paraId="7FD9B963" w14:textId="77777777" w:rsidR="00FC5121" w:rsidRPr="00B41E66" w:rsidRDefault="00FC5121" w:rsidP="00FC5121">
            <w:pPr>
              <w:bidi/>
              <w:jc w:val="center"/>
              <w:rPr>
                <w:color w:val="0000FF"/>
                <w:rtl/>
                <w:lang w:val="en-IL" w:eastAsia="en-IL" w:bidi="he-IL"/>
              </w:rPr>
            </w:pPr>
            <w:r w:rsidRPr="00B41E66">
              <w:rPr>
                <w:color w:val="0000FF"/>
                <w:rtl/>
                <w:lang w:val="en-IL" w:eastAsia="en-IL" w:bidi="he-IL"/>
              </w:rPr>
              <w:t> </w:t>
            </w:r>
          </w:p>
        </w:tc>
        <w:tc>
          <w:tcPr>
            <w:tcW w:w="1027" w:type="dxa"/>
            <w:tcBorders>
              <w:top w:val="nil"/>
              <w:left w:val="nil"/>
              <w:bottom w:val="single" w:sz="12" w:space="0" w:color="auto"/>
              <w:right w:val="single" w:sz="12" w:space="0" w:color="auto"/>
            </w:tcBorders>
            <w:shd w:val="clear" w:color="auto" w:fill="auto"/>
            <w:vAlign w:val="center"/>
            <w:hideMark/>
          </w:tcPr>
          <w:p w14:paraId="5EAA0851" w14:textId="77777777" w:rsidR="00FC5121" w:rsidRPr="00B41E66" w:rsidRDefault="00FC5121" w:rsidP="00FC5121">
            <w:pPr>
              <w:bidi/>
              <w:jc w:val="center"/>
              <w:rPr>
                <w:color w:val="0000FF"/>
                <w:rtl/>
                <w:lang w:val="en-IL" w:eastAsia="en-IL" w:bidi="he-IL"/>
              </w:rPr>
            </w:pPr>
            <w:r w:rsidRPr="00B41E66">
              <w:rPr>
                <w:color w:val="0000FF"/>
                <w:rtl/>
                <w:lang w:val="en-IL" w:eastAsia="en-IL" w:bidi="he-IL"/>
              </w:rPr>
              <w:t>367</w:t>
            </w:r>
          </w:p>
        </w:tc>
      </w:tr>
    </w:tbl>
    <w:p w14:paraId="013A38AA" w14:textId="210EC038" w:rsidR="00FC5121" w:rsidRPr="00B41E66" w:rsidRDefault="00FC5121" w:rsidP="00FC5121">
      <w:pPr>
        <w:spacing w:before="75" w:after="75"/>
        <w:rPr>
          <w:color w:val="0A0A0A"/>
          <w:lang w:eastAsia="en-IL" w:bidi="he-IL"/>
        </w:rPr>
      </w:pPr>
      <w:r w:rsidRPr="00B41E66">
        <w:rPr>
          <w:color w:val="0000FF"/>
          <w:lang w:bidi="he-IL"/>
        </w:rPr>
        <w:t xml:space="preserve">Note: This table presents the number IPOs that took place in the USA during the years of the sample, the number of Biotech IPOs in these years and the number of IPOs included in </w:t>
      </w:r>
      <w:r w:rsidR="008F1712" w:rsidRPr="00B41E66">
        <w:rPr>
          <w:color w:val="0000FF"/>
          <w:lang w:bidi="he-IL"/>
        </w:rPr>
        <w:t>the</w:t>
      </w:r>
      <w:r w:rsidRPr="00B41E66">
        <w:rPr>
          <w:color w:val="0000FF"/>
          <w:lang w:bidi="he-IL"/>
        </w:rPr>
        <w:t xml:space="preserve"> sample</w:t>
      </w:r>
      <w:r w:rsidRPr="00B41E66">
        <w:rPr>
          <w:color w:val="0A0A0A"/>
          <w:lang w:eastAsia="en-IL" w:bidi="he-IL"/>
        </w:rPr>
        <w:t xml:space="preserve">. </w:t>
      </w:r>
    </w:p>
    <w:p w14:paraId="319C8DA0" w14:textId="77777777" w:rsidR="00FC5121" w:rsidRPr="00B41E66" w:rsidRDefault="00FC5121" w:rsidP="00FC5121">
      <w:pPr>
        <w:rPr>
          <w:color w:val="000000"/>
          <w:lang w:eastAsia="en-IL" w:bidi="he-IL"/>
        </w:rPr>
      </w:pPr>
    </w:p>
    <w:p w14:paraId="2AA8D43E" w14:textId="479D8796" w:rsidR="00826CD7" w:rsidRPr="00B41E66" w:rsidRDefault="00826CD7" w:rsidP="00321B91">
      <w:pPr>
        <w:spacing w:line="480" w:lineRule="auto"/>
        <w:jc w:val="both"/>
        <w:rPr>
          <w:color w:val="0000FF"/>
        </w:rPr>
      </w:pPr>
      <w:r w:rsidRPr="00B41E66">
        <w:t>A prominent feature of the firms in our sample is their relatively low market capitalization</w:t>
      </w:r>
      <w:r w:rsidR="0091159B" w:rsidRPr="00B41E66">
        <w:t>,</w:t>
      </w:r>
      <w:r w:rsidRPr="00B41E66">
        <w:rPr>
          <w:vertAlign w:val="superscript"/>
        </w:rPr>
        <w:footnoteReference w:id="5"/>
      </w:r>
      <w:r w:rsidRPr="00B41E66">
        <w:t xml:space="preserve"> as </w:t>
      </w:r>
      <w:r w:rsidR="00B17293" w:rsidRPr="00B41E66">
        <w:t>displayed</w:t>
      </w:r>
      <w:r w:rsidRPr="00B41E66">
        <w:t xml:space="preserve"> </w:t>
      </w:r>
      <w:r w:rsidR="0091159B" w:rsidRPr="00B41E66">
        <w:t>in</w:t>
      </w:r>
      <w:r w:rsidR="00DA16FD" w:rsidRPr="00B41E66">
        <w:t xml:space="preserve"> </w:t>
      </w:r>
      <w:r w:rsidR="0091159B" w:rsidRPr="00B41E66">
        <w:t>T</w:t>
      </w:r>
      <w:r w:rsidRPr="00B41E66">
        <w:t xml:space="preserve">able 2. </w:t>
      </w:r>
      <w:r w:rsidR="0091159B" w:rsidRPr="00B41E66">
        <w:t>The a</w:t>
      </w:r>
      <w:r w:rsidRPr="00B41E66">
        <w:t xml:space="preserve">verage market value </w:t>
      </w:r>
      <w:r w:rsidR="00DA5523" w:rsidRPr="00B41E66">
        <w:t>is</w:t>
      </w:r>
      <w:r w:rsidRPr="00B41E66">
        <w:t xml:space="preserve"> </w:t>
      </w:r>
      <w:r w:rsidR="0091159B" w:rsidRPr="00B41E66">
        <w:rPr>
          <w:color w:val="0000FF"/>
        </w:rPr>
        <w:t>$</w:t>
      </w:r>
      <w:r w:rsidR="0001574B" w:rsidRPr="00B41E66">
        <w:rPr>
          <w:color w:val="0000FF"/>
        </w:rPr>
        <w:t>556</w:t>
      </w:r>
      <w:r w:rsidR="006705A8" w:rsidRPr="00B41E66">
        <w:rPr>
          <w:color w:val="0000FF"/>
        </w:rPr>
        <w:t>M</w:t>
      </w:r>
      <w:r w:rsidR="006705A8" w:rsidRPr="00B41E66">
        <w:t>,</w:t>
      </w:r>
      <w:r w:rsidRPr="00B41E66">
        <w:t xml:space="preserve"> and </w:t>
      </w:r>
      <w:r w:rsidR="000103BF" w:rsidRPr="00B41E66">
        <w:t xml:space="preserve">the </w:t>
      </w:r>
      <w:r w:rsidR="0091159B" w:rsidRPr="00B41E66">
        <w:t>m</w:t>
      </w:r>
      <w:r w:rsidRPr="00B41E66">
        <w:t xml:space="preserve">edian </w:t>
      </w:r>
      <w:r w:rsidR="0091159B" w:rsidRPr="00B41E66">
        <w:t xml:space="preserve">market value is </w:t>
      </w:r>
      <w:r w:rsidR="0091159B" w:rsidRPr="00B41E66">
        <w:rPr>
          <w:color w:val="0000FF"/>
        </w:rPr>
        <w:t>$</w:t>
      </w:r>
      <w:r w:rsidRPr="00B41E66">
        <w:rPr>
          <w:color w:val="0000FF"/>
        </w:rPr>
        <w:t>2</w:t>
      </w:r>
      <w:r w:rsidR="0001574B" w:rsidRPr="00B41E66">
        <w:rPr>
          <w:color w:val="0000FF"/>
        </w:rPr>
        <w:t>9</w:t>
      </w:r>
      <w:r w:rsidRPr="00B41E66">
        <w:rPr>
          <w:color w:val="0000FF"/>
        </w:rPr>
        <w:t>7</w:t>
      </w:r>
      <w:r w:rsidR="006705A8" w:rsidRPr="00B41E66">
        <w:rPr>
          <w:color w:val="0000FF"/>
        </w:rPr>
        <w:t>M</w:t>
      </w:r>
      <w:r w:rsidRPr="00B41E66">
        <w:rPr>
          <w:color w:val="0000FF"/>
        </w:rPr>
        <w:t>.</w:t>
      </w:r>
      <w:r w:rsidR="00B17293" w:rsidRPr="00B41E66">
        <w:rPr>
          <w:color w:val="0000FF"/>
        </w:rPr>
        <w:t xml:space="preserve"> Years 2018 - 2019 are characterized by higher market value than 2013-2017 $708M versus $461M</w:t>
      </w:r>
      <w:r w:rsidR="00B22577" w:rsidRPr="00B41E66">
        <w:rPr>
          <w:color w:val="0000FF"/>
        </w:rPr>
        <w:t xml:space="preserve"> </w:t>
      </w:r>
      <w:r w:rsidR="007C416A" w:rsidRPr="00B41E66">
        <w:rPr>
          <w:color w:val="0000FF"/>
          <w:lang w:bidi="he-IL"/>
        </w:rPr>
        <w:t>due to</w:t>
      </w:r>
      <w:r w:rsidR="00B22577" w:rsidRPr="00B41E66">
        <w:rPr>
          <w:color w:val="0000FF"/>
        </w:rPr>
        <w:t xml:space="preserve"> two extreme values</w:t>
      </w:r>
      <w:r w:rsidR="00B22577" w:rsidRPr="00B41E66">
        <w:rPr>
          <w:rStyle w:val="FootnoteReference"/>
          <w:color w:val="0000FF"/>
        </w:rPr>
        <w:footnoteReference w:id="6"/>
      </w:r>
      <w:r w:rsidR="00B22577" w:rsidRPr="00B41E66">
        <w:rPr>
          <w:color w:val="0000FF"/>
        </w:rPr>
        <w:t>.</w:t>
      </w:r>
      <w:r w:rsidR="00312B05" w:rsidRPr="00B41E66">
        <w:rPr>
          <w:color w:val="0000FF"/>
        </w:rPr>
        <w:t xml:space="preserve"> </w:t>
      </w:r>
      <w:bookmarkStart w:id="5" w:name="_Hlk80808189"/>
      <w:r w:rsidR="00312B05" w:rsidRPr="00B41E66">
        <w:rPr>
          <w:color w:val="0000FF"/>
        </w:rPr>
        <w:t>It appears that Biotech companies have well utilized the JOBS ACT that enable ECG companies to issue shares to the public. Overall, the average size of biotech firms in our sample is very small in terms of average issue size and is about 2</w:t>
      </w:r>
      <w:r w:rsidR="00E475FD" w:rsidRPr="00B41E66">
        <w:rPr>
          <w:color w:val="0000FF"/>
        </w:rPr>
        <w:t>7</w:t>
      </w:r>
      <w:r w:rsidR="00312B05" w:rsidRPr="00B41E66">
        <w:rPr>
          <w:color w:val="0000FF"/>
        </w:rPr>
        <w:t xml:space="preserve">% of the size of </w:t>
      </w:r>
      <w:r w:rsidR="001862E0" w:rsidRPr="00B41E66">
        <w:rPr>
          <w:color w:val="0000FF"/>
        </w:rPr>
        <w:t>firms</w:t>
      </w:r>
      <w:r w:rsidR="00312B05" w:rsidRPr="00B41E66">
        <w:rPr>
          <w:color w:val="0000FF"/>
        </w:rPr>
        <w:t xml:space="preserve"> that issued in those years. According to data from Ritter (2020), the average size of a firm issued in the years 2013-2019 was $2,024M and the median was $1,202M compared to $556M and $297M in our sample (Table 2).</w:t>
      </w:r>
    </w:p>
    <w:bookmarkEnd w:id="5"/>
    <w:p w14:paraId="29E308AB" w14:textId="77777777" w:rsidR="00DF1412" w:rsidRPr="00B41E66" w:rsidRDefault="00DF1412" w:rsidP="00DF1412">
      <w:pPr>
        <w:spacing w:line="360" w:lineRule="auto"/>
        <w:jc w:val="both"/>
      </w:pPr>
    </w:p>
    <w:p w14:paraId="3661D08A" w14:textId="77777777" w:rsidR="00FC5121" w:rsidRPr="00B41E66" w:rsidRDefault="00FC5121" w:rsidP="00DF1412">
      <w:pPr>
        <w:spacing w:line="360" w:lineRule="auto"/>
        <w:jc w:val="both"/>
      </w:pPr>
    </w:p>
    <w:p w14:paraId="618A11AD" w14:textId="77777777" w:rsidR="00FC5121" w:rsidRPr="00B41E66" w:rsidRDefault="00FC5121" w:rsidP="00FC5121">
      <w:pPr>
        <w:rPr>
          <w:color w:val="0000FF"/>
          <w:lang w:val="en-IL" w:eastAsia="en-IL" w:bidi="he-IL"/>
        </w:rPr>
      </w:pPr>
      <w:r w:rsidRPr="00B41E66">
        <w:rPr>
          <w:color w:val="0000FF"/>
          <w:lang w:val="en-IL" w:eastAsia="en-IL" w:bidi="he-IL"/>
        </w:rPr>
        <w:t>Table 2: Descriptive statistics for Market Value ($M) as of the end of the IPO year</w:t>
      </w:r>
    </w:p>
    <w:p w14:paraId="08D507FF" w14:textId="77777777" w:rsidR="00FC5121" w:rsidRPr="00B41E66" w:rsidRDefault="00FC5121" w:rsidP="00FC5121">
      <w:pPr>
        <w:rPr>
          <w:b/>
          <w:bCs/>
          <w:color w:val="0000FF"/>
          <w:lang w:val="en-IL" w:eastAsia="en-IL" w:bidi="he-IL"/>
        </w:rPr>
      </w:pPr>
    </w:p>
    <w:tbl>
      <w:tblPr>
        <w:tblW w:w="9180" w:type="dxa"/>
        <w:tblLook w:val="04A0" w:firstRow="1" w:lastRow="0" w:firstColumn="1" w:lastColumn="0" w:noHBand="0" w:noVBand="1"/>
      </w:tblPr>
      <w:tblGrid>
        <w:gridCol w:w="1101"/>
        <w:gridCol w:w="826"/>
        <w:gridCol w:w="960"/>
        <w:gridCol w:w="960"/>
        <w:gridCol w:w="960"/>
        <w:gridCol w:w="960"/>
        <w:gridCol w:w="960"/>
        <w:gridCol w:w="960"/>
        <w:gridCol w:w="1493"/>
      </w:tblGrid>
      <w:tr w:rsidR="00FC5121" w:rsidRPr="00B41E66" w14:paraId="62A189BF" w14:textId="77777777" w:rsidTr="00DA4504">
        <w:trPr>
          <w:trHeight w:val="330"/>
        </w:trPr>
        <w:tc>
          <w:tcPr>
            <w:tcW w:w="1101" w:type="dxa"/>
            <w:tcBorders>
              <w:top w:val="single" w:sz="12" w:space="0" w:color="auto"/>
              <w:left w:val="single" w:sz="12" w:space="0" w:color="auto"/>
              <w:bottom w:val="single" w:sz="12" w:space="0" w:color="auto"/>
              <w:right w:val="nil"/>
            </w:tcBorders>
            <w:shd w:val="clear" w:color="auto" w:fill="auto"/>
            <w:noWrap/>
            <w:vAlign w:val="bottom"/>
            <w:hideMark/>
          </w:tcPr>
          <w:p w14:paraId="6FA0758F" w14:textId="77777777" w:rsidR="00FC5121" w:rsidRPr="00B41E66" w:rsidRDefault="00FC5121" w:rsidP="00FC5121">
            <w:pPr>
              <w:rPr>
                <w:color w:val="0000FF"/>
                <w:lang w:val="en-IL" w:eastAsia="en-IL" w:bidi="he-IL"/>
              </w:rPr>
            </w:pPr>
            <w:r w:rsidRPr="00B41E66">
              <w:rPr>
                <w:color w:val="0000FF"/>
                <w:lang w:val="en-IL" w:eastAsia="en-IL" w:bidi="he-IL"/>
              </w:rPr>
              <w:t> </w:t>
            </w:r>
          </w:p>
        </w:tc>
        <w:tc>
          <w:tcPr>
            <w:tcW w:w="826" w:type="dxa"/>
            <w:tcBorders>
              <w:top w:val="single" w:sz="12" w:space="0" w:color="auto"/>
              <w:left w:val="single" w:sz="12" w:space="0" w:color="auto"/>
              <w:bottom w:val="single" w:sz="12" w:space="0" w:color="auto"/>
              <w:right w:val="nil"/>
            </w:tcBorders>
            <w:shd w:val="clear" w:color="auto" w:fill="auto"/>
            <w:noWrap/>
            <w:vAlign w:val="bottom"/>
            <w:hideMark/>
          </w:tcPr>
          <w:p w14:paraId="79CAEA6E" w14:textId="77777777" w:rsidR="00FC5121" w:rsidRPr="00B41E66" w:rsidRDefault="00FC5121" w:rsidP="00FC5121">
            <w:pPr>
              <w:jc w:val="center"/>
              <w:rPr>
                <w:b/>
                <w:bCs/>
                <w:color w:val="0000FF"/>
                <w:lang w:val="en-IL" w:eastAsia="en-IL" w:bidi="he-IL"/>
              </w:rPr>
            </w:pPr>
            <w:r w:rsidRPr="00B41E66">
              <w:rPr>
                <w:b/>
                <w:bCs/>
                <w:color w:val="0000FF"/>
                <w:lang w:val="en-IL" w:eastAsia="en-IL" w:bidi="he-IL"/>
              </w:rPr>
              <w:t>2013</w:t>
            </w:r>
          </w:p>
        </w:tc>
        <w:tc>
          <w:tcPr>
            <w:tcW w:w="96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789064FC" w14:textId="77777777" w:rsidR="00FC5121" w:rsidRPr="00B41E66" w:rsidRDefault="00FC5121" w:rsidP="00FC5121">
            <w:pPr>
              <w:jc w:val="center"/>
              <w:rPr>
                <w:b/>
                <w:bCs/>
                <w:color w:val="0000FF"/>
                <w:lang w:val="en-IL" w:eastAsia="en-IL" w:bidi="he-IL"/>
              </w:rPr>
            </w:pPr>
            <w:r w:rsidRPr="00B41E66">
              <w:rPr>
                <w:b/>
                <w:bCs/>
                <w:color w:val="0000FF"/>
                <w:lang w:val="en-IL" w:eastAsia="en-IL" w:bidi="he-IL"/>
              </w:rPr>
              <w:t>2014</w:t>
            </w:r>
          </w:p>
        </w:tc>
        <w:tc>
          <w:tcPr>
            <w:tcW w:w="960" w:type="dxa"/>
            <w:tcBorders>
              <w:top w:val="single" w:sz="12" w:space="0" w:color="auto"/>
              <w:left w:val="nil"/>
              <w:bottom w:val="single" w:sz="12" w:space="0" w:color="auto"/>
              <w:right w:val="nil"/>
            </w:tcBorders>
            <w:shd w:val="clear" w:color="auto" w:fill="auto"/>
            <w:noWrap/>
            <w:vAlign w:val="bottom"/>
            <w:hideMark/>
          </w:tcPr>
          <w:p w14:paraId="567F0E75" w14:textId="77777777" w:rsidR="00FC5121" w:rsidRPr="00B41E66" w:rsidRDefault="00FC5121" w:rsidP="00FC5121">
            <w:pPr>
              <w:jc w:val="center"/>
              <w:rPr>
                <w:b/>
                <w:bCs/>
                <w:color w:val="0000FF"/>
                <w:lang w:val="en-IL" w:eastAsia="en-IL" w:bidi="he-IL"/>
              </w:rPr>
            </w:pPr>
            <w:r w:rsidRPr="00B41E66">
              <w:rPr>
                <w:b/>
                <w:bCs/>
                <w:color w:val="0000FF"/>
                <w:lang w:val="en-IL" w:eastAsia="en-IL" w:bidi="he-IL"/>
              </w:rPr>
              <w:t>2015</w:t>
            </w:r>
          </w:p>
        </w:tc>
        <w:tc>
          <w:tcPr>
            <w:tcW w:w="96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635A8288" w14:textId="77777777" w:rsidR="00FC5121" w:rsidRPr="00B41E66" w:rsidRDefault="00FC5121" w:rsidP="00FC5121">
            <w:pPr>
              <w:jc w:val="center"/>
              <w:rPr>
                <w:b/>
                <w:bCs/>
                <w:color w:val="0000FF"/>
                <w:lang w:val="en-IL" w:eastAsia="en-IL" w:bidi="he-IL"/>
              </w:rPr>
            </w:pPr>
            <w:r w:rsidRPr="00B41E66">
              <w:rPr>
                <w:b/>
                <w:bCs/>
                <w:color w:val="0000FF"/>
                <w:lang w:val="en-IL" w:eastAsia="en-IL" w:bidi="he-IL"/>
              </w:rPr>
              <w:t>2016</w:t>
            </w:r>
          </w:p>
        </w:tc>
        <w:tc>
          <w:tcPr>
            <w:tcW w:w="960" w:type="dxa"/>
            <w:tcBorders>
              <w:top w:val="single" w:sz="12" w:space="0" w:color="auto"/>
              <w:left w:val="nil"/>
              <w:bottom w:val="single" w:sz="12" w:space="0" w:color="auto"/>
              <w:right w:val="nil"/>
            </w:tcBorders>
            <w:shd w:val="clear" w:color="auto" w:fill="auto"/>
            <w:noWrap/>
            <w:vAlign w:val="bottom"/>
            <w:hideMark/>
          </w:tcPr>
          <w:p w14:paraId="224E880E" w14:textId="77777777" w:rsidR="00FC5121" w:rsidRPr="00B41E66" w:rsidRDefault="00FC5121" w:rsidP="00FC5121">
            <w:pPr>
              <w:jc w:val="center"/>
              <w:rPr>
                <w:b/>
                <w:bCs/>
                <w:color w:val="0000FF"/>
                <w:lang w:val="en-IL" w:eastAsia="en-IL" w:bidi="he-IL"/>
              </w:rPr>
            </w:pPr>
            <w:r w:rsidRPr="00B41E66">
              <w:rPr>
                <w:b/>
                <w:bCs/>
                <w:color w:val="0000FF"/>
                <w:lang w:val="en-IL" w:eastAsia="en-IL" w:bidi="he-IL"/>
              </w:rPr>
              <w:t>2017</w:t>
            </w:r>
          </w:p>
        </w:tc>
        <w:tc>
          <w:tcPr>
            <w:tcW w:w="96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39C64319" w14:textId="77777777" w:rsidR="00FC5121" w:rsidRPr="00B41E66" w:rsidRDefault="00FC5121" w:rsidP="00FC5121">
            <w:pPr>
              <w:jc w:val="center"/>
              <w:rPr>
                <w:b/>
                <w:bCs/>
                <w:color w:val="0000FF"/>
                <w:lang w:val="en-IL" w:eastAsia="en-IL" w:bidi="he-IL"/>
              </w:rPr>
            </w:pPr>
            <w:r w:rsidRPr="00B41E66">
              <w:rPr>
                <w:b/>
                <w:bCs/>
                <w:color w:val="0000FF"/>
                <w:lang w:val="en-IL" w:eastAsia="en-IL" w:bidi="he-IL"/>
              </w:rPr>
              <w:t>2018</w:t>
            </w:r>
          </w:p>
        </w:tc>
        <w:tc>
          <w:tcPr>
            <w:tcW w:w="960" w:type="dxa"/>
            <w:tcBorders>
              <w:top w:val="single" w:sz="12" w:space="0" w:color="auto"/>
              <w:left w:val="nil"/>
              <w:bottom w:val="single" w:sz="12" w:space="0" w:color="auto"/>
              <w:right w:val="nil"/>
            </w:tcBorders>
            <w:shd w:val="clear" w:color="auto" w:fill="auto"/>
            <w:noWrap/>
            <w:vAlign w:val="bottom"/>
            <w:hideMark/>
          </w:tcPr>
          <w:p w14:paraId="0608F0E6" w14:textId="77777777" w:rsidR="00FC5121" w:rsidRPr="00B41E66" w:rsidRDefault="00FC5121" w:rsidP="00FC5121">
            <w:pPr>
              <w:jc w:val="center"/>
              <w:rPr>
                <w:b/>
                <w:bCs/>
                <w:color w:val="0000FF"/>
                <w:lang w:val="en-IL" w:eastAsia="en-IL" w:bidi="he-IL"/>
              </w:rPr>
            </w:pPr>
            <w:r w:rsidRPr="00B41E66">
              <w:rPr>
                <w:b/>
                <w:bCs/>
                <w:color w:val="0000FF"/>
                <w:lang w:val="en-IL" w:eastAsia="en-IL" w:bidi="he-IL"/>
              </w:rPr>
              <w:t>2019</w:t>
            </w:r>
          </w:p>
        </w:tc>
        <w:tc>
          <w:tcPr>
            <w:tcW w:w="1493" w:type="dxa"/>
            <w:tcBorders>
              <w:top w:val="single" w:sz="12" w:space="0" w:color="auto"/>
              <w:left w:val="single" w:sz="4" w:space="0" w:color="auto"/>
              <w:bottom w:val="single" w:sz="12" w:space="0" w:color="auto"/>
              <w:right w:val="single" w:sz="12" w:space="0" w:color="auto"/>
            </w:tcBorders>
            <w:shd w:val="clear" w:color="auto" w:fill="auto"/>
            <w:noWrap/>
            <w:vAlign w:val="bottom"/>
            <w:hideMark/>
          </w:tcPr>
          <w:p w14:paraId="200E60BA" w14:textId="77777777" w:rsidR="00FC5121" w:rsidRPr="00B41E66" w:rsidRDefault="00FC5121" w:rsidP="00FC5121">
            <w:pPr>
              <w:jc w:val="center"/>
              <w:rPr>
                <w:b/>
                <w:bCs/>
                <w:color w:val="0000FF"/>
                <w:lang w:val="en-IL" w:eastAsia="en-IL" w:bidi="he-IL"/>
              </w:rPr>
            </w:pPr>
            <w:r w:rsidRPr="00B41E66">
              <w:rPr>
                <w:b/>
                <w:bCs/>
                <w:color w:val="0000FF"/>
                <w:lang w:val="en-IL" w:eastAsia="en-IL" w:bidi="he-IL"/>
              </w:rPr>
              <w:t>2013-2019</w:t>
            </w:r>
          </w:p>
        </w:tc>
      </w:tr>
      <w:tr w:rsidR="00FC5121" w:rsidRPr="00B41E66" w14:paraId="60970EFD" w14:textId="77777777" w:rsidTr="00DA4504">
        <w:trPr>
          <w:trHeight w:val="315"/>
        </w:trPr>
        <w:tc>
          <w:tcPr>
            <w:tcW w:w="1101" w:type="dxa"/>
            <w:tcBorders>
              <w:top w:val="nil"/>
              <w:left w:val="single" w:sz="12" w:space="0" w:color="auto"/>
              <w:bottom w:val="nil"/>
              <w:right w:val="nil"/>
            </w:tcBorders>
            <w:shd w:val="clear" w:color="auto" w:fill="auto"/>
            <w:noWrap/>
            <w:vAlign w:val="bottom"/>
            <w:hideMark/>
          </w:tcPr>
          <w:p w14:paraId="6A2E5DD8" w14:textId="77777777" w:rsidR="00FC5121" w:rsidRPr="00B41E66" w:rsidRDefault="00FC5121" w:rsidP="00FC5121">
            <w:pPr>
              <w:rPr>
                <w:b/>
                <w:bCs/>
                <w:color w:val="0000FF"/>
                <w:lang w:val="en-IL" w:eastAsia="en-IL" w:bidi="he-IL"/>
              </w:rPr>
            </w:pPr>
            <w:r w:rsidRPr="00B41E66">
              <w:rPr>
                <w:b/>
                <w:bCs/>
                <w:color w:val="0000FF"/>
                <w:lang w:val="en-IL" w:eastAsia="en-IL" w:bidi="he-IL"/>
              </w:rPr>
              <w:t>Average</w:t>
            </w:r>
          </w:p>
        </w:tc>
        <w:tc>
          <w:tcPr>
            <w:tcW w:w="826" w:type="dxa"/>
            <w:tcBorders>
              <w:top w:val="nil"/>
              <w:left w:val="single" w:sz="12" w:space="0" w:color="auto"/>
              <w:bottom w:val="nil"/>
              <w:right w:val="nil"/>
            </w:tcBorders>
            <w:shd w:val="clear" w:color="auto" w:fill="auto"/>
            <w:noWrap/>
            <w:vAlign w:val="bottom"/>
            <w:hideMark/>
          </w:tcPr>
          <w:p w14:paraId="0FD3122B" w14:textId="77777777" w:rsidR="00FC5121" w:rsidRPr="00B41E66" w:rsidRDefault="00FC5121" w:rsidP="00FC5121">
            <w:pPr>
              <w:jc w:val="center"/>
              <w:rPr>
                <w:color w:val="0000FF"/>
                <w:lang w:val="en-IL" w:eastAsia="en-IL" w:bidi="he-IL"/>
              </w:rPr>
            </w:pPr>
            <w:r w:rsidRPr="00B41E66">
              <w:rPr>
                <w:color w:val="0000FF"/>
                <w:lang w:val="en-IL" w:eastAsia="en-IL" w:bidi="he-IL"/>
              </w:rPr>
              <w:t>487</w:t>
            </w:r>
          </w:p>
        </w:tc>
        <w:tc>
          <w:tcPr>
            <w:tcW w:w="960" w:type="dxa"/>
            <w:tcBorders>
              <w:top w:val="nil"/>
              <w:left w:val="single" w:sz="4" w:space="0" w:color="auto"/>
              <w:bottom w:val="nil"/>
              <w:right w:val="single" w:sz="4" w:space="0" w:color="auto"/>
            </w:tcBorders>
            <w:shd w:val="clear" w:color="auto" w:fill="auto"/>
            <w:noWrap/>
            <w:vAlign w:val="bottom"/>
            <w:hideMark/>
          </w:tcPr>
          <w:p w14:paraId="2F6CC846" w14:textId="77777777" w:rsidR="00FC5121" w:rsidRPr="00B41E66" w:rsidRDefault="00FC5121" w:rsidP="00FC5121">
            <w:pPr>
              <w:jc w:val="center"/>
              <w:rPr>
                <w:color w:val="0000FF"/>
                <w:lang w:val="en-IL" w:eastAsia="en-IL" w:bidi="he-IL"/>
              </w:rPr>
            </w:pPr>
            <w:r w:rsidRPr="00B41E66">
              <w:rPr>
                <w:color w:val="0000FF"/>
                <w:lang w:val="en-IL" w:eastAsia="en-IL" w:bidi="he-IL"/>
              </w:rPr>
              <w:t>405</w:t>
            </w:r>
          </w:p>
        </w:tc>
        <w:tc>
          <w:tcPr>
            <w:tcW w:w="960" w:type="dxa"/>
            <w:tcBorders>
              <w:top w:val="nil"/>
              <w:left w:val="nil"/>
              <w:bottom w:val="nil"/>
              <w:right w:val="nil"/>
            </w:tcBorders>
            <w:shd w:val="clear" w:color="auto" w:fill="auto"/>
            <w:noWrap/>
            <w:vAlign w:val="bottom"/>
            <w:hideMark/>
          </w:tcPr>
          <w:p w14:paraId="7B4BF84C" w14:textId="77777777" w:rsidR="00FC5121" w:rsidRPr="00B41E66" w:rsidRDefault="00FC5121" w:rsidP="00FC5121">
            <w:pPr>
              <w:jc w:val="center"/>
              <w:rPr>
                <w:color w:val="0000FF"/>
                <w:lang w:val="en-IL" w:eastAsia="en-IL" w:bidi="he-IL"/>
              </w:rPr>
            </w:pPr>
            <w:r w:rsidRPr="00B41E66">
              <w:rPr>
                <w:color w:val="0000FF"/>
                <w:lang w:val="en-IL" w:eastAsia="en-IL" w:bidi="he-IL"/>
              </w:rPr>
              <w:t>489</w:t>
            </w:r>
          </w:p>
        </w:tc>
        <w:tc>
          <w:tcPr>
            <w:tcW w:w="960" w:type="dxa"/>
            <w:tcBorders>
              <w:top w:val="nil"/>
              <w:left w:val="single" w:sz="4" w:space="0" w:color="auto"/>
              <w:bottom w:val="nil"/>
              <w:right w:val="single" w:sz="4" w:space="0" w:color="auto"/>
            </w:tcBorders>
            <w:shd w:val="clear" w:color="auto" w:fill="auto"/>
            <w:noWrap/>
            <w:vAlign w:val="bottom"/>
            <w:hideMark/>
          </w:tcPr>
          <w:p w14:paraId="2C8177C4" w14:textId="77777777" w:rsidR="00FC5121" w:rsidRPr="00B41E66" w:rsidRDefault="00FC5121" w:rsidP="00FC5121">
            <w:pPr>
              <w:jc w:val="center"/>
              <w:rPr>
                <w:color w:val="0000FF"/>
                <w:lang w:val="en-IL" w:eastAsia="en-IL" w:bidi="he-IL"/>
              </w:rPr>
            </w:pPr>
            <w:r w:rsidRPr="00B41E66">
              <w:rPr>
                <w:color w:val="0000FF"/>
                <w:lang w:val="en-IL" w:eastAsia="en-IL" w:bidi="he-IL"/>
              </w:rPr>
              <w:t>425</w:t>
            </w:r>
          </w:p>
        </w:tc>
        <w:tc>
          <w:tcPr>
            <w:tcW w:w="960" w:type="dxa"/>
            <w:tcBorders>
              <w:top w:val="nil"/>
              <w:left w:val="nil"/>
              <w:bottom w:val="nil"/>
              <w:right w:val="nil"/>
            </w:tcBorders>
            <w:shd w:val="clear" w:color="auto" w:fill="auto"/>
            <w:noWrap/>
            <w:vAlign w:val="bottom"/>
            <w:hideMark/>
          </w:tcPr>
          <w:p w14:paraId="7DDC734A" w14:textId="77777777" w:rsidR="00FC5121" w:rsidRPr="00B41E66" w:rsidRDefault="00FC5121" w:rsidP="00FC5121">
            <w:pPr>
              <w:jc w:val="center"/>
              <w:rPr>
                <w:color w:val="0000FF"/>
                <w:lang w:val="en-IL" w:eastAsia="en-IL" w:bidi="he-IL"/>
              </w:rPr>
            </w:pPr>
            <w:r w:rsidRPr="00B41E66">
              <w:rPr>
                <w:color w:val="0000FF"/>
                <w:lang w:val="en-IL" w:eastAsia="en-IL" w:bidi="he-IL"/>
              </w:rPr>
              <w:t>499</w:t>
            </w:r>
          </w:p>
        </w:tc>
        <w:tc>
          <w:tcPr>
            <w:tcW w:w="960" w:type="dxa"/>
            <w:tcBorders>
              <w:top w:val="nil"/>
              <w:left w:val="single" w:sz="4" w:space="0" w:color="auto"/>
              <w:bottom w:val="nil"/>
              <w:right w:val="single" w:sz="4" w:space="0" w:color="auto"/>
            </w:tcBorders>
            <w:shd w:val="clear" w:color="auto" w:fill="auto"/>
            <w:noWrap/>
            <w:vAlign w:val="bottom"/>
            <w:hideMark/>
          </w:tcPr>
          <w:p w14:paraId="0D3FDCF7" w14:textId="77777777" w:rsidR="00FC5121" w:rsidRPr="00B41E66" w:rsidRDefault="00FC5121" w:rsidP="00FC5121">
            <w:pPr>
              <w:jc w:val="center"/>
              <w:rPr>
                <w:color w:val="0000FF"/>
                <w:lang w:val="en-IL" w:eastAsia="en-IL" w:bidi="he-IL"/>
              </w:rPr>
            </w:pPr>
            <w:r w:rsidRPr="00B41E66">
              <w:rPr>
                <w:color w:val="0000FF"/>
                <w:lang w:val="en-IL" w:eastAsia="en-IL" w:bidi="he-IL"/>
              </w:rPr>
              <w:t>766</w:t>
            </w:r>
          </w:p>
        </w:tc>
        <w:tc>
          <w:tcPr>
            <w:tcW w:w="960" w:type="dxa"/>
            <w:tcBorders>
              <w:top w:val="nil"/>
              <w:left w:val="nil"/>
              <w:bottom w:val="nil"/>
              <w:right w:val="nil"/>
            </w:tcBorders>
            <w:shd w:val="clear" w:color="auto" w:fill="auto"/>
            <w:noWrap/>
            <w:vAlign w:val="bottom"/>
            <w:hideMark/>
          </w:tcPr>
          <w:p w14:paraId="660CA59A" w14:textId="77777777" w:rsidR="00FC5121" w:rsidRPr="00B41E66" w:rsidRDefault="00FC5121" w:rsidP="00FC5121">
            <w:pPr>
              <w:jc w:val="center"/>
              <w:rPr>
                <w:color w:val="0000FF"/>
                <w:lang w:val="en-IL" w:eastAsia="en-IL" w:bidi="he-IL"/>
              </w:rPr>
            </w:pPr>
            <w:r w:rsidRPr="00B41E66">
              <w:rPr>
                <w:color w:val="0000FF"/>
                <w:lang w:val="en-IL" w:eastAsia="en-IL" w:bidi="he-IL"/>
              </w:rPr>
              <w:t>650</w:t>
            </w:r>
          </w:p>
        </w:tc>
        <w:tc>
          <w:tcPr>
            <w:tcW w:w="1493" w:type="dxa"/>
            <w:tcBorders>
              <w:top w:val="nil"/>
              <w:left w:val="single" w:sz="4" w:space="0" w:color="auto"/>
              <w:bottom w:val="nil"/>
              <w:right w:val="single" w:sz="12" w:space="0" w:color="auto"/>
            </w:tcBorders>
            <w:shd w:val="clear" w:color="auto" w:fill="auto"/>
            <w:noWrap/>
            <w:vAlign w:val="bottom"/>
            <w:hideMark/>
          </w:tcPr>
          <w:p w14:paraId="0E39F5CA" w14:textId="77777777" w:rsidR="00FC5121" w:rsidRPr="00B41E66" w:rsidRDefault="00FC5121" w:rsidP="00FC5121">
            <w:pPr>
              <w:jc w:val="center"/>
              <w:rPr>
                <w:color w:val="0000FF"/>
                <w:lang w:val="en-IL" w:eastAsia="en-IL" w:bidi="he-IL"/>
              </w:rPr>
            </w:pPr>
            <w:r w:rsidRPr="00B41E66">
              <w:rPr>
                <w:color w:val="0000FF"/>
                <w:lang w:val="en-IL" w:eastAsia="en-IL" w:bidi="he-IL"/>
              </w:rPr>
              <w:t>556</w:t>
            </w:r>
          </w:p>
        </w:tc>
      </w:tr>
      <w:tr w:rsidR="00FC5121" w:rsidRPr="00B41E66" w14:paraId="73787995" w14:textId="77777777" w:rsidTr="00DA4504">
        <w:trPr>
          <w:trHeight w:val="300"/>
        </w:trPr>
        <w:tc>
          <w:tcPr>
            <w:tcW w:w="1101" w:type="dxa"/>
            <w:tcBorders>
              <w:top w:val="nil"/>
              <w:left w:val="single" w:sz="12" w:space="0" w:color="auto"/>
              <w:bottom w:val="nil"/>
              <w:right w:val="nil"/>
            </w:tcBorders>
            <w:shd w:val="clear" w:color="auto" w:fill="auto"/>
            <w:noWrap/>
            <w:vAlign w:val="bottom"/>
            <w:hideMark/>
          </w:tcPr>
          <w:p w14:paraId="1E26DA20" w14:textId="77777777" w:rsidR="00FC5121" w:rsidRPr="00B41E66" w:rsidRDefault="00FC5121" w:rsidP="00FC5121">
            <w:pPr>
              <w:rPr>
                <w:b/>
                <w:bCs/>
                <w:color w:val="0000FF"/>
                <w:lang w:val="en-IL" w:eastAsia="en-IL" w:bidi="he-IL"/>
              </w:rPr>
            </w:pPr>
            <w:r w:rsidRPr="00B41E66">
              <w:rPr>
                <w:b/>
                <w:bCs/>
                <w:color w:val="0000FF"/>
                <w:lang w:val="en-IL" w:eastAsia="en-IL" w:bidi="he-IL"/>
              </w:rPr>
              <w:t>Median</w:t>
            </w:r>
          </w:p>
        </w:tc>
        <w:tc>
          <w:tcPr>
            <w:tcW w:w="826" w:type="dxa"/>
            <w:tcBorders>
              <w:top w:val="nil"/>
              <w:left w:val="single" w:sz="12" w:space="0" w:color="auto"/>
              <w:bottom w:val="nil"/>
              <w:right w:val="nil"/>
            </w:tcBorders>
            <w:shd w:val="clear" w:color="auto" w:fill="auto"/>
            <w:noWrap/>
            <w:vAlign w:val="bottom"/>
            <w:hideMark/>
          </w:tcPr>
          <w:p w14:paraId="538ACBC6" w14:textId="77777777" w:rsidR="00FC5121" w:rsidRPr="00B41E66" w:rsidRDefault="00FC5121" w:rsidP="00FC5121">
            <w:pPr>
              <w:jc w:val="center"/>
              <w:rPr>
                <w:color w:val="0000FF"/>
                <w:lang w:val="en-IL" w:eastAsia="en-IL" w:bidi="he-IL"/>
              </w:rPr>
            </w:pPr>
            <w:r w:rsidRPr="00B41E66">
              <w:rPr>
                <w:color w:val="0000FF"/>
                <w:lang w:val="en-IL" w:eastAsia="en-IL" w:bidi="he-IL"/>
              </w:rPr>
              <w:t>374</w:t>
            </w:r>
          </w:p>
        </w:tc>
        <w:tc>
          <w:tcPr>
            <w:tcW w:w="960" w:type="dxa"/>
            <w:tcBorders>
              <w:top w:val="nil"/>
              <w:left w:val="single" w:sz="4" w:space="0" w:color="auto"/>
              <w:bottom w:val="nil"/>
              <w:right w:val="single" w:sz="4" w:space="0" w:color="auto"/>
            </w:tcBorders>
            <w:shd w:val="clear" w:color="auto" w:fill="auto"/>
            <w:noWrap/>
            <w:vAlign w:val="bottom"/>
            <w:hideMark/>
          </w:tcPr>
          <w:p w14:paraId="0EB85615" w14:textId="77777777" w:rsidR="00FC5121" w:rsidRPr="00B41E66" w:rsidRDefault="00FC5121" w:rsidP="00FC5121">
            <w:pPr>
              <w:jc w:val="center"/>
              <w:rPr>
                <w:color w:val="0000FF"/>
                <w:lang w:val="en-IL" w:eastAsia="en-IL" w:bidi="he-IL"/>
              </w:rPr>
            </w:pPr>
            <w:r w:rsidRPr="00B41E66">
              <w:rPr>
                <w:color w:val="0000FF"/>
                <w:lang w:val="en-IL" w:eastAsia="en-IL" w:bidi="he-IL"/>
              </w:rPr>
              <w:t>229</w:t>
            </w:r>
          </w:p>
        </w:tc>
        <w:tc>
          <w:tcPr>
            <w:tcW w:w="960" w:type="dxa"/>
            <w:tcBorders>
              <w:top w:val="nil"/>
              <w:left w:val="nil"/>
              <w:bottom w:val="nil"/>
              <w:right w:val="nil"/>
            </w:tcBorders>
            <w:shd w:val="clear" w:color="auto" w:fill="auto"/>
            <w:noWrap/>
            <w:vAlign w:val="bottom"/>
            <w:hideMark/>
          </w:tcPr>
          <w:p w14:paraId="50CB0D5D" w14:textId="77777777" w:rsidR="00FC5121" w:rsidRPr="00B41E66" w:rsidRDefault="00FC5121" w:rsidP="00FC5121">
            <w:pPr>
              <w:jc w:val="center"/>
              <w:rPr>
                <w:color w:val="0000FF"/>
                <w:lang w:val="en-IL" w:eastAsia="en-IL" w:bidi="he-IL"/>
              </w:rPr>
            </w:pPr>
            <w:r w:rsidRPr="00B41E66">
              <w:rPr>
                <w:color w:val="0000FF"/>
                <w:lang w:val="en-IL" w:eastAsia="en-IL" w:bidi="he-IL"/>
              </w:rPr>
              <w:t>287</w:t>
            </w:r>
          </w:p>
        </w:tc>
        <w:tc>
          <w:tcPr>
            <w:tcW w:w="960" w:type="dxa"/>
            <w:tcBorders>
              <w:top w:val="nil"/>
              <w:left w:val="single" w:sz="4" w:space="0" w:color="auto"/>
              <w:bottom w:val="nil"/>
              <w:right w:val="single" w:sz="4" w:space="0" w:color="auto"/>
            </w:tcBorders>
            <w:shd w:val="clear" w:color="auto" w:fill="auto"/>
            <w:noWrap/>
            <w:vAlign w:val="bottom"/>
            <w:hideMark/>
          </w:tcPr>
          <w:p w14:paraId="18CC894C" w14:textId="77777777" w:rsidR="00FC5121" w:rsidRPr="00B41E66" w:rsidRDefault="00FC5121" w:rsidP="00FC5121">
            <w:pPr>
              <w:jc w:val="center"/>
              <w:rPr>
                <w:color w:val="0000FF"/>
                <w:lang w:val="en-IL" w:eastAsia="en-IL" w:bidi="he-IL"/>
              </w:rPr>
            </w:pPr>
            <w:r w:rsidRPr="00B41E66">
              <w:rPr>
                <w:color w:val="0000FF"/>
                <w:lang w:val="en-IL" w:eastAsia="en-IL" w:bidi="he-IL"/>
              </w:rPr>
              <w:t>299</w:t>
            </w:r>
          </w:p>
        </w:tc>
        <w:tc>
          <w:tcPr>
            <w:tcW w:w="960" w:type="dxa"/>
            <w:tcBorders>
              <w:top w:val="nil"/>
              <w:left w:val="nil"/>
              <w:bottom w:val="nil"/>
              <w:right w:val="nil"/>
            </w:tcBorders>
            <w:shd w:val="clear" w:color="auto" w:fill="auto"/>
            <w:noWrap/>
            <w:vAlign w:val="bottom"/>
            <w:hideMark/>
          </w:tcPr>
          <w:p w14:paraId="79BBDA49" w14:textId="77777777" w:rsidR="00FC5121" w:rsidRPr="00B41E66" w:rsidRDefault="00FC5121" w:rsidP="00FC5121">
            <w:pPr>
              <w:jc w:val="center"/>
              <w:rPr>
                <w:color w:val="0000FF"/>
                <w:lang w:val="en-IL" w:eastAsia="en-IL" w:bidi="he-IL"/>
              </w:rPr>
            </w:pPr>
            <w:r w:rsidRPr="00B41E66">
              <w:rPr>
                <w:color w:val="0000FF"/>
                <w:lang w:val="en-IL" w:eastAsia="en-IL" w:bidi="he-IL"/>
              </w:rPr>
              <w:t>368</w:t>
            </w:r>
          </w:p>
        </w:tc>
        <w:tc>
          <w:tcPr>
            <w:tcW w:w="960" w:type="dxa"/>
            <w:tcBorders>
              <w:top w:val="nil"/>
              <w:left w:val="single" w:sz="4" w:space="0" w:color="auto"/>
              <w:bottom w:val="nil"/>
              <w:right w:val="single" w:sz="4" w:space="0" w:color="auto"/>
            </w:tcBorders>
            <w:shd w:val="clear" w:color="auto" w:fill="auto"/>
            <w:noWrap/>
            <w:vAlign w:val="bottom"/>
            <w:hideMark/>
          </w:tcPr>
          <w:p w14:paraId="36B20CC5" w14:textId="77777777" w:rsidR="00FC5121" w:rsidRPr="00B41E66" w:rsidRDefault="00FC5121" w:rsidP="00FC5121">
            <w:pPr>
              <w:jc w:val="center"/>
              <w:rPr>
                <w:color w:val="0000FF"/>
                <w:lang w:val="en-IL" w:eastAsia="en-IL" w:bidi="he-IL"/>
              </w:rPr>
            </w:pPr>
            <w:r w:rsidRPr="00B41E66">
              <w:rPr>
                <w:color w:val="0000FF"/>
                <w:lang w:val="en-IL" w:eastAsia="en-IL" w:bidi="he-IL"/>
              </w:rPr>
              <w:t>337</w:t>
            </w:r>
          </w:p>
        </w:tc>
        <w:tc>
          <w:tcPr>
            <w:tcW w:w="960" w:type="dxa"/>
            <w:tcBorders>
              <w:top w:val="nil"/>
              <w:left w:val="nil"/>
              <w:bottom w:val="nil"/>
              <w:right w:val="nil"/>
            </w:tcBorders>
            <w:shd w:val="clear" w:color="auto" w:fill="auto"/>
            <w:noWrap/>
            <w:vAlign w:val="bottom"/>
            <w:hideMark/>
          </w:tcPr>
          <w:p w14:paraId="67A0AAEB" w14:textId="77777777" w:rsidR="00FC5121" w:rsidRPr="00B41E66" w:rsidRDefault="00FC5121" w:rsidP="00FC5121">
            <w:pPr>
              <w:jc w:val="center"/>
              <w:rPr>
                <w:color w:val="0000FF"/>
                <w:lang w:val="en-IL" w:eastAsia="en-IL" w:bidi="he-IL"/>
              </w:rPr>
            </w:pPr>
            <w:r w:rsidRPr="00B41E66">
              <w:rPr>
                <w:color w:val="0000FF"/>
                <w:lang w:val="en-IL" w:eastAsia="en-IL" w:bidi="he-IL"/>
              </w:rPr>
              <w:t>301</w:t>
            </w:r>
          </w:p>
        </w:tc>
        <w:tc>
          <w:tcPr>
            <w:tcW w:w="1493" w:type="dxa"/>
            <w:tcBorders>
              <w:top w:val="nil"/>
              <w:left w:val="single" w:sz="4" w:space="0" w:color="auto"/>
              <w:bottom w:val="nil"/>
              <w:right w:val="single" w:sz="12" w:space="0" w:color="auto"/>
            </w:tcBorders>
            <w:shd w:val="clear" w:color="auto" w:fill="auto"/>
            <w:noWrap/>
            <w:vAlign w:val="bottom"/>
            <w:hideMark/>
          </w:tcPr>
          <w:p w14:paraId="19C9F2E8" w14:textId="77777777" w:rsidR="00FC5121" w:rsidRPr="00B41E66" w:rsidRDefault="00FC5121" w:rsidP="00FC5121">
            <w:pPr>
              <w:jc w:val="center"/>
              <w:rPr>
                <w:color w:val="0000FF"/>
                <w:lang w:val="en-IL" w:eastAsia="en-IL" w:bidi="he-IL"/>
              </w:rPr>
            </w:pPr>
            <w:r w:rsidRPr="00B41E66">
              <w:rPr>
                <w:color w:val="0000FF"/>
                <w:lang w:val="en-IL" w:eastAsia="en-IL" w:bidi="he-IL"/>
              </w:rPr>
              <w:t>297</w:t>
            </w:r>
          </w:p>
        </w:tc>
      </w:tr>
      <w:tr w:rsidR="00FC5121" w:rsidRPr="00B41E66" w14:paraId="33D6C649" w14:textId="77777777" w:rsidTr="00DA4504">
        <w:trPr>
          <w:trHeight w:val="300"/>
        </w:trPr>
        <w:tc>
          <w:tcPr>
            <w:tcW w:w="1101" w:type="dxa"/>
            <w:tcBorders>
              <w:top w:val="nil"/>
              <w:left w:val="single" w:sz="12" w:space="0" w:color="auto"/>
              <w:bottom w:val="nil"/>
              <w:right w:val="nil"/>
            </w:tcBorders>
            <w:shd w:val="clear" w:color="auto" w:fill="auto"/>
            <w:noWrap/>
            <w:vAlign w:val="bottom"/>
            <w:hideMark/>
          </w:tcPr>
          <w:p w14:paraId="6FDD3805" w14:textId="77777777" w:rsidR="00FC5121" w:rsidRPr="00B41E66" w:rsidRDefault="00FC5121" w:rsidP="00FC5121">
            <w:pPr>
              <w:rPr>
                <w:b/>
                <w:bCs/>
                <w:color w:val="0000FF"/>
                <w:lang w:val="en-IL" w:eastAsia="en-IL" w:bidi="he-IL"/>
              </w:rPr>
            </w:pPr>
            <w:r w:rsidRPr="00B41E66">
              <w:rPr>
                <w:b/>
                <w:bCs/>
                <w:color w:val="0000FF"/>
                <w:lang w:val="en-IL" w:eastAsia="en-IL" w:bidi="he-IL"/>
              </w:rPr>
              <w:t>Min</w:t>
            </w:r>
          </w:p>
        </w:tc>
        <w:tc>
          <w:tcPr>
            <w:tcW w:w="826" w:type="dxa"/>
            <w:tcBorders>
              <w:top w:val="nil"/>
              <w:left w:val="single" w:sz="12" w:space="0" w:color="auto"/>
              <w:bottom w:val="nil"/>
              <w:right w:val="nil"/>
            </w:tcBorders>
            <w:shd w:val="clear" w:color="auto" w:fill="auto"/>
            <w:noWrap/>
            <w:vAlign w:val="bottom"/>
            <w:hideMark/>
          </w:tcPr>
          <w:p w14:paraId="14BB116E" w14:textId="77777777" w:rsidR="00FC5121" w:rsidRPr="00B41E66" w:rsidRDefault="00FC5121" w:rsidP="00FC5121">
            <w:pPr>
              <w:jc w:val="center"/>
              <w:rPr>
                <w:color w:val="0000FF"/>
                <w:lang w:val="en-IL" w:eastAsia="en-IL" w:bidi="he-IL"/>
              </w:rPr>
            </w:pPr>
            <w:r w:rsidRPr="00B41E66">
              <w:rPr>
                <w:color w:val="0000FF"/>
                <w:lang w:val="en-IL" w:eastAsia="en-IL" w:bidi="he-IL"/>
              </w:rPr>
              <w:t>45</w:t>
            </w:r>
          </w:p>
        </w:tc>
        <w:tc>
          <w:tcPr>
            <w:tcW w:w="960" w:type="dxa"/>
            <w:tcBorders>
              <w:top w:val="nil"/>
              <w:left w:val="single" w:sz="4" w:space="0" w:color="auto"/>
              <w:bottom w:val="nil"/>
              <w:right w:val="single" w:sz="4" w:space="0" w:color="auto"/>
            </w:tcBorders>
            <w:shd w:val="clear" w:color="auto" w:fill="auto"/>
            <w:noWrap/>
            <w:vAlign w:val="bottom"/>
            <w:hideMark/>
          </w:tcPr>
          <w:p w14:paraId="679854F1" w14:textId="77777777" w:rsidR="00FC5121" w:rsidRPr="00B41E66" w:rsidRDefault="00FC5121" w:rsidP="00FC5121">
            <w:pPr>
              <w:jc w:val="center"/>
              <w:rPr>
                <w:color w:val="0000FF"/>
                <w:lang w:val="en-IL" w:eastAsia="en-IL" w:bidi="he-IL"/>
              </w:rPr>
            </w:pPr>
            <w:r w:rsidRPr="00B41E66">
              <w:rPr>
                <w:color w:val="0000FF"/>
                <w:lang w:val="en-IL" w:eastAsia="en-IL" w:bidi="he-IL"/>
              </w:rPr>
              <w:t>11</w:t>
            </w:r>
          </w:p>
        </w:tc>
        <w:tc>
          <w:tcPr>
            <w:tcW w:w="960" w:type="dxa"/>
            <w:tcBorders>
              <w:top w:val="nil"/>
              <w:left w:val="nil"/>
              <w:bottom w:val="nil"/>
              <w:right w:val="nil"/>
            </w:tcBorders>
            <w:shd w:val="clear" w:color="auto" w:fill="auto"/>
            <w:noWrap/>
            <w:vAlign w:val="bottom"/>
            <w:hideMark/>
          </w:tcPr>
          <w:p w14:paraId="59FF934A" w14:textId="77777777" w:rsidR="00FC5121" w:rsidRPr="00B41E66" w:rsidRDefault="00FC5121" w:rsidP="00FC5121">
            <w:pPr>
              <w:jc w:val="center"/>
              <w:rPr>
                <w:color w:val="0000FF"/>
                <w:lang w:val="en-IL" w:eastAsia="en-IL" w:bidi="he-IL"/>
              </w:rPr>
            </w:pPr>
            <w:r w:rsidRPr="00B41E66">
              <w:rPr>
                <w:color w:val="0000FF"/>
                <w:lang w:val="en-IL" w:eastAsia="en-IL" w:bidi="he-IL"/>
              </w:rPr>
              <w:t>1</w:t>
            </w:r>
          </w:p>
        </w:tc>
        <w:tc>
          <w:tcPr>
            <w:tcW w:w="960" w:type="dxa"/>
            <w:tcBorders>
              <w:top w:val="nil"/>
              <w:left w:val="single" w:sz="4" w:space="0" w:color="auto"/>
              <w:bottom w:val="nil"/>
              <w:right w:val="single" w:sz="4" w:space="0" w:color="auto"/>
            </w:tcBorders>
            <w:shd w:val="clear" w:color="auto" w:fill="auto"/>
            <w:noWrap/>
            <w:vAlign w:val="bottom"/>
            <w:hideMark/>
          </w:tcPr>
          <w:p w14:paraId="3CC273BF" w14:textId="77777777" w:rsidR="00FC5121" w:rsidRPr="00B41E66" w:rsidRDefault="00FC5121" w:rsidP="00FC5121">
            <w:pPr>
              <w:jc w:val="center"/>
              <w:rPr>
                <w:color w:val="0000FF"/>
                <w:lang w:val="en-IL" w:eastAsia="en-IL" w:bidi="he-IL"/>
              </w:rPr>
            </w:pPr>
            <w:r w:rsidRPr="00B41E66">
              <w:rPr>
                <w:color w:val="0000FF"/>
                <w:lang w:val="en-IL" w:eastAsia="en-IL" w:bidi="he-IL"/>
              </w:rPr>
              <w:t>9</w:t>
            </w:r>
          </w:p>
        </w:tc>
        <w:tc>
          <w:tcPr>
            <w:tcW w:w="960" w:type="dxa"/>
            <w:tcBorders>
              <w:top w:val="nil"/>
              <w:left w:val="nil"/>
              <w:bottom w:val="nil"/>
              <w:right w:val="nil"/>
            </w:tcBorders>
            <w:shd w:val="clear" w:color="auto" w:fill="auto"/>
            <w:noWrap/>
            <w:vAlign w:val="bottom"/>
            <w:hideMark/>
          </w:tcPr>
          <w:p w14:paraId="0ADF3584" w14:textId="77777777" w:rsidR="00FC5121" w:rsidRPr="00B41E66" w:rsidRDefault="00FC5121" w:rsidP="00FC5121">
            <w:pPr>
              <w:jc w:val="center"/>
              <w:rPr>
                <w:color w:val="0000FF"/>
                <w:lang w:val="en-IL" w:eastAsia="en-IL" w:bidi="he-IL"/>
              </w:rPr>
            </w:pPr>
            <w:r w:rsidRPr="00B41E66">
              <w:rPr>
                <w:color w:val="0000FF"/>
                <w:lang w:val="en-IL" w:eastAsia="en-IL" w:bidi="he-IL"/>
              </w:rPr>
              <w:t>19</w:t>
            </w:r>
          </w:p>
        </w:tc>
        <w:tc>
          <w:tcPr>
            <w:tcW w:w="960" w:type="dxa"/>
            <w:tcBorders>
              <w:top w:val="nil"/>
              <w:left w:val="single" w:sz="4" w:space="0" w:color="auto"/>
              <w:bottom w:val="nil"/>
              <w:right w:val="single" w:sz="4" w:space="0" w:color="auto"/>
            </w:tcBorders>
            <w:shd w:val="clear" w:color="auto" w:fill="auto"/>
            <w:noWrap/>
            <w:vAlign w:val="bottom"/>
            <w:hideMark/>
          </w:tcPr>
          <w:p w14:paraId="3014B53D" w14:textId="77777777" w:rsidR="00FC5121" w:rsidRPr="00B41E66" w:rsidRDefault="00FC5121" w:rsidP="00FC5121">
            <w:pPr>
              <w:jc w:val="center"/>
              <w:rPr>
                <w:color w:val="0000FF"/>
                <w:lang w:val="en-IL" w:eastAsia="en-IL" w:bidi="he-IL"/>
              </w:rPr>
            </w:pPr>
            <w:r w:rsidRPr="00B41E66">
              <w:rPr>
                <w:color w:val="0000FF"/>
                <w:lang w:val="en-IL" w:eastAsia="en-IL" w:bidi="he-IL"/>
              </w:rPr>
              <w:t>12</w:t>
            </w:r>
          </w:p>
        </w:tc>
        <w:tc>
          <w:tcPr>
            <w:tcW w:w="960" w:type="dxa"/>
            <w:tcBorders>
              <w:top w:val="nil"/>
              <w:left w:val="nil"/>
              <w:bottom w:val="nil"/>
              <w:right w:val="nil"/>
            </w:tcBorders>
            <w:shd w:val="clear" w:color="auto" w:fill="auto"/>
            <w:noWrap/>
            <w:vAlign w:val="bottom"/>
            <w:hideMark/>
          </w:tcPr>
          <w:p w14:paraId="2579A60D" w14:textId="77777777" w:rsidR="00FC5121" w:rsidRPr="00B41E66" w:rsidRDefault="00FC5121" w:rsidP="00FC5121">
            <w:pPr>
              <w:jc w:val="center"/>
              <w:rPr>
                <w:color w:val="0000FF"/>
                <w:lang w:val="en-IL" w:eastAsia="en-IL" w:bidi="he-IL"/>
              </w:rPr>
            </w:pPr>
            <w:r w:rsidRPr="00B41E66">
              <w:rPr>
                <w:color w:val="0000FF"/>
                <w:lang w:val="en-IL" w:eastAsia="en-IL" w:bidi="he-IL"/>
              </w:rPr>
              <w:t>8</w:t>
            </w:r>
          </w:p>
        </w:tc>
        <w:tc>
          <w:tcPr>
            <w:tcW w:w="1493" w:type="dxa"/>
            <w:tcBorders>
              <w:top w:val="nil"/>
              <w:left w:val="single" w:sz="4" w:space="0" w:color="auto"/>
              <w:bottom w:val="nil"/>
              <w:right w:val="single" w:sz="12" w:space="0" w:color="auto"/>
            </w:tcBorders>
            <w:shd w:val="clear" w:color="auto" w:fill="auto"/>
            <w:noWrap/>
            <w:vAlign w:val="bottom"/>
            <w:hideMark/>
          </w:tcPr>
          <w:p w14:paraId="46E3FFBD" w14:textId="77777777" w:rsidR="00FC5121" w:rsidRPr="00B41E66" w:rsidRDefault="00FC5121" w:rsidP="00FC5121">
            <w:pPr>
              <w:jc w:val="center"/>
              <w:rPr>
                <w:color w:val="0000FF"/>
                <w:lang w:val="en-IL" w:eastAsia="en-IL" w:bidi="he-IL"/>
              </w:rPr>
            </w:pPr>
            <w:r w:rsidRPr="00B41E66">
              <w:rPr>
                <w:color w:val="0000FF"/>
                <w:lang w:val="en-IL" w:eastAsia="en-IL" w:bidi="he-IL"/>
              </w:rPr>
              <w:t>1</w:t>
            </w:r>
          </w:p>
        </w:tc>
      </w:tr>
      <w:tr w:rsidR="00FC5121" w:rsidRPr="00B41E66" w14:paraId="601DE2BC" w14:textId="77777777" w:rsidTr="00DA4504">
        <w:trPr>
          <w:trHeight w:val="300"/>
        </w:trPr>
        <w:tc>
          <w:tcPr>
            <w:tcW w:w="1101" w:type="dxa"/>
            <w:tcBorders>
              <w:top w:val="nil"/>
              <w:left w:val="single" w:sz="12" w:space="0" w:color="auto"/>
              <w:bottom w:val="nil"/>
              <w:right w:val="nil"/>
            </w:tcBorders>
            <w:shd w:val="clear" w:color="auto" w:fill="auto"/>
            <w:noWrap/>
            <w:vAlign w:val="bottom"/>
            <w:hideMark/>
          </w:tcPr>
          <w:p w14:paraId="5181A314" w14:textId="77777777" w:rsidR="00FC5121" w:rsidRPr="00B41E66" w:rsidRDefault="00FC5121" w:rsidP="00FC5121">
            <w:pPr>
              <w:rPr>
                <w:b/>
                <w:bCs/>
                <w:color w:val="0000FF"/>
                <w:lang w:val="en-IL" w:eastAsia="en-IL" w:bidi="he-IL"/>
              </w:rPr>
            </w:pPr>
            <w:r w:rsidRPr="00B41E66">
              <w:rPr>
                <w:b/>
                <w:bCs/>
                <w:color w:val="0000FF"/>
                <w:lang w:val="en-IL" w:eastAsia="en-IL" w:bidi="he-IL"/>
              </w:rPr>
              <w:t>Max</w:t>
            </w:r>
          </w:p>
        </w:tc>
        <w:tc>
          <w:tcPr>
            <w:tcW w:w="826" w:type="dxa"/>
            <w:tcBorders>
              <w:top w:val="nil"/>
              <w:left w:val="single" w:sz="12" w:space="0" w:color="auto"/>
              <w:bottom w:val="nil"/>
              <w:right w:val="nil"/>
            </w:tcBorders>
            <w:shd w:val="clear" w:color="auto" w:fill="auto"/>
            <w:noWrap/>
            <w:vAlign w:val="bottom"/>
            <w:hideMark/>
          </w:tcPr>
          <w:p w14:paraId="755A17D2" w14:textId="77777777" w:rsidR="00FC5121" w:rsidRPr="00B41E66" w:rsidRDefault="00FC5121" w:rsidP="00FC5121">
            <w:pPr>
              <w:jc w:val="center"/>
              <w:rPr>
                <w:color w:val="0000FF"/>
                <w:lang w:val="en-IL" w:eastAsia="en-IL" w:bidi="he-IL"/>
              </w:rPr>
            </w:pPr>
            <w:r w:rsidRPr="00B41E66">
              <w:rPr>
                <w:color w:val="0000FF"/>
                <w:lang w:val="en-IL" w:eastAsia="en-IL" w:bidi="he-IL"/>
              </w:rPr>
              <w:t>2,308</w:t>
            </w:r>
          </w:p>
        </w:tc>
        <w:tc>
          <w:tcPr>
            <w:tcW w:w="960" w:type="dxa"/>
            <w:tcBorders>
              <w:top w:val="nil"/>
              <w:left w:val="single" w:sz="4" w:space="0" w:color="auto"/>
              <w:bottom w:val="nil"/>
              <w:right w:val="single" w:sz="4" w:space="0" w:color="auto"/>
            </w:tcBorders>
            <w:shd w:val="clear" w:color="auto" w:fill="auto"/>
            <w:noWrap/>
            <w:vAlign w:val="bottom"/>
            <w:hideMark/>
          </w:tcPr>
          <w:p w14:paraId="1C50C02A" w14:textId="77777777" w:rsidR="00FC5121" w:rsidRPr="00B41E66" w:rsidRDefault="00FC5121" w:rsidP="00FC5121">
            <w:pPr>
              <w:jc w:val="center"/>
              <w:rPr>
                <w:color w:val="0000FF"/>
                <w:lang w:val="en-IL" w:eastAsia="en-IL" w:bidi="he-IL"/>
              </w:rPr>
            </w:pPr>
            <w:r w:rsidRPr="00B41E66">
              <w:rPr>
                <w:color w:val="0000FF"/>
                <w:lang w:val="en-IL" w:eastAsia="en-IL" w:bidi="he-IL"/>
              </w:rPr>
              <w:t>2,165</w:t>
            </w:r>
          </w:p>
        </w:tc>
        <w:tc>
          <w:tcPr>
            <w:tcW w:w="960" w:type="dxa"/>
            <w:tcBorders>
              <w:top w:val="nil"/>
              <w:left w:val="nil"/>
              <w:bottom w:val="nil"/>
              <w:right w:val="nil"/>
            </w:tcBorders>
            <w:shd w:val="clear" w:color="auto" w:fill="auto"/>
            <w:noWrap/>
            <w:vAlign w:val="bottom"/>
            <w:hideMark/>
          </w:tcPr>
          <w:p w14:paraId="60E8BBE2" w14:textId="77777777" w:rsidR="00FC5121" w:rsidRPr="00B41E66" w:rsidRDefault="00FC5121" w:rsidP="00FC5121">
            <w:pPr>
              <w:jc w:val="center"/>
              <w:rPr>
                <w:color w:val="0000FF"/>
                <w:lang w:val="en-IL" w:eastAsia="en-IL" w:bidi="he-IL"/>
              </w:rPr>
            </w:pPr>
            <w:r w:rsidRPr="00B41E66">
              <w:rPr>
                <w:color w:val="0000FF"/>
                <w:lang w:val="en-IL" w:eastAsia="en-IL" w:bidi="he-IL"/>
              </w:rPr>
              <w:t>2,347</w:t>
            </w:r>
          </w:p>
        </w:tc>
        <w:tc>
          <w:tcPr>
            <w:tcW w:w="960" w:type="dxa"/>
            <w:tcBorders>
              <w:top w:val="nil"/>
              <w:left w:val="single" w:sz="4" w:space="0" w:color="auto"/>
              <w:bottom w:val="nil"/>
              <w:right w:val="single" w:sz="4" w:space="0" w:color="auto"/>
            </w:tcBorders>
            <w:shd w:val="clear" w:color="auto" w:fill="auto"/>
            <w:noWrap/>
            <w:vAlign w:val="bottom"/>
            <w:hideMark/>
          </w:tcPr>
          <w:p w14:paraId="5B7CC8E2" w14:textId="77777777" w:rsidR="00FC5121" w:rsidRPr="00B41E66" w:rsidRDefault="00FC5121" w:rsidP="00FC5121">
            <w:pPr>
              <w:jc w:val="center"/>
              <w:rPr>
                <w:color w:val="0000FF"/>
                <w:lang w:val="en-IL" w:eastAsia="en-IL" w:bidi="he-IL"/>
              </w:rPr>
            </w:pPr>
            <w:r w:rsidRPr="00B41E66">
              <w:rPr>
                <w:color w:val="0000FF"/>
                <w:lang w:val="en-IL" w:eastAsia="en-IL" w:bidi="he-IL"/>
              </w:rPr>
              <w:t>1,843</w:t>
            </w:r>
          </w:p>
        </w:tc>
        <w:tc>
          <w:tcPr>
            <w:tcW w:w="960" w:type="dxa"/>
            <w:tcBorders>
              <w:top w:val="nil"/>
              <w:left w:val="nil"/>
              <w:bottom w:val="nil"/>
              <w:right w:val="nil"/>
            </w:tcBorders>
            <w:shd w:val="clear" w:color="auto" w:fill="auto"/>
            <w:noWrap/>
            <w:vAlign w:val="bottom"/>
            <w:hideMark/>
          </w:tcPr>
          <w:p w14:paraId="5D3362A3" w14:textId="77777777" w:rsidR="00FC5121" w:rsidRPr="00B41E66" w:rsidRDefault="00FC5121" w:rsidP="00FC5121">
            <w:pPr>
              <w:jc w:val="center"/>
              <w:rPr>
                <w:color w:val="0000FF"/>
                <w:lang w:val="en-IL" w:eastAsia="en-IL" w:bidi="he-IL"/>
              </w:rPr>
            </w:pPr>
            <w:r w:rsidRPr="00B41E66">
              <w:rPr>
                <w:color w:val="0000FF"/>
                <w:lang w:val="en-IL" w:eastAsia="en-IL" w:bidi="he-IL"/>
              </w:rPr>
              <w:t>2,685</w:t>
            </w:r>
          </w:p>
        </w:tc>
        <w:tc>
          <w:tcPr>
            <w:tcW w:w="960" w:type="dxa"/>
            <w:tcBorders>
              <w:top w:val="nil"/>
              <w:left w:val="single" w:sz="4" w:space="0" w:color="auto"/>
              <w:bottom w:val="nil"/>
              <w:right w:val="single" w:sz="4" w:space="0" w:color="auto"/>
            </w:tcBorders>
            <w:shd w:val="clear" w:color="auto" w:fill="auto"/>
            <w:noWrap/>
            <w:vAlign w:val="bottom"/>
            <w:hideMark/>
          </w:tcPr>
          <w:p w14:paraId="175BED92" w14:textId="77777777" w:rsidR="00FC5121" w:rsidRPr="00B41E66" w:rsidRDefault="00FC5121" w:rsidP="00FC5121">
            <w:pPr>
              <w:jc w:val="center"/>
              <w:rPr>
                <w:color w:val="0000FF"/>
                <w:lang w:val="en-IL" w:eastAsia="en-IL" w:bidi="he-IL"/>
              </w:rPr>
            </w:pPr>
            <w:r w:rsidRPr="00B41E66">
              <w:rPr>
                <w:color w:val="0000FF"/>
                <w:lang w:val="en-IL" w:eastAsia="en-IL" w:bidi="he-IL"/>
              </w:rPr>
              <w:t>11,528</w:t>
            </w:r>
          </w:p>
        </w:tc>
        <w:tc>
          <w:tcPr>
            <w:tcW w:w="960" w:type="dxa"/>
            <w:tcBorders>
              <w:top w:val="nil"/>
              <w:left w:val="nil"/>
              <w:bottom w:val="nil"/>
              <w:right w:val="nil"/>
            </w:tcBorders>
            <w:shd w:val="clear" w:color="auto" w:fill="auto"/>
            <w:noWrap/>
            <w:vAlign w:val="bottom"/>
            <w:hideMark/>
          </w:tcPr>
          <w:p w14:paraId="3CB5B229" w14:textId="77777777" w:rsidR="00FC5121" w:rsidRPr="00B41E66" w:rsidRDefault="00FC5121" w:rsidP="00FC5121">
            <w:pPr>
              <w:jc w:val="center"/>
              <w:rPr>
                <w:color w:val="0000FF"/>
                <w:lang w:val="en-IL" w:eastAsia="en-IL" w:bidi="he-IL"/>
              </w:rPr>
            </w:pPr>
            <w:r w:rsidRPr="00B41E66">
              <w:rPr>
                <w:color w:val="0000FF"/>
                <w:lang w:val="en-IL" w:eastAsia="en-IL" w:bidi="he-IL"/>
              </w:rPr>
              <w:t>7,166</w:t>
            </w:r>
          </w:p>
        </w:tc>
        <w:tc>
          <w:tcPr>
            <w:tcW w:w="1493" w:type="dxa"/>
            <w:tcBorders>
              <w:top w:val="nil"/>
              <w:left w:val="single" w:sz="4" w:space="0" w:color="auto"/>
              <w:bottom w:val="nil"/>
              <w:right w:val="single" w:sz="12" w:space="0" w:color="auto"/>
            </w:tcBorders>
            <w:shd w:val="clear" w:color="auto" w:fill="auto"/>
            <w:noWrap/>
            <w:vAlign w:val="bottom"/>
            <w:hideMark/>
          </w:tcPr>
          <w:p w14:paraId="2180AA9C" w14:textId="77777777" w:rsidR="00FC5121" w:rsidRPr="00B41E66" w:rsidRDefault="00FC5121" w:rsidP="00FC5121">
            <w:pPr>
              <w:jc w:val="center"/>
              <w:rPr>
                <w:color w:val="0000FF"/>
                <w:lang w:val="en-IL" w:eastAsia="en-IL" w:bidi="he-IL"/>
              </w:rPr>
            </w:pPr>
            <w:r w:rsidRPr="00B41E66">
              <w:rPr>
                <w:color w:val="0000FF"/>
                <w:lang w:val="en-IL" w:eastAsia="en-IL" w:bidi="he-IL"/>
              </w:rPr>
              <w:t>11,528</w:t>
            </w:r>
          </w:p>
        </w:tc>
      </w:tr>
      <w:tr w:rsidR="00FC5121" w:rsidRPr="00B41E66" w14:paraId="70784860" w14:textId="77777777" w:rsidTr="00DA4504">
        <w:trPr>
          <w:trHeight w:val="300"/>
        </w:trPr>
        <w:tc>
          <w:tcPr>
            <w:tcW w:w="1101" w:type="dxa"/>
            <w:tcBorders>
              <w:top w:val="nil"/>
              <w:left w:val="single" w:sz="12" w:space="0" w:color="auto"/>
              <w:bottom w:val="nil"/>
              <w:right w:val="nil"/>
            </w:tcBorders>
            <w:shd w:val="clear" w:color="auto" w:fill="auto"/>
            <w:noWrap/>
            <w:vAlign w:val="bottom"/>
            <w:hideMark/>
          </w:tcPr>
          <w:p w14:paraId="75902BBF" w14:textId="77777777" w:rsidR="00FC5121" w:rsidRPr="00B41E66" w:rsidRDefault="00FC5121" w:rsidP="00FC5121">
            <w:pPr>
              <w:rPr>
                <w:b/>
                <w:bCs/>
                <w:color w:val="0000FF"/>
                <w:lang w:val="en-IL" w:eastAsia="en-IL" w:bidi="he-IL"/>
              </w:rPr>
            </w:pPr>
            <w:r w:rsidRPr="00B41E66">
              <w:rPr>
                <w:b/>
                <w:bCs/>
                <w:color w:val="0000FF"/>
                <w:lang w:val="en-IL" w:eastAsia="en-IL" w:bidi="he-IL"/>
              </w:rPr>
              <w:t>S</w:t>
            </w:r>
            <w:r w:rsidR="00DA4504" w:rsidRPr="00B41E66">
              <w:rPr>
                <w:b/>
                <w:bCs/>
                <w:color w:val="0000FF"/>
                <w:lang w:eastAsia="en-IL" w:bidi="he-IL"/>
              </w:rPr>
              <w:t>td</w:t>
            </w:r>
            <w:r w:rsidRPr="00B41E66">
              <w:rPr>
                <w:b/>
                <w:bCs/>
                <w:color w:val="0000FF"/>
                <w:lang w:val="en-IL" w:eastAsia="en-IL" w:bidi="he-IL"/>
              </w:rPr>
              <w:t>.</w:t>
            </w:r>
            <w:r w:rsidR="00DA4504" w:rsidRPr="00B41E66">
              <w:rPr>
                <w:b/>
                <w:bCs/>
                <w:color w:val="0000FF"/>
                <w:lang w:eastAsia="en-IL" w:bidi="he-IL"/>
              </w:rPr>
              <w:t xml:space="preserve"> </w:t>
            </w:r>
            <w:r w:rsidRPr="00B41E66">
              <w:rPr>
                <w:b/>
                <w:bCs/>
                <w:color w:val="0000FF"/>
                <w:lang w:val="en-IL" w:eastAsia="en-IL" w:bidi="he-IL"/>
              </w:rPr>
              <w:t>Dev</w:t>
            </w:r>
          </w:p>
        </w:tc>
        <w:tc>
          <w:tcPr>
            <w:tcW w:w="826" w:type="dxa"/>
            <w:tcBorders>
              <w:top w:val="nil"/>
              <w:left w:val="single" w:sz="12" w:space="0" w:color="auto"/>
              <w:bottom w:val="nil"/>
              <w:right w:val="nil"/>
            </w:tcBorders>
            <w:shd w:val="clear" w:color="auto" w:fill="auto"/>
            <w:noWrap/>
            <w:vAlign w:val="bottom"/>
            <w:hideMark/>
          </w:tcPr>
          <w:p w14:paraId="36EB3C58" w14:textId="77777777" w:rsidR="00FC5121" w:rsidRPr="00B41E66" w:rsidRDefault="00FC5121" w:rsidP="00FC5121">
            <w:pPr>
              <w:jc w:val="center"/>
              <w:rPr>
                <w:color w:val="0000FF"/>
                <w:lang w:val="en-IL" w:eastAsia="en-IL" w:bidi="he-IL"/>
              </w:rPr>
            </w:pPr>
            <w:r w:rsidRPr="00B41E66">
              <w:rPr>
                <w:color w:val="0000FF"/>
                <w:lang w:val="en-IL" w:eastAsia="en-IL" w:bidi="he-IL"/>
              </w:rPr>
              <w:t>456</w:t>
            </w:r>
          </w:p>
        </w:tc>
        <w:tc>
          <w:tcPr>
            <w:tcW w:w="960" w:type="dxa"/>
            <w:tcBorders>
              <w:top w:val="nil"/>
              <w:left w:val="single" w:sz="4" w:space="0" w:color="auto"/>
              <w:bottom w:val="nil"/>
              <w:right w:val="single" w:sz="4" w:space="0" w:color="auto"/>
            </w:tcBorders>
            <w:shd w:val="clear" w:color="auto" w:fill="auto"/>
            <w:noWrap/>
            <w:vAlign w:val="bottom"/>
            <w:hideMark/>
          </w:tcPr>
          <w:p w14:paraId="7976BC7B" w14:textId="77777777" w:rsidR="00FC5121" w:rsidRPr="00B41E66" w:rsidRDefault="00FC5121" w:rsidP="00FC5121">
            <w:pPr>
              <w:jc w:val="center"/>
              <w:rPr>
                <w:color w:val="0000FF"/>
                <w:lang w:val="en-IL" w:eastAsia="en-IL" w:bidi="he-IL"/>
              </w:rPr>
            </w:pPr>
            <w:r w:rsidRPr="00B41E66">
              <w:rPr>
                <w:color w:val="0000FF"/>
                <w:lang w:val="en-IL" w:eastAsia="en-IL" w:bidi="he-IL"/>
              </w:rPr>
              <w:t>452</w:t>
            </w:r>
          </w:p>
        </w:tc>
        <w:tc>
          <w:tcPr>
            <w:tcW w:w="960" w:type="dxa"/>
            <w:tcBorders>
              <w:top w:val="nil"/>
              <w:left w:val="nil"/>
              <w:bottom w:val="nil"/>
              <w:right w:val="nil"/>
            </w:tcBorders>
            <w:shd w:val="clear" w:color="auto" w:fill="auto"/>
            <w:noWrap/>
            <w:vAlign w:val="bottom"/>
            <w:hideMark/>
          </w:tcPr>
          <w:p w14:paraId="5B29A395" w14:textId="77777777" w:rsidR="00FC5121" w:rsidRPr="00B41E66" w:rsidRDefault="00FC5121" w:rsidP="00FC5121">
            <w:pPr>
              <w:jc w:val="center"/>
              <w:rPr>
                <w:color w:val="0000FF"/>
                <w:lang w:val="en-IL" w:eastAsia="en-IL" w:bidi="he-IL"/>
              </w:rPr>
            </w:pPr>
            <w:r w:rsidRPr="00B41E66">
              <w:rPr>
                <w:color w:val="0000FF"/>
                <w:lang w:val="en-IL" w:eastAsia="en-IL" w:bidi="he-IL"/>
              </w:rPr>
              <w:t>576</w:t>
            </w:r>
          </w:p>
        </w:tc>
        <w:tc>
          <w:tcPr>
            <w:tcW w:w="960" w:type="dxa"/>
            <w:tcBorders>
              <w:top w:val="nil"/>
              <w:left w:val="single" w:sz="4" w:space="0" w:color="auto"/>
              <w:bottom w:val="nil"/>
              <w:right w:val="single" w:sz="4" w:space="0" w:color="auto"/>
            </w:tcBorders>
            <w:shd w:val="clear" w:color="auto" w:fill="auto"/>
            <w:noWrap/>
            <w:vAlign w:val="bottom"/>
            <w:hideMark/>
          </w:tcPr>
          <w:p w14:paraId="6775705B" w14:textId="77777777" w:rsidR="00FC5121" w:rsidRPr="00B41E66" w:rsidRDefault="00FC5121" w:rsidP="00FC5121">
            <w:pPr>
              <w:jc w:val="center"/>
              <w:rPr>
                <w:color w:val="0000FF"/>
                <w:lang w:val="en-IL" w:eastAsia="en-IL" w:bidi="he-IL"/>
              </w:rPr>
            </w:pPr>
            <w:r w:rsidRPr="00B41E66">
              <w:rPr>
                <w:color w:val="0000FF"/>
                <w:lang w:val="en-IL" w:eastAsia="en-IL" w:bidi="he-IL"/>
              </w:rPr>
              <w:t>444</w:t>
            </w:r>
          </w:p>
        </w:tc>
        <w:tc>
          <w:tcPr>
            <w:tcW w:w="960" w:type="dxa"/>
            <w:tcBorders>
              <w:top w:val="nil"/>
              <w:left w:val="nil"/>
              <w:bottom w:val="nil"/>
              <w:right w:val="nil"/>
            </w:tcBorders>
            <w:shd w:val="clear" w:color="auto" w:fill="auto"/>
            <w:noWrap/>
            <w:vAlign w:val="bottom"/>
            <w:hideMark/>
          </w:tcPr>
          <w:p w14:paraId="1F643C1C" w14:textId="77777777" w:rsidR="00FC5121" w:rsidRPr="00B41E66" w:rsidRDefault="00FC5121" w:rsidP="00FC5121">
            <w:pPr>
              <w:jc w:val="center"/>
              <w:rPr>
                <w:color w:val="0000FF"/>
                <w:lang w:val="en-IL" w:eastAsia="en-IL" w:bidi="he-IL"/>
              </w:rPr>
            </w:pPr>
            <w:r w:rsidRPr="00B41E66">
              <w:rPr>
                <w:color w:val="0000FF"/>
                <w:lang w:val="en-IL" w:eastAsia="en-IL" w:bidi="he-IL"/>
              </w:rPr>
              <w:t>521</w:t>
            </w:r>
          </w:p>
        </w:tc>
        <w:tc>
          <w:tcPr>
            <w:tcW w:w="960" w:type="dxa"/>
            <w:tcBorders>
              <w:top w:val="nil"/>
              <w:left w:val="single" w:sz="4" w:space="0" w:color="auto"/>
              <w:bottom w:val="nil"/>
              <w:right w:val="single" w:sz="4" w:space="0" w:color="auto"/>
            </w:tcBorders>
            <w:shd w:val="clear" w:color="auto" w:fill="auto"/>
            <w:noWrap/>
            <w:vAlign w:val="bottom"/>
            <w:hideMark/>
          </w:tcPr>
          <w:p w14:paraId="6362CAF9" w14:textId="77777777" w:rsidR="00FC5121" w:rsidRPr="00B41E66" w:rsidRDefault="00FC5121" w:rsidP="00FC5121">
            <w:pPr>
              <w:jc w:val="center"/>
              <w:rPr>
                <w:color w:val="0000FF"/>
                <w:lang w:val="en-IL" w:eastAsia="en-IL" w:bidi="he-IL"/>
              </w:rPr>
            </w:pPr>
            <w:r w:rsidRPr="00B41E66">
              <w:rPr>
                <w:color w:val="0000FF"/>
                <w:lang w:val="en-IL" w:eastAsia="en-IL" w:bidi="he-IL"/>
              </w:rPr>
              <w:t>1,600</w:t>
            </w:r>
          </w:p>
        </w:tc>
        <w:tc>
          <w:tcPr>
            <w:tcW w:w="960" w:type="dxa"/>
            <w:tcBorders>
              <w:top w:val="nil"/>
              <w:left w:val="nil"/>
              <w:bottom w:val="nil"/>
              <w:right w:val="nil"/>
            </w:tcBorders>
            <w:shd w:val="clear" w:color="auto" w:fill="auto"/>
            <w:noWrap/>
            <w:vAlign w:val="bottom"/>
            <w:hideMark/>
          </w:tcPr>
          <w:p w14:paraId="60119343" w14:textId="77777777" w:rsidR="00FC5121" w:rsidRPr="00B41E66" w:rsidRDefault="00FC5121" w:rsidP="00FC5121">
            <w:pPr>
              <w:jc w:val="center"/>
              <w:rPr>
                <w:color w:val="0000FF"/>
                <w:lang w:val="en-IL" w:eastAsia="en-IL" w:bidi="he-IL"/>
              </w:rPr>
            </w:pPr>
            <w:r w:rsidRPr="00B41E66">
              <w:rPr>
                <w:color w:val="0000FF"/>
                <w:lang w:val="en-IL" w:eastAsia="en-IL" w:bidi="he-IL"/>
              </w:rPr>
              <w:t>1,129</w:t>
            </w:r>
          </w:p>
        </w:tc>
        <w:tc>
          <w:tcPr>
            <w:tcW w:w="1493" w:type="dxa"/>
            <w:tcBorders>
              <w:top w:val="nil"/>
              <w:left w:val="single" w:sz="4" w:space="0" w:color="auto"/>
              <w:bottom w:val="nil"/>
              <w:right w:val="single" w:sz="12" w:space="0" w:color="auto"/>
            </w:tcBorders>
            <w:shd w:val="clear" w:color="auto" w:fill="auto"/>
            <w:noWrap/>
            <w:vAlign w:val="bottom"/>
            <w:hideMark/>
          </w:tcPr>
          <w:p w14:paraId="1D4B6542" w14:textId="77777777" w:rsidR="00FC5121" w:rsidRPr="00B41E66" w:rsidRDefault="00FC5121" w:rsidP="00FC5121">
            <w:pPr>
              <w:jc w:val="center"/>
              <w:rPr>
                <w:color w:val="0000FF"/>
                <w:lang w:val="en-IL" w:eastAsia="en-IL" w:bidi="he-IL"/>
              </w:rPr>
            </w:pPr>
            <w:r w:rsidRPr="00B41E66">
              <w:rPr>
                <w:color w:val="0000FF"/>
                <w:lang w:val="en-IL" w:eastAsia="en-IL" w:bidi="he-IL"/>
              </w:rPr>
              <w:t>964</w:t>
            </w:r>
          </w:p>
        </w:tc>
      </w:tr>
      <w:tr w:rsidR="00FC5121" w:rsidRPr="00B41E66" w14:paraId="103B2382" w14:textId="77777777" w:rsidTr="00DA4504">
        <w:trPr>
          <w:trHeight w:val="315"/>
        </w:trPr>
        <w:tc>
          <w:tcPr>
            <w:tcW w:w="1101" w:type="dxa"/>
            <w:tcBorders>
              <w:top w:val="nil"/>
              <w:left w:val="single" w:sz="12" w:space="0" w:color="auto"/>
              <w:bottom w:val="single" w:sz="12" w:space="0" w:color="auto"/>
              <w:right w:val="nil"/>
            </w:tcBorders>
            <w:shd w:val="clear" w:color="auto" w:fill="auto"/>
            <w:noWrap/>
            <w:vAlign w:val="bottom"/>
            <w:hideMark/>
          </w:tcPr>
          <w:p w14:paraId="517D7BF1" w14:textId="77777777" w:rsidR="00FC5121" w:rsidRPr="00B41E66" w:rsidRDefault="00FC5121" w:rsidP="00FC5121">
            <w:pPr>
              <w:rPr>
                <w:b/>
                <w:bCs/>
                <w:color w:val="0000FF"/>
                <w:lang w:val="en-IL" w:eastAsia="en-IL" w:bidi="he-IL"/>
              </w:rPr>
            </w:pPr>
            <w:r w:rsidRPr="00B41E66">
              <w:rPr>
                <w:b/>
                <w:bCs/>
                <w:color w:val="0000FF"/>
                <w:lang w:val="en-IL" w:eastAsia="en-IL" w:bidi="he-IL"/>
              </w:rPr>
              <w:t>Count</w:t>
            </w:r>
          </w:p>
        </w:tc>
        <w:tc>
          <w:tcPr>
            <w:tcW w:w="826" w:type="dxa"/>
            <w:tcBorders>
              <w:top w:val="nil"/>
              <w:left w:val="single" w:sz="12" w:space="0" w:color="auto"/>
              <w:bottom w:val="single" w:sz="12" w:space="0" w:color="auto"/>
              <w:right w:val="nil"/>
            </w:tcBorders>
            <w:shd w:val="clear" w:color="auto" w:fill="auto"/>
            <w:noWrap/>
            <w:vAlign w:val="bottom"/>
            <w:hideMark/>
          </w:tcPr>
          <w:p w14:paraId="5608AA23" w14:textId="77777777" w:rsidR="00FC5121" w:rsidRPr="00B41E66" w:rsidRDefault="00FC5121" w:rsidP="00FC5121">
            <w:pPr>
              <w:jc w:val="center"/>
              <w:rPr>
                <w:color w:val="0000FF"/>
                <w:lang w:val="en-IL" w:eastAsia="en-IL" w:bidi="he-IL"/>
              </w:rPr>
            </w:pPr>
            <w:r w:rsidRPr="00B41E66">
              <w:rPr>
                <w:color w:val="0000FF"/>
                <w:lang w:val="en-IL" w:eastAsia="en-IL" w:bidi="he-IL"/>
              </w:rPr>
              <w:t>30</w:t>
            </w:r>
          </w:p>
        </w:tc>
        <w:tc>
          <w:tcPr>
            <w:tcW w:w="960" w:type="dxa"/>
            <w:tcBorders>
              <w:top w:val="nil"/>
              <w:left w:val="single" w:sz="4" w:space="0" w:color="auto"/>
              <w:bottom w:val="single" w:sz="12" w:space="0" w:color="auto"/>
              <w:right w:val="single" w:sz="4" w:space="0" w:color="auto"/>
            </w:tcBorders>
            <w:shd w:val="clear" w:color="auto" w:fill="auto"/>
            <w:noWrap/>
            <w:vAlign w:val="bottom"/>
            <w:hideMark/>
          </w:tcPr>
          <w:p w14:paraId="2573D589" w14:textId="77777777" w:rsidR="00FC5121" w:rsidRPr="00B41E66" w:rsidRDefault="00FC5121" w:rsidP="00FC5121">
            <w:pPr>
              <w:jc w:val="center"/>
              <w:rPr>
                <w:color w:val="0000FF"/>
                <w:lang w:val="en-IL" w:eastAsia="en-IL" w:bidi="he-IL"/>
              </w:rPr>
            </w:pPr>
            <w:r w:rsidRPr="00B41E66">
              <w:rPr>
                <w:color w:val="0000FF"/>
                <w:lang w:val="en-IL" w:eastAsia="en-IL" w:bidi="he-IL"/>
              </w:rPr>
              <w:t>70</w:t>
            </w:r>
          </w:p>
        </w:tc>
        <w:tc>
          <w:tcPr>
            <w:tcW w:w="960" w:type="dxa"/>
            <w:tcBorders>
              <w:top w:val="nil"/>
              <w:left w:val="nil"/>
              <w:bottom w:val="single" w:sz="12" w:space="0" w:color="auto"/>
              <w:right w:val="nil"/>
            </w:tcBorders>
            <w:shd w:val="clear" w:color="auto" w:fill="auto"/>
            <w:noWrap/>
            <w:vAlign w:val="bottom"/>
            <w:hideMark/>
          </w:tcPr>
          <w:p w14:paraId="67D3B3EC" w14:textId="77777777" w:rsidR="00FC5121" w:rsidRPr="00B41E66" w:rsidRDefault="00FC5121" w:rsidP="00FC5121">
            <w:pPr>
              <w:jc w:val="center"/>
              <w:rPr>
                <w:color w:val="0000FF"/>
                <w:lang w:val="en-IL" w:eastAsia="en-IL" w:bidi="he-IL"/>
              </w:rPr>
            </w:pPr>
            <w:r w:rsidRPr="00B41E66">
              <w:rPr>
                <w:color w:val="0000FF"/>
                <w:lang w:val="en-IL" w:eastAsia="en-IL" w:bidi="he-IL"/>
              </w:rPr>
              <w:t>49</w:t>
            </w:r>
          </w:p>
        </w:tc>
        <w:tc>
          <w:tcPr>
            <w:tcW w:w="960" w:type="dxa"/>
            <w:tcBorders>
              <w:top w:val="nil"/>
              <w:left w:val="single" w:sz="4" w:space="0" w:color="auto"/>
              <w:bottom w:val="single" w:sz="12" w:space="0" w:color="auto"/>
              <w:right w:val="single" w:sz="4" w:space="0" w:color="auto"/>
            </w:tcBorders>
            <w:shd w:val="clear" w:color="auto" w:fill="auto"/>
            <w:noWrap/>
            <w:vAlign w:val="bottom"/>
            <w:hideMark/>
          </w:tcPr>
          <w:p w14:paraId="3FAA45B1" w14:textId="77777777" w:rsidR="00FC5121" w:rsidRPr="00B41E66" w:rsidRDefault="00FC5121" w:rsidP="00FC5121">
            <w:pPr>
              <w:jc w:val="center"/>
              <w:rPr>
                <w:color w:val="0000FF"/>
                <w:lang w:val="en-IL" w:eastAsia="en-IL" w:bidi="he-IL"/>
              </w:rPr>
            </w:pPr>
            <w:r w:rsidRPr="00B41E66">
              <w:rPr>
                <w:color w:val="0000FF"/>
                <w:lang w:val="en-IL" w:eastAsia="en-IL" w:bidi="he-IL"/>
              </w:rPr>
              <w:t>29</w:t>
            </w:r>
          </w:p>
        </w:tc>
        <w:tc>
          <w:tcPr>
            <w:tcW w:w="960" w:type="dxa"/>
            <w:tcBorders>
              <w:top w:val="nil"/>
              <w:left w:val="nil"/>
              <w:bottom w:val="single" w:sz="12" w:space="0" w:color="auto"/>
              <w:right w:val="nil"/>
            </w:tcBorders>
            <w:shd w:val="clear" w:color="auto" w:fill="auto"/>
            <w:noWrap/>
            <w:vAlign w:val="bottom"/>
            <w:hideMark/>
          </w:tcPr>
          <w:p w14:paraId="024072CB" w14:textId="77777777" w:rsidR="00FC5121" w:rsidRPr="00B41E66" w:rsidRDefault="00FC5121" w:rsidP="00FC5121">
            <w:pPr>
              <w:jc w:val="center"/>
              <w:rPr>
                <w:color w:val="0000FF"/>
                <w:lang w:val="en-IL" w:eastAsia="en-IL" w:bidi="he-IL"/>
              </w:rPr>
            </w:pPr>
            <w:r w:rsidRPr="00B41E66">
              <w:rPr>
                <w:color w:val="0000FF"/>
                <w:lang w:val="en-IL" w:eastAsia="en-IL" w:bidi="he-IL"/>
              </w:rPr>
              <w:t>50</w:t>
            </w:r>
          </w:p>
        </w:tc>
        <w:tc>
          <w:tcPr>
            <w:tcW w:w="960" w:type="dxa"/>
            <w:tcBorders>
              <w:top w:val="nil"/>
              <w:left w:val="single" w:sz="4" w:space="0" w:color="auto"/>
              <w:bottom w:val="single" w:sz="12" w:space="0" w:color="auto"/>
              <w:right w:val="single" w:sz="4" w:space="0" w:color="auto"/>
            </w:tcBorders>
            <w:shd w:val="clear" w:color="auto" w:fill="auto"/>
            <w:noWrap/>
            <w:vAlign w:val="bottom"/>
            <w:hideMark/>
          </w:tcPr>
          <w:p w14:paraId="7D8080E7" w14:textId="77777777" w:rsidR="00FC5121" w:rsidRPr="00B41E66" w:rsidRDefault="00FC5121" w:rsidP="00FC5121">
            <w:pPr>
              <w:jc w:val="center"/>
              <w:rPr>
                <w:color w:val="0000FF"/>
                <w:lang w:val="en-IL" w:eastAsia="en-IL" w:bidi="he-IL"/>
              </w:rPr>
            </w:pPr>
            <w:r w:rsidRPr="00B41E66">
              <w:rPr>
                <w:color w:val="0000FF"/>
                <w:lang w:val="en-IL" w:eastAsia="en-IL" w:bidi="he-IL"/>
              </w:rPr>
              <w:t>82</w:t>
            </w:r>
          </w:p>
        </w:tc>
        <w:tc>
          <w:tcPr>
            <w:tcW w:w="960" w:type="dxa"/>
            <w:tcBorders>
              <w:top w:val="nil"/>
              <w:left w:val="nil"/>
              <w:bottom w:val="single" w:sz="12" w:space="0" w:color="auto"/>
              <w:right w:val="nil"/>
            </w:tcBorders>
            <w:shd w:val="clear" w:color="auto" w:fill="auto"/>
            <w:noWrap/>
            <w:vAlign w:val="bottom"/>
            <w:hideMark/>
          </w:tcPr>
          <w:p w14:paraId="45DE0FBD" w14:textId="77777777" w:rsidR="00FC5121" w:rsidRPr="00B41E66" w:rsidRDefault="00FC5121" w:rsidP="00FC5121">
            <w:pPr>
              <w:jc w:val="center"/>
              <w:rPr>
                <w:color w:val="0000FF"/>
                <w:lang w:val="en-IL" w:eastAsia="en-IL" w:bidi="he-IL"/>
              </w:rPr>
            </w:pPr>
            <w:r w:rsidRPr="00B41E66">
              <w:rPr>
                <w:color w:val="0000FF"/>
                <w:lang w:val="en-IL" w:eastAsia="en-IL" w:bidi="he-IL"/>
              </w:rPr>
              <w:t>57</w:t>
            </w:r>
          </w:p>
        </w:tc>
        <w:tc>
          <w:tcPr>
            <w:tcW w:w="1493" w:type="dxa"/>
            <w:tcBorders>
              <w:top w:val="nil"/>
              <w:left w:val="single" w:sz="4" w:space="0" w:color="auto"/>
              <w:bottom w:val="single" w:sz="12" w:space="0" w:color="auto"/>
              <w:right w:val="single" w:sz="12" w:space="0" w:color="auto"/>
            </w:tcBorders>
            <w:shd w:val="clear" w:color="auto" w:fill="auto"/>
            <w:noWrap/>
            <w:vAlign w:val="bottom"/>
            <w:hideMark/>
          </w:tcPr>
          <w:p w14:paraId="730E8CC4" w14:textId="77777777" w:rsidR="00FC5121" w:rsidRPr="00B41E66" w:rsidRDefault="00FC5121" w:rsidP="00FC5121">
            <w:pPr>
              <w:jc w:val="center"/>
              <w:rPr>
                <w:color w:val="0000FF"/>
                <w:lang w:val="en-IL" w:eastAsia="en-IL" w:bidi="he-IL"/>
              </w:rPr>
            </w:pPr>
            <w:r w:rsidRPr="00B41E66">
              <w:rPr>
                <w:color w:val="0000FF"/>
                <w:lang w:val="en-IL" w:eastAsia="en-IL" w:bidi="he-IL"/>
              </w:rPr>
              <w:t>367</w:t>
            </w:r>
          </w:p>
        </w:tc>
      </w:tr>
    </w:tbl>
    <w:p w14:paraId="400C0669" w14:textId="77777777" w:rsidR="002E593C" w:rsidRPr="00B41E66" w:rsidRDefault="002E593C" w:rsidP="0013705A">
      <w:pPr>
        <w:spacing w:line="360" w:lineRule="auto"/>
        <w:rPr>
          <w:b/>
          <w:bCs/>
        </w:rPr>
      </w:pPr>
      <w:r w:rsidRPr="00B41E66">
        <w:t>Note: This table presents descriptive statistics of the market capitalization</w:t>
      </w:r>
      <w:r w:rsidR="00944CB7" w:rsidRPr="00B41E66">
        <w:t>s</w:t>
      </w:r>
      <w:r w:rsidR="0013705A" w:rsidRPr="00B41E66">
        <w:t xml:space="preserve"> of the firms studied.</w:t>
      </w:r>
      <w:r w:rsidRPr="00B41E66">
        <w:t xml:space="preserve"> </w:t>
      </w:r>
    </w:p>
    <w:p w14:paraId="285EB3F3" w14:textId="77777777" w:rsidR="00DF1412" w:rsidRPr="00B41E66" w:rsidRDefault="00DF1412" w:rsidP="00DA16FD">
      <w:pPr>
        <w:spacing w:line="360" w:lineRule="auto"/>
        <w:jc w:val="both"/>
        <w:rPr>
          <w:lang w:bidi="he-IL"/>
        </w:rPr>
      </w:pPr>
    </w:p>
    <w:p w14:paraId="542A47E5" w14:textId="38EE6BCD" w:rsidR="00E457B9" w:rsidRPr="00B41E66" w:rsidRDefault="00944CB7" w:rsidP="00082C31">
      <w:pPr>
        <w:spacing w:line="480" w:lineRule="auto"/>
        <w:jc w:val="both"/>
      </w:pPr>
      <w:bookmarkStart w:id="6" w:name="_Hlk80631722"/>
      <w:r w:rsidRPr="00B41E66">
        <w:t xml:space="preserve">The event study approach </w:t>
      </w:r>
      <w:r w:rsidR="00FE7AB2" w:rsidRPr="00B41E66">
        <w:rPr>
          <w:color w:val="0000FF"/>
        </w:rPr>
        <w:t>(see</w:t>
      </w:r>
      <w:r w:rsidR="00FE7AB2" w:rsidRPr="00B41E66">
        <w:t>:</w:t>
      </w:r>
      <w:r w:rsidR="0074162C" w:rsidRPr="00B41E66">
        <w:rPr>
          <w:color w:val="0000FF"/>
          <w:shd w:val="clear" w:color="auto" w:fill="FFFFFF"/>
        </w:rPr>
        <w:t xml:space="preserve"> Binder, J. (1998))</w:t>
      </w:r>
      <w:r w:rsidR="00FE7AB2" w:rsidRPr="00B41E66">
        <w:t xml:space="preserve"> </w:t>
      </w:r>
      <w:r w:rsidRPr="00B41E66">
        <w:t>was employed to examine</w:t>
      </w:r>
      <w:r w:rsidR="00E457B9" w:rsidRPr="00B41E66">
        <w:t xml:space="preserve"> market reaction to IPO events. </w:t>
      </w:r>
      <w:r w:rsidRPr="00B41E66">
        <w:t>T</w:t>
      </w:r>
      <w:r w:rsidR="00E457B9" w:rsidRPr="00B41E66">
        <w:t xml:space="preserve">he </w:t>
      </w:r>
      <w:r w:rsidRPr="00B41E66">
        <w:t xml:space="preserve">actual date of the </w:t>
      </w:r>
      <w:r w:rsidR="00E457B9" w:rsidRPr="00B41E66">
        <w:t xml:space="preserve">IPO </w:t>
      </w:r>
      <w:r w:rsidRPr="00B41E66">
        <w:t xml:space="preserve">was marked </w:t>
      </w:r>
      <w:r w:rsidR="00E457B9" w:rsidRPr="00B41E66">
        <w:t xml:space="preserve">as t=0 and </w:t>
      </w:r>
      <w:r w:rsidRPr="00B41E66">
        <w:t xml:space="preserve">the </w:t>
      </w:r>
      <w:r w:rsidR="00E457B9" w:rsidRPr="00B41E66">
        <w:t xml:space="preserve">daily stock prices extracted from </w:t>
      </w:r>
      <w:r w:rsidR="0074449C" w:rsidRPr="00B41E66">
        <w:t xml:space="preserve">the </w:t>
      </w:r>
      <w:r w:rsidR="00E457B9" w:rsidRPr="00B41E66">
        <w:t xml:space="preserve">NASDAQ website and Yahoo Finance </w:t>
      </w:r>
      <w:r w:rsidRPr="00B41E66">
        <w:t xml:space="preserve">were applied </w:t>
      </w:r>
      <w:r w:rsidR="00E457B9" w:rsidRPr="00B41E66">
        <w:t>for the period t=</w:t>
      </w:r>
      <w:r w:rsidR="00A45E39" w:rsidRPr="00B41E66">
        <w:t>0…</w:t>
      </w:r>
      <w:r w:rsidR="00E457B9" w:rsidRPr="00B41E66">
        <w:t>755 (</w:t>
      </w:r>
      <w:r w:rsidRPr="00B41E66">
        <w:t>three</w:t>
      </w:r>
      <w:r w:rsidR="00E457B9" w:rsidRPr="00B41E66">
        <w:t xml:space="preserve"> years post</w:t>
      </w:r>
      <w:r w:rsidRPr="00B41E66">
        <w:t>-</w:t>
      </w:r>
      <w:r w:rsidR="00E457B9" w:rsidRPr="00B41E66">
        <w:t xml:space="preserve">IPO), to calculate daily logarithmic returns. </w:t>
      </w:r>
      <w:r w:rsidR="00791CF6" w:rsidRPr="00B41E66">
        <w:rPr>
          <w:color w:val="0000FF"/>
        </w:rPr>
        <w:t xml:space="preserve">We chose </w:t>
      </w:r>
      <w:r w:rsidR="00206DB8" w:rsidRPr="00B41E66">
        <w:rPr>
          <w:color w:val="0000FF"/>
        </w:rPr>
        <w:t>the</w:t>
      </w:r>
      <w:r w:rsidR="00791CF6" w:rsidRPr="00B41E66">
        <w:rPr>
          <w:color w:val="0000FF"/>
        </w:rPr>
        <w:t xml:space="preserve"> logarithmic calculation returns </w:t>
      </w:r>
      <w:r w:rsidR="00206DB8" w:rsidRPr="00B41E66">
        <w:rPr>
          <w:color w:val="0000FF"/>
        </w:rPr>
        <w:t>on</w:t>
      </w:r>
      <w:r w:rsidR="00791CF6" w:rsidRPr="00B41E66">
        <w:rPr>
          <w:color w:val="0000FF"/>
        </w:rPr>
        <w:t xml:space="preserve"> a simple gross return calculation because of the continuous accumulation feature of </w:t>
      </w:r>
      <w:r w:rsidR="00206DB8" w:rsidRPr="00B41E66">
        <w:rPr>
          <w:color w:val="0000FF"/>
        </w:rPr>
        <w:t>Ln</w:t>
      </w:r>
      <w:r w:rsidR="00791CF6" w:rsidRPr="00B41E66">
        <w:rPr>
          <w:color w:val="0000FF"/>
        </w:rPr>
        <w:t xml:space="preserve">, where the </w:t>
      </w:r>
      <w:r w:rsidR="00791CF6" w:rsidRPr="00B41E66">
        <w:rPr>
          <w:color w:val="0000FF"/>
        </w:rPr>
        <w:lastRenderedPageBreak/>
        <w:t xml:space="preserve">cumulative return is the sum of the </w:t>
      </w:r>
      <w:r w:rsidR="00791CF6" w:rsidRPr="00B41E66">
        <w:rPr>
          <w:color w:val="0000FF"/>
          <w:lang w:bidi="he-IL"/>
        </w:rPr>
        <w:t xml:space="preserve">periodic </w:t>
      </w:r>
      <w:r w:rsidR="00791CF6" w:rsidRPr="00B41E66">
        <w:rPr>
          <w:color w:val="0000FF"/>
        </w:rPr>
        <w:t>returns</w:t>
      </w:r>
      <w:r w:rsidR="00206DB8" w:rsidRPr="00B41E66">
        <w:rPr>
          <w:color w:val="0000FF"/>
        </w:rPr>
        <w:t>.</w:t>
      </w:r>
      <w:r w:rsidR="00791CF6" w:rsidRPr="00B41E66">
        <w:t xml:space="preserve"> </w:t>
      </w:r>
      <w:r w:rsidRPr="00B41E66">
        <w:t>T</w:t>
      </w:r>
      <w:r w:rsidR="00E457B9" w:rsidRPr="00B41E66">
        <w:t>wo return benchmarks</w:t>
      </w:r>
      <w:r w:rsidRPr="00B41E66">
        <w:t xml:space="preserve"> were utilized</w:t>
      </w:r>
      <w:r w:rsidR="00E457B9" w:rsidRPr="00B41E66">
        <w:t xml:space="preserve">: the IXJ Healthcare </w:t>
      </w:r>
      <w:r w:rsidR="0074449C" w:rsidRPr="00B41E66">
        <w:t>I</w:t>
      </w:r>
      <w:r w:rsidR="00E457B9" w:rsidRPr="00B41E66">
        <w:t xml:space="preserve">ndex, and </w:t>
      </w:r>
      <w:r w:rsidRPr="00B41E66">
        <w:t>the</w:t>
      </w:r>
      <w:r w:rsidR="00E457B9" w:rsidRPr="00B41E66">
        <w:t xml:space="preserve"> S&amp;P 500 </w:t>
      </w:r>
      <w:r w:rsidR="0074449C" w:rsidRPr="00B41E66">
        <w:t>M</w:t>
      </w:r>
      <w:r w:rsidR="00E457B9" w:rsidRPr="00B41E66">
        <w:t xml:space="preserve">arket </w:t>
      </w:r>
      <w:r w:rsidR="0074449C" w:rsidRPr="00B41E66">
        <w:t>I</w:t>
      </w:r>
      <w:r w:rsidR="00E457B9" w:rsidRPr="00B41E66">
        <w:t>ndex</w:t>
      </w:r>
      <w:r w:rsidRPr="00B41E66">
        <w:t>. The</w:t>
      </w:r>
      <w:r w:rsidR="00E457B9" w:rsidRPr="00B41E66">
        <w:t xml:space="preserve"> Abnormal Return (AR) </w:t>
      </w:r>
      <w:r w:rsidRPr="00B41E66">
        <w:t xml:space="preserve">was </w:t>
      </w:r>
      <w:r w:rsidRPr="00B41E66">
        <w:rPr>
          <w:color w:val="0000FF"/>
        </w:rPr>
        <w:t xml:space="preserve">calculated </w:t>
      </w:r>
      <w:r w:rsidR="00FE7AB2" w:rsidRPr="00B41E66">
        <w:rPr>
          <w:color w:val="0000FF"/>
        </w:rPr>
        <w:t>for each stock</w:t>
      </w:r>
      <w:r w:rsidR="00FE7AB2" w:rsidRPr="00B41E66">
        <w:t xml:space="preserve"> </w:t>
      </w:r>
      <w:r w:rsidR="00E457B9" w:rsidRPr="00B41E66">
        <w:t>by subtracting the benchmark return</w:t>
      </w:r>
      <w:r w:rsidR="00E457B9" w:rsidRPr="00B41E66">
        <w:rPr>
          <w:lang w:bidi="he-IL"/>
        </w:rPr>
        <w:t>s from the stock return</w:t>
      </w:r>
      <w:r w:rsidR="00E457B9" w:rsidRPr="00B41E66">
        <w:rPr>
          <w:color w:val="0000FF"/>
        </w:rPr>
        <w:t xml:space="preserve">. </w:t>
      </w:r>
      <w:r w:rsidR="00EF3E78" w:rsidRPr="00B41E66">
        <w:rPr>
          <w:color w:val="0000FF"/>
        </w:rPr>
        <w:t>CAR was calculated for each stoc</w:t>
      </w:r>
      <w:r w:rsidR="002F70F6" w:rsidRPr="00B41E66">
        <w:rPr>
          <w:color w:val="0000FF"/>
        </w:rPr>
        <w:t>k</w:t>
      </w:r>
      <w:r w:rsidR="00EF3E78" w:rsidRPr="00B41E66">
        <w:rPr>
          <w:color w:val="0000FF"/>
        </w:rPr>
        <w:t xml:space="preserve"> by </w:t>
      </w:r>
      <w:r w:rsidR="002F70F6" w:rsidRPr="00B41E66">
        <w:rPr>
          <w:color w:val="0000FF"/>
        </w:rPr>
        <w:t>s</w:t>
      </w:r>
      <w:r w:rsidR="00EF3E78" w:rsidRPr="00B41E66">
        <w:rPr>
          <w:color w:val="0000FF"/>
        </w:rPr>
        <w:t>umming the A</w:t>
      </w:r>
      <w:r w:rsidR="002F70F6" w:rsidRPr="00B41E66">
        <w:rPr>
          <w:color w:val="0000FF"/>
        </w:rPr>
        <w:t>R</w:t>
      </w:r>
      <w:r w:rsidR="00EF3E78" w:rsidRPr="00B41E66">
        <w:rPr>
          <w:color w:val="0000FF"/>
        </w:rPr>
        <w:t xml:space="preserve">s </w:t>
      </w:r>
      <w:r w:rsidR="002F70F6" w:rsidRPr="00B41E66">
        <w:rPr>
          <w:color w:val="0000FF"/>
        </w:rPr>
        <w:t xml:space="preserve">from day 0 to </w:t>
      </w:r>
      <w:r w:rsidR="00EF3E78" w:rsidRPr="00B41E66">
        <w:rPr>
          <w:color w:val="0000FF"/>
        </w:rPr>
        <w:t xml:space="preserve">day </w:t>
      </w:r>
      <w:r w:rsidR="002F70F6" w:rsidRPr="00B41E66">
        <w:rPr>
          <w:color w:val="0000FF"/>
        </w:rPr>
        <w:t>t</w:t>
      </w:r>
      <w:r w:rsidR="00EF3E78" w:rsidRPr="00B41E66">
        <w:rPr>
          <w:color w:val="0000FF"/>
        </w:rPr>
        <w:t xml:space="preserve"> and</w:t>
      </w:r>
      <w:r w:rsidR="00206DB8" w:rsidRPr="00B41E66">
        <w:rPr>
          <w:color w:val="0000FF"/>
        </w:rPr>
        <w:t>,</w:t>
      </w:r>
      <w:r w:rsidR="00EF3E78" w:rsidRPr="00B41E66">
        <w:rPr>
          <w:color w:val="0000FF"/>
        </w:rPr>
        <w:t xml:space="preserve"> </w:t>
      </w:r>
      <w:r w:rsidR="0074162C" w:rsidRPr="00B41E66">
        <w:rPr>
          <w:color w:val="0000FF"/>
        </w:rPr>
        <w:t xml:space="preserve">Cumulative Average Abnormal Return (CAAR) was calculated by </w:t>
      </w:r>
      <w:r w:rsidR="002F70F6" w:rsidRPr="00B41E66">
        <w:rPr>
          <w:color w:val="0000FF"/>
        </w:rPr>
        <w:t>a</w:t>
      </w:r>
      <w:r w:rsidR="0074162C" w:rsidRPr="00B41E66">
        <w:rPr>
          <w:color w:val="0000FF"/>
        </w:rPr>
        <w:t>veraging</w:t>
      </w:r>
      <w:r w:rsidR="002F70F6" w:rsidRPr="00B41E66">
        <w:rPr>
          <w:color w:val="0000FF"/>
        </w:rPr>
        <w:t xml:space="preserve"> the firms</w:t>
      </w:r>
      <w:r w:rsidR="0074162C" w:rsidRPr="00B41E66">
        <w:rPr>
          <w:color w:val="0000FF"/>
        </w:rPr>
        <w:t xml:space="preserve"> CAR, </w:t>
      </w:r>
      <w:r w:rsidR="00EF3E78" w:rsidRPr="00B41E66">
        <w:rPr>
          <w:color w:val="0000FF"/>
        </w:rPr>
        <w:t>each</w:t>
      </w:r>
      <w:r w:rsidR="0074162C" w:rsidRPr="00B41E66">
        <w:rPr>
          <w:color w:val="0000FF"/>
        </w:rPr>
        <w:t xml:space="preserve"> day relative to the IPO date</w:t>
      </w:r>
      <w:r w:rsidR="00FE7AB2" w:rsidRPr="00B41E66">
        <w:t xml:space="preserve">. </w:t>
      </w:r>
      <w:r w:rsidR="00E457B9" w:rsidRPr="00B41E66">
        <w:t xml:space="preserve">As no stock prices exist </w:t>
      </w:r>
      <w:r w:rsidRPr="00B41E66">
        <w:t>prior to the</w:t>
      </w:r>
      <w:r w:rsidR="00E457B9" w:rsidRPr="00B41E66">
        <w:t xml:space="preserve"> IPO, </w:t>
      </w:r>
      <w:r w:rsidR="00E457B9" w:rsidRPr="00B41E66">
        <w:rPr>
          <w:lang w:bidi="he-IL"/>
        </w:rPr>
        <w:t>conditional return using the market model</w:t>
      </w:r>
      <w:r w:rsidRPr="00B41E66">
        <w:rPr>
          <w:lang w:bidi="he-IL"/>
        </w:rPr>
        <w:t xml:space="preserve"> was not calculated</w:t>
      </w:r>
      <w:r w:rsidR="00E457B9" w:rsidRPr="00B41E66">
        <w:rPr>
          <w:lang w:bidi="he-IL"/>
        </w:rPr>
        <w:t xml:space="preserve">. </w:t>
      </w:r>
      <w:r w:rsidR="001862E0" w:rsidRPr="00B41E66">
        <w:rPr>
          <w:lang w:bidi="he-IL"/>
        </w:rPr>
        <w:t xml:space="preserve">We </w:t>
      </w:r>
      <w:r w:rsidR="00206DB8" w:rsidRPr="00B41E66">
        <w:rPr>
          <w:lang w:bidi="he-IL"/>
        </w:rPr>
        <w:t>calculat</w:t>
      </w:r>
      <w:r w:rsidR="001862E0" w:rsidRPr="00B41E66">
        <w:rPr>
          <w:lang w:bidi="he-IL"/>
        </w:rPr>
        <w:t>ed</w:t>
      </w:r>
      <w:r w:rsidR="00206DB8" w:rsidRPr="00B41E66">
        <w:rPr>
          <w:lang w:bidi="he-IL"/>
        </w:rPr>
        <w:t xml:space="preserve"> the CAAR for the entire sample,</w:t>
      </w:r>
      <w:r w:rsidR="00206DB8" w:rsidRPr="00B41E66">
        <w:t xml:space="preserve"> </w:t>
      </w:r>
      <w:r w:rsidR="001862E0" w:rsidRPr="00B41E66">
        <w:t xml:space="preserve">and in addition, </w:t>
      </w:r>
      <w:r w:rsidR="00206DB8" w:rsidRPr="00B41E66">
        <w:t xml:space="preserve">we divided our database into two subsamples of small and large firms and calculated the CAAR for each </w:t>
      </w:r>
      <w:r w:rsidR="00206DB8" w:rsidRPr="00B41E66">
        <w:rPr>
          <w:lang w:bidi="he-IL"/>
        </w:rPr>
        <w:t>of them. The a</w:t>
      </w:r>
      <w:r w:rsidR="00206DB8" w:rsidRPr="00B41E66">
        <w:t xml:space="preserve">verage rounded market value </w:t>
      </w:r>
      <w:r w:rsidR="00206DB8" w:rsidRPr="00B41E66">
        <w:rPr>
          <w:lang w:bidi="he-IL"/>
        </w:rPr>
        <w:t xml:space="preserve">of </w:t>
      </w:r>
      <w:r w:rsidR="00206DB8" w:rsidRPr="00B41E66">
        <w:t xml:space="preserve">$500 million was chosen as a threshold to differentiate between small-sized and large-sized firms. </w:t>
      </w:r>
      <w:r w:rsidR="00082C31" w:rsidRPr="00B41E66">
        <w:rPr>
          <w:color w:val="0000FF"/>
          <w:lang w:eastAsia="en-IL" w:bidi="he-IL"/>
        </w:rPr>
        <w:t xml:space="preserve">Given that the MV series is not normally distributed, one can argue that using the median as a separation value between small and large firms is as good as the average. We chose a number close to the average, because </w:t>
      </w:r>
      <w:r w:rsidR="00625EA0" w:rsidRPr="00B41E66">
        <w:rPr>
          <w:color w:val="0000FF"/>
          <w:lang w:eastAsia="en-IL" w:bidi="he-IL"/>
        </w:rPr>
        <w:t>we assume</w:t>
      </w:r>
      <w:r w:rsidR="00082C31" w:rsidRPr="00B41E66">
        <w:rPr>
          <w:color w:val="0000FF"/>
          <w:lang w:eastAsia="en-IL" w:bidi="he-IL"/>
        </w:rPr>
        <w:t xml:space="preserve"> the market value of $500M </w:t>
      </w:r>
      <w:r w:rsidR="00206DB8" w:rsidRPr="00B41E66">
        <w:rPr>
          <w:color w:val="0000FF"/>
          <w:lang w:eastAsia="en-IL" w:bidi="he-IL"/>
        </w:rPr>
        <w:t xml:space="preserve">is </w:t>
      </w:r>
      <w:r w:rsidR="00082C31" w:rsidRPr="00B41E66">
        <w:rPr>
          <w:color w:val="0000FF"/>
          <w:lang w:eastAsia="en-IL" w:bidi="he-IL"/>
        </w:rPr>
        <w:t xml:space="preserve">better perceived as a separator between small-sized and large-sized firms. </w:t>
      </w:r>
    </w:p>
    <w:bookmarkEnd w:id="6"/>
    <w:p w14:paraId="7514F521" w14:textId="77777777" w:rsidR="0074449C" w:rsidRPr="00B41E66" w:rsidRDefault="0074449C" w:rsidP="00321B91">
      <w:pPr>
        <w:spacing w:line="480" w:lineRule="auto"/>
        <w:jc w:val="both"/>
      </w:pPr>
    </w:p>
    <w:p w14:paraId="400CE421" w14:textId="3272B321" w:rsidR="00E457B9" w:rsidRPr="00B41E66" w:rsidRDefault="001862E0" w:rsidP="00321B91">
      <w:pPr>
        <w:autoSpaceDE w:val="0"/>
        <w:autoSpaceDN w:val="0"/>
        <w:adjustRightInd w:val="0"/>
        <w:spacing w:after="240" w:line="480" w:lineRule="auto"/>
        <w:jc w:val="both"/>
      </w:pPr>
      <w:r w:rsidRPr="00B41E66">
        <w:t>N</w:t>
      </w:r>
      <w:r w:rsidR="00670138" w:rsidRPr="00B41E66">
        <w:t xml:space="preserve">ormalized trading volumes were computed </w:t>
      </w:r>
      <w:r w:rsidR="00E457B9" w:rsidRPr="00B41E66">
        <w:t>as a proxy for market attention</w:t>
      </w:r>
      <w:r w:rsidR="00670138" w:rsidRPr="00B41E66">
        <w:t>.</w:t>
      </w:r>
      <w:r w:rsidR="00E457B9" w:rsidRPr="00B41E66">
        <w:t xml:space="preserve"> For each firm in </w:t>
      </w:r>
      <w:r w:rsidR="00B4009A" w:rsidRPr="00B41E66">
        <w:t>the</w:t>
      </w:r>
      <w:r w:rsidR="00E457B9" w:rsidRPr="00B41E66">
        <w:t xml:space="preserve"> sample, the natural logarithm of the daily trading volume throughout the period t=</w:t>
      </w:r>
      <w:r w:rsidR="00BC5C89" w:rsidRPr="00B41E66">
        <w:t>0</w:t>
      </w:r>
      <w:r w:rsidR="00BC5C89">
        <w:t>…</w:t>
      </w:r>
      <w:r w:rsidR="00E457B9" w:rsidRPr="00B41E66">
        <w:t>755</w:t>
      </w:r>
      <w:r w:rsidR="00670138" w:rsidRPr="00B41E66">
        <w:t xml:space="preserve"> was recorded</w:t>
      </w:r>
      <w:r w:rsidR="00E457B9" w:rsidRPr="00B41E66">
        <w:t xml:space="preserve">, and each observation </w:t>
      </w:r>
      <w:r w:rsidR="00670138" w:rsidRPr="00B41E66">
        <w:t xml:space="preserve">was normalized </w:t>
      </w:r>
      <w:r w:rsidR="00E457B9" w:rsidRPr="00B41E66">
        <w:t>by subtracting the mean and dividing by the standard deviation calculated over the period</w:t>
      </w:r>
      <w:r w:rsidR="00AE1F9C" w:rsidRPr="00B41E66">
        <w:rPr>
          <w:lang w:bidi="he-IL"/>
        </w:rPr>
        <w:t xml:space="preserve">. </w:t>
      </w:r>
      <w:r w:rsidR="00670138" w:rsidRPr="00B41E66">
        <w:rPr>
          <w:lang w:bidi="he-IL"/>
        </w:rPr>
        <w:t>Then, the average</w:t>
      </w:r>
      <w:r w:rsidR="00E457B9" w:rsidRPr="00B41E66">
        <w:t xml:space="preserve"> across all firms for each day relative to the IPO date</w:t>
      </w:r>
      <w:r w:rsidR="00670138" w:rsidRPr="00B41E66">
        <w:t xml:space="preserve"> was calculated</w:t>
      </w:r>
      <w:r w:rsidR="00E457B9" w:rsidRPr="00B41E66">
        <w:t xml:space="preserve">. </w:t>
      </w:r>
    </w:p>
    <w:p w14:paraId="4998AA9E" w14:textId="77777777" w:rsidR="00E457B9" w:rsidRPr="00B41E66" w:rsidRDefault="00087F6D" w:rsidP="00C5454C">
      <w:pPr>
        <w:pStyle w:val="Default"/>
        <w:spacing w:line="360" w:lineRule="auto"/>
        <w:jc w:val="both"/>
        <w:rPr>
          <w:color w:val="auto"/>
          <w:u w:val="single"/>
        </w:rPr>
      </w:pPr>
      <w:r w:rsidRPr="00B41E66">
        <w:rPr>
          <w:bCs/>
          <w:color w:val="auto"/>
        </w:rPr>
        <w:t>3</w:t>
      </w:r>
      <w:r w:rsidR="003A2718" w:rsidRPr="00B41E66">
        <w:rPr>
          <w:b/>
          <w:color w:val="auto"/>
        </w:rPr>
        <w:t>.3</w:t>
      </w:r>
      <w:r w:rsidR="00E457B9" w:rsidRPr="00B41E66">
        <w:rPr>
          <w:b/>
          <w:color w:val="auto"/>
        </w:rPr>
        <w:t xml:space="preserve"> Results </w:t>
      </w:r>
    </w:p>
    <w:p w14:paraId="00D64712" w14:textId="59618B24" w:rsidR="00E457B9" w:rsidRPr="00B41E66" w:rsidRDefault="009910D3" w:rsidP="00321B91">
      <w:pPr>
        <w:autoSpaceDE w:val="0"/>
        <w:autoSpaceDN w:val="0"/>
        <w:adjustRightInd w:val="0"/>
        <w:spacing w:line="480" w:lineRule="auto"/>
        <w:jc w:val="both"/>
      </w:pPr>
      <w:r w:rsidRPr="00B41E66">
        <w:t xml:space="preserve">The </w:t>
      </w:r>
      <w:r w:rsidR="00E457B9" w:rsidRPr="00B41E66">
        <w:t xml:space="preserve">CAAR </w:t>
      </w:r>
      <w:r w:rsidR="005531CE" w:rsidRPr="00B41E66">
        <w:rPr>
          <w:lang w:bidi="he-IL"/>
        </w:rPr>
        <w:t>results for selected time periods</w:t>
      </w:r>
      <w:r w:rsidR="005531CE" w:rsidRPr="00B41E66">
        <w:t xml:space="preserve"> </w:t>
      </w:r>
      <w:r w:rsidR="00A1576C" w:rsidRPr="00B41E66">
        <w:t>during</w:t>
      </w:r>
      <w:r w:rsidR="005531CE" w:rsidRPr="00B41E66">
        <w:t xml:space="preserve"> </w:t>
      </w:r>
      <w:r w:rsidR="00E457B9" w:rsidRPr="00B41E66">
        <w:t xml:space="preserve">the </w:t>
      </w:r>
      <w:r w:rsidRPr="00B41E66">
        <w:t>three</w:t>
      </w:r>
      <w:r w:rsidR="00E457B9" w:rsidRPr="00B41E66">
        <w:t xml:space="preserve"> years post</w:t>
      </w:r>
      <w:r w:rsidRPr="00B41E66">
        <w:t>-</w:t>
      </w:r>
      <w:r w:rsidR="00E457B9" w:rsidRPr="00B41E66">
        <w:t xml:space="preserve">IPO </w:t>
      </w:r>
      <w:r w:rsidR="000B14C4" w:rsidRPr="00B41E66">
        <w:t xml:space="preserve">are </w:t>
      </w:r>
      <w:r w:rsidR="00E457B9" w:rsidRPr="00B41E66">
        <w:t xml:space="preserve">presented in Table </w:t>
      </w:r>
      <w:r w:rsidR="00826CD7" w:rsidRPr="00B41E66">
        <w:rPr>
          <w:rtl/>
          <w:lang w:bidi="he-IL"/>
        </w:rPr>
        <w:t>3</w:t>
      </w:r>
      <w:r w:rsidR="000B14C4" w:rsidRPr="00B41E66">
        <w:rPr>
          <w:lang w:bidi="he-IL"/>
        </w:rPr>
        <w:t>.</w:t>
      </w:r>
      <w:r w:rsidR="008C31EE" w:rsidRPr="00B41E66">
        <w:t xml:space="preserve"> </w:t>
      </w:r>
      <w:r w:rsidR="000E4188" w:rsidRPr="00B41E66">
        <w:t xml:space="preserve">The CAAR results are presented using two return benchmark and were calculated </w:t>
      </w:r>
      <w:r w:rsidR="000B14C4" w:rsidRPr="00B41E66">
        <w:t>for the entire sample</w:t>
      </w:r>
      <w:r w:rsidR="0001574B" w:rsidRPr="00B41E66">
        <w:t>,</w:t>
      </w:r>
      <w:r w:rsidR="005531CE" w:rsidRPr="00B41E66">
        <w:t xml:space="preserve"> </w:t>
      </w:r>
      <w:r w:rsidR="000B14C4" w:rsidRPr="00B41E66">
        <w:t xml:space="preserve">for </w:t>
      </w:r>
      <w:r w:rsidR="0001574B" w:rsidRPr="00B41E66">
        <w:t xml:space="preserve">a subsample of small-sized </w:t>
      </w:r>
      <w:r w:rsidR="000B14C4" w:rsidRPr="00B41E66">
        <w:t>firms</w:t>
      </w:r>
      <w:r w:rsidR="000C3176" w:rsidRPr="00B41E66">
        <w:t xml:space="preserve"> with </w:t>
      </w:r>
      <w:r w:rsidR="0074449C" w:rsidRPr="00B41E66">
        <w:t xml:space="preserve">a </w:t>
      </w:r>
      <w:r w:rsidR="000B14C4" w:rsidRPr="00B41E66">
        <w:t xml:space="preserve">market capitalization </w:t>
      </w:r>
      <w:r w:rsidR="004261AC" w:rsidRPr="00B41E66">
        <w:sym w:font="Symbol" w:char="F0A3"/>
      </w:r>
      <w:r w:rsidR="00621BD5" w:rsidRPr="00B41E66">
        <w:t xml:space="preserve"> $500 million</w:t>
      </w:r>
      <w:r w:rsidR="000B14C4" w:rsidRPr="00B41E66">
        <w:t xml:space="preserve"> </w:t>
      </w:r>
      <w:r w:rsidR="000C3176" w:rsidRPr="00B41E66">
        <w:t>(</w:t>
      </w:r>
      <w:r w:rsidR="0001574B" w:rsidRPr="00B41E66">
        <w:rPr>
          <w:color w:val="0000FF"/>
        </w:rPr>
        <w:t>68</w:t>
      </w:r>
      <w:r w:rsidR="000B14C4" w:rsidRPr="00B41E66">
        <w:rPr>
          <w:color w:val="0000FF"/>
        </w:rPr>
        <w:t>%</w:t>
      </w:r>
      <w:r w:rsidR="000B14C4" w:rsidRPr="00B41E66">
        <w:t xml:space="preserve"> of the sample</w:t>
      </w:r>
      <w:r w:rsidR="000C3176" w:rsidRPr="00B41E66">
        <w:t>)</w:t>
      </w:r>
      <w:r w:rsidR="0074449C" w:rsidRPr="00B41E66">
        <w:t xml:space="preserve">, </w:t>
      </w:r>
      <w:r w:rsidR="0001574B" w:rsidRPr="00B41E66">
        <w:t>and</w:t>
      </w:r>
      <w:r w:rsidR="000B14C4" w:rsidRPr="00B41E66">
        <w:t xml:space="preserve"> </w:t>
      </w:r>
      <w:r w:rsidR="00A1576C" w:rsidRPr="00B41E66">
        <w:t xml:space="preserve">for </w:t>
      </w:r>
      <w:r w:rsidR="000B14C4" w:rsidRPr="00B41E66">
        <w:t xml:space="preserve">the </w:t>
      </w:r>
      <w:r w:rsidR="0001574B" w:rsidRPr="00B41E66">
        <w:t>large-</w:t>
      </w:r>
      <w:r w:rsidR="000B14C4" w:rsidRPr="00B41E66">
        <w:t xml:space="preserve">firms </w:t>
      </w:r>
      <w:r w:rsidR="00A1576C" w:rsidRPr="00B41E66">
        <w:t xml:space="preserve">with </w:t>
      </w:r>
      <w:r w:rsidR="0074449C" w:rsidRPr="00B41E66">
        <w:t xml:space="preserve">a </w:t>
      </w:r>
      <w:r w:rsidR="00A1576C" w:rsidRPr="00B41E66">
        <w:t xml:space="preserve">market capitalization higher than </w:t>
      </w:r>
      <w:r w:rsidRPr="00B41E66">
        <w:t>$</w:t>
      </w:r>
      <w:r w:rsidR="00A1576C" w:rsidRPr="00B41E66">
        <w:t>500</w:t>
      </w:r>
      <w:r w:rsidRPr="00B41E66">
        <w:t xml:space="preserve"> million</w:t>
      </w:r>
      <w:r w:rsidR="00A1576C" w:rsidRPr="00B41E66">
        <w:t xml:space="preserve"> </w:t>
      </w:r>
      <w:r w:rsidR="000B14C4" w:rsidRPr="00B41E66">
        <w:t>(</w:t>
      </w:r>
      <w:r w:rsidR="000B14C4" w:rsidRPr="00B41E66">
        <w:rPr>
          <w:color w:val="0000FF"/>
        </w:rPr>
        <w:t>3</w:t>
      </w:r>
      <w:r w:rsidR="0001574B" w:rsidRPr="00B41E66">
        <w:rPr>
          <w:color w:val="0000FF"/>
        </w:rPr>
        <w:t>2</w:t>
      </w:r>
      <w:r w:rsidR="000B14C4" w:rsidRPr="00B41E66">
        <w:rPr>
          <w:color w:val="0000FF"/>
        </w:rPr>
        <w:t>%</w:t>
      </w:r>
      <w:r w:rsidR="000B14C4" w:rsidRPr="00B41E66">
        <w:t xml:space="preserve"> of </w:t>
      </w:r>
      <w:r w:rsidR="000B14C4" w:rsidRPr="00B41E66">
        <w:lastRenderedPageBreak/>
        <w:t>the sample)</w:t>
      </w:r>
      <w:r w:rsidR="000C2769" w:rsidRPr="00B41E66">
        <w:t>.</w:t>
      </w:r>
      <w:r w:rsidRPr="00B41E66">
        <w:t xml:space="preserve"> </w:t>
      </w:r>
      <w:r w:rsidR="0017651F" w:rsidRPr="00B41E66">
        <w:t xml:space="preserve">Figure </w:t>
      </w:r>
      <w:r w:rsidR="008506E7" w:rsidRPr="00B41E66">
        <w:t>1</w:t>
      </w:r>
      <w:r w:rsidR="0017651F" w:rsidRPr="00B41E66">
        <w:t xml:space="preserve"> graphically illustrates the results of Table 3</w:t>
      </w:r>
      <w:r w:rsidR="00511AEB" w:rsidRPr="00B41E66">
        <w:t xml:space="preserve"> and the normalized trading volumes over the 3 years post IPO.</w:t>
      </w:r>
      <w:r w:rsidR="0000324B" w:rsidRPr="00B41E66">
        <w:t xml:space="preserve"> As the CAAR results relative to the two benchmarks are similar, reference will be made only to the sector index benchmark</w:t>
      </w:r>
      <w:r w:rsidR="00350E3B" w:rsidRPr="00B41E66">
        <w:t>.</w:t>
      </w:r>
    </w:p>
    <w:p w14:paraId="37711E95" w14:textId="77777777" w:rsidR="0074449C" w:rsidRPr="00B41E66" w:rsidRDefault="0074449C" w:rsidP="00321B91">
      <w:pPr>
        <w:autoSpaceDE w:val="0"/>
        <w:autoSpaceDN w:val="0"/>
        <w:adjustRightInd w:val="0"/>
        <w:spacing w:line="480" w:lineRule="auto"/>
        <w:jc w:val="both"/>
        <w:rPr>
          <w:rtl/>
          <w:lang w:bidi="he-IL"/>
        </w:rPr>
      </w:pPr>
    </w:p>
    <w:p w14:paraId="09AF17F2" w14:textId="78206A2D" w:rsidR="00E457B9" w:rsidRPr="00B41E66" w:rsidRDefault="00220BC5" w:rsidP="00321B91">
      <w:pPr>
        <w:autoSpaceDE w:val="0"/>
        <w:autoSpaceDN w:val="0"/>
        <w:adjustRightInd w:val="0"/>
        <w:spacing w:after="240" w:line="480" w:lineRule="auto"/>
        <w:jc w:val="both"/>
        <w:rPr>
          <w:rtl/>
          <w:lang w:bidi="he-IL"/>
        </w:rPr>
      </w:pPr>
      <w:r w:rsidRPr="00B41E66">
        <w:t>As shown</w:t>
      </w:r>
      <w:r w:rsidR="004C0D10" w:rsidRPr="00B41E66">
        <w:rPr>
          <w:rtl/>
          <w:lang w:bidi="he-IL"/>
        </w:rPr>
        <w:t xml:space="preserve"> </w:t>
      </w:r>
      <w:r w:rsidR="004C0D10" w:rsidRPr="00B41E66">
        <w:rPr>
          <w:lang w:bidi="he-IL"/>
        </w:rPr>
        <w:t xml:space="preserve">in </w:t>
      </w:r>
      <w:r w:rsidR="009910D3" w:rsidRPr="00B41E66">
        <w:t>T</w:t>
      </w:r>
      <w:r w:rsidR="004261AC" w:rsidRPr="00B41E66">
        <w:t>able 3</w:t>
      </w:r>
      <w:r w:rsidRPr="00B41E66">
        <w:t>,</w:t>
      </w:r>
      <w:r w:rsidR="00E457B9" w:rsidRPr="00B41E66">
        <w:t xml:space="preserve"> </w:t>
      </w:r>
      <w:r w:rsidR="0074449C" w:rsidRPr="00B41E66">
        <w:t xml:space="preserve">the </w:t>
      </w:r>
      <w:r w:rsidRPr="00B41E66">
        <w:t xml:space="preserve">CAAR </w:t>
      </w:r>
      <w:r w:rsidRPr="00B41E66">
        <w:rPr>
          <w:lang w:bidi="he-IL"/>
        </w:rPr>
        <w:t xml:space="preserve">for the first </w:t>
      </w:r>
      <w:r w:rsidR="00E457B9" w:rsidRPr="00B41E66">
        <w:t>20 trading days</w:t>
      </w:r>
      <w:r w:rsidR="00826CD7" w:rsidRPr="00B41E66">
        <w:t xml:space="preserve"> post</w:t>
      </w:r>
      <w:r w:rsidR="009910D3" w:rsidRPr="00B41E66">
        <w:t>-</w:t>
      </w:r>
      <w:r w:rsidR="00826CD7" w:rsidRPr="00B41E66">
        <w:t>IPO</w:t>
      </w:r>
      <w:r w:rsidRPr="00B41E66">
        <w:t xml:space="preserve"> </w:t>
      </w:r>
      <w:r w:rsidR="00DF0BAC" w:rsidRPr="00B41E66">
        <w:t xml:space="preserve">for the entire sample is </w:t>
      </w:r>
      <w:r w:rsidRPr="00B41E66">
        <w:t>positive</w:t>
      </w:r>
      <w:r w:rsidR="00DF0BAC" w:rsidRPr="00B41E66">
        <w:t xml:space="preserve"> </w:t>
      </w:r>
      <w:r w:rsidRPr="00B41E66">
        <w:t xml:space="preserve">and </w:t>
      </w:r>
      <w:r w:rsidRPr="00B41E66">
        <w:rPr>
          <w:color w:val="0000FF"/>
        </w:rPr>
        <w:t>equals</w:t>
      </w:r>
      <w:r w:rsidR="00826CD7" w:rsidRPr="00B41E66">
        <w:rPr>
          <w:color w:val="0000FF"/>
        </w:rPr>
        <w:t xml:space="preserve"> </w:t>
      </w:r>
      <w:r w:rsidR="00DF0BAC" w:rsidRPr="00B41E66">
        <w:rPr>
          <w:color w:val="0000FF"/>
        </w:rPr>
        <w:t>1</w:t>
      </w:r>
      <w:r w:rsidR="00E457B9" w:rsidRPr="00B41E66">
        <w:rPr>
          <w:color w:val="0000FF"/>
        </w:rPr>
        <w:t>.7</w:t>
      </w:r>
      <w:r w:rsidR="00DF0BAC" w:rsidRPr="00B41E66">
        <w:rPr>
          <w:color w:val="0000FF"/>
        </w:rPr>
        <w:t>1</w:t>
      </w:r>
      <w:r w:rsidR="00E457B9" w:rsidRPr="00B41E66">
        <w:rPr>
          <w:color w:val="0000FF"/>
        </w:rPr>
        <w:t>% (t</w:t>
      </w:r>
      <w:r w:rsidR="00846335" w:rsidRPr="00B41E66">
        <w:rPr>
          <w:color w:val="0000FF"/>
        </w:rPr>
        <w:t xml:space="preserve"> </w:t>
      </w:r>
      <w:r w:rsidR="00E457B9" w:rsidRPr="00B41E66">
        <w:rPr>
          <w:color w:val="0000FF"/>
        </w:rPr>
        <w:t>=</w:t>
      </w:r>
      <w:r w:rsidR="009941B0" w:rsidRPr="00B41E66">
        <w:rPr>
          <w:color w:val="0000FF"/>
        </w:rPr>
        <w:t xml:space="preserve"> </w:t>
      </w:r>
      <w:r w:rsidR="00DF0BAC" w:rsidRPr="00B41E66">
        <w:rPr>
          <w:color w:val="0000FF"/>
        </w:rPr>
        <w:t>0</w:t>
      </w:r>
      <w:r w:rsidR="00E457B9" w:rsidRPr="00B41E66">
        <w:rPr>
          <w:color w:val="0000FF"/>
        </w:rPr>
        <w:t>.</w:t>
      </w:r>
      <w:r w:rsidR="00DF0BAC" w:rsidRPr="00B41E66">
        <w:rPr>
          <w:color w:val="0000FF"/>
        </w:rPr>
        <w:t>34</w:t>
      </w:r>
      <w:r w:rsidR="00E457B9" w:rsidRPr="00B41E66">
        <w:rPr>
          <w:color w:val="0000FF"/>
          <w:lang w:bidi="he-IL"/>
        </w:rPr>
        <w:t>)</w:t>
      </w:r>
      <w:r w:rsidR="00E457B9" w:rsidRPr="00B41E66">
        <w:rPr>
          <w:color w:val="0000FF"/>
        </w:rPr>
        <w:t>.</w:t>
      </w:r>
      <w:r w:rsidR="00E457B9" w:rsidRPr="00B41E66">
        <w:t xml:space="preserve"> These results </w:t>
      </w:r>
      <w:r w:rsidR="00DF0BAC" w:rsidRPr="00B41E66">
        <w:t xml:space="preserve">are </w:t>
      </w:r>
      <w:r w:rsidR="00DF0BAC" w:rsidRPr="00B41E66">
        <w:rPr>
          <w:color w:val="0000FF"/>
        </w:rPr>
        <w:t>in the spirit of</w:t>
      </w:r>
      <w:r w:rsidR="00DF0BAC" w:rsidRPr="00B41E66">
        <w:t xml:space="preserve"> </w:t>
      </w:r>
      <w:r w:rsidR="00E457B9" w:rsidRPr="00B41E66">
        <w:t>H1 hypothes</w:t>
      </w:r>
      <w:r w:rsidR="00E457B9" w:rsidRPr="00B41E66">
        <w:rPr>
          <w:lang w:bidi="he-IL"/>
        </w:rPr>
        <w:t>is</w:t>
      </w:r>
      <w:r w:rsidR="00DF0BAC" w:rsidRPr="00B41E66">
        <w:rPr>
          <w:color w:val="0000FF"/>
        </w:rPr>
        <w:t xml:space="preserve"> yet due to its</w:t>
      </w:r>
      <w:r w:rsidR="00DF0BAC" w:rsidRPr="00B41E66">
        <w:t xml:space="preserve"> insignificance</w:t>
      </w:r>
      <w:r w:rsidR="003F45C3" w:rsidRPr="00B41E66">
        <w:t xml:space="preserve">, </w:t>
      </w:r>
      <w:r w:rsidR="00DF0BAC" w:rsidRPr="00B41E66">
        <w:t xml:space="preserve">we </w:t>
      </w:r>
      <w:r w:rsidR="00DF0BAC" w:rsidRPr="00B41E66">
        <w:rPr>
          <w:color w:val="0000FF"/>
        </w:rPr>
        <w:t>reject</w:t>
      </w:r>
      <w:r w:rsidR="00DF0BAC" w:rsidRPr="00B41E66">
        <w:t xml:space="preserve"> H1</w:t>
      </w:r>
      <w:r w:rsidR="00E457B9" w:rsidRPr="00B41E66">
        <w:t xml:space="preserve">. After 20 </w:t>
      </w:r>
      <w:r w:rsidR="00E4379E" w:rsidRPr="00B41E66">
        <w:t>trading</w:t>
      </w:r>
      <w:r w:rsidR="00E457B9" w:rsidRPr="00B41E66">
        <w:t xml:space="preserve"> days, performance began to decrease</w:t>
      </w:r>
      <w:r w:rsidR="009910D3" w:rsidRPr="00B41E66">
        <w:t>,</w:t>
      </w:r>
      <w:r w:rsidR="00E457B9" w:rsidRPr="00B41E66">
        <w:t xml:space="preserve"> diminishing </w:t>
      </w:r>
      <w:r w:rsidR="009910D3" w:rsidRPr="00B41E66">
        <w:t xml:space="preserve">significantly </w:t>
      </w:r>
      <w:r w:rsidR="00F97738" w:rsidRPr="00B41E66">
        <w:t xml:space="preserve">until </w:t>
      </w:r>
      <w:r w:rsidR="00E457B9" w:rsidRPr="00B41E66">
        <w:t>the 50</w:t>
      </w:r>
      <w:r w:rsidR="00E457B9" w:rsidRPr="00B41E66">
        <w:rPr>
          <w:vertAlign w:val="superscript"/>
        </w:rPr>
        <w:t>th</w:t>
      </w:r>
      <w:r w:rsidR="00E457B9" w:rsidRPr="00B41E66">
        <w:t xml:space="preserve"> trading day</w:t>
      </w:r>
      <w:r w:rsidR="00010EAF" w:rsidRPr="00B41E66">
        <w:t>, with</w:t>
      </w:r>
      <w:r w:rsidR="00E457B9" w:rsidRPr="00B41E66">
        <w:t xml:space="preserve"> </w:t>
      </w:r>
      <w:r w:rsidR="00B23C4C" w:rsidRPr="00B41E66">
        <w:rPr>
          <w:color w:val="0000FF"/>
        </w:rPr>
        <w:t xml:space="preserve">CAAR = </w:t>
      </w:r>
      <w:r w:rsidR="00350E3B" w:rsidRPr="00B41E66">
        <w:rPr>
          <w:color w:val="0000FF"/>
        </w:rPr>
        <w:t>-1.99</w:t>
      </w:r>
      <w:r w:rsidR="00B23C4C" w:rsidRPr="00B41E66">
        <w:rPr>
          <w:color w:val="0000FF"/>
        </w:rPr>
        <w:t>% (t</w:t>
      </w:r>
      <w:r w:rsidR="00846335" w:rsidRPr="00B41E66">
        <w:rPr>
          <w:color w:val="0000FF"/>
        </w:rPr>
        <w:t xml:space="preserve"> </w:t>
      </w:r>
      <w:r w:rsidR="00B23C4C" w:rsidRPr="00B41E66">
        <w:rPr>
          <w:color w:val="0000FF"/>
        </w:rPr>
        <w:t>=</w:t>
      </w:r>
      <w:r w:rsidR="009941B0" w:rsidRPr="00B41E66">
        <w:rPr>
          <w:color w:val="0000FF"/>
        </w:rPr>
        <w:t xml:space="preserve"> </w:t>
      </w:r>
      <w:r w:rsidR="00FC5C53" w:rsidRPr="00B41E66">
        <w:rPr>
          <w:color w:val="0000FF"/>
        </w:rPr>
        <w:t>-</w:t>
      </w:r>
      <w:r w:rsidR="00B23C4C" w:rsidRPr="00B41E66">
        <w:rPr>
          <w:color w:val="0000FF"/>
        </w:rPr>
        <w:t>0.</w:t>
      </w:r>
      <w:r w:rsidR="00350E3B" w:rsidRPr="00B41E66">
        <w:rPr>
          <w:color w:val="0000FF"/>
        </w:rPr>
        <w:t>4</w:t>
      </w:r>
      <w:r w:rsidR="00FC5C53" w:rsidRPr="00B41E66">
        <w:rPr>
          <w:color w:val="0000FF"/>
        </w:rPr>
        <w:t>0</w:t>
      </w:r>
      <w:r w:rsidR="00B23C4C" w:rsidRPr="00B41E66">
        <w:rPr>
          <w:color w:val="0000FF"/>
        </w:rPr>
        <w:t>)</w:t>
      </w:r>
      <w:r w:rsidR="00010EAF" w:rsidRPr="00B41E66">
        <w:rPr>
          <w:color w:val="0000FF"/>
        </w:rPr>
        <w:t>.</w:t>
      </w:r>
      <w:r w:rsidR="00010EAF" w:rsidRPr="00B41E66">
        <w:t xml:space="preserve"> </w:t>
      </w:r>
      <w:r w:rsidR="0074449C" w:rsidRPr="00B41E66">
        <w:t>One hundred t</w:t>
      </w:r>
      <w:r w:rsidR="00E457B9" w:rsidRPr="00B41E66">
        <w:t>rading days</w:t>
      </w:r>
      <w:r w:rsidR="0074449C" w:rsidRPr="00B41E66">
        <w:t xml:space="preserve"> post-IPO</w:t>
      </w:r>
      <w:r w:rsidR="00010EAF" w:rsidRPr="00B41E66">
        <w:t>,</w:t>
      </w:r>
      <w:r w:rsidR="00E457B9" w:rsidRPr="00B41E66">
        <w:t xml:space="preserve"> </w:t>
      </w:r>
      <w:r w:rsidR="00E457B9" w:rsidRPr="00B41E66">
        <w:rPr>
          <w:color w:val="0000FF"/>
        </w:rPr>
        <w:t>CAAR = -7.</w:t>
      </w:r>
      <w:r w:rsidR="007D403E" w:rsidRPr="00B41E66">
        <w:rPr>
          <w:color w:val="0000FF"/>
          <w:rtl/>
          <w:lang w:bidi="he-IL"/>
        </w:rPr>
        <w:t>1</w:t>
      </w:r>
      <w:r w:rsidR="00350E3B" w:rsidRPr="00B41E66">
        <w:rPr>
          <w:color w:val="0000FF"/>
        </w:rPr>
        <w:t>0</w:t>
      </w:r>
      <w:r w:rsidR="00E457B9" w:rsidRPr="00B41E66">
        <w:rPr>
          <w:color w:val="0000FF"/>
        </w:rPr>
        <w:t>% (t</w:t>
      </w:r>
      <w:r w:rsidR="0022497B" w:rsidRPr="00B41E66">
        <w:rPr>
          <w:color w:val="0000FF"/>
        </w:rPr>
        <w:t xml:space="preserve"> </w:t>
      </w:r>
      <w:r w:rsidR="00E457B9" w:rsidRPr="00B41E66">
        <w:rPr>
          <w:color w:val="0000FF"/>
        </w:rPr>
        <w:t>=</w:t>
      </w:r>
      <w:r w:rsidR="009941B0" w:rsidRPr="00B41E66">
        <w:rPr>
          <w:color w:val="0000FF"/>
        </w:rPr>
        <w:t xml:space="preserve"> </w:t>
      </w:r>
      <w:r w:rsidR="00E457B9" w:rsidRPr="00B41E66">
        <w:rPr>
          <w:color w:val="0000FF"/>
        </w:rPr>
        <w:t>-1.</w:t>
      </w:r>
      <w:r w:rsidR="00350E3B" w:rsidRPr="00B41E66">
        <w:rPr>
          <w:color w:val="0000FF"/>
          <w:lang w:bidi="he-IL"/>
        </w:rPr>
        <w:t>54</w:t>
      </w:r>
      <w:r w:rsidR="00E457B9" w:rsidRPr="00B41E66">
        <w:rPr>
          <w:color w:val="0000FF"/>
        </w:rPr>
        <w:t>);</w:t>
      </w:r>
      <w:r w:rsidR="00E457B9" w:rsidRPr="00B41E66">
        <w:t xml:space="preserve"> 200 trading days post</w:t>
      </w:r>
      <w:r w:rsidR="00010EAF" w:rsidRPr="00B41E66">
        <w:t>-</w:t>
      </w:r>
      <w:r w:rsidR="00E457B9" w:rsidRPr="00B41E66">
        <w:t>IPO</w:t>
      </w:r>
      <w:r w:rsidR="00E457B9" w:rsidRPr="00B41E66">
        <w:rPr>
          <w:color w:val="0000FF"/>
        </w:rPr>
        <w:t xml:space="preserve">, CAAR </w:t>
      </w:r>
      <w:r w:rsidR="00010EAF" w:rsidRPr="00B41E66">
        <w:rPr>
          <w:color w:val="0000FF"/>
        </w:rPr>
        <w:t>=</w:t>
      </w:r>
      <w:r w:rsidR="00E457B9" w:rsidRPr="00B41E66">
        <w:rPr>
          <w:color w:val="0000FF"/>
        </w:rPr>
        <w:t xml:space="preserve"> -2</w:t>
      </w:r>
      <w:r w:rsidR="00350E3B" w:rsidRPr="00B41E66">
        <w:rPr>
          <w:color w:val="0000FF"/>
        </w:rPr>
        <w:t>1</w:t>
      </w:r>
      <w:r w:rsidR="00E457B9" w:rsidRPr="00B41E66">
        <w:rPr>
          <w:color w:val="0000FF"/>
        </w:rPr>
        <w:t>.</w:t>
      </w:r>
      <w:r w:rsidR="00350E3B" w:rsidRPr="00B41E66">
        <w:rPr>
          <w:color w:val="0000FF"/>
          <w:lang w:bidi="he-IL"/>
        </w:rPr>
        <w:t>46</w:t>
      </w:r>
      <w:r w:rsidR="00E457B9" w:rsidRPr="00B41E66">
        <w:rPr>
          <w:color w:val="0000FF"/>
        </w:rPr>
        <w:t>% (t=</w:t>
      </w:r>
      <w:r w:rsidR="009941B0" w:rsidRPr="00B41E66">
        <w:rPr>
          <w:color w:val="0000FF"/>
        </w:rPr>
        <w:t xml:space="preserve"> </w:t>
      </w:r>
      <w:r w:rsidR="00E457B9" w:rsidRPr="00B41E66">
        <w:rPr>
          <w:color w:val="0000FF"/>
        </w:rPr>
        <w:t>-</w:t>
      </w:r>
      <w:r w:rsidR="00350E3B" w:rsidRPr="00B41E66">
        <w:rPr>
          <w:color w:val="0000FF"/>
          <w:lang w:bidi="he-IL"/>
        </w:rPr>
        <w:t>4</w:t>
      </w:r>
      <w:r w:rsidR="00E457B9" w:rsidRPr="00B41E66">
        <w:rPr>
          <w:color w:val="0000FF"/>
        </w:rPr>
        <w:t>.</w:t>
      </w:r>
      <w:r w:rsidR="00350E3B" w:rsidRPr="00B41E66">
        <w:rPr>
          <w:color w:val="0000FF"/>
          <w:lang w:bidi="he-IL"/>
        </w:rPr>
        <w:t>6</w:t>
      </w:r>
      <w:r w:rsidR="00E457B9" w:rsidRPr="00B41E66">
        <w:rPr>
          <w:color w:val="0000FF"/>
          <w:rtl/>
          <w:lang w:bidi="he-IL"/>
        </w:rPr>
        <w:t>2</w:t>
      </w:r>
      <w:r w:rsidR="00E457B9" w:rsidRPr="00B41E66">
        <w:rPr>
          <w:color w:val="0000FF"/>
        </w:rPr>
        <w:t>);</w:t>
      </w:r>
      <w:r w:rsidR="00E457B9" w:rsidRPr="00B41E66">
        <w:t xml:space="preserve"> 250 trading days</w:t>
      </w:r>
      <w:r w:rsidR="0074449C" w:rsidRPr="00B41E66">
        <w:t xml:space="preserve"> post-IPO</w:t>
      </w:r>
      <w:r w:rsidR="00E457B9" w:rsidRPr="00B41E66">
        <w:t xml:space="preserve"> </w:t>
      </w:r>
      <w:r w:rsidR="00E457B9" w:rsidRPr="00B41E66">
        <w:rPr>
          <w:color w:val="0000FF"/>
        </w:rPr>
        <w:t xml:space="preserve">CAAR </w:t>
      </w:r>
      <w:r w:rsidR="00010EAF" w:rsidRPr="00B41E66">
        <w:rPr>
          <w:color w:val="0000FF"/>
        </w:rPr>
        <w:t>=</w:t>
      </w:r>
      <w:r w:rsidR="00E457B9" w:rsidRPr="00B41E66">
        <w:rPr>
          <w:color w:val="0000FF"/>
        </w:rPr>
        <w:t xml:space="preserve"> -</w:t>
      </w:r>
      <w:r w:rsidR="00E457B9" w:rsidRPr="00B41E66">
        <w:rPr>
          <w:color w:val="0000FF"/>
          <w:rtl/>
          <w:lang w:bidi="he-IL"/>
        </w:rPr>
        <w:t>2</w:t>
      </w:r>
      <w:r w:rsidR="00350E3B" w:rsidRPr="00B41E66">
        <w:rPr>
          <w:color w:val="0000FF"/>
          <w:lang w:bidi="he-IL"/>
        </w:rPr>
        <w:t>6.74</w:t>
      </w:r>
      <w:r w:rsidR="00E457B9" w:rsidRPr="00B41E66">
        <w:rPr>
          <w:color w:val="0000FF"/>
        </w:rPr>
        <w:t>% (t</w:t>
      </w:r>
      <w:r w:rsidR="00846335" w:rsidRPr="00B41E66">
        <w:rPr>
          <w:color w:val="0000FF"/>
        </w:rPr>
        <w:t xml:space="preserve"> </w:t>
      </w:r>
      <w:r w:rsidR="00E457B9" w:rsidRPr="00B41E66">
        <w:rPr>
          <w:color w:val="0000FF"/>
        </w:rPr>
        <w:t>=</w:t>
      </w:r>
      <w:r w:rsidR="009941B0" w:rsidRPr="00B41E66">
        <w:rPr>
          <w:color w:val="0000FF"/>
        </w:rPr>
        <w:t xml:space="preserve"> </w:t>
      </w:r>
      <w:r w:rsidR="00E457B9" w:rsidRPr="00B41E66">
        <w:rPr>
          <w:color w:val="0000FF"/>
        </w:rPr>
        <w:t>-</w:t>
      </w:r>
      <w:r w:rsidR="00350E3B" w:rsidRPr="00B41E66">
        <w:rPr>
          <w:color w:val="0000FF"/>
          <w:lang w:bidi="he-IL"/>
        </w:rPr>
        <w:t>5</w:t>
      </w:r>
      <w:r w:rsidR="00E457B9" w:rsidRPr="00B41E66">
        <w:rPr>
          <w:color w:val="0000FF"/>
        </w:rPr>
        <w:t>.</w:t>
      </w:r>
      <w:r w:rsidR="00350E3B" w:rsidRPr="00B41E66">
        <w:rPr>
          <w:color w:val="0000FF"/>
          <w:lang w:bidi="he-IL"/>
        </w:rPr>
        <w:t>71</w:t>
      </w:r>
      <w:r w:rsidR="00E457B9" w:rsidRPr="00B41E66">
        <w:t>); two years (550 trading days)</w:t>
      </w:r>
      <w:r w:rsidR="009941B0" w:rsidRPr="00B41E66">
        <w:t xml:space="preserve"> post-IPO,</w:t>
      </w:r>
      <w:r w:rsidR="00E457B9" w:rsidRPr="00B41E66">
        <w:t xml:space="preserve"> CAAR </w:t>
      </w:r>
      <w:r w:rsidR="00010EAF" w:rsidRPr="00B41E66">
        <w:t>=</w:t>
      </w:r>
      <w:r w:rsidR="00E457B9" w:rsidRPr="00B41E66">
        <w:t xml:space="preserve"> </w:t>
      </w:r>
      <w:r w:rsidR="00E457B9" w:rsidRPr="00B41E66">
        <w:rPr>
          <w:color w:val="0000FF"/>
        </w:rPr>
        <w:t>-</w:t>
      </w:r>
      <w:r w:rsidR="00E457B9" w:rsidRPr="00B41E66">
        <w:rPr>
          <w:color w:val="0000FF"/>
          <w:rtl/>
          <w:lang w:bidi="he-IL"/>
        </w:rPr>
        <w:t>5</w:t>
      </w:r>
      <w:r w:rsidR="00303426" w:rsidRPr="00B41E66">
        <w:rPr>
          <w:color w:val="0000FF"/>
          <w:lang w:bidi="he-IL"/>
        </w:rPr>
        <w:t>8</w:t>
      </w:r>
      <w:r w:rsidR="00E457B9" w:rsidRPr="00B41E66">
        <w:rPr>
          <w:color w:val="0000FF"/>
        </w:rPr>
        <w:t>.</w:t>
      </w:r>
      <w:r w:rsidR="00303426" w:rsidRPr="00B41E66">
        <w:rPr>
          <w:color w:val="0000FF"/>
          <w:lang w:bidi="he-IL"/>
        </w:rPr>
        <w:t>61</w:t>
      </w:r>
      <w:r w:rsidR="00E457B9" w:rsidRPr="00B41E66">
        <w:rPr>
          <w:color w:val="0000FF"/>
        </w:rPr>
        <w:t>% (t</w:t>
      </w:r>
      <w:r w:rsidR="0022497B" w:rsidRPr="00B41E66">
        <w:rPr>
          <w:color w:val="0000FF"/>
        </w:rPr>
        <w:t xml:space="preserve"> </w:t>
      </w:r>
      <w:r w:rsidR="00E457B9" w:rsidRPr="00B41E66">
        <w:rPr>
          <w:color w:val="0000FF"/>
        </w:rPr>
        <w:t>=</w:t>
      </w:r>
      <w:r w:rsidR="009941B0" w:rsidRPr="00B41E66">
        <w:rPr>
          <w:color w:val="0000FF"/>
        </w:rPr>
        <w:t xml:space="preserve"> </w:t>
      </w:r>
      <w:r w:rsidR="00E457B9" w:rsidRPr="00B41E66">
        <w:rPr>
          <w:color w:val="0000FF"/>
        </w:rPr>
        <w:t>-</w:t>
      </w:r>
      <w:r w:rsidR="00303426" w:rsidRPr="00B41E66">
        <w:rPr>
          <w:color w:val="0000FF"/>
        </w:rPr>
        <w:t>11</w:t>
      </w:r>
      <w:r w:rsidR="00E457B9" w:rsidRPr="00B41E66">
        <w:rPr>
          <w:color w:val="0000FF"/>
        </w:rPr>
        <w:t>.</w:t>
      </w:r>
      <w:r w:rsidR="00E457B9" w:rsidRPr="00B41E66">
        <w:rPr>
          <w:color w:val="0000FF"/>
          <w:rtl/>
          <w:lang w:bidi="he-IL"/>
        </w:rPr>
        <w:t>92</w:t>
      </w:r>
      <w:r w:rsidR="00E457B9" w:rsidRPr="00B41E66">
        <w:t xml:space="preserve">); and </w:t>
      </w:r>
      <w:r w:rsidR="00010EAF" w:rsidRPr="00B41E66">
        <w:t>three</w:t>
      </w:r>
      <w:r w:rsidR="00E457B9" w:rsidRPr="00B41E66">
        <w:t xml:space="preserve"> years (755 trading days)</w:t>
      </w:r>
      <w:r w:rsidR="009941B0" w:rsidRPr="00B41E66">
        <w:t xml:space="preserve"> post-IPO</w:t>
      </w:r>
      <w:r w:rsidR="00010EAF" w:rsidRPr="00B41E66">
        <w:t>,</w:t>
      </w:r>
      <w:r w:rsidR="00E457B9" w:rsidRPr="00B41E66">
        <w:t xml:space="preserve"> </w:t>
      </w:r>
      <w:r w:rsidR="00E457B9" w:rsidRPr="00B41E66">
        <w:rPr>
          <w:color w:val="0000FF"/>
        </w:rPr>
        <w:t xml:space="preserve">CAAR </w:t>
      </w:r>
      <w:r w:rsidR="00010EAF" w:rsidRPr="00B41E66">
        <w:rPr>
          <w:color w:val="0000FF"/>
        </w:rPr>
        <w:t>=</w:t>
      </w:r>
      <w:r w:rsidR="00E457B9" w:rsidRPr="00B41E66">
        <w:rPr>
          <w:color w:val="0000FF"/>
        </w:rPr>
        <w:t xml:space="preserve"> -</w:t>
      </w:r>
      <w:r w:rsidR="00303426" w:rsidRPr="00B41E66">
        <w:rPr>
          <w:color w:val="0000FF"/>
          <w:lang w:bidi="he-IL"/>
        </w:rPr>
        <w:t>84</w:t>
      </w:r>
      <w:r w:rsidR="00E457B9" w:rsidRPr="00B41E66">
        <w:rPr>
          <w:color w:val="0000FF"/>
        </w:rPr>
        <w:t>.</w:t>
      </w:r>
      <w:r w:rsidR="00303426" w:rsidRPr="00B41E66">
        <w:rPr>
          <w:color w:val="0000FF"/>
          <w:lang w:bidi="he-IL"/>
        </w:rPr>
        <w:t>08</w:t>
      </w:r>
      <w:r w:rsidR="00E457B9" w:rsidRPr="00B41E66">
        <w:rPr>
          <w:color w:val="0000FF"/>
        </w:rPr>
        <w:t>% (t</w:t>
      </w:r>
      <w:r w:rsidR="00846335" w:rsidRPr="00B41E66">
        <w:rPr>
          <w:color w:val="0000FF"/>
        </w:rPr>
        <w:t xml:space="preserve"> </w:t>
      </w:r>
      <w:r w:rsidR="00E457B9" w:rsidRPr="00B41E66">
        <w:rPr>
          <w:color w:val="0000FF"/>
        </w:rPr>
        <w:t>=</w:t>
      </w:r>
      <w:r w:rsidR="009941B0" w:rsidRPr="00B41E66">
        <w:rPr>
          <w:color w:val="0000FF"/>
        </w:rPr>
        <w:t xml:space="preserve"> </w:t>
      </w:r>
      <w:r w:rsidR="00E457B9" w:rsidRPr="00B41E66">
        <w:rPr>
          <w:color w:val="0000FF"/>
        </w:rPr>
        <w:t>-</w:t>
      </w:r>
      <w:r w:rsidR="00303426" w:rsidRPr="00B41E66">
        <w:rPr>
          <w:color w:val="0000FF"/>
        </w:rPr>
        <w:t>19</w:t>
      </w:r>
      <w:r w:rsidR="00E457B9" w:rsidRPr="00B41E66">
        <w:rPr>
          <w:color w:val="0000FF"/>
        </w:rPr>
        <w:t>.</w:t>
      </w:r>
      <w:r w:rsidR="00303426" w:rsidRPr="00B41E66">
        <w:rPr>
          <w:color w:val="0000FF"/>
        </w:rPr>
        <w:t>00</w:t>
      </w:r>
      <w:r w:rsidR="00E457B9" w:rsidRPr="00B41E66">
        <w:rPr>
          <w:color w:val="0000FF"/>
        </w:rPr>
        <w:t>)</w:t>
      </w:r>
      <w:r w:rsidR="00E457B9" w:rsidRPr="00B41E66">
        <w:t xml:space="preserve">. </w:t>
      </w:r>
      <w:r w:rsidR="00303426" w:rsidRPr="00B41E66">
        <w:t xml:space="preserve">The results </w:t>
      </w:r>
      <w:r w:rsidR="003D71C6" w:rsidRPr="00B41E66">
        <w:t>demonstrate</w:t>
      </w:r>
      <w:r w:rsidR="00303426" w:rsidRPr="00B41E66">
        <w:t xml:space="preserve"> a </w:t>
      </w:r>
      <w:r w:rsidR="0022497B" w:rsidRPr="00B41E66">
        <w:t xml:space="preserve">CAAR </w:t>
      </w:r>
      <w:r w:rsidR="00EF583A" w:rsidRPr="00B41E66">
        <w:t xml:space="preserve">decline </w:t>
      </w:r>
      <w:r w:rsidR="00303426" w:rsidRPr="00B41E66">
        <w:t>that is</w:t>
      </w:r>
      <w:r w:rsidR="00EF583A" w:rsidRPr="00B41E66">
        <w:t xml:space="preserve"> consistent </w:t>
      </w:r>
      <w:r w:rsidR="00DC08D2" w:rsidRPr="00B41E66">
        <w:t>from day 20 onward</w:t>
      </w:r>
      <w:r w:rsidR="00EF583A" w:rsidRPr="00B41E66">
        <w:t xml:space="preserve">. </w:t>
      </w:r>
      <w:r w:rsidR="00E457B9" w:rsidRPr="00B41E66">
        <w:t xml:space="preserve">These results are </w:t>
      </w:r>
      <w:r w:rsidR="00010EAF" w:rsidRPr="00B41E66">
        <w:t>consistent with</w:t>
      </w:r>
      <w:r w:rsidR="00E457B9" w:rsidRPr="00B41E66">
        <w:t xml:space="preserve"> previous literature and </w:t>
      </w:r>
      <w:r w:rsidR="00826CD7" w:rsidRPr="00B41E66">
        <w:rPr>
          <w:lang w:bidi="he-IL"/>
        </w:rPr>
        <w:t>suppor</w:t>
      </w:r>
      <w:r w:rsidR="00B93ECD" w:rsidRPr="00B41E66">
        <w:rPr>
          <w:lang w:bidi="he-IL"/>
        </w:rPr>
        <w:t>t</w:t>
      </w:r>
      <w:r w:rsidR="00826CD7" w:rsidRPr="00B41E66">
        <w:t xml:space="preserve"> </w:t>
      </w:r>
      <w:r w:rsidR="00B4009A" w:rsidRPr="00B41E66">
        <w:t xml:space="preserve">hypothesis </w:t>
      </w:r>
      <w:r w:rsidR="00E457B9" w:rsidRPr="00B41E66">
        <w:t xml:space="preserve">H2. </w:t>
      </w:r>
    </w:p>
    <w:p w14:paraId="1D364761" w14:textId="4B239F0E" w:rsidR="00625EA0" w:rsidRPr="00B41E66" w:rsidRDefault="00DB1B72" w:rsidP="00C655B2">
      <w:pPr>
        <w:spacing w:line="480" w:lineRule="auto"/>
        <w:rPr>
          <w:color w:val="0000FF"/>
          <w:lang w:bidi="he-IL"/>
        </w:rPr>
      </w:pPr>
      <w:r w:rsidRPr="00B41E66">
        <w:t>With respect to small</w:t>
      </w:r>
      <w:r w:rsidR="00184103" w:rsidRPr="00B41E66">
        <w:t>-sized</w:t>
      </w:r>
      <w:r w:rsidR="004C0D10" w:rsidRPr="00B41E66">
        <w:t xml:space="preserve"> </w:t>
      </w:r>
      <w:r w:rsidR="003D71C6" w:rsidRPr="00B41E66">
        <w:t>firms</w:t>
      </w:r>
      <w:r w:rsidR="009941B0" w:rsidRPr="00B41E66">
        <w:t>,</w:t>
      </w:r>
      <w:r w:rsidR="000C2769" w:rsidRPr="00B41E66">
        <w:t xml:space="preserve"> </w:t>
      </w:r>
      <w:r w:rsidR="004C0D10" w:rsidRPr="00B41E66">
        <w:t xml:space="preserve">CAAR </w:t>
      </w:r>
      <w:r w:rsidR="003D71C6" w:rsidRPr="00B41E66">
        <w:t>exhibits</w:t>
      </w:r>
      <w:r w:rsidR="000C2769" w:rsidRPr="00B41E66">
        <w:t xml:space="preserve"> </w:t>
      </w:r>
      <w:r w:rsidR="003D71C6" w:rsidRPr="00B41E66">
        <w:t xml:space="preserve">decline from the very beginning </w:t>
      </w:r>
      <w:r w:rsidR="000C2769" w:rsidRPr="00B41E66">
        <w:t xml:space="preserve">yet </w:t>
      </w:r>
      <w:r w:rsidR="0079440E" w:rsidRPr="00B41E66">
        <w:rPr>
          <w:lang w:bidi="he-IL"/>
        </w:rPr>
        <w:t>becom</w:t>
      </w:r>
      <w:r w:rsidR="00184103" w:rsidRPr="00B41E66">
        <w:rPr>
          <w:lang w:bidi="he-IL"/>
        </w:rPr>
        <w:t>e</w:t>
      </w:r>
      <w:r w:rsidR="0079440E" w:rsidRPr="00B41E66">
        <w:rPr>
          <w:lang w:bidi="he-IL"/>
        </w:rPr>
        <w:t>s</w:t>
      </w:r>
      <w:r w:rsidR="000C2769" w:rsidRPr="00B41E66">
        <w:t xml:space="preserve"> significant</w:t>
      </w:r>
      <w:r w:rsidR="00A3026A" w:rsidRPr="00B41E66">
        <w:t xml:space="preserve"> from day 50 onward. </w:t>
      </w:r>
      <w:r w:rsidR="00C003FA" w:rsidRPr="00B41E66">
        <w:t xml:space="preserve"> </w:t>
      </w:r>
      <w:r w:rsidR="009941B0" w:rsidRPr="00B41E66">
        <w:t>Fifty</w:t>
      </w:r>
      <w:r w:rsidR="001229E7" w:rsidRPr="00B41E66">
        <w:t xml:space="preserve"> trading days </w:t>
      </w:r>
      <w:r w:rsidRPr="00B41E66">
        <w:t>p</w:t>
      </w:r>
      <w:r w:rsidR="001229E7" w:rsidRPr="00B41E66">
        <w:t>ost</w:t>
      </w:r>
      <w:r w:rsidRPr="00B41E66">
        <w:t>-</w:t>
      </w:r>
      <w:r w:rsidR="001229E7" w:rsidRPr="00B41E66">
        <w:t>IPO</w:t>
      </w:r>
      <w:r w:rsidRPr="00B41E66">
        <w:t>,</w:t>
      </w:r>
      <w:r w:rsidR="001229E7" w:rsidRPr="00B41E66">
        <w:t xml:space="preserve"> CAAR was</w:t>
      </w:r>
      <w:r w:rsidR="001229E7" w:rsidRPr="00B41E66">
        <w:rPr>
          <w:color w:val="0000FF"/>
        </w:rPr>
        <w:t xml:space="preserve"> -</w:t>
      </w:r>
      <w:r w:rsidR="00A3026A" w:rsidRPr="00B41E66">
        <w:rPr>
          <w:color w:val="0000FF"/>
        </w:rPr>
        <w:t>8</w:t>
      </w:r>
      <w:r w:rsidR="001229E7" w:rsidRPr="00B41E66">
        <w:rPr>
          <w:color w:val="0000FF"/>
        </w:rPr>
        <w:t>.</w:t>
      </w:r>
      <w:r w:rsidR="00A3026A" w:rsidRPr="00B41E66">
        <w:rPr>
          <w:color w:val="0000FF"/>
        </w:rPr>
        <w:t>2</w:t>
      </w:r>
      <w:r w:rsidR="001229E7" w:rsidRPr="00B41E66">
        <w:rPr>
          <w:color w:val="0000FF"/>
        </w:rPr>
        <w:t>2%</w:t>
      </w:r>
      <w:r w:rsidRPr="00B41E66">
        <w:rPr>
          <w:color w:val="0000FF"/>
        </w:rPr>
        <w:t xml:space="preserve"> </w:t>
      </w:r>
      <w:r w:rsidR="001229E7" w:rsidRPr="00B41E66">
        <w:rPr>
          <w:color w:val="0000FF"/>
        </w:rPr>
        <w:t>(t = -1.6</w:t>
      </w:r>
      <w:r w:rsidR="00A3026A" w:rsidRPr="00B41E66">
        <w:rPr>
          <w:color w:val="0000FF"/>
        </w:rPr>
        <w:t>5</w:t>
      </w:r>
      <w:r w:rsidR="001229E7" w:rsidRPr="00B41E66">
        <w:rPr>
          <w:color w:val="0000FF"/>
        </w:rPr>
        <w:t>)</w:t>
      </w:r>
      <w:r w:rsidRPr="00B41E66">
        <w:t>;</w:t>
      </w:r>
      <w:r w:rsidR="001229E7" w:rsidRPr="00B41E66">
        <w:t xml:space="preserve"> 100 trading days post</w:t>
      </w:r>
      <w:r w:rsidRPr="00B41E66">
        <w:t>-</w:t>
      </w:r>
      <w:r w:rsidR="001229E7" w:rsidRPr="00B41E66">
        <w:t xml:space="preserve"> IPO</w:t>
      </w:r>
      <w:r w:rsidRPr="00B41E66">
        <w:t xml:space="preserve">, </w:t>
      </w:r>
      <w:r w:rsidR="001229E7" w:rsidRPr="00B41E66">
        <w:t xml:space="preserve">CAAR </w:t>
      </w:r>
      <w:r w:rsidR="001229E7" w:rsidRPr="00B41E66">
        <w:rPr>
          <w:color w:val="0000FF"/>
        </w:rPr>
        <w:t>was -15.6</w:t>
      </w:r>
      <w:r w:rsidR="00A3026A" w:rsidRPr="00B41E66">
        <w:rPr>
          <w:color w:val="0000FF"/>
          <w:lang w:bidi="he-IL"/>
        </w:rPr>
        <w:t>4</w:t>
      </w:r>
      <w:r w:rsidR="001229E7" w:rsidRPr="00B41E66">
        <w:rPr>
          <w:color w:val="0000FF"/>
        </w:rPr>
        <w:t>%, (t</w:t>
      </w:r>
      <w:r w:rsidR="00846335" w:rsidRPr="00B41E66">
        <w:rPr>
          <w:color w:val="0000FF"/>
        </w:rPr>
        <w:t xml:space="preserve"> </w:t>
      </w:r>
      <w:r w:rsidR="001229E7" w:rsidRPr="00B41E66">
        <w:rPr>
          <w:color w:val="0000FF"/>
        </w:rPr>
        <w:t>=</w:t>
      </w:r>
      <w:r w:rsidR="009941B0" w:rsidRPr="00B41E66">
        <w:rPr>
          <w:color w:val="0000FF"/>
        </w:rPr>
        <w:t xml:space="preserve"> </w:t>
      </w:r>
      <w:r w:rsidR="001229E7" w:rsidRPr="00B41E66">
        <w:rPr>
          <w:color w:val="0000FF"/>
        </w:rPr>
        <w:t>-3.</w:t>
      </w:r>
      <w:r w:rsidR="00A3026A" w:rsidRPr="00B41E66">
        <w:rPr>
          <w:color w:val="0000FF"/>
        </w:rPr>
        <w:t>46</w:t>
      </w:r>
      <w:r w:rsidR="001229E7" w:rsidRPr="00B41E66">
        <w:rPr>
          <w:color w:val="0000FF"/>
        </w:rPr>
        <w:t>)</w:t>
      </w:r>
      <w:r w:rsidR="00CF57FF" w:rsidRPr="00B41E66">
        <w:rPr>
          <w:color w:val="0000FF"/>
        </w:rPr>
        <w:t>;</w:t>
      </w:r>
      <w:r w:rsidRPr="00B41E66">
        <w:t xml:space="preserve"> </w:t>
      </w:r>
      <w:r w:rsidR="00461B2A" w:rsidRPr="00B41E66">
        <w:t>one-year</w:t>
      </w:r>
      <w:r w:rsidR="001229E7" w:rsidRPr="00B41E66">
        <w:t xml:space="preserve"> </w:t>
      </w:r>
      <w:r w:rsidRPr="00B41E66">
        <w:t>post-</w:t>
      </w:r>
      <w:r w:rsidR="001229E7" w:rsidRPr="00B41E66">
        <w:t>IPO</w:t>
      </w:r>
      <w:r w:rsidRPr="00B41E66">
        <w:t>,</w:t>
      </w:r>
      <w:r w:rsidR="001229E7" w:rsidRPr="00B41E66">
        <w:t xml:space="preserve"> </w:t>
      </w:r>
      <w:r w:rsidR="001229E7" w:rsidRPr="00B41E66">
        <w:rPr>
          <w:color w:val="0000FF"/>
        </w:rPr>
        <w:t xml:space="preserve">CAAR </w:t>
      </w:r>
      <w:r w:rsidR="00A3026A" w:rsidRPr="00B41E66">
        <w:rPr>
          <w:color w:val="0000FF"/>
        </w:rPr>
        <w:t>=</w:t>
      </w:r>
      <w:r w:rsidR="009941B0" w:rsidRPr="00B41E66">
        <w:rPr>
          <w:color w:val="0000FF"/>
        </w:rPr>
        <w:t xml:space="preserve"> </w:t>
      </w:r>
      <w:r w:rsidR="001229E7" w:rsidRPr="00B41E66">
        <w:rPr>
          <w:color w:val="0000FF"/>
        </w:rPr>
        <w:t>-</w:t>
      </w:r>
      <w:r w:rsidR="00A3026A" w:rsidRPr="00B41E66">
        <w:rPr>
          <w:color w:val="0000FF"/>
        </w:rPr>
        <w:t>40</w:t>
      </w:r>
      <w:r w:rsidR="001229E7" w:rsidRPr="00B41E66">
        <w:rPr>
          <w:color w:val="0000FF"/>
        </w:rPr>
        <w:t>.</w:t>
      </w:r>
      <w:r w:rsidR="00A3026A" w:rsidRPr="00B41E66">
        <w:rPr>
          <w:color w:val="0000FF"/>
        </w:rPr>
        <w:t>56</w:t>
      </w:r>
      <w:r w:rsidR="001229E7" w:rsidRPr="00B41E66">
        <w:rPr>
          <w:color w:val="0000FF"/>
        </w:rPr>
        <w:t>% (t</w:t>
      </w:r>
      <w:r w:rsidR="00846335" w:rsidRPr="00B41E66">
        <w:rPr>
          <w:color w:val="0000FF"/>
        </w:rPr>
        <w:t xml:space="preserve"> </w:t>
      </w:r>
      <w:r w:rsidR="001229E7" w:rsidRPr="00B41E66">
        <w:rPr>
          <w:color w:val="0000FF"/>
        </w:rPr>
        <w:t>=</w:t>
      </w:r>
      <w:r w:rsidR="009941B0" w:rsidRPr="00B41E66">
        <w:rPr>
          <w:color w:val="0000FF"/>
        </w:rPr>
        <w:t xml:space="preserve"> </w:t>
      </w:r>
      <w:r w:rsidR="001229E7" w:rsidRPr="00B41E66">
        <w:rPr>
          <w:color w:val="0000FF"/>
        </w:rPr>
        <w:t>-</w:t>
      </w:r>
      <w:r w:rsidR="00A3026A" w:rsidRPr="00B41E66">
        <w:rPr>
          <w:color w:val="0000FF"/>
        </w:rPr>
        <w:t>8</w:t>
      </w:r>
      <w:r w:rsidR="001229E7" w:rsidRPr="00B41E66">
        <w:rPr>
          <w:color w:val="0000FF"/>
        </w:rPr>
        <w:t>.</w:t>
      </w:r>
      <w:r w:rsidR="00BC5C89">
        <w:rPr>
          <w:color w:val="0000FF"/>
        </w:rPr>
        <w:t>46</w:t>
      </w:r>
      <w:r w:rsidR="001229E7" w:rsidRPr="00B41E66">
        <w:t>).</w:t>
      </w:r>
      <w:r w:rsidR="00DC08D2" w:rsidRPr="00B41E66">
        <w:t xml:space="preserve"> </w:t>
      </w:r>
      <w:r w:rsidR="00F31A87" w:rsidRPr="00B41E66">
        <w:t>T</w:t>
      </w:r>
      <w:r w:rsidR="00DC08D2" w:rsidRPr="00B41E66">
        <w:t>he results for large</w:t>
      </w:r>
      <w:r w:rsidR="0079440E" w:rsidRPr="00B41E66">
        <w:t>-sized</w:t>
      </w:r>
      <w:r w:rsidR="00DC08D2" w:rsidRPr="00B41E66">
        <w:t xml:space="preserve"> firms </w:t>
      </w:r>
      <w:r w:rsidRPr="00B41E66">
        <w:t>reveal</w:t>
      </w:r>
      <w:r w:rsidR="00DC08D2" w:rsidRPr="00B41E66">
        <w:t xml:space="preserve"> </w:t>
      </w:r>
      <w:r w:rsidRPr="00B41E66">
        <w:t xml:space="preserve">a </w:t>
      </w:r>
      <w:r w:rsidR="001229E7" w:rsidRPr="00B41E66">
        <w:t>completely different</w:t>
      </w:r>
      <w:r w:rsidR="00DC08D2" w:rsidRPr="00B41E66">
        <w:t xml:space="preserve"> picture</w:t>
      </w:r>
      <w:r w:rsidR="001229E7" w:rsidRPr="00B41E66">
        <w:t xml:space="preserve">. </w:t>
      </w:r>
      <w:r w:rsidR="000C2769" w:rsidRPr="00B41E66">
        <w:t xml:space="preserve">CAAR </w:t>
      </w:r>
      <w:r w:rsidR="00A3026A" w:rsidRPr="00B41E66">
        <w:t>i</w:t>
      </w:r>
      <w:r w:rsidR="001229E7" w:rsidRPr="00B41E66">
        <w:t xml:space="preserve">s positive </w:t>
      </w:r>
      <w:r w:rsidR="00A3026A" w:rsidRPr="00B41E66">
        <w:t>from the very beginning yet gain significance from day 50 onward,</w:t>
      </w:r>
      <w:r w:rsidRPr="00B41E66">
        <w:t xml:space="preserve"> with </w:t>
      </w:r>
      <w:r w:rsidR="000C2769" w:rsidRPr="00B41E66">
        <w:rPr>
          <w:color w:val="0000FF"/>
        </w:rPr>
        <w:t>CAAR = 9.</w:t>
      </w:r>
      <w:r w:rsidR="00F95576" w:rsidRPr="00B41E66">
        <w:rPr>
          <w:color w:val="0000FF"/>
        </w:rPr>
        <w:t>0</w:t>
      </w:r>
      <w:r w:rsidR="00A3026A" w:rsidRPr="00B41E66">
        <w:rPr>
          <w:color w:val="0000FF"/>
        </w:rPr>
        <w:t>5</w:t>
      </w:r>
      <w:r w:rsidR="000C2769" w:rsidRPr="00B41E66">
        <w:rPr>
          <w:color w:val="0000FF"/>
        </w:rPr>
        <w:t xml:space="preserve">%, </w:t>
      </w:r>
      <w:r w:rsidRPr="00B41E66">
        <w:rPr>
          <w:color w:val="0000FF"/>
        </w:rPr>
        <w:t>(</w:t>
      </w:r>
      <w:r w:rsidR="000C2769" w:rsidRPr="00B41E66">
        <w:rPr>
          <w:color w:val="0000FF"/>
        </w:rPr>
        <w:t xml:space="preserve">t = </w:t>
      </w:r>
      <w:r w:rsidR="00A3026A" w:rsidRPr="00B41E66">
        <w:rPr>
          <w:color w:val="0000FF"/>
        </w:rPr>
        <w:t>1</w:t>
      </w:r>
      <w:r w:rsidR="000C2769" w:rsidRPr="00B41E66">
        <w:rPr>
          <w:color w:val="0000FF"/>
        </w:rPr>
        <w:t>.</w:t>
      </w:r>
      <w:r w:rsidR="00A3026A" w:rsidRPr="00B41E66">
        <w:rPr>
          <w:color w:val="0000FF"/>
        </w:rPr>
        <w:t>8</w:t>
      </w:r>
      <w:r w:rsidR="000C2769" w:rsidRPr="00B41E66">
        <w:rPr>
          <w:color w:val="0000FF"/>
        </w:rPr>
        <w:t>)</w:t>
      </w:r>
      <w:r w:rsidR="0024569F" w:rsidRPr="00B41E66">
        <w:rPr>
          <w:color w:val="0000FF"/>
          <w:lang w:bidi="he-IL"/>
        </w:rPr>
        <w:t>;</w:t>
      </w:r>
      <w:r w:rsidR="000C2769" w:rsidRPr="00B41E66">
        <w:t xml:space="preserve"> </w:t>
      </w:r>
      <w:r w:rsidR="001229E7" w:rsidRPr="00B41E66">
        <w:t xml:space="preserve">after 100 trading </w:t>
      </w:r>
      <w:r w:rsidR="001229E7" w:rsidRPr="00B41E66">
        <w:rPr>
          <w:color w:val="0000FF"/>
        </w:rPr>
        <w:t xml:space="preserve">days CAAR = </w:t>
      </w:r>
      <w:r w:rsidR="000C2769" w:rsidRPr="00B41E66">
        <w:rPr>
          <w:color w:val="0000FF"/>
        </w:rPr>
        <w:t>1</w:t>
      </w:r>
      <w:r w:rsidR="00A3026A" w:rsidRPr="00B41E66">
        <w:rPr>
          <w:color w:val="0000FF"/>
        </w:rPr>
        <w:t>2</w:t>
      </w:r>
      <w:r w:rsidR="000C2769" w:rsidRPr="00B41E66">
        <w:rPr>
          <w:color w:val="0000FF"/>
        </w:rPr>
        <w:t>.</w:t>
      </w:r>
      <w:r w:rsidR="00A3026A" w:rsidRPr="00B41E66">
        <w:rPr>
          <w:color w:val="0000FF"/>
        </w:rPr>
        <w:t>91</w:t>
      </w:r>
      <w:r w:rsidR="008D4ADB" w:rsidRPr="00B41E66">
        <w:rPr>
          <w:color w:val="0000FF"/>
        </w:rPr>
        <w:t xml:space="preserve">% </w:t>
      </w:r>
      <w:r w:rsidR="000C2769" w:rsidRPr="00B41E66">
        <w:rPr>
          <w:color w:val="0000FF"/>
        </w:rPr>
        <w:t xml:space="preserve">(t = </w:t>
      </w:r>
      <w:r w:rsidR="00A3026A" w:rsidRPr="00B41E66">
        <w:rPr>
          <w:color w:val="0000FF"/>
        </w:rPr>
        <w:t>3</w:t>
      </w:r>
      <w:r w:rsidR="000C2769" w:rsidRPr="00B41E66">
        <w:rPr>
          <w:color w:val="0000FF"/>
        </w:rPr>
        <w:t>.</w:t>
      </w:r>
      <w:r w:rsidR="00A3026A" w:rsidRPr="00B41E66">
        <w:rPr>
          <w:color w:val="0000FF"/>
        </w:rPr>
        <w:t>14</w:t>
      </w:r>
      <w:r w:rsidR="000C2769" w:rsidRPr="00B41E66">
        <w:rPr>
          <w:color w:val="0000FF"/>
        </w:rPr>
        <w:t>).</w:t>
      </w:r>
      <w:r w:rsidR="000C2769" w:rsidRPr="00B41E66">
        <w:t xml:space="preserve"> </w:t>
      </w:r>
      <w:r w:rsidR="00A62739" w:rsidRPr="00B41E66">
        <w:t>One</w:t>
      </w:r>
      <w:r w:rsidR="000C2769" w:rsidRPr="00B41E66">
        <w:t xml:space="preserve"> year after the IPO, </w:t>
      </w:r>
      <w:r w:rsidR="001229E7" w:rsidRPr="00B41E66">
        <w:t xml:space="preserve">CAAR = </w:t>
      </w:r>
      <w:r w:rsidR="00912428" w:rsidRPr="00B41E66">
        <w:t>6</w:t>
      </w:r>
      <w:r w:rsidR="000C2769" w:rsidRPr="00B41E66">
        <w:t>.</w:t>
      </w:r>
      <w:r w:rsidR="00912428" w:rsidRPr="00B41E66">
        <w:t>00</w:t>
      </w:r>
      <w:r w:rsidR="000C2769" w:rsidRPr="00B41E66">
        <w:t xml:space="preserve">% </w:t>
      </w:r>
      <w:r w:rsidR="00A23032" w:rsidRPr="00B41E66">
        <w:t>(t</w:t>
      </w:r>
      <w:r w:rsidR="00203C56" w:rsidRPr="00B41E66">
        <w:t xml:space="preserve"> </w:t>
      </w:r>
      <w:r w:rsidR="000C2769" w:rsidRPr="00B41E66">
        <w:t>=</w:t>
      </w:r>
      <w:r w:rsidR="009941B0" w:rsidRPr="00B41E66">
        <w:t xml:space="preserve"> </w:t>
      </w:r>
      <w:r w:rsidR="00912428" w:rsidRPr="00B41E66">
        <w:t>1</w:t>
      </w:r>
      <w:r w:rsidR="000C2769" w:rsidRPr="00B41E66">
        <w:t>.</w:t>
      </w:r>
      <w:r w:rsidR="00912428" w:rsidRPr="00B41E66">
        <w:t>5</w:t>
      </w:r>
      <w:r w:rsidR="000C2769" w:rsidRPr="00B41E66">
        <w:t>8)</w:t>
      </w:r>
      <w:r w:rsidR="00184103" w:rsidRPr="00B41E66">
        <w:t xml:space="preserve"> </w:t>
      </w:r>
      <w:r w:rsidR="00184103" w:rsidRPr="00B41E66">
        <w:rPr>
          <w:color w:val="0000FF"/>
        </w:rPr>
        <w:t>and 3 years post-IPO CAAR=-38.45% (t=</w:t>
      </w:r>
      <w:r w:rsidR="00FC5C53" w:rsidRPr="00B41E66">
        <w:rPr>
          <w:color w:val="0000FF"/>
        </w:rPr>
        <w:t>-</w:t>
      </w:r>
      <w:r w:rsidR="00184103" w:rsidRPr="00B41E66">
        <w:rPr>
          <w:color w:val="0000FF"/>
        </w:rPr>
        <w:t>11.55)</w:t>
      </w:r>
      <w:r w:rsidR="000C2769" w:rsidRPr="00B41E66">
        <w:rPr>
          <w:color w:val="0000FF"/>
        </w:rPr>
        <w:t>.</w:t>
      </w:r>
      <w:r w:rsidR="00686F21" w:rsidRPr="00B41E66">
        <w:rPr>
          <w:rStyle w:val="tlid-translation"/>
        </w:rPr>
        <w:t xml:space="preserve"> </w:t>
      </w:r>
      <w:r w:rsidR="005A244D" w:rsidRPr="00B41E66">
        <w:rPr>
          <w:rStyle w:val="tlid-translation"/>
        </w:rPr>
        <w:t xml:space="preserve">CAAR </w:t>
      </w:r>
      <w:r w:rsidR="00686F21" w:rsidRPr="00B41E66">
        <w:rPr>
          <w:rStyle w:val="tlid-translation"/>
        </w:rPr>
        <w:t xml:space="preserve">reaches its </w:t>
      </w:r>
      <w:r w:rsidR="00A62739" w:rsidRPr="00B41E66">
        <w:rPr>
          <w:rStyle w:val="tlid-translation"/>
        </w:rPr>
        <w:t>peak</w:t>
      </w:r>
      <w:r w:rsidR="00686F21" w:rsidRPr="00B41E66">
        <w:rPr>
          <w:rStyle w:val="tlid-translation"/>
        </w:rPr>
        <w:t xml:space="preserve"> of </w:t>
      </w:r>
      <w:r w:rsidR="00686F21" w:rsidRPr="00B41E66">
        <w:rPr>
          <w:rStyle w:val="tlid-translation"/>
          <w:color w:val="0000FF"/>
        </w:rPr>
        <w:t>1</w:t>
      </w:r>
      <w:r w:rsidR="00912428" w:rsidRPr="00B41E66">
        <w:rPr>
          <w:rStyle w:val="tlid-translation"/>
          <w:color w:val="0000FF"/>
        </w:rPr>
        <w:t>4</w:t>
      </w:r>
      <w:r w:rsidR="00686F21" w:rsidRPr="00B41E66">
        <w:rPr>
          <w:rStyle w:val="tlid-translation"/>
          <w:color w:val="0000FF"/>
        </w:rPr>
        <w:t>.76%</w:t>
      </w:r>
      <w:r w:rsidR="00912428" w:rsidRPr="00B41E66">
        <w:rPr>
          <w:rStyle w:val="tlid-translation"/>
          <w:color w:val="0000FF"/>
        </w:rPr>
        <w:t xml:space="preserve"> (t=3.56</w:t>
      </w:r>
      <w:r w:rsidR="00912428" w:rsidRPr="00B41E66">
        <w:rPr>
          <w:rStyle w:val="tlid-translation"/>
        </w:rPr>
        <w:t>)</w:t>
      </w:r>
      <w:r w:rsidR="00686F21" w:rsidRPr="00B41E66">
        <w:rPr>
          <w:rStyle w:val="tlid-translation"/>
        </w:rPr>
        <w:t xml:space="preserve"> </w:t>
      </w:r>
      <w:r w:rsidR="00A62739" w:rsidRPr="00B41E66">
        <w:rPr>
          <w:rStyle w:val="tlid-translation"/>
        </w:rPr>
        <w:t>1</w:t>
      </w:r>
      <w:r w:rsidR="00912428" w:rsidRPr="00B41E66">
        <w:rPr>
          <w:rStyle w:val="tlid-translation"/>
        </w:rPr>
        <w:t>08</w:t>
      </w:r>
      <w:r w:rsidR="00A62739" w:rsidRPr="00B41E66">
        <w:rPr>
          <w:rStyle w:val="tlid-translation"/>
        </w:rPr>
        <w:t xml:space="preserve"> post-IPO and begins to decline from that point until it disappears</w:t>
      </w:r>
      <w:r w:rsidR="005A244D" w:rsidRPr="00B41E66">
        <w:rPr>
          <w:rStyle w:val="tlid-translation"/>
        </w:rPr>
        <w:t xml:space="preserve"> completely </w:t>
      </w:r>
      <w:r w:rsidR="00912428" w:rsidRPr="00B41E66">
        <w:rPr>
          <w:rStyle w:val="tlid-translation"/>
        </w:rPr>
        <w:t>2</w:t>
      </w:r>
      <w:r w:rsidR="005A244D" w:rsidRPr="00B41E66">
        <w:rPr>
          <w:rStyle w:val="tlid-translation"/>
        </w:rPr>
        <w:t>9</w:t>
      </w:r>
      <w:r w:rsidR="00912428" w:rsidRPr="00B41E66">
        <w:rPr>
          <w:rStyle w:val="tlid-translation"/>
        </w:rPr>
        <w:t>9</w:t>
      </w:r>
      <w:r w:rsidR="005A244D" w:rsidRPr="00B41E66">
        <w:rPr>
          <w:rStyle w:val="tlid-translation"/>
        </w:rPr>
        <w:t xml:space="preserve"> days post</w:t>
      </w:r>
      <w:r w:rsidR="00C003FA" w:rsidRPr="00B41E66">
        <w:rPr>
          <w:rStyle w:val="tlid-translation"/>
        </w:rPr>
        <w:t>-</w:t>
      </w:r>
      <w:r w:rsidR="005A244D" w:rsidRPr="00B41E66">
        <w:rPr>
          <w:rStyle w:val="tlid-translation"/>
        </w:rPr>
        <w:t xml:space="preserve">IPO. </w:t>
      </w:r>
      <w:r w:rsidR="00184103" w:rsidRPr="00B41E66">
        <w:t>To conclude</w:t>
      </w:r>
      <w:r w:rsidR="003876A9" w:rsidRPr="00B41E66">
        <w:t>,</w:t>
      </w:r>
      <w:r w:rsidR="000C2769" w:rsidRPr="00B41E66">
        <w:t xml:space="preserve"> investors’ activity </w:t>
      </w:r>
      <w:r w:rsidR="00D81489" w:rsidRPr="00B41E66">
        <w:t>post</w:t>
      </w:r>
      <w:r w:rsidR="003876A9" w:rsidRPr="00B41E66">
        <w:t>-</w:t>
      </w:r>
      <w:r w:rsidR="00D81489" w:rsidRPr="00B41E66">
        <w:t>IPO differs</w:t>
      </w:r>
      <w:r w:rsidR="000C2769" w:rsidRPr="00B41E66">
        <w:t xml:space="preserve"> </w:t>
      </w:r>
      <w:r w:rsidR="00184103" w:rsidRPr="00B41E66">
        <w:rPr>
          <w:lang w:bidi="he-IL"/>
        </w:rPr>
        <w:t>significantly depending on</w:t>
      </w:r>
      <w:r w:rsidR="00D81489" w:rsidRPr="00B41E66">
        <w:t xml:space="preserve"> </w:t>
      </w:r>
      <w:r w:rsidR="003876A9" w:rsidRPr="00B41E66">
        <w:t>the firm’s</w:t>
      </w:r>
      <w:r w:rsidR="00D81489" w:rsidRPr="00B41E66">
        <w:t xml:space="preserve"> </w:t>
      </w:r>
      <w:r w:rsidR="000C2769" w:rsidRPr="00B41E66">
        <w:t>size. Small</w:t>
      </w:r>
      <w:r w:rsidR="00B42AA6" w:rsidRPr="00B41E66">
        <w:t>-</w:t>
      </w:r>
      <w:r w:rsidR="009941B0" w:rsidRPr="00B41E66">
        <w:t xml:space="preserve">sized firms exhibited </w:t>
      </w:r>
      <w:r w:rsidR="00D81489" w:rsidRPr="00B41E66">
        <w:t>negative</w:t>
      </w:r>
      <w:r w:rsidR="000C2769" w:rsidRPr="00B41E66">
        <w:t xml:space="preserve"> CA</w:t>
      </w:r>
      <w:r w:rsidR="003876A9" w:rsidRPr="00B41E66">
        <w:t>A</w:t>
      </w:r>
      <w:r w:rsidR="000C2769" w:rsidRPr="00B41E66">
        <w:t>R</w:t>
      </w:r>
      <w:r w:rsidR="00974E0A" w:rsidRPr="00B41E66">
        <w:t xml:space="preserve"> in the first year post</w:t>
      </w:r>
      <w:r w:rsidR="003876A9" w:rsidRPr="00B41E66">
        <w:t>-</w:t>
      </w:r>
      <w:r w:rsidR="00974E0A" w:rsidRPr="00B41E66">
        <w:t>IPO</w:t>
      </w:r>
      <w:r w:rsidR="003876A9" w:rsidRPr="00B41E66">
        <w:t xml:space="preserve"> and large firms exhibit</w:t>
      </w:r>
      <w:r w:rsidR="009941B0" w:rsidRPr="00B41E66">
        <w:t>ed</w:t>
      </w:r>
      <w:r w:rsidR="003876A9" w:rsidRPr="00B41E66">
        <w:t xml:space="preserve"> </w:t>
      </w:r>
      <w:r w:rsidR="003876A9" w:rsidRPr="00B41E66">
        <w:lastRenderedPageBreak/>
        <w:t>positive CAAR in the first year post-IPO. These findings</w:t>
      </w:r>
      <w:r w:rsidR="000C2769" w:rsidRPr="00B41E66">
        <w:t xml:space="preserve"> support </w:t>
      </w:r>
      <w:r w:rsidR="00B4009A" w:rsidRPr="00B41E66">
        <w:t xml:space="preserve">hypothesis </w:t>
      </w:r>
      <w:r w:rsidR="000C2769" w:rsidRPr="00B41E66">
        <w:t>H3</w:t>
      </w:r>
      <w:r w:rsidR="008506E7" w:rsidRPr="00B41E66">
        <w:rPr>
          <w:lang w:bidi="he-IL"/>
        </w:rPr>
        <w:t xml:space="preserve"> </w:t>
      </w:r>
      <w:r w:rsidR="00BC5C89">
        <w:rPr>
          <w:color w:val="0000FF"/>
          <w:lang w:bidi="he-IL"/>
        </w:rPr>
        <w:t>a</w:t>
      </w:r>
      <w:r w:rsidR="008506E7" w:rsidRPr="00B41E66">
        <w:rPr>
          <w:color w:val="0000FF"/>
          <w:lang w:bidi="he-IL"/>
        </w:rPr>
        <w:t xml:space="preserve">nd are in line with </w:t>
      </w:r>
      <w:r w:rsidR="00FC5C53" w:rsidRPr="00B41E66">
        <w:rPr>
          <w:color w:val="0000FF"/>
        </w:rPr>
        <w:t>Georgen et al. (2009</w:t>
      </w:r>
      <w:r w:rsidR="00E561A0" w:rsidRPr="00B41E66">
        <w:rPr>
          <w:color w:val="0000FF"/>
        </w:rPr>
        <w:t>) and Berk and Peterle (2015).</w:t>
      </w:r>
    </w:p>
    <w:p w14:paraId="465D0B03" w14:textId="3099BED8" w:rsidR="00625EA0" w:rsidRPr="00B41E66" w:rsidRDefault="00625EA0" w:rsidP="00625EA0">
      <w:pPr>
        <w:spacing w:line="360" w:lineRule="auto"/>
        <w:rPr>
          <w:color w:val="0000FF"/>
          <w:lang w:eastAsia="en-IL" w:bidi="he-IL"/>
        </w:rPr>
      </w:pPr>
      <w:bookmarkStart w:id="7" w:name="_Hlk80633221"/>
      <w:r w:rsidRPr="00B41E66">
        <w:rPr>
          <w:rFonts w:eastAsia="Calibri"/>
          <w:color w:val="0000FF"/>
          <w:lang w:val="en-IL" w:bidi="he-IL"/>
        </w:rPr>
        <w:t>To</w:t>
      </w:r>
      <w:r w:rsidRPr="00B41E66">
        <w:rPr>
          <w:color w:val="0000FF"/>
          <w:lang w:eastAsia="en-IL" w:bidi="he-IL"/>
        </w:rPr>
        <w:t xml:space="preserve"> </w:t>
      </w:r>
      <w:r w:rsidR="008A5398" w:rsidRPr="00B41E66">
        <w:rPr>
          <w:color w:val="0000FF"/>
          <w:lang w:eastAsia="en-IL" w:bidi="he-IL"/>
        </w:rPr>
        <w:t>pinpoint</w:t>
      </w:r>
      <w:r w:rsidRPr="00B41E66">
        <w:rPr>
          <w:color w:val="0000FF"/>
          <w:lang w:eastAsia="en-IL" w:bidi="he-IL"/>
        </w:rPr>
        <w:t xml:space="preserve"> firm value of </w:t>
      </w:r>
      <w:r w:rsidRPr="00B41E66">
        <w:rPr>
          <w:color w:val="0000FF"/>
          <w:rtl/>
          <w:lang w:eastAsia="en-IL" w:bidi="he-IL"/>
        </w:rPr>
        <w:t>$</w:t>
      </w:r>
      <w:r w:rsidRPr="00B41E66">
        <w:rPr>
          <w:color w:val="0000FF"/>
          <w:lang w:eastAsia="en-IL" w:bidi="he-IL"/>
        </w:rPr>
        <w:t xml:space="preserve">500M as a </w:t>
      </w:r>
      <w:r w:rsidR="00E561A0" w:rsidRPr="00B41E66">
        <w:rPr>
          <w:color w:val="0000FF"/>
          <w:lang w:eastAsia="en-IL" w:bidi="he-IL"/>
        </w:rPr>
        <w:t xml:space="preserve">separator </w:t>
      </w:r>
      <w:r w:rsidRPr="00B41E66">
        <w:rPr>
          <w:color w:val="0000FF"/>
          <w:lang w:eastAsia="en-IL" w:bidi="he-IL"/>
        </w:rPr>
        <w:t xml:space="preserve">value </w:t>
      </w:r>
      <w:r w:rsidR="00E561A0" w:rsidRPr="00B41E66">
        <w:rPr>
          <w:color w:val="0000FF"/>
          <w:lang w:eastAsia="en-IL" w:bidi="he-IL"/>
        </w:rPr>
        <w:t>betwee</w:t>
      </w:r>
      <w:r w:rsidR="008A5398" w:rsidRPr="00B41E66">
        <w:rPr>
          <w:color w:val="0000FF"/>
          <w:lang w:eastAsia="en-IL" w:bidi="he-IL"/>
        </w:rPr>
        <w:t>n</w:t>
      </w:r>
      <w:r w:rsidR="00E561A0" w:rsidRPr="00B41E66">
        <w:rPr>
          <w:color w:val="0000FF"/>
          <w:lang w:eastAsia="en-IL" w:bidi="he-IL"/>
        </w:rPr>
        <w:t xml:space="preserve"> small-sized firms (“p</w:t>
      </w:r>
      <w:r w:rsidR="008A5398" w:rsidRPr="00B41E66">
        <w:rPr>
          <w:color w:val="0000FF"/>
          <w:lang w:eastAsia="en-IL" w:bidi="he-IL"/>
        </w:rPr>
        <w:t>o</w:t>
      </w:r>
      <w:r w:rsidR="00E561A0" w:rsidRPr="00B41E66">
        <w:rPr>
          <w:color w:val="0000FF"/>
          <w:lang w:eastAsia="en-IL" w:bidi="he-IL"/>
        </w:rPr>
        <w:t>or”) and large-sized firms (“rich”)</w:t>
      </w:r>
      <w:r w:rsidRPr="00B41E66">
        <w:rPr>
          <w:color w:val="0000FF"/>
          <w:lang w:eastAsia="en-IL" w:bidi="he-IL"/>
        </w:rPr>
        <w:t>, we repeated CAAR calculation for large-sized firm subsample using $100M, $200M, $300M and $400M as a separator value. The results presented in Appendix A support our choice and indicating that for values smaller than $500M, the positive CAAR is either not significant or does not last beyond the first 100 days post-IPO.</w:t>
      </w:r>
    </w:p>
    <w:bookmarkEnd w:id="7"/>
    <w:p w14:paraId="7A7C4375" w14:textId="77777777" w:rsidR="00625EA0" w:rsidRPr="00B41E66" w:rsidRDefault="00625EA0" w:rsidP="00C655B2">
      <w:pPr>
        <w:spacing w:line="480" w:lineRule="auto"/>
        <w:rPr>
          <w:lang w:bidi="he-IL"/>
        </w:rPr>
      </w:pPr>
    </w:p>
    <w:p w14:paraId="64F8232B" w14:textId="337A2564" w:rsidR="00C655B2" w:rsidRPr="00B41E66" w:rsidRDefault="000C2769" w:rsidP="00C655B2">
      <w:pPr>
        <w:spacing w:line="480" w:lineRule="auto"/>
      </w:pPr>
      <w:r w:rsidRPr="00B41E66">
        <w:rPr>
          <w:rtl/>
          <w:lang w:bidi="he-IL"/>
        </w:rPr>
        <w:t xml:space="preserve"> </w:t>
      </w:r>
      <w:r w:rsidR="00C655B2" w:rsidRPr="00B41E66">
        <w:t xml:space="preserve">In terms of trading volumes, the IPO day was characterized by the highest trading volume during the entire three-year post-IPO period. On the second trading day, trading volumes decreased substantially and from that point on, trading volumes showed an increasing growth trend over time for both small and large firms (Figure </w:t>
      </w:r>
      <w:r w:rsidR="008506E7" w:rsidRPr="00B41E66">
        <w:t>1</w:t>
      </w:r>
      <w:r w:rsidR="00C655B2" w:rsidRPr="00B41E66">
        <w:t xml:space="preserve">). </w:t>
      </w:r>
      <w:r w:rsidR="00C655B2" w:rsidRPr="00B41E66">
        <w:rPr>
          <w:rStyle w:val="tlid-translation"/>
        </w:rPr>
        <w:t xml:space="preserve"> </w:t>
      </w:r>
    </w:p>
    <w:p w14:paraId="1E6A2036" w14:textId="77777777" w:rsidR="000C2769" w:rsidRPr="00B41E66" w:rsidRDefault="000C2769" w:rsidP="00184103">
      <w:pPr>
        <w:spacing w:line="480" w:lineRule="auto"/>
        <w:jc w:val="both"/>
        <w:rPr>
          <w:rtl/>
          <w:lang w:bidi="he-IL"/>
        </w:rPr>
      </w:pPr>
    </w:p>
    <w:p w14:paraId="68626732" w14:textId="77777777" w:rsidR="008C073C" w:rsidRPr="00B41E66" w:rsidRDefault="008C073C" w:rsidP="008C073C">
      <w:pPr>
        <w:spacing w:line="360" w:lineRule="auto"/>
        <w:rPr>
          <w:b/>
          <w:bCs/>
        </w:rPr>
      </w:pPr>
    </w:p>
    <w:p w14:paraId="221DD01E" w14:textId="77777777" w:rsidR="00F976F5" w:rsidRPr="00B41E66" w:rsidRDefault="00F976F5" w:rsidP="00C5454C">
      <w:pPr>
        <w:spacing w:line="360" w:lineRule="auto"/>
        <w:rPr>
          <w:lang w:bidi="he-IL"/>
        </w:rPr>
      </w:pPr>
      <w:r w:rsidRPr="00B41E66">
        <w:rPr>
          <w:b/>
          <w:bCs/>
        </w:rPr>
        <w:t>Table</w:t>
      </w:r>
      <w:r w:rsidRPr="00B41E66">
        <w:rPr>
          <w:b/>
          <w:bCs/>
          <w:rtl/>
          <w:lang w:bidi="he-IL"/>
        </w:rPr>
        <w:t>3:</w:t>
      </w:r>
      <w:r w:rsidRPr="00B41E66">
        <w:rPr>
          <w:b/>
          <w:bCs/>
        </w:rPr>
        <w:t xml:space="preserve"> Post</w:t>
      </w:r>
      <w:r w:rsidR="003876A9" w:rsidRPr="00B41E66">
        <w:rPr>
          <w:b/>
          <w:bCs/>
        </w:rPr>
        <w:t>-</w:t>
      </w:r>
      <w:r w:rsidRPr="00B41E66">
        <w:rPr>
          <w:b/>
          <w:bCs/>
        </w:rPr>
        <w:t>IPO CAARs, +1 to +755 days</w:t>
      </w:r>
    </w:p>
    <w:p w14:paraId="6CC5D867" w14:textId="77777777" w:rsidR="008204AF" w:rsidRPr="00B41E66" w:rsidRDefault="008204AF" w:rsidP="00113C35">
      <w:pPr>
        <w:jc w:val="both"/>
      </w:pPr>
    </w:p>
    <w:tbl>
      <w:tblPr>
        <w:tblW w:w="9979" w:type="dxa"/>
        <w:tblLook w:val="04A0" w:firstRow="1" w:lastRow="0" w:firstColumn="1" w:lastColumn="0" w:noHBand="0" w:noVBand="1"/>
      </w:tblPr>
      <w:tblGrid>
        <w:gridCol w:w="760"/>
        <w:gridCol w:w="816"/>
        <w:gridCol w:w="647"/>
        <w:gridCol w:w="816"/>
        <w:gridCol w:w="670"/>
        <w:gridCol w:w="950"/>
        <w:gridCol w:w="697"/>
        <w:gridCol w:w="266"/>
        <w:gridCol w:w="764"/>
        <w:gridCol w:w="645"/>
        <w:gridCol w:w="798"/>
        <w:gridCol w:w="676"/>
        <w:gridCol w:w="807"/>
        <w:gridCol w:w="667"/>
      </w:tblGrid>
      <w:tr w:rsidR="00E424CE" w:rsidRPr="00BC5C89" w14:paraId="5C26A86A" w14:textId="77777777" w:rsidTr="00B26DFD">
        <w:trPr>
          <w:trHeight w:val="345"/>
        </w:trPr>
        <w:tc>
          <w:tcPr>
            <w:tcW w:w="760" w:type="dxa"/>
            <w:tcBorders>
              <w:top w:val="nil"/>
              <w:left w:val="nil"/>
              <w:bottom w:val="nil"/>
              <w:right w:val="nil"/>
            </w:tcBorders>
            <w:shd w:val="clear" w:color="auto" w:fill="auto"/>
            <w:noWrap/>
            <w:vAlign w:val="bottom"/>
            <w:hideMark/>
          </w:tcPr>
          <w:p w14:paraId="7D0BC886" w14:textId="77777777" w:rsidR="00E424CE" w:rsidRPr="00BC5C89" w:rsidRDefault="00E424CE" w:rsidP="00E424CE">
            <w:pPr>
              <w:rPr>
                <w:color w:val="0000FF"/>
                <w:sz w:val="16"/>
                <w:szCs w:val="16"/>
                <w:lang w:val="en-IL" w:eastAsia="en-IL" w:bidi="he-IL"/>
              </w:rPr>
            </w:pPr>
          </w:p>
        </w:tc>
        <w:tc>
          <w:tcPr>
            <w:tcW w:w="4596" w:type="dxa"/>
            <w:gridSpan w:val="6"/>
            <w:tcBorders>
              <w:top w:val="nil"/>
              <w:left w:val="nil"/>
              <w:bottom w:val="single" w:sz="12" w:space="0" w:color="auto"/>
              <w:right w:val="nil"/>
            </w:tcBorders>
            <w:shd w:val="clear" w:color="auto" w:fill="auto"/>
            <w:noWrap/>
            <w:vAlign w:val="bottom"/>
            <w:hideMark/>
          </w:tcPr>
          <w:p w14:paraId="4818A61B" w14:textId="77777777" w:rsidR="00E424CE" w:rsidRPr="00BC5C89" w:rsidRDefault="00E424CE" w:rsidP="00E424CE">
            <w:pPr>
              <w:jc w:val="center"/>
              <w:rPr>
                <w:b/>
                <w:bCs/>
                <w:color w:val="0000FF"/>
                <w:sz w:val="16"/>
                <w:szCs w:val="16"/>
                <w:lang w:val="en-IL" w:eastAsia="en-IL" w:bidi="he-IL"/>
              </w:rPr>
            </w:pPr>
            <w:r w:rsidRPr="00BC5C89">
              <w:rPr>
                <w:b/>
                <w:bCs/>
                <w:color w:val="0000FF"/>
                <w:sz w:val="16"/>
                <w:szCs w:val="16"/>
                <w:lang w:val="en-IL" w:eastAsia="en-IL" w:bidi="he-IL"/>
              </w:rPr>
              <w:t>Sector Index</w:t>
            </w:r>
          </w:p>
        </w:tc>
        <w:tc>
          <w:tcPr>
            <w:tcW w:w="266" w:type="dxa"/>
            <w:tcBorders>
              <w:top w:val="nil"/>
              <w:left w:val="nil"/>
              <w:bottom w:val="nil"/>
              <w:right w:val="nil"/>
            </w:tcBorders>
            <w:shd w:val="clear" w:color="auto" w:fill="auto"/>
            <w:noWrap/>
            <w:vAlign w:val="bottom"/>
            <w:hideMark/>
          </w:tcPr>
          <w:p w14:paraId="74A92329" w14:textId="77777777" w:rsidR="00E424CE" w:rsidRPr="00BC5C89" w:rsidRDefault="00E424CE" w:rsidP="00E424CE">
            <w:pPr>
              <w:jc w:val="center"/>
              <w:rPr>
                <w:b/>
                <w:bCs/>
                <w:color w:val="0000FF"/>
                <w:sz w:val="16"/>
                <w:szCs w:val="16"/>
                <w:lang w:val="en-IL" w:eastAsia="en-IL" w:bidi="he-IL"/>
              </w:rPr>
            </w:pPr>
          </w:p>
        </w:tc>
        <w:tc>
          <w:tcPr>
            <w:tcW w:w="4357" w:type="dxa"/>
            <w:gridSpan w:val="6"/>
            <w:tcBorders>
              <w:top w:val="nil"/>
              <w:left w:val="nil"/>
              <w:bottom w:val="single" w:sz="12" w:space="0" w:color="auto"/>
              <w:right w:val="nil"/>
            </w:tcBorders>
            <w:shd w:val="clear" w:color="auto" w:fill="auto"/>
            <w:noWrap/>
            <w:vAlign w:val="bottom"/>
            <w:hideMark/>
          </w:tcPr>
          <w:p w14:paraId="17B6D56E" w14:textId="77777777" w:rsidR="00E424CE" w:rsidRPr="00BC5C89" w:rsidRDefault="00E424CE" w:rsidP="00E424CE">
            <w:pPr>
              <w:jc w:val="center"/>
              <w:rPr>
                <w:b/>
                <w:bCs/>
                <w:color w:val="0000FF"/>
                <w:sz w:val="16"/>
                <w:szCs w:val="16"/>
                <w:lang w:val="en-IL" w:eastAsia="en-IL" w:bidi="he-IL"/>
              </w:rPr>
            </w:pPr>
            <w:r w:rsidRPr="00BC5C89">
              <w:rPr>
                <w:b/>
                <w:bCs/>
                <w:color w:val="0000FF"/>
                <w:sz w:val="16"/>
                <w:szCs w:val="16"/>
                <w:lang w:val="en-IL" w:eastAsia="en-IL" w:bidi="he-IL"/>
              </w:rPr>
              <w:t>Market Index</w:t>
            </w:r>
          </w:p>
        </w:tc>
      </w:tr>
      <w:tr w:rsidR="00E424CE" w:rsidRPr="00BC5C89" w14:paraId="64DD93E6" w14:textId="77777777" w:rsidTr="00B26DFD">
        <w:trPr>
          <w:trHeight w:val="315"/>
        </w:trPr>
        <w:tc>
          <w:tcPr>
            <w:tcW w:w="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17C0F9"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Days</w:t>
            </w:r>
          </w:p>
        </w:tc>
        <w:tc>
          <w:tcPr>
            <w:tcW w:w="1463" w:type="dxa"/>
            <w:gridSpan w:val="2"/>
            <w:tcBorders>
              <w:top w:val="single" w:sz="12" w:space="0" w:color="auto"/>
              <w:left w:val="single" w:sz="12" w:space="0" w:color="auto"/>
              <w:bottom w:val="nil"/>
              <w:right w:val="single" w:sz="12" w:space="0" w:color="000000"/>
            </w:tcBorders>
            <w:shd w:val="clear" w:color="auto" w:fill="auto"/>
            <w:vAlign w:val="center"/>
            <w:hideMark/>
          </w:tcPr>
          <w:p w14:paraId="745301D2" w14:textId="77777777" w:rsidR="00E424CE" w:rsidRPr="00BC5C89" w:rsidRDefault="00E424CE" w:rsidP="00E424CE">
            <w:pPr>
              <w:jc w:val="center"/>
              <w:rPr>
                <w:b/>
                <w:bCs/>
                <w:color w:val="0000FF"/>
                <w:sz w:val="16"/>
                <w:szCs w:val="16"/>
                <w:lang w:val="en-IL" w:eastAsia="en-IL" w:bidi="he-IL"/>
              </w:rPr>
            </w:pPr>
            <w:r w:rsidRPr="00BC5C89">
              <w:rPr>
                <w:b/>
                <w:bCs/>
                <w:color w:val="0000FF"/>
                <w:sz w:val="16"/>
                <w:szCs w:val="16"/>
                <w:lang w:val="en-IL" w:eastAsia="en-IL" w:bidi="he-IL"/>
              </w:rPr>
              <w:t>All sample</w:t>
            </w:r>
          </w:p>
        </w:tc>
        <w:tc>
          <w:tcPr>
            <w:tcW w:w="1486" w:type="dxa"/>
            <w:gridSpan w:val="2"/>
            <w:tcBorders>
              <w:top w:val="single" w:sz="12" w:space="0" w:color="auto"/>
              <w:left w:val="nil"/>
              <w:bottom w:val="nil"/>
              <w:right w:val="single" w:sz="12" w:space="0" w:color="000000"/>
            </w:tcBorders>
            <w:shd w:val="clear" w:color="auto" w:fill="auto"/>
            <w:vAlign w:val="center"/>
            <w:hideMark/>
          </w:tcPr>
          <w:p w14:paraId="2F79CEAD" w14:textId="77777777" w:rsidR="00E424CE" w:rsidRPr="00BC5C89" w:rsidRDefault="00B07AE0" w:rsidP="00E424CE">
            <w:pPr>
              <w:jc w:val="center"/>
              <w:rPr>
                <w:b/>
                <w:bCs/>
                <w:color w:val="0000FF"/>
                <w:sz w:val="16"/>
                <w:szCs w:val="16"/>
                <w:lang w:val="en-IL" w:eastAsia="en-IL" w:bidi="he-IL"/>
              </w:rPr>
            </w:pPr>
            <w:r w:rsidRPr="00BC5C89">
              <w:rPr>
                <w:b/>
                <w:bCs/>
                <w:color w:val="0000FF"/>
                <w:sz w:val="16"/>
                <w:szCs w:val="16"/>
                <w:lang w:eastAsia="en-IL" w:bidi="he-IL"/>
              </w:rPr>
              <w:t>Large</w:t>
            </w:r>
            <w:r w:rsidR="00E424CE" w:rsidRPr="00BC5C89">
              <w:rPr>
                <w:b/>
                <w:bCs/>
                <w:color w:val="0000FF"/>
                <w:sz w:val="16"/>
                <w:szCs w:val="16"/>
                <w:lang w:val="en-IL" w:eastAsia="en-IL" w:bidi="he-IL"/>
              </w:rPr>
              <w:t xml:space="preserve"> Firms</w:t>
            </w:r>
          </w:p>
        </w:tc>
        <w:tc>
          <w:tcPr>
            <w:tcW w:w="1647" w:type="dxa"/>
            <w:gridSpan w:val="2"/>
            <w:tcBorders>
              <w:top w:val="single" w:sz="12" w:space="0" w:color="auto"/>
              <w:left w:val="nil"/>
              <w:bottom w:val="nil"/>
              <w:right w:val="single" w:sz="12" w:space="0" w:color="000000"/>
            </w:tcBorders>
            <w:shd w:val="clear" w:color="auto" w:fill="auto"/>
            <w:vAlign w:val="center"/>
            <w:hideMark/>
          </w:tcPr>
          <w:p w14:paraId="6EFA8036" w14:textId="77777777" w:rsidR="00E424CE" w:rsidRPr="00BC5C89" w:rsidRDefault="00E424CE" w:rsidP="00E424CE">
            <w:pPr>
              <w:jc w:val="center"/>
              <w:rPr>
                <w:b/>
                <w:bCs/>
                <w:color w:val="0000FF"/>
                <w:sz w:val="16"/>
                <w:szCs w:val="16"/>
                <w:lang w:val="en-IL" w:eastAsia="en-IL" w:bidi="he-IL"/>
              </w:rPr>
            </w:pPr>
            <w:r w:rsidRPr="00BC5C89">
              <w:rPr>
                <w:b/>
                <w:bCs/>
                <w:color w:val="0000FF"/>
                <w:sz w:val="16"/>
                <w:szCs w:val="16"/>
                <w:lang w:val="en-IL" w:eastAsia="en-IL" w:bidi="he-IL"/>
              </w:rPr>
              <w:t>Small Firms</w:t>
            </w:r>
          </w:p>
        </w:tc>
        <w:tc>
          <w:tcPr>
            <w:tcW w:w="266" w:type="dxa"/>
            <w:vMerge w:val="restart"/>
            <w:tcBorders>
              <w:top w:val="single" w:sz="12" w:space="0" w:color="auto"/>
              <w:left w:val="single" w:sz="12" w:space="0" w:color="auto"/>
              <w:bottom w:val="single" w:sz="8" w:space="0" w:color="000000"/>
              <w:right w:val="nil"/>
            </w:tcBorders>
            <w:shd w:val="clear" w:color="auto" w:fill="auto"/>
            <w:vAlign w:val="center"/>
            <w:hideMark/>
          </w:tcPr>
          <w:p w14:paraId="1B158EC1"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 </w:t>
            </w:r>
          </w:p>
        </w:tc>
        <w:tc>
          <w:tcPr>
            <w:tcW w:w="1409" w:type="dxa"/>
            <w:gridSpan w:val="2"/>
            <w:tcBorders>
              <w:top w:val="single" w:sz="12" w:space="0" w:color="auto"/>
              <w:left w:val="single" w:sz="12" w:space="0" w:color="auto"/>
              <w:bottom w:val="nil"/>
              <w:right w:val="single" w:sz="12" w:space="0" w:color="000000"/>
            </w:tcBorders>
            <w:shd w:val="clear" w:color="auto" w:fill="auto"/>
            <w:vAlign w:val="center"/>
            <w:hideMark/>
          </w:tcPr>
          <w:p w14:paraId="251254C3" w14:textId="77777777" w:rsidR="00E424CE" w:rsidRPr="00BC5C89" w:rsidRDefault="00E424CE" w:rsidP="00E424CE">
            <w:pPr>
              <w:jc w:val="center"/>
              <w:rPr>
                <w:b/>
                <w:bCs/>
                <w:color w:val="0000FF"/>
                <w:sz w:val="16"/>
                <w:szCs w:val="16"/>
                <w:lang w:val="en-IL" w:eastAsia="en-IL" w:bidi="he-IL"/>
              </w:rPr>
            </w:pPr>
            <w:r w:rsidRPr="00BC5C89">
              <w:rPr>
                <w:b/>
                <w:bCs/>
                <w:color w:val="0000FF"/>
                <w:sz w:val="16"/>
                <w:szCs w:val="16"/>
                <w:lang w:val="en-IL" w:eastAsia="en-IL" w:bidi="he-IL"/>
              </w:rPr>
              <w:t>All sample</w:t>
            </w:r>
          </w:p>
        </w:tc>
        <w:tc>
          <w:tcPr>
            <w:tcW w:w="1474" w:type="dxa"/>
            <w:gridSpan w:val="2"/>
            <w:tcBorders>
              <w:top w:val="single" w:sz="12" w:space="0" w:color="auto"/>
              <w:left w:val="nil"/>
              <w:bottom w:val="nil"/>
              <w:right w:val="single" w:sz="12" w:space="0" w:color="000000"/>
            </w:tcBorders>
            <w:shd w:val="clear" w:color="auto" w:fill="auto"/>
            <w:vAlign w:val="center"/>
            <w:hideMark/>
          </w:tcPr>
          <w:p w14:paraId="4B4A7DBA" w14:textId="77777777" w:rsidR="00E424CE" w:rsidRPr="00BC5C89" w:rsidRDefault="00B07AE0" w:rsidP="00E424CE">
            <w:pPr>
              <w:jc w:val="center"/>
              <w:rPr>
                <w:b/>
                <w:bCs/>
                <w:color w:val="0000FF"/>
                <w:sz w:val="16"/>
                <w:szCs w:val="16"/>
                <w:lang w:val="en-IL" w:eastAsia="en-IL" w:bidi="he-IL"/>
              </w:rPr>
            </w:pPr>
            <w:r w:rsidRPr="00BC5C89">
              <w:rPr>
                <w:b/>
                <w:bCs/>
                <w:color w:val="0000FF"/>
                <w:sz w:val="16"/>
                <w:szCs w:val="16"/>
                <w:lang w:eastAsia="en-IL" w:bidi="he-IL"/>
              </w:rPr>
              <w:t>Large</w:t>
            </w:r>
            <w:r w:rsidR="00E424CE" w:rsidRPr="00BC5C89">
              <w:rPr>
                <w:b/>
                <w:bCs/>
                <w:color w:val="0000FF"/>
                <w:sz w:val="16"/>
                <w:szCs w:val="16"/>
                <w:lang w:val="en-IL" w:eastAsia="en-IL" w:bidi="he-IL"/>
              </w:rPr>
              <w:t xml:space="preserve"> Firms</w:t>
            </w:r>
          </w:p>
        </w:tc>
        <w:tc>
          <w:tcPr>
            <w:tcW w:w="1474" w:type="dxa"/>
            <w:gridSpan w:val="2"/>
            <w:tcBorders>
              <w:top w:val="single" w:sz="12" w:space="0" w:color="auto"/>
              <w:left w:val="nil"/>
              <w:bottom w:val="nil"/>
              <w:right w:val="single" w:sz="12" w:space="0" w:color="000000"/>
            </w:tcBorders>
            <w:shd w:val="clear" w:color="auto" w:fill="auto"/>
            <w:vAlign w:val="center"/>
            <w:hideMark/>
          </w:tcPr>
          <w:p w14:paraId="03C62DF4" w14:textId="77777777" w:rsidR="00E424CE" w:rsidRPr="00BC5C89" w:rsidRDefault="00E424CE" w:rsidP="00E424CE">
            <w:pPr>
              <w:jc w:val="center"/>
              <w:rPr>
                <w:b/>
                <w:bCs/>
                <w:color w:val="0000FF"/>
                <w:sz w:val="16"/>
                <w:szCs w:val="16"/>
                <w:lang w:val="en-IL" w:eastAsia="en-IL" w:bidi="he-IL"/>
              </w:rPr>
            </w:pPr>
            <w:r w:rsidRPr="00BC5C89">
              <w:rPr>
                <w:b/>
                <w:bCs/>
                <w:color w:val="0000FF"/>
                <w:sz w:val="16"/>
                <w:szCs w:val="16"/>
                <w:lang w:val="en-IL" w:eastAsia="en-IL" w:bidi="he-IL"/>
              </w:rPr>
              <w:t>Small Firms</w:t>
            </w:r>
          </w:p>
        </w:tc>
      </w:tr>
      <w:tr w:rsidR="00E424CE" w:rsidRPr="00BC5C89" w14:paraId="5AEBD095" w14:textId="77777777" w:rsidTr="00B26DFD">
        <w:trPr>
          <w:trHeight w:val="525"/>
        </w:trPr>
        <w:tc>
          <w:tcPr>
            <w:tcW w:w="760" w:type="dxa"/>
            <w:vMerge/>
            <w:tcBorders>
              <w:top w:val="single" w:sz="8" w:space="0" w:color="auto"/>
              <w:left w:val="single" w:sz="8" w:space="0" w:color="auto"/>
              <w:bottom w:val="single" w:sz="8" w:space="0" w:color="000000"/>
              <w:right w:val="single" w:sz="8" w:space="0" w:color="auto"/>
            </w:tcBorders>
            <w:vAlign w:val="center"/>
            <w:hideMark/>
          </w:tcPr>
          <w:p w14:paraId="237FC97B" w14:textId="77777777" w:rsidR="00E424CE" w:rsidRPr="00BC5C89" w:rsidRDefault="00E424CE" w:rsidP="00E424CE">
            <w:pPr>
              <w:rPr>
                <w:color w:val="0000FF"/>
                <w:sz w:val="16"/>
                <w:szCs w:val="16"/>
                <w:lang w:val="en-IL" w:eastAsia="en-IL" w:bidi="he-IL"/>
              </w:rPr>
            </w:pPr>
          </w:p>
        </w:tc>
        <w:tc>
          <w:tcPr>
            <w:tcW w:w="816" w:type="dxa"/>
            <w:tcBorders>
              <w:top w:val="nil"/>
              <w:left w:val="single" w:sz="12" w:space="0" w:color="auto"/>
              <w:bottom w:val="single" w:sz="8" w:space="0" w:color="auto"/>
              <w:right w:val="nil"/>
            </w:tcBorders>
            <w:shd w:val="clear" w:color="auto" w:fill="auto"/>
            <w:vAlign w:val="center"/>
            <w:hideMark/>
          </w:tcPr>
          <w:p w14:paraId="78612EE0"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CAAR</w:t>
            </w:r>
          </w:p>
        </w:tc>
        <w:tc>
          <w:tcPr>
            <w:tcW w:w="647" w:type="dxa"/>
            <w:tcBorders>
              <w:top w:val="nil"/>
              <w:left w:val="nil"/>
              <w:bottom w:val="single" w:sz="8" w:space="0" w:color="auto"/>
              <w:right w:val="single" w:sz="12" w:space="0" w:color="auto"/>
            </w:tcBorders>
            <w:shd w:val="clear" w:color="auto" w:fill="auto"/>
            <w:vAlign w:val="center"/>
            <w:hideMark/>
          </w:tcPr>
          <w:p w14:paraId="4350343F"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t-stat.</w:t>
            </w:r>
          </w:p>
        </w:tc>
        <w:tc>
          <w:tcPr>
            <w:tcW w:w="816" w:type="dxa"/>
            <w:tcBorders>
              <w:top w:val="nil"/>
              <w:left w:val="single" w:sz="12" w:space="0" w:color="auto"/>
              <w:bottom w:val="nil"/>
              <w:right w:val="nil"/>
            </w:tcBorders>
            <w:shd w:val="clear" w:color="auto" w:fill="auto"/>
            <w:noWrap/>
            <w:vAlign w:val="center"/>
            <w:hideMark/>
          </w:tcPr>
          <w:p w14:paraId="76F12BE0"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CAAR</w:t>
            </w:r>
          </w:p>
        </w:tc>
        <w:tc>
          <w:tcPr>
            <w:tcW w:w="670" w:type="dxa"/>
            <w:tcBorders>
              <w:top w:val="nil"/>
              <w:left w:val="nil"/>
              <w:bottom w:val="single" w:sz="8" w:space="0" w:color="auto"/>
              <w:right w:val="single" w:sz="12" w:space="0" w:color="auto"/>
            </w:tcBorders>
            <w:shd w:val="clear" w:color="auto" w:fill="auto"/>
            <w:vAlign w:val="center"/>
            <w:hideMark/>
          </w:tcPr>
          <w:p w14:paraId="1D2D2C29"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t-stat.</w:t>
            </w:r>
          </w:p>
        </w:tc>
        <w:tc>
          <w:tcPr>
            <w:tcW w:w="950" w:type="dxa"/>
            <w:tcBorders>
              <w:top w:val="nil"/>
              <w:left w:val="nil"/>
              <w:bottom w:val="nil"/>
              <w:right w:val="nil"/>
            </w:tcBorders>
            <w:shd w:val="clear" w:color="auto" w:fill="auto"/>
            <w:noWrap/>
            <w:vAlign w:val="center"/>
            <w:hideMark/>
          </w:tcPr>
          <w:p w14:paraId="6903D711"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CAAR</w:t>
            </w:r>
          </w:p>
        </w:tc>
        <w:tc>
          <w:tcPr>
            <w:tcW w:w="697" w:type="dxa"/>
            <w:tcBorders>
              <w:top w:val="nil"/>
              <w:left w:val="nil"/>
              <w:bottom w:val="single" w:sz="8" w:space="0" w:color="auto"/>
              <w:right w:val="single" w:sz="12" w:space="0" w:color="auto"/>
            </w:tcBorders>
            <w:shd w:val="clear" w:color="auto" w:fill="auto"/>
            <w:vAlign w:val="center"/>
            <w:hideMark/>
          </w:tcPr>
          <w:p w14:paraId="535E8D87"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t-stat.</w:t>
            </w:r>
          </w:p>
        </w:tc>
        <w:tc>
          <w:tcPr>
            <w:tcW w:w="266" w:type="dxa"/>
            <w:vMerge/>
            <w:tcBorders>
              <w:top w:val="single" w:sz="12" w:space="0" w:color="auto"/>
              <w:left w:val="single" w:sz="12" w:space="0" w:color="auto"/>
              <w:bottom w:val="single" w:sz="8" w:space="0" w:color="000000"/>
              <w:right w:val="nil"/>
            </w:tcBorders>
            <w:vAlign w:val="center"/>
            <w:hideMark/>
          </w:tcPr>
          <w:p w14:paraId="6D685286" w14:textId="77777777" w:rsidR="00E424CE" w:rsidRPr="00BC5C89" w:rsidRDefault="00E424CE" w:rsidP="00E424CE">
            <w:pPr>
              <w:rPr>
                <w:color w:val="0000FF"/>
                <w:sz w:val="16"/>
                <w:szCs w:val="16"/>
                <w:lang w:val="en-IL" w:eastAsia="en-IL" w:bidi="he-IL"/>
              </w:rPr>
            </w:pPr>
          </w:p>
        </w:tc>
        <w:tc>
          <w:tcPr>
            <w:tcW w:w="764" w:type="dxa"/>
            <w:tcBorders>
              <w:top w:val="nil"/>
              <w:left w:val="single" w:sz="12" w:space="0" w:color="auto"/>
              <w:bottom w:val="single" w:sz="8" w:space="0" w:color="auto"/>
              <w:right w:val="nil"/>
            </w:tcBorders>
            <w:shd w:val="clear" w:color="auto" w:fill="auto"/>
            <w:vAlign w:val="center"/>
            <w:hideMark/>
          </w:tcPr>
          <w:p w14:paraId="5632E0C1"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CAAR</w:t>
            </w:r>
          </w:p>
        </w:tc>
        <w:tc>
          <w:tcPr>
            <w:tcW w:w="645" w:type="dxa"/>
            <w:tcBorders>
              <w:top w:val="nil"/>
              <w:left w:val="nil"/>
              <w:bottom w:val="single" w:sz="8" w:space="0" w:color="auto"/>
              <w:right w:val="single" w:sz="12" w:space="0" w:color="auto"/>
            </w:tcBorders>
            <w:shd w:val="clear" w:color="auto" w:fill="auto"/>
            <w:vAlign w:val="center"/>
            <w:hideMark/>
          </w:tcPr>
          <w:p w14:paraId="78E53289"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t-stat.</w:t>
            </w:r>
          </w:p>
        </w:tc>
        <w:tc>
          <w:tcPr>
            <w:tcW w:w="798" w:type="dxa"/>
            <w:tcBorders>
              <w:top w:val="nil"/>
              <w:left w:val="single" w:sz="12" w:space="0" w:color="auto"/>
              <w:bottom w:val="nil"/>
              <w:right w:val="nil"/>
            </w:tcBorders>
            <w:shd w:val="clear" w:color="auto" w:fill="auto"/>
            <w:noWrap/>
            <w:vAlign w:val="center"/>
            <w:hideMark/>
          </w:tcPr>
          <w:p w14:paraId="0BD0BD97"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CAAR</w:t>
            </w:r>
          </w:p>
        </w:tc>
        <w:tc>
          <w:tcPr>
            <w:tcW w:w="676" w:type="dxa"/>
            <w:tcBorders>
              <w:top w:val="nil"/>
              <w:left w:val="nil"/>
              <w:bottom w:val="single" w:sz="8" w:space="0" w:color="auto"/>
              <w:right w:val="single" w:sz="12" w:space="0" w:color="auto"/>
            </w:tcBorders>
            <w:shd w:val="clear" w:color="auto" w:fill="auto"/>
            <w:vAlign w:val="center"/>
            <w:hideMark/>
          </w:tcPr>
          <w:p w14:paraId="6205FB3B"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t-stat.</w:t>
            </w:r>
          </w:p>
        </w:tc>
        <w:tc>
          <w:tcPr>
            <w:tcW w:w="807" w:type="dxa"/>
            <w:tcBorders>
              <w:top w:val="nil"/>
              <w:left w:val="nil"/>
              <w:bottom w:val="nil"/>
              <w:right w:val="nil"/>
            </w:tcBorders>
            <w:shd w:val="clear" w:color="auto" w:fill="auto"/>
            <w:noWrap/>
            <w:vAlign w:val="center"/>
            <w:hideMark/>
          </w:tcPr>
          <w:p w14:paraId="1A83FB2D"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CAAR</w:t>
            </w:r>
          </w:p>
        </w:tc>
        <w:tc>
          <w:tcPr>
            <w:tcW w:w="667" w:type="dxa"/>
            <w:tcBorders>
              <w:top w:val="nil"/>
              <w:left w:val="nil"/>
              <w:bottom w:val="single" w:sz="8" w:space="0" w:color="auto"/>
              <w:right w:val="single" w:sz="12" w:space="0" w:color="auto"/>
            </w:tcBorders>
            <w:shd w:val="clear" w:color="auto" w:fill="auto"/>
            <w:vAlign w:val="center"/>
            <w:hideMark/>
          </w:tcPr>
          <w:p w14:paraId="5447A0AC"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t-stat.</w:t>
            </w:r>
          </w:p>
        </w:tc>
      </w:tr>
      <w:tr w:rsidR="00E424CE" w:rsidRPr="00BC5C89" w14:paraId="7C4A272B" w14:textId="77777777" w:rsidTr="00B26DFD">
        <w:trPr>
          <w:trHeight w:val="300"/>
        </w:trPr>
        <w:tc>
          <w:tcPr>
            <w:tcW w:w="760" w:type="dxa"/>
            <w:tcBorders>
              <w:top w:val="nil"/>
              <w:left w:val="single" w:sz="8" w:space="0" w:color="auto"/>
              <w:bottom w:val="nil"/>
              <w:right w:val="single" w:sz="8" w:space="0" w:color="auto"/>
            </w:tcBorders>
            <w:shd w:val="clear" w:color="auto" w:fill="auto"/>
            <w:vAlign w:val="center"/>
            <w:hideMark/>
          </w:tcPr>
          <w:p w14:paraId="23ADC5C3"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 to 10</w:t>
            </w:r>
          </w:p>
        </w:tc>
        <w:tc>
          <w:tcPr>
            <w:tcW w:w="816" w:type="dxa"/>
            <w:tcBorders>
              <w:top w:val="nil"/>
              <w:left w:val="nil"/>
              <w:bottom w:val="nil"/>
              <w:right w:val="single" w:sz="8" w:space="0" w:color="auto"/>
            </w:tcBorders>
            <w:shd w:val="clear" w:color="auto" w:fill="auto"/>
            <w:vAlign w:val="center"/>
            <w:hideMark/>
          </w:tcPr>
          <w:p w14:paraId="5C889750"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0.21%</w:t>
            </w:r>
          </w:p>
        </w:tc>
        <w:tc>
          <w:tcPr>
            <w:tcW w:w="647" w:type="dxa"/>
            <w:tcBorders>
              <w:top w:val="nil"/>
              <w:left w:val="nil"/>
              <w:bottom w:val="nil"/>
              <w:right w:val="single" w:sz="8" w:space="0" w:color="auto"/>
            </w:tcBorders>
            <w:shd w:val="clear" w:color="auto" w:fill="auto"/>
            <w:noWrap/>
            <w:vAlign w:val="center"/>
            <w:hideMark/>
          </w:tcPr>
          <w:p w14:paraId="7F21D138"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0.04</w:t>
            </w:r>
          </w:p>
        </w:tc>
        <w:tc>
          <w:tcPr>
            <w:tcW w:w="816" w:type="dxa"/>
            <w:tcBorders>
              <w:top w:val="single" w:sz="8" w:space="0" w:color="auto"/>
              <w:left w:val="nil"/>
              <w:bottom w:val="nil"/>
              <w:right w:val="single" w:sz="8" w:space="0" w:color="auto"/>
            </w:tcBorders>
            <w:shd w:val="clear" w:color="auto" w:fill="auto"/>
            <w:vAlign w:val="center"/>
            <w:hideMark/>
          </w:tcPr>
          <w:p w14:paraId="4F644688"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2.39%</w:t>
            </w:r>
          </w:p>
        </w:tc>
        <w:tc>
          <w:tcPr>
            <w:tcW w:w="670" w:type="dxa"/>
            <w:tcBorders>
              <w:top w:val="nil"/>
              <w:left w:val="nil"/>
              <w:bottom w:val="nil"/>
              <w:right w:val="single" w:sz="8" w:space="0" w:color="auto"/>
            </w:tcBorders>
            <w:shd w:val="clear" w:color="auto" w:fill="auto"/>
            <w:noWrap/>
            <w:vAlign w:val="center"/>
            <w:hideMark/>
          </w:tcPr>
          <w:p w14:paraId="54F2AC8B"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0.43</w:t>
            </w:r>
          </w:p>
        </w:tc>
        <w:tc>
          <w:tcPr>
            <w:tcW w:w="950" w:type="dxa"/>
            <w:tcBorders>
              <w:top w:val="single" w:sz="8" w:space="0" w:color="auto"/>
              <w:left w:val="nil"/>
              <w:bottom w:val="nil"/>
              <w:right w:val="single" w:sz="8" w:space="0" w:color="auto"/>
            </w:tcBorders>
            <w:shd w:val="clear" w:color="auto" w:fill="auto"/>
            <w:vAlign w:val="center"/>
            <w:hideMark/>
          </w:tcPr>
          <w:p w14:paraId="7CD221DD"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-0.66%</w:t>
            </w:r>
          </w:p>
        </w:tc>
        <w:tc>
          <w:tcPr>
            <w:tcW w:w="697" w:type="dxa"/>
            <w:tcBorders>
              <w:top w:val="nil"/>
              <w:left w:val="nil"/>
              <w:bottom w:val="nil"/>
              <w:right w:val="single" w:sz="8" w:space="0" w:color="auto"/>
            </w:tcBorders>
            <w:shd w:val="clear" w:color="auto" w:fill="auto"/>
            <w:noWrap/>
            <w:vAlign w:val="center"/>
            <w:hideMark/>
          </w:tcPr>
          <w:p w14:paraId="246A2588"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-0.12</w:t>
            </w:r>
          </w:p>
        </w:tc>
        <w:tc>
          <w:tcPr>
            <w:tcW w:w="266" w:type="dxa"/>
            <w:tcBorders>
              <w:top w:val="nil"/>
              <w:left w:val="single" w:sz="12" w:space="0" w:color="auto"/>
              <w:bottom w:val="nil"/>
              <w:right w:val="nil"/>
            </w:tcBorders>
            <w:shd w:val="clear" w:color="auto" w:fill="auto"/>
            <w:vAlign w:val="center"/>
            <w:hideMark/>
          </w:tcPr>
          <w:p w14:paraId="172E8AD4"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 </w:t>
            </w:r>
          </w:p>
        </w:tc>
        <w:tc>
          <w:tcPr>
            <w:tcW w:w="764" w:type="dxa"/>
            <w:tcBorders>
              <w:top w:val="nil"/>
              <w:left w:val="single" w:sz="12" w:space="0" w:color="auto"/>
              <w:bottom w:val="nil"/>
              <w:right w:val="single" w:sz="8" w:space="0" w:color="auto"/>
            </w:tcBorders>
            <w:shd w:val="clear" w:color="auto" w:fill="auto"/>
            <w:vAlign w:val="center"/>
            <w:hideMark/>
          </w:tcPr>
          <w:p w14:paraId="6F90B83C"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0.35%</w:t>
            </w:r>
          </w:p>
        </w:tc>
        <w:tc>
          <w:tcPr>
            <w:tcW w:w="645" w:type="dxa"/>
            <w:tcBorders>
              <w:top w:val="nil"/>
              <w:left w:val="nil"/>
              <w:bottom w:val="nil"/>
              <w:right w:val="single" w:sz="12" w:space="0" w:color="auto"/>
            </w:tcBorders>
            <w:shd w:val="clear" w:color="auto" w:fill="auto"/>
            <w:noWrap/>
            <w:vAlign w:val="center"/>
            <w:hideMark/>
          </w:tcPr>
          <w:p w14:paraId="1DF8D21B"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0.06</w:t>
            </w:r>
          </w:p>
        </w:tc>
        <w:tc>
          <w:tcPr>
            <w:tcW w:w="798" w:type="dxa"/>
            <w:tcBorders>
              <w:top w:val="single" w:sz="8" w:space="0" w:color="auto"/>
              <w:left w:val="nil"/>
              <w:bottom w:val="nil"/>
              <w:right w:val="single" w:sz="8" w:space="0" w:color="auto"/>
            </w:tcBorders>
            <w:shd w:val="clear" w:color="auto" w:fill="auto"/>
            <w:vAlign w:val="center"/>
            <w:hideMark/>
          </w:tcPr>
          <w:p w14:paraId="6DA11678"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2.54%</w:t>
            </w:r>
          </w:p>
        </w:tc>
        <w:tc>
          <w:tcPr>
            <w:tcW w:w="676" w:type="dxa"/>
            <w:tcBorders>
              <w:top w:val="nil"/>
              <w:left w:val="nil"/>
              <w:bottom w:val="nil"/>
              <w:right w:val="single" w:sz="12" w:space="0" w:color="auto"/>
            </w:tcBorders>
            <w:shd w:val="clear" w:color="auto" w:fill="auto"/>
            <w:noWrap/>
            <w:vAlign w:val="center"/>
            <w:hideMark/>
          </w:tcPr>
          <w:p w14:paraId="57E7F06E"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0.46</w:t>
            </w:r>
          </w:p>
        </w:tc>
        <w:tc>
          <w:tcPr>
            <w:tcW w:w="807" w:type="dxa"/>
            <w:tcBorders>
              <w:top w:val="single" w:sz="8" w:space="0" w:color="auto"/>
              <w:left w:val="nil"/>
              <w:bottom w:val="nil"/>
              <w:right w:val="single" w:sz="8" w:space="0" w:color="auto"/>
            </w:tcBorders>
            <w:shd w:val="clear" w:color="auto" w:fill="auto"/>
            <w:vAlign w:val="center"/>
            <w:hideMark/>
          </w:tcPr>
          <w:p w14:paraId="77FF8918"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-0.80%</w:t>
            </w:r>
          </w:p>
        </w:tc>
        <w:tc>
          <w:tcPr>
            <w:tcW w:w="667" w:type="dxa"/>
            <w:tcBorders>
              <w:top w:val="nil"/>
              <w:left w:val="nil"/>
              <w:bottom w:val="nil"/>
              <w:right w:val="single" w:sz="12" w:space="0" w:color="auto"/>
            </w:tcBorders>
            <w:shd w:val="clear" w:color="auto" w:fill="auto"/>
            <w:noWrap/>
            <w:vAlign w:val="center"/>
            <w:hideMark/>
          </w:tcPr>
          <w:p w14:paraId="213B5575"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-0.14</w:t>
            </w:r>
          </w:p>
        </w:tc>
      </w:tr>
      <w:tr w:rsidR="00E424CE" w:rsidRPr="00BC5C89" w14:paraId="34602EA9" w14:textId="77777777" w:rsidTr="00B26DFD">
        <w:trPr>
          <w:trHeight w:val="300"/>
        </w:trPr>
        <w:tc>
          <w:tcPr>
            <w:tcW w:w="760" w:type="dxa"/>
            <w:tcBorders>
              <w:top w:val="nil"/>
              <w:left w:val="single" w:sz="8" w:space="0" w:color="auto"/>
              <w:bottom w:val="nil"/>
              <w:right w:val="single" w:sz="8" w:space="0" w:color="auto"/>
            </w:tcBorders>
            <w:shd w:val="clear" w:color="auto" w:fill="auto"/>
            <w:vAlign w:val="center"/>
            <w:hideMark/>
          </w:tcPr>
          <w:p w14:paraId="43CD8944"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 to 20</w:t>
            </w:r>
          </w:p>
        </w:tc>
        <w:tc>
          <w:tcPr>
            <w:tcW w:w="816" w:type="dxa"/>
            <w:tcBorders>
              <w:top w:val="nil"/>
              <w:left w:val="nil"/>
              <w:bottom w:val="nil"/>
              <w:right w:val="single" w:sz="8" w:space="0" w:color="auto"/>
            </w:tcBorders>
            <w:shd w:val="clear" w:color="auto" w:fill="auto"/>
            <w:vAlign w:val="center"/>
            <w:hideMark/>
          </w:tcPr>
          <w:p w14:paraId="3F17DE3A"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1.71%</w:t>
            </w:r>
          </w:p>
        </w:tc>
        <w:tc>
          <w:tcPr>
            <w:tcW w:w="647" w:type="dxa"/>
            <w:tcBorders>
              <w:top w:val="nil"/>
              <w:left w:val="nil"/>
              <w:bottom w:val="nil"/>
              <w:right w:val="single" w:sz="8" w:space="0" w:color="auto"/>
            </w:tcBorders>
            <w:shd w:val="clear" w:color="auto" w:fill="auto"/>
            <w:noWrap/>
            <w:vAlign w:val="center"/>
            <w:hideMark/>
          </w:tcPr>
          <w:p w14:paraId="11B53FD3"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0.34</w:t>
            </w:r>
          </w:p>
        </w:tc>
        <w:tc>
          <w:tcPr>
            <w:tcW w:w="816" w:type="dxa"/>
            <w:tcBorders>
              <w:top w:val="nil"/>
              <w:left w:val="nil"/>
              <w:bottom w:val="nil"/>
              <w:right w:val="single" w:sz="8" w:space="0" w:color="auto"/>
            </w:tcBorders>
            <w:shd w:val="clear" w:color="auto" w:fill="auto"/>
            <w:vAlign w:val="center"/>
            <w:hideMark/>
          </w:tcPr>
          <w:p w14:paraId="715E3294"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5.58%</w:t>
            </w:r>
          </w:p>
        </w:tc>
        <w:tc>
          <w:tcPr>
            <w:tcW w:w="670" w:type="dxa"/>
            <w:tcBorders>
              <w:top w:val="nil"/>
              <w:left w:val="nil"/>
              <w:bottom w:val="nil"/>
              <w:right w:val="single" w:sz="8" w:space="0" w:color="auto"/>
            </w:tcBorders>
            <w:shd w:val="clear" w:color="auto" w:fill="auto"/>
            <w:noWrap/>
            <w:vAlign w:val="center"/>
            <w:hideMark/>
          </w:tcPr>
          <w:p w14:paraId="45C7490F"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1.20</w:t>
            </w:r>
          </w:p>
        </w:tc>
        <w:tc>
          <w:tcPr>
            <w:tcW w:w="950" w:type="dxa"/>
            <w:tcBorders>
              <w:top w:val="nil"/>
              <w:left w:val="nil"/>
              <w:bottom w:val="nil"/>
              <w:right w:val="single" w:sz="8" w:space="0" w:color="auto"/>
            </w:tcBorders>
            <w:shd w:val="clear" w:color="auto" w:fill="auto"/>
            <w:vAlign w:val="center"/>
            <w:hideMark/>
          </w:tcPr>
          <w:p w14:paraId="094A9081"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0.25%</w:t>
            </w:r>
          </w:p>
        </w:tc>
        <w:tc>
          <w:tcPr>
            <w:tcW w:w="697" w:type="dxa"/>
            <w:tcBorders>
              <w:top w:val="nil"/>
              <w:left w:val="nil"/>
              <w:bottom w:val="nil"/>
              <w:right w:val="single" w:sz="8" w:space="0" w:color="auto"/>
            </w:tcBorders>
            <w:shd w:val="clear" w:color="auto" w:fill="auto"/>
            <w:noWrap/>
            <w:vAlign w:val="center"/>
            <w:hideMark/>
          </w:tcPr>
          <w:p w14:paraId="0C96665B"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0.05</w:t>
            </w:r>
          </w:p>
        </w:tc>
        <w:tc>
          <w:tcPr>
            <w:tcW w:w="266" w:type="dxa"/>
            <w:tcBorders>
              <w:top w:val="nil"/>
              <w:left w:val="single" w:sz="12" w:space="0" w:color="auto"/>
              <w:bottom w:val="nil"/>
              <w:right w:val="nil"/>
            </w:tcBorders>
            <w:shd w:val="clear" w:color="auto" w:fill="auto"/>
            <w:vAlign w:val="center"/>
            <w:hideMark/>
          </w:tcPr>
          <w:p w14:paraId="00E15B19"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 </w:t>
            </w:r>
          </w:p>
        </w:tc>
        <w:tc>
          <w:tcPr>
            <w:tcW w:w="764" w:type="dxa"/>
            <w:tcBorders>
              <w:top w:val="nil"/>
              <w:left w:val="single" w:sz="12" w:space="0" w:color="auto"/>
              <w:bottom w:val="nil"/>
              <w:right w:val="single" w:sz="8" w:space="0" w:color="auto"/>
            </w:tcBorders>
            <w:shd w:val="clear" w:color="auto" w:fill="auto"/>
            <w:vAlign w:val="center"/>
            <w:hideMark/>
          </w:tcPr>
          <w:p w14:paraId="60707DBC"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1.97%</w:t>
            </w:r>
          </w:p>
        </w:tc>
        <w:tc>
          <w:tcPr>
            <w:tcW w:w="645" w:type="dxa"/>
            <w:tcBorders>
              <w:top w:val="nil"/>
              <w:left w:val="nil"/>
              <w:bottom w:val="nil"/>
              <w:right w:val="single" w:sz="12" w:space="0" w:color="auto"/>
            </w:tcBorders>
            <w:shd w:val="clear" w:color="auto" w:fill="auto"/>
            <w:noWrap/>
            <w:vAlign w:val="center"/>
            <w:hideMark/>
          </w:tcPr>
          <w:p w14:paraId="56948337"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0.39</w:t>
            </w:r>
          </w:p>
        </w:tc>
        <w:tc>
          <w:tcPr>
            <w:tcW w:w="798" w:type="dxa"/>
            <w:tcBorders>
              <w:top w:val="nil"/>
              <w:left w:val="nil"/>
              <w:bottom w:val="nil"/>
              <w:right w:val="single" w:sz="8" w:space="0" w:color="auto"/>
            </w:tcBorders>
            <w:shd w:val="clear" w:color="auto" w:fill="auto"/>
            <w:vAlign w:val="center"/>
            <w:hideMark/>
          </w:tcPr>
          <w:p w14:paraId="1A7ACC32"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5.69%</w:t>
            </w:r>
          </w:p>
        </w:tc>
        <w:tc>
          <w:tcPr>
            <w:tcW w:w="676" w:type="dxa"/>
            <w:tcBorders>
              <w:top w:val="nil"/>
              <w:left w:val="nil"/>
              <w:bottom w:val="nil"/>
              <w:right w:val="single" w:sz="12" w:space="0" w:color="auto"/>
            </w:tcBorders>
            <w:shd w:val="clear" w:color="auto" w:fill="auto"/>
            <w:noWrap/>
            <w:vAlign w:val="center"/>
            <w:hideMark/>
          </w:tcPr>
          <w:p w14:paraId="73F84D43"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1.21</w:t>
            </w:r>
          </w:p>
        </w:tc>
        <w:tc>
          <w:tcPr>
            <w:tcW w:w="807" w:type="dxa"/>
            <w:tcBorders>
              <w:top w:val="nil"/>
              <w:left w:val="nil"/>
              <w:bottom w:val="nil"/>
              <w:right w:val="single" w:sz="8" w:space="0" w:color="auto"/>
            </w:tcBorders>
            <w:shd w:val="clear" w:color="auto" w:fill="auto"/>
            <w:vAlign w:val="center"/>
            <w:hideMark/>
          </w:tcPr>
          <w:p w14:paraId="17B8FEE6"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-0.08%</w:t>
            </w:r>
          </w:p>
        </w:tc>
        <w:tc>
          <w:tcPr>
            <w:tcW w:w="667" w:type="dxa"/>
            <w:tcBorders>
              <w:top w:val="nil"/>
              <w:left w:val="nil"/>
              <w:bottom w:val="nil"/>
              <w:right w:val="single" w:sz="12" w:space="0" w:color="auto"/>
            </w:tcBorders>
            <w:shd w:val="clear" w:color="auto" w:fill="auto"/>
            <w:noWrap/>
            <w:vAlign w:val="center"/>
            <w:hideMark/>
          </w:tcPr>
          <w:p w14:paraId="2F178543"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-0.01</w:t>
            </w:r>
          </w:p>
        </w:tc>
      </w:tr>
      <w:tr w:rsidR="00E424CE" w:rsidRPr="00BC5C89" w14:paraId="41E7DF8A" w14:textId="77777777" w:rsidTr="00B26DFD">
        <w:trPr>
          <w:trHeight w:val="300"/>
        </w:trPr>
        <w:tc>
          <w:tcPr>
            <w:tcW w:w="760" w:type="dxa"/>
            <w:tcBorders>
              <w:top w:val="nil"/>
              <w:left w:val="single" w:sz="8" w:space="0" w:color="auto"/>
              <w:bottom w:val="nil"/>
              <w:right w:val="single" w:sz="8" w:space="0" w:color="auto"/>
            </w:tcBorders>
            <w:shd w:val="clear" w:color="auto" w:fill="auto"/>
            <w:vAlign w:val="center"/>
            <w:hideMark/>
          </w:tcPr>
          <w:p w14:paraId="68EAE2A2"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 to 50</w:t>
            </w:r>
          </w:p>
        </w:tc>
        <w:tc>
          <w:tcPr>
            <w:tcW w:w="816" w:type="dxa"/>
            <w:tcBorders>
              <w:top w:val="nil"/>
              <w:left w:val="nil"/>
              <w:bottom w:val="nil"/>
              <w:right w:val="single" w:sz="8" w:space="0" w:color="auto"/>
            </w:tcBorders>
            <w:shd w:val="clear" w:color="auto" w:fill="auto"/>
            <w:vAlign w:val="center"/>
            <w:hideMark/>
          </w:tcPr>
          <w:p w14:paraId="16054782"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-1.99%</w:t>
            </w:r>
          </w:p>
        </w:tc>
        <w:tc>
          <w:tcPr>
            <w:tcW w:w="647" w:type="dxa"/>
            <w:tcBorders>
              <w:top w:val="nil"/>
              <w:left w:val="nil"/>
              <w:bottom w:val="nil"/>
              <w:right w:val="single" w:sz="8" w:space="0" w:color="auto"/>
            </w:tcBorders>
            <w:shd w:val="clear" w:color="auto" w:fill="auto"/>
            <w:noWrap/>
            <w:vAlign w:val="center"/>
            <w:hideMark/>
          </w:tcPr>
          <w:p w14:paraId="6394F3DB"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-0.40</w:t>
            </w:r>
          </w:p>
        </w:tc>
        <w:tc>
          <w:tcPr>
            <w:tcW w:w="816" w:type="dxa"/>
            <w:tcBorders>
              <w:top w:val="nil"/>
              <w:left w:val="nil"/>
              <w:bottom w:val="nil"/>
              <w:right w:val="single" w:sz="8" w:space="0" w:color="auto"/>
            </w:tcBorders>
            <w:shd w:val="clear" w:color="auto" w:fill="auto"/>
            <w:vAlign w:val="center"/>
            <w:hideMark/>
          </w:tcPr>
          <w:p w14:paraId="645C0A26"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9.05%</w:t>
            </w:r>
          </w:p>
        </w:tc>
        <w:tc>
          <w:tcPr>
            <w:tcW w:w="670" w:type="dxa"/>
            <w:tcBorders>
              <w:top w:val="nil"/>
              <w:left w:val="nil"/>
              <w:bottom w:val="nil"/>
              <w:right w:val="single" w:sz="8" w:space="0" w:color="auto"/>
            </w:tcBorders>
            <w:shd w:val="clear" w:color="auto" w:fill="auto"/>
            <w:noWrap/>
            <w:vAlign w:val="center"/>
            <w:hideMark/>
          </w:tcPr>
          <w:p w14:paraId="39FE3BBB"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1.80</w:t>
            </w:r>
          </w:p>
        </w:tc>
        <w:tc>
          <w:tcPr>
            <w:tcW w:w="950" w:type="dxa"/>
            <w:tcBorders>
              <w:top w:val="nil"/>
              <w:left w:val="nil"/>
              <w:bottom w:val="nil"/>
              <w:right w:val="single" w:sz="8" w:space="0" w:color="auto"/>
            </w:tcBorders>
            <w:shd w:val="clear" w:color="auto" w:fill="auto"/>
            <w:vAlign w:val="center"/>
            <w:hideMark/>
          </w:tcPr>
          <w:p w14:paraId="69464C4C"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w:t>
            </w:r>
            <w:r w:rsidR="006652B3" w:rsidRPr="00BC5C89">
              <w:rPr>
                <w:color w:val="0000FF"/>
                <w:sz w:val="16"/>
                <w:szCs w:val="16"/>
                <w:lang w:eastAsia="en-IL" w:bidi="he-IL"/>
              </w:rPr>
              <w:t>8</w:t>
            </w:r>
            <w:r w:rsidRPr="00BC5C89">
              <w:rPr>
                <w:color w:val="0000FF"/>
                <w:sz w:val="16"/>
                <w:szCs w:val="16"/>
                <w:lang w:val="en-IL" w:eastAsia="en-IL" w:bidi="he-IL"/>
              </w:rPr>
              <w:t>.</w:t>
            </w:r>
            <w:r w:rsidR="006652B3" w:rsidRPr="00BC5C89">
              <w:rPr>
                <w:color w:val="0000FF"/>
                <w:sz w:val="16"/>
                <w:szCs w:val="16"/>
                <w:lang w:eastAsia="en-IL" w:bidi="he-IL"/>
              </w:rPr>
              <w:t>22</w:t>
            </w:r>
            <w:r w:rsidRPr="00BC5C89">
              <w:rPr>
                <w:color w:val="0000FF"/>
                <w:sz w:val="16"/>
                <w:szCs w:val="16"/>
                <w:lang w:val="en-IL" w:eastAsia="en-IL" w:bidi="he-IL"/>
              </w:rPr>
              <w:t>%</w:t>
            </w:r>
          </w:p>
        </w:tc>
        <w:tc>
          <w:tcPr>
            <w:tcW w:w="697" w:type="dxa"/>
            <w:tcBorders>
              <w:top w:val="nil"/>
              <w:left w:val="nil"/>
              <w:bottom w:val="nil"/>
              <w:right w:val="single" w:sz="8" w:space="0" w:color="auto"/>
            </w:tcBorders>
            <w:shd w:val="clear" w:color="auto" w:fill="auto"/>
            <w:noWrap/>
            <w:vAlign w:val="center"/>
            <w:hideMark/>
          </w:tcPr>
          <w:p w14:paraId="48E9F7DE" w14:textId="77777777" w:rsidR="00E424CE" w:rsidRPr="00BC5C89" w:rsidRDefault="00E424CE" w:rsidP="00E424CE">
            <w:pPr>
              <w:jc w:val="center"/>
              <w:rPr>
                <w:color w:val="0000FF"/>
                <w:sz w:val="16"/>
                <w:szCs w:val="16"/>
                <w:lang w:eastAsia="en-IL" w:bidi="he-IL"/>
              </w:rPr>
            </w:pPr>
            <w:r w:rsidRPr="00BC5C89">
              <w:rPr>
                <w:color w:val="0000FF"/>
                <w:sz w:val="16"/>
                <w:szCs w:val="16"/>
                <w:lang w:val="en-IL" w:eastAsia="en-IL" w:bidi="he-IL"/>
              </w:rPr>
              <w:t>-1.</w:t>
            </w:r>
            <w:r w:rsidR="006652B3" w:rsidRPr="00BC5C89">
              <w:rPr>
                <w:color w:val="0000FF"/>
                <w:sz w:val="16"/>
                <w:szCs w:val="16"/>
                <w:lang w:eastAsia="en-IL" w:bidi="he-IL"/>
              </w:rPr>
              <w:t>65</w:t>
            </w:r>
          </w:p>
        </w:tc>
        <w:tc>
          <w:tcPr>
            <w:tcW w:w="266" w:type="dxa"/>
            <w:tcBorders>
              <w:top w:val="nil"/>
              <w:left w:val="single" w:sz="12" w:space="0" w:color="auto"/>
              <w:bottom w:val="nil"/>
              <w:right w:val="nil"/>
            </w:tcBorders>
            <w:shd w:val="clear" w:color="auto" w:fill="auto"/>
            <w:vAlign w:val="center"/>
            <w:hideMark/>
          </w:tcPr>
          <w:p w14:paraId="52D6EDF1"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 </w:t>
            </w:r>
          </w:p>
        </w:tc>
        <w:tc>
          <w:tcPr>
            <w:tcW w:w="764" w:type="dxa"/>
            <w:tcBorders>
              <w:top w:val="nil"/>
              <w:left w:val="single" w:sz="12" w:space="0" w:color="auto"/>
              <w:bottom w:val="nil"/>
              <w:right w:val="single" w:sz="8" w:space="0" w:color="auto"/>
            </w:tcBorders>
            <w:shd w:val="clear" w:color="auto" w:fill="auto"/>
            <w:vAlign w:val="center"/>
            <w:hideMark/>
          </w:tcPr>
          <w:p w14:paraId="1A731EC7"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-1.44%</w:t>
            </w:r>
          </w:p>
        </w:tc>
        <w:tc>
          <w:tcPr>
            <w:tcW w:w="645" w:type="dxa"/>
            <w:tcBorders>
              <w:top w:val="nil"/>
              <w:left w:val="nil"/>
              <w:bottom w:val="nil"/>
              <w:right w:val="single" w:sz="12" w:space="0" w:color="auto"/>
            </w:tcBorders>
            <w:shd w:val="clear" w:color="auto" w:fill="auto"/>
            <w:noWrap/>
            <w:vAlign w:val="center"/>
            <w:hideMark/>
          </w:tcPr>
          <w:p w14:paraId="4D70852B"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-0.29</w:t>
            </w:r>
          </w:p>
        </w:tc>
        <w:tc>
          <w:tcPr>
            <w:tcW w:w="798" w:type="dxa"/>
            <w:tcBorders>
              <w:top w:val="nil"/>
              <w:left w:val="nil"/>
              <w:bottom w:val="nil"/>
              <w:right w:val="single" w:sz="8" w:space="0" w:color="auto"/>
            </w:tcBorders>
            <w:shd w:val="clear" w:color="auto" w:fill="auto"/>
            <w:vAlign w:val="center"/>
            <w:hideMark/>
          </w:tcPr>
          <w:p w14:paraId="70B1AA65"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9.60%</w:t>
            </w:r>
          </w:p>
        </w:tc>
        <w:tc>
          <w:tcPr>
            <w:tcW w:w="676" w:type="dxa"/>
            <w:tcBorders>
              <w:top w:val="nil"/>
              <w:left w:val="nil"/>
              <w:bottom w:val="nil"/>
              <w:right w:val="single" w:sz="12" w:space="0" w:color="auto"/>
            </w:tcBorders>
            <w:shd w:val="clear" w:color="auto" w:fill="auto"/>
            <w:noWrap/>
            <w:vAlign w:val="center"/>
            <w:hideMark/>
          </w:tcPr>
          <w:p w14:paraId="6AE2D47B"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1.88</w:t>
            </w:r>
          </w:p>
        </w:tc>
        <w:tc>
          <w:tcPr>
            <w:tcW w:w="807" w:type="dxa"/>
            <w:tcBorders>
              <w:top w:val="nil"/>
              <w:left w:val="nil"/>
              <w:bottom w:val="nil"/>
              <w:right w:val="single" w:sz="8" w:space="0" w:color="auto"/>
            </w:tcBorders>
            <w:shd w:val="clear" w:color="auto" w:fill="auto"/>
            <w:vAlign w:val="center"/>
            <w:hideMark/>
          </w:tcPr>
          <w:p w14:paraId="1AFE7330"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w:t>
            </w:r>
            <w:r w:rsidR="006652B3" w:rsidRPr="00BC5C89">
              <w:rPr>
                <w:color w:val="0000FF"/>
                <w:sz w:val="16"/>
                <w:szCs w:val="16"/>
                <w:lang w:eastAsia="en-IL" w:bidi="he-IL"/>
              </w:rPr>
              <w:t>8</w:t>
            </w:r>
            <w:r w:rsidRPr="00BC5C89">
              <w:rPr>
                <w:color w:val="0000FF"/>
                <w:sz w:val="16"/>
                <w:szCs w:val="16"/>
                <w:lang w:val="en-IL" w:eastAsia="en-IL" w:bidi="he-IL"/>
              </w:rPr>
              <w:t>.</w:t>
            </w:r>
            <w:r w:rsidR="006652B3" w:rsidRPr="00BC5C89">
              <w:rPr>
                <w:color w:val="0000FF"/>
                <w:sz w:val="16"/>
                <w:szCs w:val="16"/>
                <w:lang w:eastAsia="en-IL" w:bidi="he-IL"/>
              </w:rPr>
              <w:t>54</w:t>
            </w:r>
            <w:r w:rsidRPr="00BC5C89">
              <w:rPr>
                <w:color w:val="0000FF"/>
                <w:sz w:val="16"/>
                <w:szCs w:val="16"/>
                <w:lang w:val="en-IL" w:eastAsia="en-IL" w:bidi="he-IL"/>
              </w:rPr>
              <w:t>%</w:t>
            </w:r>
          </w:p>
        </w:tc>
        <w:tc>
          <w:tcPr>
            <w:tcW w:w="667" w:type="dxa"/>
            <w:tcBorders>
              <w:top w:val="nil"/>
              <w:left w:val="nil"/>
              <w:bottom w:val="nil"/>
              <w:right w:val="single" w:sz="12" w:space="0" w:color="auto"/>
            </w:tcBorders>
            <w:shd w:val="clear" w:color="auto" w:fill="auto"/>
            <w:noWrap/>
            <w:vAlign w:val="center"/>
            <w:hideMark/>
          </w:tcPr>
          <w:p w14:paraId="2E95BFB2" w14:textId="77777777" w:rsidR="00E424CE" w:rsidRPr="00BC5C89" w:rsidRDefault="00E424CE" w:rsidP="00E424CE">
            <w:pPr>
              <w:jc w:val="center"/>
              <w:rPr>
                <w:color w:val="0000FF"/>
                <w:sz w:val="16"/>
                <w:szCs w:val="16"/>
                <w:lang w:eastAsia="en-IL" w:bidi="he-IL"/>
              </w:rPr>
            </w:pPr>
            <w:r w:rsidRPr="00BC5C89">
              <w:rPr>
                <w:color w:val="0000FF"/>
                <w:sz w:val="16"/>
                <w:szCs w:val="16"/>
                <w:lang w:val="en-IL" w:eastAsia="en-IL" w:bidi="he-IL"/>
              </w:rPr>
              <w:t>-1.</w:t>
            </w:r>
            <w:r w:rsidR="006652B3" w:rsidRPr="00BC5C89">
              <w:rPr>
                <w:color w:val="0000FF"/>
                <w:sz w:val="16"/>
                <w:szCs w:val="16"/>
                <w:lang w:eastAsia="en-IL" w:bidi="he-IL"/>
              </w:rPr>
              <w:t>71</w:t>
            </w:r>
          </w:p>
        </w:tc>
      </w:tr>
      <w:tr w:rsidR="00E424CE" w:rsidRPr="00BC5C89" w14:paraId="02B200F2" w14:textId="77777777" w:rsidTr="00B26DFD">
        <w:trPr>
          <w:trHeight w:val="300"/>
        </w:trPr>
        <w:tc>
          <w:tcPr>
            <w:tcW w:w="760" w:type="dxa"/>
            <w:tcBorders>
              <w:top w:val="nil"/>
              <w:left w:val="single" w:sz="8" w:space="0" w:color="auto"/>
              <w:bottom w:val="nil"/>
              <w:right w:val="single" w:sz="8" w:space="0" w:color="auto"/>
            </w:tcBorders>
            <w:shd w:val="clear" w:color="auto" w:fill="auto"/>
            <w:vAlign w:val="center"/>
            <w:hideMark/>
          </w:tcPr>
          <w:p w14:paraId="77777CBB"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 to 100</w:t>
            </w:r>
          </w:p>
        </w:tc>
        <w:tc>
          <w:tcPr>
            <w:tcW w:w="816" w:type="dxa"/>
            <w:tcBorders>
              <w:top w:val="nil"/>
              <w:left w:val="nil"/>
              <w:bottom w:val="nil"/>
              <w:right w:val="single" w:sz="8" w:space="0" w:color="auto"/>
            </w:tcBorders>
            <w:shd w:val="clear" w:color="auto" w:fill="auto"/>
            <w:vAlign w:val="center"/>
            <w:hideMark/>
          </w:tcPr>
          <w:p w14:paraId="3DF91CB4"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-7.10%</w:t>
            </w:r>
          </w:p>
        </w:tc>
        <w:tc>
          <w:tcPr>
            <w:tcW w:w="647" w:type="dxa"/>
            <w:tcBorders>
              <w:top w:val="nil"/>
              <w:left w:val="nil"/>
              <w:bottom w:val="nil"/>
              <w:right w:val="single" w:sz="8" w:space="0" w:color="auto"/>
            </w:tcBorders>
            <w:shd w:val="clear" w:color="auto" w:fill="auto"/>
            <w:noWrap/>
            <w:vAlign w:val="center"/>
            <w:hideMark/>
          </w:tcPr>
          <w:p w14:paraId="18CEE828"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-1.54</w:t>
            </w:r>
          </w:p>
        </w:tc>
        <w:tc>
          <w:tcPr>
            <w:tcW w:w="816" w:type="dxa"/>
            <w:tcBorders>
              <w:top w:val="nil"/>
              <w:left w:val="nil"/>
              <w:bottom w:val="nil"/>
              <w:right w:val="single" w:sz="8" w:space="0" w:color="auto"/>
            </w:tcBorders>
            <w:shd w:val="clear" w:color="auto" w:fill="auto"/>
            <w:vAlign w:val="center"/>
            <w:hideMark/>
          </w:tcPr>
          <w:p w14:paraId="54ACF3F0"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12.91%</w:t>
            </w:r>
          </w:p>
        </w:tc>
        <w:tc>
          <w:tcPr>
            <w:tcW w:w="670" w:type="dxa"/>
            <w:tcBorders>
              <w:top w:val="nil"/>
              <w:left w:val="nil"/>
              <w:bottom w:val="nil"/>
              <w:right w:val="single" w:sz="8" w:space="0" w:color="auto"/>
            </w:tcBorders>
            <w:shd w:val="clear" w:color="auto" w:fill="auto"/>
            <w:noWrap/>
            <w:vAlign w:val="center"/>
            <w:hideMark/>
          </w:tcPr>
          <w:p w14:paraId="0A171AE1"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3.14</w:t>
            </w:r>
          </w:p>
        </w:tc>
        <w:tc>
          <w:tcPr>
            <w:tcW w:w="950" w:type="dxa"/>
            <w:tcBorders>
              <w:top w:val="nil"/>
              <w:left w:val="nil"/>
              <w:bottom w:val="nil"/>
              <w:right w:val="single" w:sz="8" w:space="0" w:color="auto"/>
            </w:tcBorders>
            <w:shd w:val="clear" w:color="auto" w:fill="auto"/>
            <w:vAlign w:val="center"/>
            <w:hideMark/>
          </w:tcPr>
          <w:p w14:paraId="336ED14D"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-15.64%</w:t>
            </w:r>
          </w:p>
        </w:tc>
        <w:tc>
          <w:tcPr>
            <w:tcW w:w="697" w:type="dxa"/>
            <w:tcBorders>
              <w:top w:val="nil"/>
              <w:left w:val="nil"/>
              <w:bottom w:val="nil"/>
              <w:right w:val="single" w:sz="8" w:space="0" w:color="auto"/>
            </w:tcBorders>
            <w:shd w:val="clear" w:color="auto" w:fill="auto"/>
            <w:noWrap/>
            <w:vAlign w:val="center"/>
            <w:hideMark/>
          </w:tcPr>
          <w:p w14:paraId="3D604D37"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-3.46</w:t>
            </w:r>
          </w:p>
        </w:tc>
        <w:tc>
          <w:tcPr>
            <w:tcW w:w="266" w:type="dxa"/>
            <w:tcBorders>
              <w:top w:val="nil"/>
              <w:left w:val="single" w:sz="12" w:space="0" w:color="auto"/>
              <w:bottom w:val="nil"/>
              <w:right w:val="nil"/>
            </w:tcBorders>
            <w:shd w:val="clear" w:color="auto" w:fill="auto"/>
            <w:vAlign w:val="center"/>
            <w:hideMark/>
          </w:tcPr>
          <w:p w14:paraId="327F1371"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 </w:t>
            </w:r>
          </w:p>
        </w:tc>
        <w:tc>
          <w:tcPr>
            <w:tcW w:w="764" w:type="dxa"/>
            <w:tcBorders>
              <w:top w:val="nil"/>
              <w:left w:val="single" w:sz="12" w:space="0" w:color="auto"/>
              <w:bottom w:val="nil"/>
              <w:right w:val="single" w:sz="8" w:space="0" w:color="auto"/>
            </w:tcBorders>
            <w:shd w:val="clear" w:color="auto" w:fill="auto"/>
            <w:vAlign w:val="center"/>
            <w:hideMark/>
          </w:tcPr>
          <w:p w14:paraId="5019B56F"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-6.31%</w:t>
            </w:r>
          </w:p>
        </w:tc>
        <w:tc>
          <w:tcPr>
            <w:tcW w:w="645" w:type="dxa"/>
            <w:tcBorders>
              <w:top w:val="nil"/>
              <w:left w:val="nil"/>
              <w:bottom w:val="nil"/>
              <w:right w:val="single" w:sz="12" w:space="0" w:color="auto"/>
            </w:tcBorders>
            <w:shd w:val="clear" w:color="auto" w:fill="auto"/>
            <w:noWrap/>
            <w:vAlign w:val="center"/>
            <w:hideMark/>
          </w:tcPr>
          <w:p w14:paraId="055245EF"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-1.36</w:t>
            </w:r>
          </w:p>
        </w:tc>
        <w:tc>
          <w:tcPr>
            <w:tcW w:w="798" w:type="dxa"/>
            <w:tcBorders>
              <w:top w:val="nil"/>
              <w:left w:val="nil"/>
              <w:bottom w:val="nil"/>
              <w:right w:val="single" w:sz="8" w:space="0" w:color="auto"/>
            </w:tcBorders>
            <w:shd w:val="clear" w:color="auto" w:fill="auto"/>
            <w:vAlign w:val="center"/>
            <w:hideMark/>
          </w:tcPr>
          <w:p w14:paraId="405196CD"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13.78%</w:t>
            </w:r>
          </w:p>
        </w:tc>
        <w:tc>
          <w:tcPr>
            <w:tcW w:w="676" w:type="dxa"/>
            <w:tcBorders>
              <w:top w:val="nil"/>
              <w:left w:val="nil"/>
              <w:bottom w:val="nil"/>
              <w:right w:val="single" w:sz="12" w:space="0" w:color="auto"/>
            </w:tcBorders>
            <w:shd w:val="clear" w:color="auto" w:fill="auto"/>
            <w:noWrap/>
            <w:vAlign w:val="center"/>
            <w:hideMark/>
          </w:tcPr>
          <w:p w14:paraId="1512FA10"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3.25</w:t>
            </w:r>
          </w:p>
        </w:tc>
        <w:tc>
          <w:tcPr>
            <w:tcW w:w="807" w:type="dxa"/>
            <w:tcBorders>
              <w:top w:val="nil"/>
              <w:left w:val="nil"/>
              <w:bottom w:val="nil"/>
              <w:right w:val="single" w:sz="8" w:space="0" w:color="auto"/>
            </w:tcBorders>
            <w:shd w:val="clear" w:color="auto" w:fill="auto"/>
            <w:vAlign w:val="center"/>
            <w:hideMark/>
          </w:tcPr>
          <w:p w14:paraId="140FE526"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-16.38%</w:t>
            </w:r>
          </w:p>
        </w:tc>
        <w:tc>
          <w:tcPr>
            <w:tcW w:w="667" w:type="dxa"/>
            <w:tcBorders>
              <w:top w:val="nil"/>
              <w:left w:val="nil"/>
              <w:bottom w:val="nil"/>
              <w:right w:val="single" w:sz="12" w:space="0" w:color="auto"/>
            </w:tcBorders>
            <w:shd w:val="clear" w:color="auto" w:fill="auto"/>
            <w:noWrap/>
            <w:vAlign w:val="center"/>
            <w:hideMark/>
          </w:tcPr>
          <w:p w14:paraId="40D69229"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-3.62</w:t>
            </w:r>
          </w:p>
        </w:tc>
      </w:tr>
      <w:tr w:rsidR="00E424CE" w:rsidRPr="00BC5C89" w14:paraId="2B5053D0" w14:textId="77777777" w:rsidTr="00B26DFD">
        <w:trPr>
          <w:trHeight w:val="300"/>
        </w:trPr>
        <w:tc>
          <w:tcPr>
            <w:tcW w:w="760" w:type="dxa"/>
            <w:tcBorders>
              <w:top w:val="nil"/>
              <w:left w:val="single" w:sz="8" w:space="0" w:color="auto"/>
              <w:bottom w:val="nil"/>
              <w:right w:val="single" w:sz="8" w:space="0" w:color="auto"/>
            </w:tcBorders>
            <w:shd w:val="clear" w:color="auto" w:fill="auto"/>
            <w:vAlign w:val="center"/>
            <w:hideMark/>
          </w:tcPr>
          <w:p w14:paraId="01DAF36C"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 to 150</w:t>
            </w:r>
          </w:p>
        </w:tc>
        <w:tc>
          <w:tcPr>
            <w:tcW w:w="816" w:type="dxa"/>
            <w:tcBorders>
              <w:top w:val="nil"/>
              <w:left w:val="nil"/>
              <w:bottom w:val="nil"/>
              <w:right w:val="single" w:sz="8" w:space="0" w:color="auto"/>
            </w:tcBorders>
            <w:shd w:val="clear" w:color="auto" w:fill="auto"/>
            <w:vAlign w:val="center"/>
            <w:hideMark/>
          </w:tcPr>
          <w:p w14:paraId="47B92FDB"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-16.04%</w:t>
            </w:r>
          </w:p>
        </w:tc>
        <w:tc>
          <w:tcPr>
            <w:tcW w:w="647" w:type="dxa"/>
            <w:tcBorders>
              <w:top w:val="nil"/>
              <w:left w:val="nil"/>
              <w:bottom w:val="nil"/>
              <w:right w:val="single" w:sz="8" w:space="0" w:color="auto"/>
            </w:tcBorders>
            <w:shd w:val="clear" w:color="auto" w:fill="auto"/>
            <w:noWrap/>
            <w:vAlign w:val="center"/>
            <w:hideMark/>
          </w:tcPr>
          <w:p w14:paraId="266DC92F"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-3.55</w:t>
            </w:r>
          </w:p>
        </w:tc>
        <w:tc>
          <w:tcPr>
            <w:tcW w:w="816" w:type="dxa"/>
            <w:tcBorders>
              <w:top w:val="nil"/>
              <w:left w:val="nil"/>
              <w:bottom w:val="nil"/>
              <w:right w:val="single" w:sz="8" w:space="0" w:color="auto"/>
            </w:tcBorders>
            <w:shd w:val="clear" w:color="auto" w:fill="auto"/>
            <w:vAlign w:val="center"/>
            <w:hideMark/>
          </w:tcPr>
          <w:p w14:paraId="5CCBE019"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9.07%</w:t>
            </w:r>
          </w:p>
        </w:tc>
        <w:tc>
          <w:tcPr>
            <w:tcW w:w="670" w:type="dxa"/>
            <w:tcBorders>
              <w:top w:val="nil"/>
              <w:left w:val="nil"/>
              <w:bottom w:val="nil"/>
              <w:right w:val="single" w:sz="8" w:space="0" w:color="auto"/>
            </w:tcBorders>
            <w:shd w:val="clear" w:color="auto" w:fill="auto"/>
            <w:noWrap/>
            <w:vAlign w:val="center"/>
            <w:hideMark/>
          </w:tcPr>
          <w:p w14:paraId="1460F8A0"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2.26</w:t>
            </w:r>
          </w:p>
        </w:tc>
        <w:tc>
          <w:tcPr>
            <w:tcW w:w="950" w:type="dxa"/>
            <w:tcBorders>
              <w:top w:val="nil"/>
              <w:left w:val="nil"/>
              <w:bottom w:val="nil"/>
              <w:right w:val="single" w:sz="8" w:space="0" w:color="auto"/>
            </w:tcBorders>
            <w:shd w:val="clear" w:color="auto" w:fill="auto"/>
            <w:vAlign w:val="center"/>
            <w:hideMark/>
          </w:tcPr>
          <w:p w14:paraId="672EC7EC"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-26.80%</w:t>
            </w:r>
          </w:p>
        </w:tc>
        <w:tc>
          <w:tcPr>
            <w:tcW w:w="697" w:type="dxa"/>
            <w:tcBorders>
              <w:top w:val="nil"/>
              <w:left w:val="nil"/>
              <w:bottom w:val="nil"/>
              <w:right w:val="single" w:sz="8" w:space="0" w:color="auto"/>
            </w:tcBorders>
            <w:shd w:val="clear" w:color="auto" w:fill="auto"/>
            <w:noWrap/>
            <w:vAlign w:val="center"/>
            <w:hideMark/>
          </w:tcPr>
          <w:p w14:paraId="08B8929D"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-5.99</w:t>
            </w:r>
          </w:p>
        </w:tc>
        <w:tc>
          <w:tcPr>
            <w:tcW w:w="266" w:type="dxa"/>
            <w:tcBorders>
              <w:top w:val="nil"/>
              <w:left w:val="single" w:sz="12" w:space="0" w:color="auto"/>
              <w:bottom w:val="nil"/>
              <w:right w:val="nil"/>
            </w:tcBorders>
            <w:shd w:val="clear" w:color="auto" w:fill="auto"/>
            <w:vAlign w:val="center"/>
            <w:hideMark/>
          </w:tcPr>
          <w:p w14:paraId="2BDD3766"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 </w:t>
            </w:r>
          </w:p>
        </w:tc>
        <w:tc>
          <w:tcPr>
            <w:tcW w:w="764" w:type="dxa"/>
            <w:tcBorders>
              <w:top w:val="nil"/>
              <w:left w:val="single" w:sz="12" w:space="0" w:color="auto"/>
              <w:bottom w:val="nil"/>
              <w:right w:val="single" w:sz="8" w:space="0" w:color="auto"/>
            </w:tcBorders>
            <w:shd w:val="clear" w:color="auto" w:fill="auto"/>
            <w:vAlign w:val="center"/>
            <w:hideMark/>
          </w:tcPr>
          <w:p w14:paraId="60A31DE4"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-15.08%</w:t>
            </w:r>
          </w:p>
        </w:tc>
        <w:tc>
          <w:tcPr>
            <w:tcW w:w="645" w:type="dxa"/>
            <w:tcBorders>
              <w:top w:val="nil"/>
              <w:left w:val="nil"/>
              <w:bottom w:val="nil"/>
              <w:right w:val="single" w:sz="12" w:space="0" w:color="auto"/>
            </w:tcBorders>
            <w:shd w:val="clear" w:color="auto" w:fill="auto"/>
            <w:noWrap/>
            <w:vAlign w:val="center"/>
            <w:hideMark/>
          </w:tcPr>
          <w:p w14:paraId="6CBEABDC"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-3.29</w:t>
            </w:r>
          </w:p>
        </w:tc>
        <w:tc>
          <w:tcPr>
            <w:tcW w:w="798" w:type="dxa"/>
            <w:tcBorders>
              <w:top w:val="nil"/>
              <w:left w:val="nil"/>
              <w:bottom w:val="nil"/>
              <w:right w:val="single" w:sz="8" w:space="0" w:color="auto"/>
            </w:tcBorders>
            <w:shd w:val="clear" w:color="auto" w:fill="auto"/>
            <w:vAlign w:val="center"/>
            <w:hideMark/>
          </w:tcPr>
          <w:p w14:paraId="69D416AC"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10.20%</w:t>
            </w:r>
          </w:p>
        </w:tc>
        <w:tc>
          <w:tcPr>
            <w:tcW w:w="676" w:type="dxa"/>
            <w:tcBorders>
              <w:top w:val="nil"/>
              <w:left w:val="nil"/>
              <w:bottom w:val="nil"/>
              <w:right w:val="single" w:sz="12" w:space="0" w:color="auto"/>
            </w:tcBorders>
            <w:shd w:val="clear" w:color="auto" w:fill="auto"/>
            <w:noWrap/>
            <w:vAlign w:val="center"/>
            <w:hideMark/>
          </w:tcPr>
          <w:p w14:paraId="0876B927"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2.47</w:t>
            </w:r>
          </w:p>
        </w:tc>
        <w:tc>
          <w:tcPr>
            <w:tcW w:w="807" w:type="dxa"/>
            <w:tcBorders>
              <w:top w:val="nil"/>
              <w:left w:val="nil"/>
              <w:bottom w:val="nil"/>
              <w:right w:val="single" w:sz="8" w:space="0" w:color="auto"/>
            </w:tcBorders>
            <w:shd w:val="clear" w:color="auto" w:fill="auto"/>
            <w:vAlign w:val="center"/>
            <w:hideMark/>
          </w:tcPr>
          <w:p w14:paraId="4DA9B986"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-27.70%</w:t>
            </w:r>
          </w:p>
        </w:tc>
        <w:tc>
          <w:tcPr>
            <w:tcW w:w="667" w:type="dxa"/>
            <w:tcBorders>
              <w:top w:val="nil"/>
              <w:left w:val="nil"/>
              <w:bottom w:val="nil"/>
              <w:right w:val="single" w:sz="12" w:space="0" w:color="auto"/>
            </w:tcBorders>
            <w:shd w:val="clear" w:color="auto" w:fill="auto"/>
            <w:noWrap/>
            <w:vAlign w:val="center"/>
            <w:hideMark/>
          </w:tcPr>
          <w:p w14:paraId="033F37E7"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-6.28</w:t>
            </w:r>
          </w:p>
        </w:tc>
      </w:tr>
      <w:tr w:rsidR="00E424CE" w:rsidRPr="00BC5C89" w14:paraId="5868F8C7" w14:textId="77777777" w:rsidTr="00B26DFD">
        <w:trPr>
          <w:trHeight w:val="300"/>
        </w:trPr>
        <w:tc>
          <w:tcPr>
            <w:tcW w:w="760" w:type="dxa"/>
            <w:tcBorders>
              <w:top w:val="nil"/>
              <w:left w:val="single" w:sz="8" w:space="0" w:color="auto"/>
              <w:bottom w:val="nil"/>
              <w:right w:val="single" w:sz="8" w:space="0" w:color="auto"/>
            </w:tcBorders>
            <w:shd w:val="clear" w:color="auto" w:fill="auto"/>
            <w:vAlign w:val="center"/>
            <w:hideMark/>
          </w:tcPr>
          <w:p w14:paraId="43AC2390"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 to 200</w:t>
            </w:r>
          </w:p>
        </w:tc>
        <w:tc>
          <w:tcPr>
            <w:tcW w:w="816" w:type="dxa"/>
            <w:tcBorders>
              <w:top w:val="nil"/>
              <w:left w:val="nil"/>
              <w:bottom w:val="nil"/>
              <w:right w:val="single" w:sz="8" w:space="0" w:color="auto"/>
            </w:tcBorders>
            <w:shd w:val="clear" w:color="auto" w:fill="auto"/>
            <w:vAlign w:val="center"/>
            <w:hideMark/>
          </w:tcPr>
          <w:p w14:paraId="3DDD235B"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-21.46%</w:t>
            </w:r>
          </w:p>
        </w:tc>
        <w:tc>
          <w:tcPr>
            <w:tcW w:w="647" w:type="dxa"/>
            <w:tcBorders>
              <w:top w:val="nil"/>
              <w:left w:val="nil"/>
              <w:bottom w:val="nil"/>
              <w:right w:val="single" w:sz="8" w:space="0" w:color="auto"/>
            </w:tcBorders>
            <w:shd w:val="clear" w:color="auto" w:fill="auto"/>
            <w:noWrap/>
            <w:vAlign w:val="center"/>
            <w:hideMark/>
          </w:tcPr>
          <w:p w14:paraId="67A21DF1"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-4.62</w:t>
            </w:r>
          </w:p>
        </w:tc>
        <w:tc>
          <w:tcPr>
            <w:tcW w:w="816" w:type="dxa"/>
            <w:tcBorders>
              <w:top w:val="nil"/>
              <w:left w:val="nil"/>
              <w:bottom w:val="nil"/>
              <w:right w:val="single" w:sz="8" w:space="0" w:color="auto"/>
            </w:tcBorders>
            <w:shd w:val="clear" w:color="auto" w:fill="auto"/>
            <w:vAlign w:val="center"/>
            <w:hideMark/>
          </w:tcPr>
          <w:p w14:paraId="5163961E"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12.47%</w:t>
            </w:r>
          </w:p>
        </w:tc>
        <w:tc>
          <w:tcPr>
            <w:tcW w:w="670" w:type="dxa"/>
            <w:tcBorders>
              <w:top w:val="nil"/>
              <w:left w:val="nil"/>
              <w:bottom w:val="nil"/>
              <w:right w:val="single" w:sz="8" w:space="0" w:color="auto"/>
            </w:tcBorders>
            <w:shd w:val="clear" w:color="auto" w:fill="auto"/>
            <w:noWrap/>
            <w:vAlign w:val="center"/>
            <w:hideMark/>
          </w:tcPr>
          <w:p w14:paraId="7482E87E"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3.28</w:t>
            </w:r>
          </w:p>
        </w:tc>
        <w:tc>
          <w:tcPr>
            <w:tcW w:w="950" w:type="dxa"/>
            <w:tcBorders>
              <w:top w:val="nil"/>
              <w:left w:val="nil"/>
              <w:bottom w:val="nil"/>
              <w:right w:val="single" w:sz="8" w:space="0" w:color="auto"/>
            </w:tcBorders>
            <w:shd w:val="clear" w:color="auto" w:fill="auto"/>
            <w:vAlign w:val="center"/>
            <w:hideMark/>
          </w:tcPr>
          <w:p w14:paraId="5D1E23AE"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-36.35%</w:t>
            </w:r>
          </w:p>
        </w:tc>
        <w:tc>
          <w:tcPr>
            <w:tcW w:w="697" w:type="dxa"/>
            <w:tcBorders>
              <w:top w:val="nil"/>
              <w:left w:val="nil"/>
              <w:bottom w:val="nil"/>
              <w:right w:val="single" w:sz="8" w:space="0" w:color="auto"/>
            </w:tcBorders>
            <w:shd w:val="clear" w:color="auto" w:fill="auto"/>
            <w:noWrap/>
            <w:vAlign w:val="center"/>
            <w:hideMark/>
          </w:tcPr>
          <w:p w14:paraId="684BB86E"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-7.77</w:t>
            </w:r>
          </w:p>
        </w:tc>
        <w:tc>
          <w:tcPr>
            <w:tcW w:w="266" w:type="dxa"/>
            <w:tcBorders>
              <w:top w:val="nil"/>
              <w:left w:val="single" w:sz="12" w:space="0" w:color="auto"/>
              <w:bottom w:val="nil"/>
              <w:right w:val="nil"/>
            </w:tcBorders>
            <w:shd w:val="clear" w:color="auto" w:fill="auto"/>
            <w:vAlign w:val="center"/>
            <w:hideMark/>
          </w:tcPr>
          <w:p w14:paraId="3BEF3538"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 </w:t>
            </w:r>
          </w:p>
        </w:tc>
        <w:tc>
          <w:tcPr>
            <w:tcW w:w="764" w:type="dxa"/>
            <w:tcBorders>
              <w:top w:val="nil"/>
              <w:left w:val="single" w:sz="12" w:space="0" w:color="auto"/>
              <w:bottom w:val="nil"/>
              <w:right w:val="single" w:sz="8" w:space="0" w:color="auto"/>
            </w:tcBorders>
            <w:shd w:val="clear" w:color="auto" w:fill="auto"/>
            <w:vAlign w:val="center"/>
            <w:hideMark/>
          </w:tcPr>
          <w:p w14:paraId="62D97657"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-20.53%</w:t>
            </w:r>
          </w:p>
        </w:tc>
        <w:tc>
          <w:tcPr>
            <w:tcW w:w="645" w:type="dxa"/>
            <w:tcBorders>
              <w:top w:val="nil"/>
              <w:left w:val="nil"/>
              <w:bottom w:val="nil"/>
              <w:right w:val="single" w:sz="12" w:space="0" w:color="auto"/>
            </w:tcBorders>
            <w:shd w:val="clear" w:color="auto" w:fill="auto"/>
            <w:noWrap/>
            <w:vAlign w:val="center"/>
            <w:hideMark/>
          </w:tcPr>
          <w:p w14:paraId="4B9DCF02"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-4.32</w:t>
            </w:r>
          </w:p>
        </w:tc>
        <w:tc>
          <w:tcPr>
            <w:tcW w:w="798" w:type="dxa"/>
            <w:tcBorders>
              <w:top w:val="nil"/>
              <w:left w:val="nil"/>
              <w:bottom w:val="nil"/>
              <w:right w:val="single" w:sz="8" w:space="0" w:color="auto"/>
            </w:tcBorders>
            <w:shd w:val="clear" w:color="auto" w:fill="auto"/>
            <w:vAlign w:val="center"/>
            <w:hideMark/>
          </w:tcPr>
          <w:p w14:paraId="001B4CAF"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13.88%</w:t>
            </w:r>
          </w:p>
        </w:tc>
        <w:tc>
          <w:tcPr>
            <w:tcW w:w="676" w:type="dxa"/>
            <w:tcBorders>
              <w:top w:val="nil"/>
              <w:left w:val="nil"/>
              <w:bottom w:val="nil"/>
              <w:right w:val="single" w:sz="12" w:space="0" w:color="auto"/>
            </w:tcBorders>
            <w:shd w:val="clear" w:color="auto" w:fill="auto"/>
            <w:noWrap/>
            <w:vAlign w:val="center"/>
            <w:hideMark/>
          </w:tcPr>
          <w:p w14:paraId="32597798"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3.55</w:t>
            </w:r>
          </w:p>
        </w:tc>
        <w:tc>
          <w:tcPr>
            <w:tcW w:w="807" w:type="dxa"/>
            <w:tcBorders>
              <w:top w:val="nil"/>
              <w:left w:val="nil"/>
              <w:bottom w:val="nil"/>
              <w:right w:val="single" w:sz="8" w:space="0" w:color="auto"/>
            </w:tcBorders>
            <w:shd w:val="clear" w:color="auto" w:fill="auto"/>
            <w:vAlign w:val="center"/>
            <w:hideMark/>
          </w:tcPr>
          <w:p w14:paraId="2D4DC788"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-37.06%</w:t>
            </w:r>
          </w:p>
        </w:tc>
        <w:tc>
          <w:tcPr>
            <w:tcW w:w="667" w:type="dxa"/>
            <w:tcBorders>
              <w:top w:val="nil"/>
              <w:left w:val="nil"/>
              <w:bottom w:val="nil"/>
              <w:right w:val="single" w:sz="12" w:space="0" w:color="auto"/>
            </w:tcBorders>
            <w:shd w:val="clear" w:color="auto" w:fill="auto"/>
            <w:noWrap/>
            <w:vAlign w:val="center"/>
            <w:hideMark/>
          </w:tcPr>
          <w:p w14:paraId="1BEC6EF2"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-8.09</w:t>
            </w:r>
          </w:p>
        </w:tc>
      </w:tr>
      <w:tr w:rsidR="00E424CE" w:rsidRPr="00BC5C89" w14:paraId="75F129C4" w14:textId="77777777" w:rsidTr="00B26DFD">
        <w:trPr>
          <w:trHeight w:val="300"/>
        </w:trPr>
        <w:tc>
          <w:tcPr>
            <w:tcW w:w="760" w:type="dxa"/>
            <w:tcBorders>
              <w:top w:val="nil"/>
              <w:left w:val="single" w:sz="8" w:space="0" w:color="auto"/>
              <w:bottom w:val="nil"/>
              <w:right w:val="single" w:sz="8" w:space="0" w:color="auto"/>
            </w:tcBorders>
            <w:shd w:val="clear" w:color="auto" w:fill="auto"/>
            <w:vAlign w:val="center"/>
            <w:hideMark/>
          </w:tcPr>
          <w:p w14:paraId="4E1CD358"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 to 250</w:t>
            </w:r>
          </w:p>
        </w:tc>
        <w:tc>
          <w:tcPr>
            <w:tcW w:w="816" w:type="dxa"/>
            <w:tcBorders>
              <w:top w:val="nil"/>
              <w:left w:val="nil"/>
              <w:bottom w:val="nil"/>
              <w:right w:val="single" w:sz="8" w:space="0" w:color="auto"/>
            </w:tcBorders>
            <w:shd w:val="clear" w:color="auto" w:fill="auto"/>
            <w:vAlign w:val="center"/>
            <w:hideMark/>
          </w:tcPr>
          <w:p w14:paraId="42E4A3C5"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-26.74%</w:t>
            </w:r>
          </w:p>
        </w:tc>
        <w:tc>
          <w:tcPr>
            <w:tcW w:w="647" w:type="dxa"/>
            <w:tcBorders>
              <w:top w:val="nil"/>
              <w:left w:val="nil"/>
              <w:bottom w:val="nil"/>
              <w:right w:val="single" w:sz="8" w:space="0" w:color="auto"/>
            </w:tcBorders>
            <w:shd w:val="clear" w:color="auto" w:fill="auto"/>
            <w:noWrap/>
            <w:vAlign w:val="center"/>
            <w:hideMark/>
          </w:tcPr>
          <w:p w14:paraId="586B9D5F"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-5.71</w:t>
            </w:r>
          </w:p>
        </w:tc>
        <w:tc>
          <w:tcPr>
            <w:tcW w:w="816" w:type="dxa"/>
            <w:tcBorders>
              <w:top w:val="nil"/>
              <w:left w:val="nil"/>
              <w:bottom w:val="nil"/>
              <w:right w:val="single" w:sz="8" w:space="0" w:color="auto"/>
            </w:tcBorders>
            <w:shd w:val="clear" w:color="auto" w:fill="auto"/>
            <w:vAlign w:val="center"/>
            <w:hideMark/>
          </w:tcPr>
          <w:p w14:paraId="3381396D"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6.00%</w:t>
            </w:r>
          </w:p>
        </w:tc>
        <w:tc>
          <w:tcPr>
            <w:tcW w:w="670" w:type="dxa"/>
            <w:tcBorders>
              <w:top w:val="nil"/>
              <w:left w:val="nil"/>
              <w:bottom w:val="nil"/>
              <w:right w:val="single" w:sz="8" w:space="0" w:color="auto"/>
            </w:tcBorders>
            <w:shd w:val="clear" w:color="auto" w:fill="auto"/>
            <w:noWrap/>
            <w:vAlign w:val="center"/>
            <w:hideMark/>
          </w:tcPr>
          <w:p w14:paraId="7F84E45C"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1.58</w:t>
            </w:r>
          </w:p>
        </w:tc>
        <w:tc>
          <w:tcPr>
            <w:tcW w:w="950" w:type="dxa"/>
            <w:tcBorders>
              <w:top w:val="nil"/>
              <w:left w:val="nil"/>
              <w:bottom w:val="nil"/>
              <w:right w:val="single" w:sz="8" w:space="0" w:color="auto"/>
            </w:tcBorders>
            <w:shd w:val="clear" w:color="auto" w:fill="auto"/>
            <w:vAlign w:val="center"/>
            <w:hideMark/>
          </w:tcPr>
          <w:p w14:paraId="28398E7E"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-40.56%</w:t>
            </w:r>
          </w:p>
        </w:tc>
        <w:tc>
          <w:tcPr>
            <w:tcW w:w="697" w:type="dxa"/>
            <w:tcBorders>
              <w:top w:val="nil"/>
              <w:left w:val="nil"/>
              <w:bottom w:val="nil"/>
              <w:right w:val="single" w:sz="8" w:space="0" w:color="auto"/>
            </w:tcBorders>
            <w:shd w:val="clear" w:color="auto" w:fill="auto"/>
            <w:noWrap/>
            <w:vAlign w:val="center"/>
            <w:hideMark/>
          </w:tcPr>
          <w:p w14:paraId="431C2EFF"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-8.46</w:t>
            </w:r>
          </w:p>
        </w:tc>
        <w:tc>
          <w:tcPr>
            <w:tcW w:w="266" w:type="dxa"/>
            <w:tcBorders>
              <w:top w:val="nil"/>
              <w:left w:val="single" w:sz="12" w:space="0" w:color="auto"/>
              <w:bottom w:val="nil"/>
              <w:right w:val="nil"/>
            </w:tcBorders>
            <w:shd w:val="clear" w:color="auto" w:fill="auto"/>
            <w:vAlign w:val="center"/>
            <w:hideMark/>
          </w:tcPr>
          <w:p w14:paraId="2B43C175"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 </w:t>
            </w:r>
          </w:p>
        </w:tc>
        <w:tc>
          <w:tcPr>
            <w:tcW w:w="764" w:type="dxa"/>
            <w:tcBorders>
              <w:top w:val="nil"/>
              <w:left w:val="single" w:sz="12" w:space="0" w:color="auto"/>
              <w:bottom w:val="nil"/>
              <w:right w:val="single" w:sz="8" w:space="0" w:color="auto"/>
            </w:tcBorders>
            <w:shd w:val="clear" w:color="auto" w:fill="auto"/>
            <w:vAlign w:val="center"/>
            <w:hideMark/>
          </w:tcPr>
          <w:p w14:paraId="616170A8"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-25.21%</w:t>
            </w:r>
          </w:p>
        </w:tc>
        <w:tc>
          <w:tcPr>
            <w:tcW w:w="645" w:type="dxa"/>
            <w:tcBorders>
              <w:top w:val="nil"/>
              <w:left w:val="nil"/>
              <w:bottom w:val="nil"/>
              <w:right w:val="single" w:sz="12" w:space="0" w:color="auto"/>
            </w:tcBorders>
            <w:shd w:val="clear" w:color="auto" w:fill="auto"/>
            <w:noWrap/>
            <w:vAlign w:val="center"/>
            <w:hideMark/>
          </w:tcPr>
          <w:p w14:paraId="722BBDFC"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-5.33</w:t>
            </w:r>
          </w:p>
        </w:tc>
        <w:tc>
          <w:tcPr>
            <w:tcW w:w="798" w:type="dxa"/>
            <w:tcBorders>
              <w:top w:val="nil"/>
              <w:left w:val="nil"/>
              <w:bottom w:val="nil"/>
              <w:right w:val="single" w:sz="8" w:space="0" w:color="auto"/>
            </w:tcBorders>
            <w:shd w:val="clear" w:color="auto" w:fill="auto"/>
            <w:vAlign w:val="center"/>
            <w:hideMark/>
          </w:tcPr>
          <w:p w14:paraId="13246E67"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7.81%</w:t>
            </w:r>
          </w:p>
        </w:tc>
        <w:tc>
          <w:tcPr>
            <w:tcW w:w="676" w:type="dxa"/>
            <w:tcBorders>
              <w:top w:val="nil"/>
              <w:left w:val="nil"/>
              <w:bottom w:val="nil"/>
              <w:right w:val="single" w:sz="12" w:space="0" w:color="auto"/>
            </w:tcBorders>
            <w:shd w:val="clear" w:color="auto" w:fill="auto"/>
            <w:noWrap/>
            <w:vAlign w:val="center"/>
            <w:hideMark/>
          </w:tcPr>
          <w:p w14:paraId="77AC10A6"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2.03</w:t>
            </w:r>
          </w:p>
        </w:tc>
        <w:tc>
          <w:tcPr>
            <w:tcW w:w="807" w:type="dxa"/>
            <w:tcBorders>
              <w:top w:val="nil"/>
              <w:left w:val="nil"/>
              <w:bottom w:val="nil"/>
              <w:right w:val="single" w:sz="8" w:space="0" w:color="auto"/>
            </w:tcBorders>
            <w:shd w:val="clear" w:color="auto" w:fill="auto"/>
            <w:vAlign w:val="center"/>
            <w:hideMark/>
          </w:tcPr>
          <w:p w14:paraId="1F07A917"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-41.89%</w:t>
            </w:r>
          </w:p>
        </w:tc>
        <w:tc>
          <w:tcPr>
            <w:tcW w:w="667" w:type="dxa"/>
            <w:tcBorders>
              <w:top w:val="nil"/>
              <w:left w:val="nil"/>
              <w:bottom w:val="nil"/>
              <w:right w:val="single" w:sz="12" w:space="0" w:color="auto"/>
            </w:tcBorders>
            <w:shd w:val="clear" w:color="auto" w:fill="auto"/>
            <w:noWrap/>
            <w:vAlign w:val="center"/>
            <w:hideMark/>
          </w:tcPr>
          <w:p w14:paraId="03EEA9B5"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-8.84</w:t>
            </w:r>
          </w:p>
        </w:tc>
      </w:tr>
      <w:tr w:rsidR="00E424CE" w:rsidRPr="00BC5C89" w14:paraId="7B5EEB1F" w14:textId="77777777" w:rsidTr="00B26DFD">
        <w:trPr>
          <w:trHeight w:val="300"/>
        </w:trPr>
        <w:tc>
          <w:tcPr>
            <w:tcW w:w="760" w:type="dxa"/>
            <w:tcBorders>
              <w:top w:val="nil"/>
              <w:left w:val="single" w:sz="8" w:space="0" w:color="auto"/>
              <w:bottom w:val="nil"/>
              <w:right w:val="single" w:sz="8" w:space="0" w:color="auto"/>
            </w:tcBorders>
            <w:shd w:val="clear" w:color="auto" w:fill="auto"/>
            <w:vAlign w:val="center"/>
            <w:hideMark/>
          </w:tcPr>
          <w:p w14:paraId="3FDC3A11"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 to 375</w:t>
            </w:r>
          </w:p>
        </w:tc>
        <w:tc>
          <w:tcPr>
            <w:tcW w:w="816" w:type="dxa"/>
            <w:tcBorders>
              <w:top w:val="nil"/>
              <w:left w:val="nil"/>
              <w:bottom w:val="nil"/>
              <w:right w:val="single" w:sz="8" w:space="0" w:color="auto"/>
            </w:tcBorders>
            <w:shd w:val="clear" w:color="auto" w:fill="auto"/>
            <w:vAlign w:val="center"/>
            <w:hideMark/>
          </w:tcPr>
          <w:p w14:paraId="7EAC6D5F"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-36.80%</w:t>
            </w:r>
          </w:p>
        </w:tc>
        <w:tc>
          <w:tcPr>
            <w:tcW w:w="647" w:type="dxa"/>
            <w:tcBorders>
              <w:top w:val="nil"/>
              <w:left w:val="nil"/>
              <w:bottom w:val="nil"/>
              <w:right w:val="single" w:sz="8" w:space="0" w:color="auto"/>
            </w:tcBorders>
            <w:shd w:val="clear" w:color="auto" w:fill="auto"/>
            <w:noWrap/>
            <w:vAlign w:val="center"/>
            <w:hideMark/>
          </w:tcPr>
          <w:p w14:paraId="37ECD57D"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-8.03</w:t>
            </w:r>
          </w:p>
        </w:tc>
        <w:tc>
          <w:tcPr>
            <w:tcW w:w="816" w:type="dxa"/>
            <w:tcBorders>
              <w:top w:val="nil"/>
              <w:left w:val="nil"/>
              <w:bottom w:val="nil"/>
              <w:right w:val="single" w:sz="8" w:space="0" w:color="auto"/>
            </w:tcBorders>
            <w:shd w:val="clear" w:color="auto" w:fill="auto"/>
            <w:vAlign w:val="center"/>
            <w:hideMark/>
          </w:tcPr>
          <w:p w14:paraId="13C6FF8B"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5.96%</w:t>
            </w:r>
          </w:p>
        </w:tc>
        <w:tc>
          <w:tcPr>
            <w:tcW w:w="670" w:type="dxa"/>
            <w:tcBorders>
              <w:top w:val="nil"/>
              <w:left w:val="nil"/>
              <w:bottom w:val="nil"/>
              <w:right w:val="single" w:sz="8" w:space="0" w:color="auto"/>
            </w:tcBorders>
            <w:shd w:val="clear" w:color="auto" w:fill="auto"/>
            <w:noWrap/>
            <w:vAlign w:val="center"/>
            <w:hideMark/>
          </w:tcPr>
          <w:p w14:paraId="544636E2"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1.49</w:t>
            </w:r>
          </w:p>
        </w:tc>
        <w:tc>
          <w:tcPr>
            <w:tcW w:w="950" w:type="dxa"/>
            <w:tcBorders>
              <w:top w:val="nil"/>
              <w:left w:val="nil"/>
              <w:bottom w:val="nil"/>
              <w:right w:val="single" w:sz="8" w:space="0" w:color="auto"/>
            </w:tcBorders>
            <w:shd w:val="clear" w:color="auto" w:fill="auto"/>
            <w:vAlign w:val="center"/>
            <w:hideMark/>
          </w:tcPr>
          <w:p w14:paraId="24B46F91"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-55.31%</w:t>
            </w:r>
          </w:p>
        </w:tc>
        <w:tc>
          <w:tcPr>
            <w:tcW w:w="697" w:type="dxa"/>
            <w:tcBorders>
              <w:top w:val="nil"/>
              <w:left w:val="nil"/>
              <w:bottom w:val="nil"/>
              <w:right w:val="single" w:sz="8" w:space="0" w:color="auto"/>
            </w:tcBorders>
            <w:shd w:val="clear" w:color="auto" w:fill="auto"/>
            <w:noWrap/>
            <w:vAlign w:val="center"/>
            <w:hideMark/>
          </w:tcPr>
          <w:p w14:paraId="3928E3FE"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-12.01</w:t>
            </w:r>
          </w:p>
        </w:tc>
        <w:tc>
          <w:tcPr>
            <w:tcW w:w="266" w:type="dxa"/>
            <w:tcBorders>
              <w:top w:val="nil"/>
              <w:left w:val="single" w:sz="12" w:space="0" w:color="auto"/>
              <w:bottom w:val="nil"/>
              <w:right w:val="nil"/>
            </w:tcBorders>
            <w:shd w:val="clear" w:color="auto" w:fill="auto"/>
            <w:vAlign w:val="center"/>
            <w:hideMark/>
          </w:tcPr>
          <w:p w14:paraId="70BF6AB3"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 </w:t>
            </w:r>
          </w:p>
        </w:tc>
        <w:tc>
          <w:tcPr>
            <w:tcW w:w="764" w:type="dxa"/>
            <w:tcBorders>
              <w:top w:val="nil"/>
              <w:left w:val="single" w:sz="12" w:space="0" w:color="auto"/>
              <w:bottom w:val="nil"/>
              <w:right w:val="single" w:sz="8" w:space="0" w:color="auto"/>
            </w:tcBorders>
            <w:shd w:val="clear" w:color="auto" w:fill="auto"/>
            <w:vAlign w:val="center"/>
            <w:hideMark/>
          </w:tcPr>
          <w:p w14:paraId="7A6D56A6"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-36.72%</w:t>
            </w:r>
          </w:p>
        </w:tc>
        <w:tc>
          <w:tcPr>
            <w:tcW w:w="645" w:type="dxa"/>
            <w:tcBorders>
              <w:top w:val="nil"/>
              <w:left w:val="nil"/>
              <w:bottom w:val="nil"/>
              <w:right w:val="single" w:sz="12" w:space="0" w:color="auto"/>
            </w:tcBorders>
            <w:shd w:val="clear" w:color="auto" w:fill="auto"/>
            <w:noWrap/>
            <w:vAlign w:val="center"/>
            <w:hideMark/>
          </w:tcPr>
          <w:p w14:paraId="4FA227CC"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-7.84</w:t>
            </w:r>
          </w:p>
        </w:tc>
        <w:tc>
          <w:tcPr>
            <w:tcW w:w="798" w:type="dxa"/>
            <w:tcBorders>
              <w:top w:val="nil"/>
              <w:left w:val="nil"/>
              <w:bottom w:val="nil"/>
              <w:right w:val="single" w:sz="8" w:space="0" w:color="auto"/>
            </w:tcBorders>
            <w:shd w:val="clear" w:color="auto" w:fill="auto"/>
            <w:vAlign w:val="center"/>
            <w:hideMark/>
          </w:tcPr>
          <w:p w14:paraId="1ADDA2F1"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6.26%</w:t>
            </w:r>
          </w:p>
        </w:tc>
        <w:tc>
          <w:tcPr>
            <w:tcW w:w="676" w:type="dxa"/>
            <w:tcBorders>
              <w:top w:val="nil"/>
              <w:left w:val="nil"/>
              <w:bottom w:val="nil"/>
              <w:right w:val="single" w:sz="12" w:space="0" w:color="auto"/>
            </w:tcBorders>
            <w:shd w:val="clear" w:color="auto" w:fill="auto"/>
            <w:noWrap/>
            <w:vAlign w:val="center"/>
            <w:hideMark/>
          </w:tcPr>
          <w:p w14:paraId="43C0A542"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1.54</w:t>
            </w:r>
          </w:p>
        </w:tc>
        <w:tc>
          <w:tcPr>
            <w:tcW w:w="807" w:type="dxa"/>
            <w:tcBorders>
              <w:top w:val="nil"/>
              <w:left w:val="nil"/>
              <w:bottom w:val="nil"/>
              <w:right w:val="single" w:sz="8" w:space="0" w:color="auto"/>
            </w:tcBorders>
            <w:shd w:val="clear" w:color="auto" w:fill="auto"/>
            <w:vAlign w:val="center"/>
            <w:hideMark/>
          </w:tcPr>
          <w:p w14:paraId="5090A72C"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-55.30%</w:t>
            </w:r>
          </w:p>
        </w:tc>
        <w:tc>
          <w:tcPr>
            <w:tcW w:w="667" w:type="dxa"/>
            <w:tcBorders>
              <w:top w:val="nil"/>
              <w:left w:val="nil"/>
              <w:bottom w:val="nil"/>
              <w:right w:val="single" w:sz="12" w:space="0" w:color="auto"/>
            </w:tcBorders>
            <w:shd w:val="clear" w:color="auto" w:fill="auto"/>
            <w:noWrap/>
            <w:vAlign w:val="center"/>
            <w:hideMark/>
          </w:tcPr>
          <w:p w14:paraId="586A26CA"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-12.32</w:t>
            </w:r>
          </w:p>
        </w:tc>
      </w:tr>
      <w:tr w:rsidR="00E424CE" w:rsidRPr="00BC5C89" w14:paraId="3D28A170" w14:textId="77777777" w:rsidTr="00B26DFD">
        <w:trPr>
          <w:trHeight w:val="300"/>
        </w:trPr>
        <w:tc>
          <w:tcPr>
            <w:tcW w:w="760" w:type="dxa"/>
            <w:tcBorders>
              <w:top w:val="nil"/>
              <w:left w:val="single" w:sz="8" w:space="0" w:color="auto"/>
              <w:bottom w:val="nil"/>
              <w:right w:val="nil"/>
            </w:tcBorders>
            <w:shd w:val="clear" w:color="auto" w:fill="auto"/>
            <w:vAlign w:val="center"/>
            <w:hideMark/>
          </w:tcPr>
          <w:p w14:paraId="036EF901"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 to 550</w:t>
            </w:r>
          </w:p>
        </w:tc>
        <w:tc>
          <w:tcPr>
            <w:tcW w:w="816" w:type="dxa"/>
            <w:tcBorders>
              <w:top w:val="nil"/>
              <w:left w:val="single" w:sz="8" w:space="0" w:color="auto"/>
              <w:bottom w:val="nil"/>
              <w:right w:val="single" w:sz="8" w:space="0" w:color="auto"/>
            </w:tcBorders>
            <w:shd w:val="clear" w:color="auto" w:fill="auto"/>
            <w:vAlign w:val="center"/>
            <w:hideMark/>
          </w:tcPr>
          <w:p w14:paraId="53534ED7"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-58.61%</w:t>
            </w:r>
          </w:p>
        </w:tc>
        <w:tc>
          <w:tcPr>
            <w:tcW w:w="647" w:type="dxa"/>
            <w:tcBorders>
              <w:top w:val="nil"/>
              <w:left w:val="nil"/>
              <w:bottom w:val="nil"/>
              <w:right w:val="single" w:sz="8" w:space="0" w:color="auto"/>
            </w:tcBorders>
            <w:shd w:val="clear" w:color="auto" w:fill="auto"/>
            <w:noWrap/>
            <w:vAlign w:val="center"/>
            <w:hideMark/>
          </w:tcPr>
          <w:p w14:paraId="3E045FC7"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-11.92</w:t>
            </w:r>
          </w:p>
        </w:tc>
        <w:tc>
          <w:tcPr>
            <w:tcW w:w="816" w:type="dxa"/>
            <w:tcBorders>
              <w:top w:val="nil"/>
              <w:left w:val="nil"/>
              <w:bottom w:val="nil"/>
              <w:right w:val="single" w:sz="8" w:space="0" w:color="auto"/>
            </w:tcBorders>
            <w:shd w:val="clear" w:color="auto" w:fill="auto"/>
            <w:vAlign w:val="center"/>
            <w:hideMark/>
          </w:tcPr>
          <w:p w14:paraId="48DB2EAF"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-4.09%</w:t>
            </w:r>
          </w:p>
        </w:tc>
        <w:tc>
          <w:tcPr>
            <w:tcW w:w="670" w:type="dxa"/>
            <w:tcBorders>
              <w:top w:val="nil"/>
              <w:left w:val="nil"/>
              <w:bottom w:val="nil"/>
              <w:right w:val="single" w:sz="8" w:space="0" w:color="auto"/>
            </w:tcBorders>
            <w:shd w:val="clear" w:color="auto" w:fill="auto"/>
            <w:noWrap/>
            <w:vAlign w:val="center"/>
            <w:hideMark/>
          </w:tcPr>
          <w:p w14:paraId="1B9ABDCD"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-1.11</w:t>
            </w:r>
          </w:p>
        </w:tc>
        <w:tc>
          <w:tcPr>
            <w:tcW w:w="950" w:type="dxa"/>
            <w:tcBorders>
              <w:top w:val="nil"/>
              <w:left w:val="nil"/>
              <w:bottom w:val="nil"/>
              <w:right w:val="single" w:sz="8" w:space="0" w:color="auto"/>
            </w:tcBorders>
            <w:shd w:val="clear" w:color="auto" w:fill="auto"/>
            <w:vAlign w:val="center"/>
            <w:hideMark/>
          </w:tcPr>
          <w:p w14:paraId="1A702D3A"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-83.62%</w:t>
            </w:r>
          </w:p>
        </w:tc>
        <w:tc>
          <w:tcPr>
            <w:tcW w:w="697" w:type="dxa"/>
            <w:tcBorders>
              <w:top w:val="nil"/>
              <w:left w:val="nil"/>
              <w:bottom w:val="nil"/>
              <w:right w:val="single" w:sz="8" w:space="0" w:color="auto"/>
            </w:tcBorders>
            <w:shd w:val="clear" w:color="auto" w:fill="auto"/>
            <w:noWrap/>
            <w:vAlign w:val="center"/>
            <w:hideMark/>
          </w:tcPr>
          <w:p w14:paraId="5C83D60C"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-16.24</w:t>
            </w:r>
          </w:p>
        </w:tc>
        <w:tc>
          <w:tcPr>
            <w:tcW w:w="266" w:type="dxa"/>
            <w:tcBorders>
              <w:top w:val="nil"/>
              <w:left w:val="single" w:sz="12" w:space="0" w:color="auto"/>
              <w:bottom w:val="nil"/>
              <w:right w:val="nil"/>
            </w:tcBorders>
            <w:shd w:val="clear" w:color="auto" w:fill="auto"/>
            <w:vAlign w:val="center"/>
            <w:hideMark/>
          </w:tcPr>
          <w:p w14:paraId="48B76B3E"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 </w:t>
            </w:r>
          </w:p>
        </w:tc>
        <w:tc>
          <w:tcPr>
            <w:tcW w:w="764" w:type="dxa"/>
            <w:tcBorders>
              <w:top w:val="nil"/>
              <w:left w:val="single" w:sz="12" w:space="0" w:color="auto"/>
              <w:bottom w:val="nil"/>
              <w:right w:val="single" w:sz="8" w:space="0" w:color="auto"/>
            </w:tcBorders>
            <w:shd w:val="clear" w:color="auto" w:fill="auto"/>
            <w:vAlign w:val="center"/>
            <w:hideMark/>
          </w:tcPr>
          <w:p w14:paraId="3F99FE0B"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-60.40%</w:t>
            </w:r>
          </w:p>
        </w:tc>
        <w:tc>
          <w:tcPr>
            <w:tcW w:w="645" w:type="dxa"/>
            <w:tcBorders>
              <w:top w:val="nil"/>
              <w:left w:val="nil"/>
              <w:bottom w:val="nil"/>
              <w:right w:val="single" w:sz="12" w:space="0" w:color="auto"/>
            </w:tcBorders>
            <w:shd w:val="clear" w:color="auto" w:fill="auto"/>
            <w:noWrap/>
            <w:vAlign w:val="center"/>
            <w:hideMark/>
          </w:tcPr>
          <w:p w14:paraId="11B3C1A4"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-12.07</w:t>
            </w:r>
          </w:p>
        </w:tc>
        <w:tc>
          <w:tcPr>
            <w:tcW w:w="798" w:type="dxa"/>
            <w:tcBorders>
              <w:top w:val="nil"/>
              <w:left w:val="nil"/>
              <w:bottom w:val="nil"/>
              <w:right w:val="single" w:sz="8" w:space="0" w:color="auto"/>
            </w:tcBorders>
            <w:shd w:val="clear" w:color="auto" w:fill="auto"/>
            <w:vAlign w:val="center"/>
            <w:hideMark/>
          </w:tcPr>
          <w:p w14:paraId="38187BA8"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-5.62%</w:t>
            </w:r>
          </w:p>
        </w:tc>
        <w:tc>
          <w:tcPr>
            <w:tcW w:w="676" w:type="dxa"/>
            <w:tcBorders>
              <w:top w:val="nil"/>
              <w:left w:val="nil"/>
              <w:bottom w:val="nil"/>
              <w:right w:val="single" w:sz="12" w:space="0" w:color="auto"/>
            </w:tcBorders>
            <w:shd w:val="clear" w:color="auto" w:fill="auto"/>
            <w:noWrap/>
            <w:vAlign w:val="center"/>
            <w:hideMark/>
          </w:tcPr>
          <w:p w14:paraId="1E4CB606"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-1.51</w:t>
            </w:r>
          </w:p>
        </w:tc>
        <w:tc>
          <w:tcPr>
            <w:tcW w:w="807" w:type="dxa"/>
            <w:tcBorders>
              <w:top w:val="nil"/>
              <w:left w:val="nil"/>
              <w:bottom w:val="nil"/>
              <w:right w:val="single" w:sz="8" w:space="0" w:color="auto"/>
            </w:tcBorders>
            <w:shd w:val="clear" w:color="auto" w:fill="auto"/>
            <w:vAlign w:val="center"/>
            <w:hideMark/>
          </w:tcPr>
          <w:p w14:paraId="7FEFBD6C"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-81.71%</w:t>
            </w:r>
          </w:p>
        </w:tc>
        <w:tc>
          <w:tcPr>
            <w:tcW w:w="667" w:type="dxa"/>
            <w:tcBorders>
              <w:top w:val="nil"/>
              <w:left w:val="nil"/>
              <w:bottom w:val="nil"/>
              <w:right w:val="single" w:sz="12" w:space="0" w:color="auto"/>
            </w:tcBorders>
            <w:shd w:val="clear" w:color="auto" w:fill="auto"/>
            <w:noWrap/>
            <w:vAlign w:val="center"/>
            <w:hideMark/>
          </w:tcPr>
          <w:p w14:paraId="2B42CFBF"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-16.23</w:t>
            </w:r>
          </w:p>
        </w:tc>
      </w:tr>
      <w:tr w:rsidR="00E424CE" w:rsidRPr="00BC5C89" w14:paraId="1B9528D0" w14:textId="77777777" w:rsidTr="00B26DFD">
        <w:trPr>
          <w:trHeight w:val="315"/>
        </w:trPr>
        <w:tc>
          <w:tcPr>
            <w:tcW w:w="760" w:type="dxa"/>
            <w:tcBorders>
              <w:top w:val="nil"/>
              <w:left w:val="single" w:sz="8" w:space="0" w:color="auto"/>
              <w:bottom w:val="single" w:sz="8" w:space="0" w:color="auto"/>
              <w:right w:val="nil"/>
            </w:tcBorders>
            <w:shd w:val="clear" w:color="auto" w:fill="auto"/>
            <w:vAlign w:val="center"/>
            <w:hideMark/>
          </w:tcPr>
          <w:p w14:paraId="5AC6115D"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 to 755</w:t>
            </w:r>
          </w:p>
        </w:tc>
        <w:tc>
          <w:tcPr>
            <w:tcW w:w="816" w:type="dxa"/>
            <w:tcBorders>
              <w:top w:val="nil"/>
              <w:left w:val="single" w:sz="8" w:space="0" w:color="auto"/>
              <w:bottom w:val="single" w:sz="8" w:space="0" w:color="auto"/>
              <w:right w:val="single" w:sz="8" w:space="0" w:color="auto"/>
            </w:tcBorders>
            <w:shd w:val="clear" w:color="auto" w:fill="auto"/>
            <w:vAlign w:val="center"/>
            <w:hideMark/>
          </w:tcPr>
          <w:p w14:paraId="7B950827"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-84.08%</w:t>
            </w:r>
          </w:p>
        </w:tc>
        <w:tc>
          <w:tcPr>
            <w:tcW w:w="647" w:type="dxa"/>
            <w:tcBorders>
              <w:top w:val="nil"/>
              <w:left w:val="nil"/>
              <w:bottom w:val="single" w:sz="8" w:space="0" w:color="auto"/>
              <w:right w:val="single" w:sz="8" w:space="0" w:color="auto"/>
            </w:tcBorders>
            <w:shd w:val="clear" w:color="auto" w:fill="auto"/>
            <w:noWrap/>
            <w:vAlign w:val="center"/>
            <w:hideMark/>
          </w:tcPr>
          <w:p w14:paraId="1F66CB89"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-19.00</w:t>
            </w:r>
          </w:p>
        </w:tc>
        <w:tc>
          <w:tcPr>
            <w:tcW w:w="816" w:type="dxa"/>
            <w:tcBorders>
              <w:top w:val="nil"/>
              <w:left w:val="nil"/>
              <w:bottom w:val="single" w:sz="8" w:space="0" w:color="auto"/>
              <w:right w:val="single" w:sz="8" w:space="0" w:color="auto"/>
            </w:tcBorders>
            <w:shd w:val="clear" w:color="auto" w:fill="auto"/>
            <w:vAlign w:val="center"/>
            <w:hideMark/>
          </w:tcPr>
          <w:p w14:paraId="459B1AEA"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-38.45%</w:t>
            </w:r>
          </w:p>
        </w:tc>
        <w:tc>
          <w:tcPr>
            <w:tcW w:w="670" w:type="dxa"/>
            <w:tcBorders>
              <w:top w:val="nil"/>
              <w:left w:val="nil"/>
              <w:bottom w:val="single" w:sz="8" w:space="0" w:color="auto"/>
              <w:right w:val="single" w:sz="8" w:space="0" w:color="auto"/>
            </w:tcBorders>
            <w:shd w:val="clear" w:color="auto" w:fill="auto"/>
            <w:noWrap/>
            <w:vAlign w:val="center"/>
            <w:hideMark/>
          </w:tcPr>
          <w:p w14:paraId="6A645C2C"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-11.55</w:t>
            </w:r>
          </w:p>
        </w:tc>
        <w:tc>
          <w:tcPr>
            <w:tcW w:w="950" w:type="dxa"/>
            <w:tcBorders>
              <w:top w:val="nil"/>
              <w:left w:val="nil"/>
              <w:bottom w:val="single" w:sz="8" w:space="0" w:color="auto"/>
              <w:right w:val="single" w:sz="8" w:space="0" w:color="auto"/>
            </w:tcBorders>
            <w:shd w:val="clear" w:color="auto" w:fill="auto"/>
            <w:vAlign w:val="center"/>
            <w:hideMark/>
          </w:tcPr>
          <w:p w14:paraId="2730E3AB"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-104.17%</w:t>
            </w:r>
          </w:p>
        </w:tc>
        <w:tc>
          <w:tcPr>
            <w:tcW w:w="697" w:type="dxa"/>
            <w:tcBorders>
              <w:top w:val="nil"/>
              <w:left w:val="nil"/>
              <w:bottom w:val="single" w:sz="8" w:space="0" w:color="auto"/>
              <w:right w:val="single" w:sz="8" w:space="0" w:color="auto"/>
            </w:tcBorders>
            <w:shd w:val="clear" w:color="auto" w:fill="auto"/>
            <w:noWrap/>
            <w:vAlign w:val="center"/>
            <w:hideMark/>
          </w:tcPr>
          <w:p w14:paraId="199AEF3D"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-22.45</w:t>
            </w:r>
          </w:p>
        </w:tc>
        <w:tc>
          <w:tcPr>
            <w:tcW w:w="266" w:type="dxa"/>
            <w:tcBorders>
              <w:top w:val="nil"/>
              <w:left w:val="single" w:sz="12" w:space="0" w:color="auto"/>
              <w:bottom w:val="single" w:sz="12" w:space="0" w:color="auto"/>
              <w:right w:val="nil"/>
            </w:tcBorders>
            <w:shd w:val="clear" w:color="auto" w:fill="auto"/>
            <w:vAlign w:val="center"/>
            <w:hideMark/>
          </w:tcPr>
          <w:p w14:paraId="67D8C203"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 </w:t>
            </w:r>
          </w:p>
        </w:tc>
        <w:tc>
          <w:tcPr>
            <w:tcW w:w="764" w:type="dxa"/>
            <w:tcBorders>
              <w:top w:val="nil"/>
              <w:left w:val="single" w:sz="12" w:space="0" w:color="auto"/>
              <w:bottom w:val="single" w:sz="12" w:space="0" w:color="auto"/>
              <w:right w:val="single" w:sz="8" w:space="0" w:color="auto"/>
            </w:tcBorders>
            <w:shd w:val="clear" w:color="auto" w:fill="auto"/>
            <w:vAlign w:val="center"/>
            <w:hideMark/>
          </w:tcPr>
          <w:p w14:paraId="0197D88B"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-85.40%</w:t>
            </w:r>
          </w:p>
        </w:tc>
        <w:tc>
          <w:tcPr>
            <w:tcW w:w="645" w:type="dxa"/>
            <w:tcBorders>
              <w:top w:val="nil"/>
              <w:left w:val="nil"/>
              <w:bottom w:val="single" w:sz="12" w:space="0" w:color="auto"/>
              <w:right w:val="single" w:sz="12" w:space="0" w:color="auto"/>
            </w:tcBorders>
            <w:shd w:val="clear" w:color="auto" w:fill="auto"/>
            <w:noWrap/>
            <w:vAlign w:val="center"/>
            <w:hideMark/>
          </w:tcPr>
          <w:p w14:paraId="395AEBBE"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-19.19</w:t>
            </w:r>
          </w:p>
        </w:tc>
        <w:tc>
          <w:tcPr>
            <w:tcW w:w="798" w:type="dxa"/>
            <w:tcBorders>
              <w:top w:val="nil"/>
              <w:left w:val="nil"/>
              <w:bottom w:val="single" w:sz="12" w:space="0" w:color="auto"/>
              <w:right w:val="single" w:sz="8" w:space="0" w:color="auto"/>
            </w:tcBorders>
            <w:shd w:val="clear" w:color="auto" w:fill="auto"/>
            <w:vAlign w:val="center"/>
            <w:hideMark/>
          </w:tcPr>
          <w:p w14:paraId="7012A80C"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-38.46%</w:t>
            </w:r>
          </w:p>
        </w:tc>
        <w:tc>
          <w:tcPr>
            <w:tcW w:w="676" w:type="dxa"/>
            <w:tcBorders>
              <w:top w:val="nil"/>
              <w:left w:val="nil"/>
              <w:bottom w:val="single" w:sz="12" w:space="0" w:color="auto"/>
              <w:right w:val="single" w:sz="12" w:space="0" w:color="auto"/>
            </w:tcBorders>
            <w:shd w:val="clear" w:color="auto" w:fill="auto"/>
            <w:noWrap/>
            <w:vAlign w:val="center"/>
            <w:hideMark/>
          </w:tcPr>
          <w:p w14:paraId="16C5B95E"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-11.39</w:t>
            </w:r>
          </w:p>
        </w:tc>
        <w:tc>
          <w:tcPr>
            <w:tcW w:w="807" w:type="dxa"/>
            <w:tcBorders>
              <w:top w:val="nil"/>
              <w:left w:val="nil"/>
              <w:bottom w:val="single" w:sz="12" w:space="0" w:color="auto"/>
              <w:right w:val="single" w:sz="8" w:space="0" w:color="auto"/>
            </w:tcBorders>
            <w:shd w:val="clear" w:color="auto" w:fill="auto"/>
            <w:vAlign w:val="center"/>
            <w:hideMark/>
          </w:tcPr>
          <w:p w14:paraId="3A64F8EE"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-102.3%</w:t>
            </w:r>
          </w:p>
        </w:tc>
        <w:tc>
          <w:tcPr>
            <w:tcW w:w="667" w:type="dxa"/>
            <w:tcBorders>
              <w:top w:val="nil"/>
              <w:left w:val="nil"/>
              <w:bottom w:val="single" w:sz="12" w:space="0" w:color="auto"/>
              <w:right w:val="single" w:sz="12" w:space="0" w:color="auto"/>
            </w:tcBorders>
            <w:shd w:val="clear" w:color="auto" w:fill="auto"/>
            <w:noWrap/>
            <w:vAlign w:val="center"/>
            <w:hideMark/>
          </w:tcPr>
          <w:p w14:paraId="4EAE9BA0"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-22.10</w:t>
            </w:r>
          </w:p>
        </w:tc>
      </w:tr>
      <w:tr w:rsidR="00E424CE" w:rsidRPr="00BC5C89" w14:paraId="46CEC641" w14:textId="77777777" w:rsidTr="00B26DFD">
        <w:trPr>
          <w:trHeight w:val="315"/>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444B6551" w14:textId="77777777" w:rsidR="00E424CE" w:rsidRPr="00BC5C89" w:rsidRDefault="00E424CE" w:rsidP="00E424CE">
            <w:pPr>
              <w:jc w:val="center"/>
              <w:rPr>
                <w:color w:val="0000FF"/>
                <w:sz w:val="16"/>
                <w:szCs w:val="16"/>
                <w:lang w:val="en-IL" w:eastAsia="en-IL" w:bidi="he-IL"/>
              </w:rPr>
            </w:pPr>
            <w:r w:rsidRPr="00BC5C89">
              <w:rPr>
                <w:color w:val="0000FF"/>
                <w:sz w:val="16"/>
                <w:szCs w:val="16"/>
                <w:lang w:val="en-IL" w:eastAsia="en-IL" w:bidi="he-IL"/>
              </w:rPr>
              <w:t>Obs.</w:t>
            </w:r>
          </w:p>
        </w:tc>
        <w:tc>
          <w:tcPr>
            <w:tcW w:w="1463" w:type="dxa"/>
            <w:gridSpan w:val="2"/>
            <w:tcBorders>
              <w:top w:val="single" w:sz="8" w:space="0" w:color="auto"/>
              <w:left w:val="nil"/>
              <w:bottom w:val="single" w:sz="8" w:space="0" w:color="auto"/>
              <w:right w:val="nil"/>
            </w:tcBorders>
            <w:shd w:val="clear" w:color="auto" w:fill="auto"/>
            <w:noWrap/>
            <w:vAlign w:val="center"/>
            <w:hideMark/>
          </w:tcPr>
          <w:p w14:paraId="1B7A9F48" w14:textId="77777777" w:rsidR="00E424CE" w:rsidRPr="00BC5C89" w:rsidRDefault="00E424CE" w:rsidP="00E424CE">
            <w:pPr>
              <w:jc w:val="center"/>
              <w:rPr>
                <w:color w:val="0000FF"/>
                <w:sz w:val="16"/>
                <w:szCs w:val="16"/>
                <w:lang w:eastAsia="en-IL" w:bidi="he-IL"/>
              </w:rPr>
            </w:pPr>
            <w:r w:rsidRPr="00BC5C89">
              <w:rPr>
                <w:color w:val="0000FF"/>
                <w:sz w:val="16"/>
                <w:szCs w:val="16"/>
                <w:lang w:val="en-IL" w:eastAsia="en-IL" w:bidi="he-IL"/>
              </w:rPr>
              <w:t>3</w:t>
            </w:r>
            <w:r w:rsidR="00165F9E" w:rsidRPr="00BC5C89">
              <w:rPr>
                <w:color w:val="0000FF"/>
                <w:sz w:val="16"/>
                <w:szCs w:val="16"/>
                <w:lang w:eastAsia="en-IL" w:bidi="he-IL"/>
              </w:rPr>
              <w:t>67</w:t>
            </w:r>
          </w:p>
        </w:tc>
        <w:tc>
          <w:tcPr>
            <w:tcW w:w="14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3D523D" w14:textId="77777777" w:rsidR="00E424CE" w:rsidRPr="00BC5C89" w:rsidRDefault="00E424CE" w:rsidP="00E424CE">
            <w:pPr>
              <w:jc w:val="center"/>
              <w:rPr>
                <w:color w:val="0000FF"/>
                <w:sz w:val="16"/>
                <w:szCs w:val="16"/>
                <w:lang w:eastAsia="en-IL" w:bidi="he-IL"/>
              </w:rPr>
            </w:pPr>
            <w:r w:rsidRPr="00BC5C89">
              <w:rPr>
                <w:color w:val="0000FF"/>
                <w:sz w:val="16"/>
                <w:szCs w:val="16"/>
                <w:lang w:val="en-IL" w:eastAsia="en-IL" w:bidi="he-IL"/>
              </w:rPr>
              <w:t>1</w:t>
            </w:r>
            <w:r w:rsidR="00165F9E" w:rsidRPr="00BC5C89">
              <w:rPr>
                <w:color w:val="0000FF"/>
                <w:sz w:val="16"/>
                <w:szCs w:val="16"/>
                <w:lang w:eastAsia="en-IL" w:bidi="he-IL"/>
              </w:rPr>
              <w:t>16</w:t>
            </w:r>
          </w:p>
        </w:tc>
        <w:tc>
          <w:tcPr>
            <w:tcW w:w="16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D88DA22" w14:textId="77777777" w:rsidR="00E424CE" w:rsidRPr="00BC5C89" w:rsidRDefault="00E424CE" w:rsidP="00E424CE">
            <w:pPr>
              <w:jc w:val="center"/>
              <w:rPr>
                <w:color w:val="0000FF"/>
                <w:sz w:val="16"/>
                <w:szCs w:val="16"/>
                <w:lang w:eastAsia="en-IL" w:bidi="he-IL"/>
              </w:rPr>
            </w:pPr>
            <w:r w:rsidRPr="00BC5C89">
              <w:rPr>
                <w:color w:val="0000FF"/>
                <w:sz w:val="16"/>
                <w:szCs w:val="16"/>
                <w:lang w:val="en-IL" w:eastAsia="en-IL" w:bidi="he-IL"/>
              </w:rPr>
              <w:t>2</w:t>
            </w:r>
            <w:r w:rsidR="00165F9E" w:rsidRPr="00BC5C89">
              <w:rPr>
                <w:color w:val="0000FF"/>
                <w:sz w:val="16"/>
                <w:szCs w:val="16"/>
                <w:lang w:eastAsia="en-IL" w:bidi="he-IL"/>
              </w:rPr>
              <w:t>51</w:t>
            </w:r>
          </w:p>
        </w:tc>
        <w:tc>
          <w:tcPr>
            <w:tcW w:w="266" w:type="dxa"/>
            <w:tcBorders>
              <w:top w:val="nil"/>
              <w:left w:val="nil"/>
              <w:bottom w:val="nil"/>
              <w:right w:val="nil"/>
            </w:tcBorders>
            <w:shd w:val="clear" w:color="auto" w:fill="auto"/>
            <w:noWrap/>
            <w:vAlign w:val="center"/>
            <w:hideMark/>
          </w:tcPr>
          <w:p w14:paraId="76251A5F" w14:textId="77777777" w:rsidR="00E424CE" w:rsidRPr="00BC5C89" w:rsidRDefault="00E424CE" w:rsidP="00E424CE">
            <w:pPr>
              <w:jc w:val="center"/>
              <w:rPr>
                <w:color w:val="0000FF"/>
                <w:sz w:val="16"/>
                <w:szCs w:val="16"/>
                <w:lang w:val="en-IL" w:eastAsia="en-IL" w:bidi="he-IL"/>
              </w:rPr>
            </w:pPr>
          </w:p>
        </w:tc>
        <w:tc>
          <w:tcPr>
            <w:tcW w:w="1409" w:type="dxa"/>
            <w:gridSpan w:val="2"/>
            <w:tcBorders>
              <w:top w:val="single" w:sz="8" w:space="0" w:color="auto"/>
              <w:left w:val="single" w:sz="8" w:space="0" w:color="auto"/>
              <w:bottom w:val="single" w:sz="8" w:space="0" w:color="auto"/>
              <w:right w:val="nil"/>
            </w:tcBorders>
            <w:shd w:val="clear" w:color="auto" w:fill="auto"/>
            <w:noWrap/>
            <w:vAlign w:val="center"/>
            <w:hideMark/>
          </w:tcPr>
          <w:p w14:paraId="0871AE6B" w14:textId="77777777" w:rsidR="00E424CE" w:rsidRPr="00BC5C89" w:rsidRDefault="00E424CE" w:rsidP="00E424CE">
            <w:pPr>
              <w:jc w:val="center"/>
              <w:rPr>
                <w:color w:val="0000FF"/>
                <w:sz w:val="16"/>
                <w:szCs w:val="16"/>
                <w:lang w:eastAsia="en-IL" w:bidi="he-IL"/>
              </w:rPr>
            </w:pPr>
            <w:r w:rsidRPr="00BC5C89">
              <w:rPr>
                <w:color w:val="0000FF"/>
                <w:sz w:val="16"/>
                <w:szCs w:val="16"/>
                <w:lang w:val="en-IL" w:eastAsia="en-IL" w:bidi="he-IL"/>
              </w:rPr>
              <w:t>3</w:t>
            </w:r>
            <w:r w:rsidR="00165F9E" w:rsidRPr="00BC5C89">
              <w:rPr>
                <w:color w:val="0000FF"/>
                <w:sz w:val="16"/>
                <w:szCs w:val="16"/>
                <w:lang w:eastAsia="en-IL" w:bidi="he-IL"/>
              </w:rPr>
              <w:t>67</w:t>
            </w:r>
          </w:p>
        </w:tc>
        <w:tc>
          <w:tcPr>
            <w:tcW w:w="147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3CF4BF" w14:textId="77777777" w:rsidR="00E424CE" w:rsidRPr="00BC5C89" w:rsidRDefault="00E424CE" w:rsidP="00E424CE">
            <w:pPr>
              <w:jc w:val="center"/>
              <w:rPr>
                <w:color w:val="0000FF"/>
                <w:sz w:val="16"/>
                <w:szCs w:val="16"/>
                <w:lang w:eastAsia="en-IL" w:bidi="he-IL"/>
              </w:rPr>
            </w:pPr>
            <w:r w:rsidRPr="00BC5C89">
              <w:rPr>
                <w:color w:val="0000FF"/>
                <w:sz w:val="16"/>
                <w:szCs w:val="16"/>
                <w:lang w:val="en-IL" w:eastAsia="en-IL" w:bidi="he-IL"/>
              </w:rPr>
              <w:t>1</w:t>
            </w:r>
            <w:r w:rsidR="00165F9E" w:rsidRPr="00BC5C89">
              <w:rPr>
                <w:color w:val="0000FF"/>
                <w:sz w:val="16"/>
                <w:szCs w:val="16"/>
                <w:lang w:eastAsia="en-IL" w:bidi="he-IL"/>
              </w:rPr>
              <w:t>16</w:t>
            </w:r>
          </w:p>
        </w:tc>
        <w:tc>
          <w:tcPr>
            <w:tcW w:w="14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9860DDE" w14:textId="77777777" w:rsidR="00E424CE" w:rsidRPr="00BC5C89" w:rsidRDefault="00E424CE" w:rsidP="00E424CE">
            <w:pPr>
              <w:jc w:val="center"/>
              <w:rPr>
                <w:color w:val="0000FF"/>
                <w:sz w:val="16"/>
                <w:szCs w:val="16"/>
                <w:lang w:eastAsia="en-IL" w:bidi="he-IL"/>
              </w:rPr>
            </w:pPr>
            <w:r w:rsidRPr="00BC5C89">
              <w:rPr>
                <w:color w:val="0000FF"/>
                <w:sz w:val="16"/>
                <w:szCs w:val="16"/>
                <w:lang w:val="en-IL" w:eastAsia="en-IL" w:bidi="he-IL"/>
              </w:rPr>
              <w:t>2</w:t>
            </w:r>
            <w:r w:rsidR="00165F9E" w:rsidRPr="00BC5C89">
              <w:rPr>
                <w:color w:val="0000FF"/>
                <w:sz w:val="16"/>
                <w:szCs w:val="16"/>
                <w:lang w:eastAsia="en-IL" w:bidi="he-IL"/>
              </w:rPr>
              <w:t>51</w:t>
            </w:r>
          </w:p>
        </w:tc>
      </w:tr>
    </w:tbl>
    <w:p w14:paraId="059885D5" w14:textId="4893E915" w:rsidR="00E424CE" w:rsidRPr="00B41E66" w:rsidRDefault="00E424CE" w:rsidP="00E424CE">
      <w:pPr>
        <w:jc w:val="both"/>
        <w:rPr>
          <w:rtl/>
          <w:lang w:bidi="he-IL"/>
        </w:rPr>
      </w:pPr>
      <w:r w:rsidRPr="00B41E66">
        <w:t>Note: This table displays Cumulative Average Abnormal Return for the entire sample and the two subsamples of firms with market valuations below $500</w:t>
      </w:r>
      <w:r w:rsidR="00862FBD">
        <w:t>M</w:t>
      </w:r>
      <w:r w:rsidRPr="00B41E66">
        <w:t xml:space="preserve"> (small) and above $500</w:t>
      </w:r>
      <w:r w:rsidR="00862FBD">
        <w:t>M</w:t>
      </w:r>
      <w:r w:rsidRPr="00B41E66">
        <w:t xml:space="preserve"> (</w:t>
      </w:r>
      <w:r w:rsidR="00862FBD">
        <w:t>large</w:t>
      </w:r>
      <w:r w:rsidRPr="00B41E66">
        <w:t>) as of December of the IPO year.</w:t>
      </w:r>
      <w:r w:rsidR="003E74BE" w:rsidRPr="00B41E66">
        <w:t xml:space="preserve"> CAAR is presented for selected time periods relative the IPO date. </w:t>
      </w:r>
    </w:p>
    <w:p w14:paraId="4752E42A" w14:textId="77777777" w:rsidR="00E424CE" w:rsidRPr="00B41E66" w:rsidRDefault="00E424CE" w:rsidP="00DB337D">
      <w:pPr>
        <w:spacing w:line="360" w:lineRule="auto"/>
        <w:rPr>
          <w:b/>
          <w:bCs/>
          <w:lang w:bidi="he-IL"/>
        </w:rPr>
      </w:pPr>
    </w:p>
    <w:p w14:paraId="52080A68" w14:textId="46A54B64" w:rsidR="00E424CE" w:rsidRPr="00B41E66" w:rsidRDefault="00E424CE" w:rsidP="00E424CE">
      <w:pPr>
        <w:spacing w:line="360" w:lineRule="auto"/>
        <w:rPr>
          <w:b/>
          <w:bCs/>
        </w:rPr>
      </w:pPr>
      <w:r w:rsidRPr="00B41E66">
        <w:rPr>
          <w:b/>
          <w:bCs/>
        </w:rPr>
        <w:lastRenderedPageBreak/>
        <w:t xml:space="preserve">Figure </w:t>
      </w:r>
      <w:r w:rsidR="008506E7" w:rsidRPr="00B41E66">
        <w:rPr>
          <w:b/>
          <w:bCs/>
        </w:rPr>
        <w:t>1</w:t>
      </w:r>
      <w:r w:rsidRPr="00B41E66">
        <w:rPr>
          <w:b/>
          <w:bCs/>
        </w:rPr>
        <w:t>: Post-IPO CAARs, +1 to +755 days</w:t>
      </w:r>
    </w:p>
    <w:p w14:paraId="198407E2" w14:textId="77777777" w:rsidR="003E74BE" w:rsidRPr="00B41E66" w:rsidRDefault="003E74BE" w:rsidP="003E74BE">
      <w:pPr>
        <w:spacing w:before="75" w:after="75"/>
        <w:rPr>
          <w:b/>
          <w:bCs/>
          <w:color w:val="0000FF"/>
          <w:lang w:eastAsia="en-IL" w:bidi="he-IL"/>
        </w:rPr>
      </w:pPr>
      <w:r w:rsidRPr="00B41E66">
        <w:rPr>
          <w:b/>
          <w:bCs/>
          <w:color w:val="0000FF"/>
          <w:lang w:eastAsia="en-IL" w:bidi="he-IL"/>
        </w:rPr>
        <w:t>Panel A: CAAR to Sector</w:t>
      </w:r>
    </w:p>
    <w:p w14:paraId="792F233E" w14:textId="77777777" w:rsidR="003E74BE" w:rsidRPr="00B41E66" w:rsidRDefault="003E74BE" w:rsidP="00E424CE">
      <w:pPr>
        <w:spacing w:line="360" w:lineRule="auto"/>
        <w:rPr>
          <w:b/>
          <w:bCs/>
        </w:rPr>
      </w:pPr>
    </w:p>
    <w:p w14:paraId="2067FFEE" w14:textId="292C3423" w:rsidR="003E74BE" w:rsidRPr="00B41E66" w:rsidRDefault="001D366A" w:rsidP="00E424CE">
      <w:pPr>
        <w:spacing w:line="360" w:lineRule="auto"/>
        <w:rPr>
          <w:b/>
          <w:bCs/>
        </w:rPr>
      </w:pPr>
      <w:r>
        <w:rPr>
          <w:noProof/>
        </w:rPr>
        <w:drawing>
          <wp:inline distT="0" distB="0" distL="0" distR="0" wp14:anchorId="0C1D9FE4" wp14:editId="1E11BA7E">
            <wp:extent cx="5737860" cy="144018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7860" cy="1440180"/>
                    </a:xfrm>
                    <a:prstGeom prst="rect">
                      <a:avLst/>
                    </a:prstGeom>
                    <a:noFill/>
                    <a:ln>
                      <a:noFill/>
                    </a:ln>
                  </pic:spPr>
                </pic:pic>
              </a:graphicData>
            </a:graphic>
          </wp:inline>
        </w:drawing>
      </w:r>
    </w:p>
    <w:p w14:paraId="50D2116C" w14:textId="77777777" w:rsidR="00E424CE" w:rsidRPr="00B41E66" w:rsidRDefault="003E74BE" w:rsidP="00DB337D">
      <w:pPr>
        <w:spacing w:line="360" w:lineRule="auto"/>
        <w:rPr>
          <w:b/>
          <w:bCs/>
          <w:color w:val="0000FF"/>
          <w:lang w:eastAsia="en-IL"/>
        </w:rPr>
      </w:pPr>
      <w:r w:rsidRPr="00B41E66">
        <w:rPr>
          <w:b/>
          <w:bCs/>
          <w:color w:val="0000FF"/>
          <w:lang w:eastAsia="en-IL"/>
        </w:rPr>
        <w:t>Panel B: CAAR to Market</w:t>
      </w:r>
      <w:r w:rsidRPr="00B41E66">
        <w:rPr>
          <w:b/>
          <w:bCs/>
          <w:color w:val="0000FF"/>
          <w:lang w:eastAsia="en-IL"/>
        </w:rPr>
        <w:tab/>
      </w:r>
    </w:p>
    <w:p w14:paraId="25F32C69" w14:textId="5CEF5BC6" w:rsidR="003E74BE" w:rsidRPr="00B41E66" w:rsidRDefault="001D366A" w:rsidP="00DB337D">
      <w:pPr>
        <w:spacing w:line="360" w:lineRule="auto"/>
        <w:rPr>
          <w:b/>
          <w:bCs/>
          <w:color w:val="0A0A0A"/>
          <w:lang w:eastAsia="en-IL"/>
        </w:rPr>
      </w:pPr>
      <w:r>
        <w:rPr>
          <w:noProof/>
        </w:rPr>
        <w:drawing>
          <wp:inline distT="0" distB="0" distL="0" distR="0" wp14:anchorId="678BACEA" wp14:editId="1EDE9B0F">
            <wp:extent cx="5737860" cy="1356360"/>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7860" cy="1356360"/>
                    </a:xfrm>
                    <a:prstGeom prst="rect">
                      <a:avLst/>
                    </a:prstGeom>
                    <a:noFill/>
                    <a:ln>
                      <a:noFill/>
                    </a:ln>
                  </pic:spPr>
                </pic:pic>
              </a:graphicData>
            </a:graphic>
          </wp:inline>
        </w:drawing>
      </w:r>
    </w:p>
    <w:p w14:paraId="5667ACE5" w14:textId="548DD12C" w:rsidR="00756201" w:rsidRPr="00B41E66" w:rsidRDefault="00756201" w:rsidP="003E74BE">
      <w:r w:rsidRPr="00B41E66">
        <w:t xml:space="preserve">Note: These figures present daily CAAR after the IPO from day </w:t>
      </w:r>
      <w:r w:rsidR="003E74BE" w:rsidRPr="00B41E66">
        <w:t>1</w:t>
      </w:r>
      <w:r w:rsidRPr="00B41E66">
        <w:t xml:space="preserve"> to day 755</w:t>
      </w:r>
      <w:r w:rsidR="00DB337D" w:rsidRPr="00B41E66">
        <w:t>.</w:t>
      </w:r>
      <w:r w:rsidRPr="00B41E66">
        <w:t xml:space="preserve"> </w:t>
      </w:r>
      <w:r w:rsidR="003E74BE" w:rsidRPr="00B41E66">
        <w:t xml:space="preserve">Panel </w:t>
      </w:r>
      <w:r w:rsidR="00862FBD" w:rsidRPr="00B41E66">
        <w:t>A presents</w:t>
      </w:r>
      <w:r w:rsidR="003E74BE" w:rsidRPr="00B41E66">
        <w:t xml:space="preserve"> CAAR that was calculated versus the sector index and panel B displays CAAR that was calculated versus the S&amp;P500. </w:t>
      </w:r>
    </w:p>
    <w:p w14:paraId="6260B7D0" w14:textId="77777777" w:rsidR="00756201" w:rsidRPr="00B41E66" w:rsidRDefault="00756201" w:rsidP="00756201">
      <w:pPr>
        <w:spacing w:line="360" w:lineRule="auto"/>
      </w:pPr>
    </w:p>
    <w:p w14:paraId="32ECEC2D" w14:textId="77777777" w:rsidR="007C7C3C" w:rsidRPr="00B41E66" w:rsidRDefault="00C655B2" w:rsidP="00321B91">
      <w:pPr>
        <w:pStyle w:val="Default"/>
        <w:spacing w:line="480" w:lineRule="auto"/>
        <w:jc w:val="both"/>
      </w:pPr>
      <w:r w:rsidRPr="00B41E66">
        <w:rPr>
          <w:color w:val="0000FF"/>
        </w:rPr>
        <w:t>We will turn now</w:t>
      </w:r>
      <w:r w:rsidRPr="00B41E66">
        <w:rPr>
          <w:color w:val="auto"/>
        </w:rPr>
        <w:t xml:space="preserve"> </w:t>
      </w:r>
      <w:r w:rsidR="006E116A" w:rsidRPr="00B41E66">
        <w:rPr>
          <w:color w:val="auto"/>
        </w:rPr>
        <w:t xml:space="preserve">to examine the level of </w:t>
      </w:r>
      <w:r w:rsidR="00C548E7" w:rsidRPr="00B41E66">
        <w:rPr>
          <w:color w:val="auto"/>
        </w:rPr>
        <w:t xml:space="preserve">activity </w:t>
      </w:r>
      <w:r w:rsidR="00ED5D4E" w:rsidRPr="00B41E66">
        <w:rPr>
          <w:color w:val="auto"/>
        </w:rPr>
        <w:t>o</w:t>
      </w:r>
      <w:r w:rsidR="003D540E" w:rsidRPr="00B41E66">
        <w:rPr>
          <w:color w:val="auto"/>
        </w:rPr>
        <w:t xml:space="preserve">n the </w:t>
      </w:r>
      <w:r w:rsidR="00243D58" w:rsidRPr="00B41E66">
        <w:rPr>
          <w:color w:val="auto"/>
        </w:rPr>
        <w:t>T</w:t>
      </w:r>
      <w:r w:rsidR="003D540E" w:rsidRPr="00B41E66">
        <w:rPr>
          <w:color w:val="auto"/>
        </w:rPr>
        <w:t xml:space="preserve">witter social media platform before and after the </w:t>
      </w:r>
      <w:r w:rsidR="004B33AB" w:rsidRPr="00B41E66">
        <w:rPr>
          <w:color w:val="auto"/>
        </w:rPr>
        <w:t>IPO</w:t>
      </w:r>
      <w:r w:rsidR="006E116A" w:rsidRPr="00B41E66">
        <w:rPr>
          <w:color w:val="auto"/>
        </w:rPr>
        <w:t xml:space="preserve"> and its</w:t>
      </w:r>
      <w:r w:rsidR="004B33AB" w:rsidRPr="00B41E66">
        <w:rPr>
          <w:color w:val="auto"/>
        </w:rPr>
        <w:t xml:space="preserve"> </w:t>
      </w:r>
      <w:r w:rsidR="00403C84" w:rsidRPr="00B41E66">
        <w:rPr>
          <w:color w:val="auto"/>
        </w:rPr>
        <w:t xml:space="preserve">relation </w:t>
      </w:r>
      <w:r w:rsidR="006E116A" w:rsidRPr="00B41E66">
        <w:rPr>
          <w:color w:val="auto"/>
        </w:rPr>
        <w:t>to</w:t>
      </w:r>
      <w:r w:rsidR="00403C84" w:rsidRPr="00B41E66">
        <w:rPr>
          <w:color w:val="auto"/>
        </w:rPr>
        <w:t xml:space="preserve"> </w:t>
      </w:r>
      <w:r w:rsidR="00D35FCF" w:rsidRPr="00B41E66">
        <w:rPr>
          <w:color w:val="auto"/>
        </w:rPr>
        <w:t xml:space="preserve">stock </w:t>
      </w:r>
      <w:r w:rsidR="00403C84" w:rsidRPr="00B41E66">
        <w:rPr>
          <w:color w:val="auto"/>
        </w:rPr>
        <w:t>returns</w:t>
      </w:r>
      <w:r w:rsidR="00D35FCF" w:rsidRPr="00B41E66">
        <w:rPr>
          <w:color w:val="auto"/>
        </w:rPr>
        <w:t>. In addition,</w:t>
      </w:r>
      <w:r w:rsidR="00403C84" w:rsidRPr="00B41E66">
        <w:rPr>
          <w:color w:val="auto"/>
        </w:rPr>
        <w:t xml:space="preserve"> based on the results above</w:t>
      </w:r>
      <w:r w:rsidR="007C7C3C" w:rsidRPr="00B41E66">
        <w:rPr>
          <w:color w:val="auto"/>
        </w:rPr>
        <w:t>,</w:t>
      </w:r>
      <w:r w:rsidR="00403C84" w:rsidRPr="00B41E66">
        <w:rPr>
          <w:color w:val="auto"/>
        </w:rPr>
        <w:t xml:space="preserve"> </w:t>
      </w:r>
      <w:r w:rsidR="007A3845" w:rsidRPr="00B41E66">
        <w:rPr>
          <w:color w:val="auto"/>
        </w:rPr>
        <w:t xml:space="preserve">we look at the relation between </w:t>
      </w:r>
      <w:r w:rsidR="00243D58" w:rsidRPr="00B41E66">
        <w:rPr>
          <w:color w:val="auto"/>
        </w:rPr>
        <w:t xml:space="preserve">the </w:t>
      </w:r>
      <w:r w:rsidR="00C548E7" w:rsidRPr="00B41E66">
        <w:rPr>
          <w:color w:val="auto"/>
        </w:rPr>
        <w:t xml:space="preserve">firm size </w:t>
      </w:r>
      <w:r w:rsidR="007A3845" w:rsidRPr="00B41E66">
        <w:rPr>
          <w:color w:val="auto"/>
        </w:rPr>
        <w:t xml:space="preserve">and </w:t>
      </w:r>
      <w:r w:rsidR="00243D58" w:rsidRPr="00B41E66">
        <w:rPr>
          <w:color w:val="auto"/>
        </w:rPr>
        <w:t xml:space="preserve">the </w:t>
      </w:r>
      <w:r w:rsidR="00203C56" w:rsidRPr="00B41E66">
        <w:rPr>
          <w:color w:val="auto"/>
        </w:rPr>
        <w:t>T</w:t>
      </w:r>
      <w:r w:rsidR="007A3845" w:rsidRPr="00B41E66">
        <w:rPr>
          <w:color w:val="auto"/>
        </w:rPr>
        <w:t>weet volume</w:t>
      </w:r>
      <w:r w:rsidR="00243D58" w:rsidRPr="00B41E66">
        <w:rPr>
          <w:color w:val="auto"/>
        </w:rPr>
        <w:t>, analyzing,</w:t>
      </w:r>
      <w:r w:rsidR="00E179D4" w:rsidRPr="00B41E66">
        <w:rPr>
          <w:color w:val="auto"/>
        </w:rPr>
        <w:t xml:space="preserve"> inter alia, </w:t>
      </w:r>
      <w:r w:rsidR="00243D58" w:rsidRPr="00B41E66">
        <w:rPr>
          <w:color w:val="auto"/>
        </w:rPr>
        <w:t>whether</w:t>
      </w:r>
      <w:r w:rsidR="00C548E7" w:rsidRPr="00B41E66">
        <w:rPr>
          <w:color w:val="auto"/>
        </w:rPr>
        <w:t xml:space="preserve"> firms use social media as a tool to promote a successful IPO</w:t>
      </w:r>
      <w:r w:rsidR="00243D58" w:rsidRPr="00B41E66">
        <w:rPr>
          <w:color w:val="auto"/>
        </w:rPr>
        <w:t>.</w:t>
      </w:r>
      <w:r w:rsidR="00C548E7" w:rsidRPr="00B41E66">
        <w:rPr>
          <w:color w:val="auto"/>
        </w:rPr>
        <w:t xml:space="preserve"> </w:t>
      </w:r>
    </w:p>
    <w:p w14:paraId="462D56E2" w14:textId="77777777" w:rsidR="00D35FCF" w:rsidRPr="00B41E66" w:rsidRDefault="00D35FCF" w:rsidP="00D35FCF">
      <w:pPr>
        <w:pStyle w:val="Default"/>
        <w:spacing w:line="360" w:lineRule="auto"/>
        <w:jc w:val="both"/>
      </w:pPr>
    </w:p>
    <w:p w14:paraId="546B0274" w14:textId="77777777" w:rsidR="004F6718" w:rsidRPr="00B41E66" w:rsidRDefault="00581D89" w:rsidP="007E6AA3">
      <w:pPr>
        <w:pStyle w:val="Default"/>
        <w:spacing w:line="360" w:lineRule="auto"/>
        <w:jc w:val="both"/>
        <w:rPr>
          <w:b/>
          <w:bCs/>
        </w:rPr>
      </w:pPr>
      <w:r w:rsidRPr="00B41E66">
        <w:rPr>
          <w:b/>
          <w:bCs/>
        </w:rPr>
        <w:t>4</w:t>
      </w:r>
      <w:r w:rsidR="00C548E7" w:rsidRPr="00B41E66">
        <w:rPr>
          <w:b/>
          <w:bCs/>
        </w:rPr>
        <w:t xml:space="preserve">. </w:t>
      </w:r>
      <w:r w:rsidR="00087F6D" w:rsidRPr="00B41E66">
        <w:rPr>
          <w:b/>
          <w:bCs/>
        </w:rPr>
        <w:t xml:space="preserve">Tweets </w:t>
      </w:r>
      <w:r w:rsidR="00C548E7" w:rsidRPr="00B41E66">
        <w:rPr>
          <w:b/>
          <w:bCs/>
        </w:rPr>
        <w:t>and IPO</w:t>
      </w:r>
      <w:r w:rsidR="00243D58" w:rsidRPr="00B41E66">
        <w:rPr>
          <w:b/>
          <w:bCs/>
        </w:rPr>
        <w:t>s</w:t>
      </w:r>
      <w:r w:rsidR="00087F6D" w:rsidRPr="00B41E66">
        <w:rPr>
          <w:b/>
          <w:bCs/>
        </w:rPr>
        <w:t xml:space="preserve"> return</w:t>
      </w:r>
    </w:p>
    <w:p w14:paraId="2849FAA1" w14:textId="77777777" w:rsidR="00366BD6" w:rsidRPr="00B41E66" w:rsidRDefault="00366BD6" w:rsidP="00321B91">
      <w:pPr>
        <w:spacing w:line="480" w:lineRule="auto"/>
        <w:jc w:val="both"/>
      </w:pPr>
      <w:r w:rsidRPr="00B41E66">
        <w:t xml:space="preserve">When </w:t>
      </w:r>
      <w:r w:rsidR="00464393" w:rsidRPr="00B41E66">
        <w:t>considering the volume of tweets as a reflection of the level of attention a firm has attracted</w:t>
      </w:r>
      <w:r w:rsidR="00B4009A" w:rsidRPr="00B41E66">
        <w:t>,</w:t>
      </w:r>
      <w:r w:rsidR="00464393" w:rsidRPr="00B41E66">
        <w:t xml:space="preserve"> it should be noted that the volume of tweets</w:t>
      </w:r>
      <w:r w:rsidRPr="00B41E66">
        <w:t xml:space="preserve"> has been weighted relative to </w:t>
      </w:r>
      <w:r w:rsidR="00464393" w:rsidRPr="00B41E66">
        <w:t xml:space="preserve">the tweet volume of </w:t>
      </w:r>
      <w:r w:rsidRPr="00B41E66">
        <w:t>other firms</w:t>
      </w:r>
      <w:r w:rsidR="00464393" w:rsidRPr="00B41E66">
        <w:t>. As a result,</w:t>
      </w:r>
      <w:r w:rsidRPr="00B41E66">
        <w:t xml:space="preserve"> even a low tweet volume can stand out in an environment whe</w:t>
      </w:r>
      <w:r w:rsidR="00464393" w:rsidRPr="00B41E66">
        <w:t>re</w:t>
      </w:r>
      <w:r w:rsidRPr="00B41E66">
        <w:t xml:space="preserve"> </w:t>
      </w:r>
      <w:r w:rsidR="00464393" w:rsidRPr="00B41E66">
        <w:t>comparable</w:t>
      </w:r>
      <w:r w:rsidRPr="00B41E66">
        <w:t xml:space="preserve"> firms have </w:t>
      </w:r>
      <w:r w:rsidR="00464393" w:rsidRPr="00B41E66">
        <w:t xml:space="preserve">a </w:t>
      </w:r>
      <w:r w:rsidRPr="00B41E66">
        <w:t xml:space="preserve">lower volume or no tweets at all, </w:t>
      </w:r>
      <w:r w:rsidR="00464393" w:rsidRPr="00B41E66">
        <w:t>thereby creat</w:t>
      </w:r>
      <w:r w:rsidR="0088349A" w:rsidRPr="00B41E66">
        <w:t>ing</w:t>
      </w:r>
      <w:r w:rsidRPr="00B41E66">
        <w:t xml:space="preserve"> an impact, perhaps </w:t>
      </w:r>
      <w:r w:rsidR="0088349A" w:rsidRPr="00B41E66">
        <w:t xml:space="preserve">even </w:t>
      </w:r>
      <w:r w:rsidRPr="00B41E66">
        <w:t xml:space="preserve">similar </w:t>
      </w:r>
      <w:r w:rsidR="0088349A" w:rsidRPr="00B41E66">
        <w:t xml:space="preserve">to </w:t>
      </w:r>
      <w:r w:rsidR="00464393" w:rsidRPr="00B41E66">
        <w:t>that of</w:t>
      </w:r>
      <w:r w:rsidRPr="00B41E66">
        <w:t xml:space="preserve"> a firm with very high tweet volume in an environment of high tweet volumes. </w:t>
      </w:r>
      <w:r w:rsidR="00464393" w:rsidRPr="00B41E66">
        <w:t xml:space="preserve">Therefore, the </w:t>
      </w:r>
      <w:r w:rsidR="00464393" w:rsidRPr="00B41E66">
        <w:lastRenderedPageBreak/>
        <w:t>mere</w:t>
      </w:r>
      <w:r w:rsidRPr="00B41E66">
        <w:t xml:space="preserve"> number </w:t>
      </w:r>
      <w:r w:rsidR="00464393" w:rsidRPr="00B41E66">
        <w:t xml:space="preserve">of tweets </w:t>
      </w:r>
      <w:r w:rsidRPr="00B41E66">
        <w:t xml:space="preserve">itself is often meaningless; </w:t>
      </w:r>
      <w:r w:rsidR="00464393" w:rsidRPr="00B41E66">
        <w:t>the number</w:t>
      </w:r>
      <w:r w:rsidRPr="00B41E66">
        <w:t xml:space="preserve"> becomes more meaningful only when compared with others in the </w:t>
      </w:r>
      <w:r w:rsidR="00464393" w:rsidRPr="00B41E66">
        <w:t>comparable sector</w:t>
      </w:r>
      <w:r w:rsidRPr="00B41E66">
        <w:t xml:space="preserve">. For that reason, the number of tweets above and below the median for </w:t>
      </w:r>
      <w:r w:rsidR="007425E0" w:rsidRPr="00B41E66">
        <w:t xml:space="preserve">each </w:t>
      </w:r>
      <w:r w:rsidRPr="00B41E66">
        <w:t xml:space="preserve">year relative to the IPO </w:t>
      </w:r>
      <w:r w:rsidR="007E6AA3" w:rsidRPr="00B41E66">
        <w:t xml:space="preserve">have been characterized </w:t>
      </w:r>
      <w:r w:rsidRPr="00B41E66">
        <w:t xml:space="preserve">as High Twitter Volume </w:t>
      </w:r>
      <w:r w:rsidR="00464393" w:rsidRPr="00B41E66">
        <w:t xml:space="preserve">(HTV) </w:t>
      </w:r>
      <w:r w:rsidRPr="00B41E66">
        <w:t xml:space="preserve">and Low Twitter Volume (LTV) respectively. </w:t>
      </w:r>
    </w:p>
    <w:p w14:paraId="3920A7D7" w14:textId="77777777" w:rsidR="00A54A95" w:rsidRPr="00B41E66" w:rsidRDefault="00087F6D" w:rsidP="00981478">
      <w:pPr>
        <w:spacing w:before="240" w:after="240" w:line="360" w:lineRule="auto"/>
        <w:jc w:val="both"/>
        <w:rPr>
          <w:b/>
          <w:bCs/>
          <w:lang w:bidi="he-IL"/>
        </w:rPr>
      </w:pPr>
      <w:r w:rsidRPr="00B41E66">
        <w:rPr>
          <w:b/>
          <w:bCs/>
          <w:lang w:bidi="he-IL"/>
        </w:rPr>
        <w:t>4</w:t>
      </w:r>
      <w:r w:rsidR="003A2718" w:rsidRPr="00B41E66">
        <w:rPr>
          <w:b/>
          <w:bCs/>
          <w:lang w:bidi="he-IL"/>
        </w:rPr>
        <w:t>.1</w:t>
      </w:r>
      <w:r w:rsidR="009C50E3" w:rsidRPr="00B41E66">
        <w:rPr>
          <w:b/>
          <w:bCs/>
          <w:lang w:bidi="he-IL"/>
        </w:rPr>
        <w:t xml:space="preserve"> </w:t>
      </w:r>
      <w:r w:rsidR="009C50E3" w:rsidRPr="00B41E66">
        <w:rPr>
          <w:b/>
          <w:bCs/>
        </w:rPr>
        <w:t>Research Goals and Hypotheses</w:t>
      </w:r>
    </w:p>
    <w:p w14:paraId="34D3A32C" w14:textId="77777777" w:rsidR="006C2E26" w:rsidRPr="00B41E66" w:rsidRDefault="003C5331" w:rsidP="00321B91">
      <w:pPr>
        <w:pStyle w:val="Default"/>
        <w:spacing w:line="480" w:lineRule="auto"/>
        <w:jc w:val="both"/>
        <w:rPr>
          <w:rStyle w:val="tlid-translation"/>
          <w:color w:val="auto"/>
        </w:rPr>
      </w:pPr>
      <w:r w:rsidRPr="00B41E66">
        <w:rPr>
          <w:color w:val="auto"/>
        </w:rPr>
        <w:t>O</w:t>
      </w:r>
      <w:r w:rsidR="006C2E26" w:rsidRPr="00B41E66">
        <w:rPr>
          <w:color w:val="auto"/>
        </w:rPr>
        <w:t xml:space="preserve">ur goal was to analyze </w:t>
      </w:r>
      <w:r w:rsidR="00366BD6" w:rsidRPr="00B41E66">
        <w:rPr>
          <w:color w:val="auto"/>
        </w:rPr>
        <w:t>the</w:t>
      </w:r>
      <w:r w:rsidR="006C2E26" w:rsidRPr="00B41E66">
        <w:rPr>
          <w:color w:val="auto"/>
        </w:rPr>
        <w:t xml:space="preserve"> </w:t>
      </w:r>
      <w:r w:rsidR="00696B9A" w:rsidRPr="00B41E66">
        <w:rPr>
          <w:color w:val="auto"/>
        </w:rPr>
        <w:t>correlation</w:t>
      </w:r>
      <w:r w:rsidR="007425E0" w:rsidRPr="00B41E66">
        <w:rPr>
          <w:color w:val="auto"/>
        </w:rPr>
        <w:t xml:space="preserve"> </w:t>
      </w:r>
      <w:r w:rsidR="00386A34" w:rsidRPr="00B41E66">
        <w:rPr>
          <w:color w:val="auto"/>
        </w:rPr>
        <w:t xml:space="preserve">and </w:t>
      </w:r>
      <w:r w:rsidR="007E6AA3" w:rsidRPr="00B41E66">
        <w:rPr>
          <w:color w:val="auto"/>
        </w:rPr>
        <w:t xml:space="preserve">possible </w:t>
      </w:r>
      <w:r w:rsidR="00386A34" w:rsidRPr="00B41E66">
        <w:rPr>
          <w:color w:val="auto"/>
        </w:rPr>
        <w:t xml:space="preserve">causality </w:t>
      </w:r>
      <w:r w:rsidR="0088349A" w:rsidRPr="00B41E66">
        <w:rPr>
          <w:color w:val="auto"/>
        </w:rPr>
        <w:t xml:space="preserve">between </w:t>
      </w:r>
      <w:r w:rsidR="007E6AA3" w:rsidRPr="00B41E66">
        <w:rPr>
          <w:color w:val="auto"/>
        </w:rPr>
        <w:t xml:space="preserve">the </w:t>
      </w:r>
      <w:r w:rsidR="00381F73" w:rsidRPr="00B41E66">
        <w:rPr>
          <w:color w:val="auto"/>
        </w:rPr>
        <w:t xml:space="preserve">annual </w:t>
      </w:r>
      <w:r w:rsidR="006C2E26" w:rsidRPr="00B41E66">
        <w:rPr>
          <w:color w:val="auto"/>
        </w:rPr>
        <w:t xml:space="preserve">volume of tweets </w:t>
      </w:r>
      <w:r w:rsidR="007E6AA3" w:rsidRPr="00B41E66">
        <w:rPr>
          <w:color w:val="auto"/>
        </w:rPr>
        <w:t xml:space="preserve">about a firm </w:t>
      </w:r>
      <w:r w:rsidR="006A7CC6" w:rsidRPr="00B41E66">
        <w:rPr>
          <w:color w:val="auto"/>
        </w:rPr>
        <w:t xml:space="preserve">and </w:t>
      </w:r>
      <w:r w:rsidR="007E6AA3" w:rsidRPr="00B41E66">
        <w:rPr>
          <w:color w:val="auto"/>
        </w:rPr>
        <w:t xml:space="preserve">that firm’s </w:t>
      </w:r>
      <w:r w:rsidR="00F65DCD" w:rsidRPr="00B41E66">
        <w:rPr>
          <w:color w:val="auto"/>
        </w:rPr>
        <w:t xml:space="preserve">main </w:t>
      </w:r>
      <w:r w:rsidR="006A7CC6" w:rsidRPr="00B41E66">
        <w:rPr>
          <w:color w:val="auto"/>
        </w:rPr>
        <w:t xml:space="preserve">capital market </w:t>
      </w:r>
      <w:r w:rsidR="00AF3B90" w:rsidRPr="00B41E66">
        <w:rPr>
          <w:color w:val="auto"/>
        </w:rPr>
        <w:t>variables</w:t>
      </w:r>
      <w:r w:rsidR="00E47AA4" w:rsidRPr="00B41E66">
        <w:rPr>
          <w:color w:val="auto"/>
        </w:rPr>
        <w:t xml:space="preserve">. </w:t>
      </w:r>
      <w:r w:rsidR="007E6AA3" w:rsidRPr="00B41E66">
        <w:rPr>
          <w:color w:val="auto"/>
        </w:rPr>
        <w:t>The expectation was that a positive relationship would be found, so that large</w:t>
      </w:r>
      <w:r w:rsidR="00832D29" w:rsidRPr="00B41E66">
        <w:rPr>
          <w:color w:val="auto"/>
        </w:rPr>
        <w:t>-sized</w:t>
      </w:r>
      <w:r w:rsidR="00345311" w:rsidRPr="00B41E66">
        <w:rPr>
          <w:color w:val="auto"/>
        </w:rPr>
        <w:t xml:space="preserve"> firms</w:t>
      </w:r>
      <w:r w:rsidR="00832D29" w:rsidRPr="00B41E66">
        <w:rPr>
          <w:color w:val="auto"/>
        </w:rPr>
        <w:t xml:space="preserve">, </w:t>
      </w:r>
      <w:r w:rsidR="007E6AA3" w:rsidRPr="00B41E66">
        <w:rPr>
          <w:color w:val="auto"/>
        </w:rPr>
        <w:t xml:space="preserve">high trading volumes and high returns would increase investor interest, which would be </w:t>
      </w:r>
      <w:r w:rsidR="00B61C98" w:rsidRPr="00B41E66">
        <w:rPr>
          <w:color w:val="auto"/>
        </w:rPr>
        <w:t xml:space="preserve">reflected in </w:t>
      </w:r>
      <w:r w:rsidR="007E6AA3" w:rsidRPr="00B41E66">
        <w:rPr>
          <w:color w:val="auto"/>
        </w:rPr>
        <w:t xml:space="preserve">a </w:t>
      </w:r>
      <w:r w:rsidR="00066B46" w:rsidRPr="00B41E66">
        <w:rPr>
          <w:color w:val="auto"/>
        </w:rPr>
        <w:t>high</w:t>
      </w:r>
      <w:r w:rsidR="00185C1D" w:rsidRPr="00B41E66">
        <w:rPr>
          <w:color w:val="auto"/>
        </w:rPr>
        <w:t>er</w:t>
      </w:r>
      <w:r w:rsidR="00066B46" w:rsidRPr="00B41E66">
        <w:rPr>
          <w:color w:val="auto"/>
        </w:rPr>
        <w:t xml:space="preserve"> volume of tweets, </w:t>
      </w:r>
      <w:r w:rsidR="007E6AA3" w:rsidRPr="00B41E66">
        <w:rPr>
          <w:color w:val="auto"/>
        </w:rPr>
        <w:t>and, conversely, that</w:t>
      </w:r>
      <w:r w:rsidR="00066B46" w:rsidRPr="00B41E66">
        <w:rPr>
          <w:color w:val="auto"/>
        </w:rPr>
        <w:t xml:space="preserve"> higher volume</w:t>
      </w:r>
      <w:r w:rsidR="00522F4C" w:rsidRPr="00B41E66">
        <w:rPr>
          <w:color w:val="auto"/>
        </w:rPr>
        <w:t>s</w:t>
      </w:r>
      <w:r w:rsidR="00066B46" w:rsidRPr="00B41E66">
        <w:rPr>
          <w:color w:val="auto"/>
        </w:rPr>
        <w:t xml:space="preserve"> of tweets </w:t>
      </w:r>
      <w:r w:rsidR="007E6AA3" w:rsidRPr="00B41E66">
        <w:rPr>
          <w:color w:val="auto"/>
        </w:rPr>
        <w:t>would</w:t>
      </w:r>
      <w:r w:rsidR="00066B46" w:rsidRPr="00B41E66">
        <w:rPr>
          <w:color w:val="auto"/>
        </w:rPr>
        <w:t xml:space="preserve"> draw investors’ attention</w:t>
      </w:r>
      <w:r w:rsidR="007E6AA3" w:rsidRPr="00B41E66">
        <w:rPr>
          <w:color w:val="auto"/>
        </w:rPr>
        <w:t>, which would</w:t>
      </w:r>
      <w:r w:rsidR="00066B46" w:rsidRPr="00B41E66">
        <w:rPr>
          <w:color w:val="auto"/>
        </w:rPr>
        <w:t xml:space="preserve"> be reflected in </w:t>
      </w:r>
      <w:r w:rsidR="00AF3B90" w:rsidRPr="00B41E66">
        <w:rPr>
          <w:color w:val="auto"/>
        </w:rPr>
        <w:t>higher</w:t>
      </w:r>
      <w:r w:rsidR="00066B46" w:rsidRPr="00B41E66">
        <w:rPr>
          <w:color w:val="auto"/>
        </w:rPr>
        <w:t xml:space="preserve"> market activity</w:t>
      </w:r>
      <w:r w:rsidR="007E6AA3" w:rsidRPr="00B41E66">
        <w:rPr>
          <w:color w:val="auto"/>
        </w:rPr>
        <w:t>.</w:t>
      </w:r>
      <w:r w:rsidR="00BB35E1" w:rsidRPr="00B41E66">
        <w:rPr>
          <w:rStyle w:val="FootnoteReference"/>
          <w:color w:val="auto"/>
        </w:rPr>
        <w:footnoteReference w:id="7"/>
      </w:r>
      <w:r w:rsidR="00522F4C" w:rsidRPr="00B41E66">
        <w:rPr>
          <w:color w:val="auto"/>
        </w:rPr>
        <w:t xml:space="preserve"> </w:t>
      </w:r>
      <w:r w:rsidR="00380987" w:rsidRPr="00B41E66">
        <w:rPr>
          <w:rStyle w:val="tlid-translation"/>
          <w:color w:val="auto"/>
        </w:rPr>
        <w:t xml:space="preserve">In </w:t>
      </w:r>
      <w:r w:rsidR="00381F73" w:rsidRPr="00B41E66">
        <w:rPr>
          <w:rStyle w:val="tlid-translation"/>
          <w:color w:val="auto"/>
        </w:rPr>
        <w:t>addition</w:t>
      </w:r>
      <w:r w:rsidR="00380987" w:rsidRPr="00B41E66">
        <w:rPr>
          <w:rStyle w:val="tlid-translation"/>
          <w:color w:val="auto"/>
        </w:rPr>
        <w:t xml:space="preserve">, </w:t>
      </w:r>
      <w:r w:rsidR="007E6AA3" w:rsidRPr="00B41E66">
        <w:rPr>
          <w:rStyle w:val="tlid-translation"/>
          <w:color w:val="auto"/>
        </w:rPr>
        <w:t>it was expected to find causality between</w:t>
      </w:r>
      <w:r w:rsidR="00381F73" w:rsidRPr="00B41E66">
        <w:rPr>
          <w:rStyle w:val="tlid-translation"/>
          <w:color w:val="auto"/>
        </w:rPr>
        <w:t xml:space="preserve"> the </w:t>
      </w:r>
      <w:r w:rsidR="00803717" w:rsidRPr="00B41E66">
        <w:rPr>
          <w:rStyle w:val="tlid-translation"/>
          <w:color w:val="auto"/>
        </w:rPr>
        <w:t xml:space="preserve">annual </w:t>
      </w:r>
      <w:r w:rsidR="00381F73" w:rsidRPr="00B41E66">
        <w:rPr>
          <w:rStyle w:val="tlid-translation"/>
          <w:color w:val="auto"/>
        </w:rPr>
        <w:t xml:space="preserve">volume of tweets </w:t>
      </w:r>
      <w:r w:rsidR="007E6AA3" w:rsidRPr="00B41E66">
        <w:rPr>
          <w:rStyle w:val="tlid-translation"/>
          <w:color w:val="auto"/>
        </w:rPr>
        <w:t xml:space="preserve">about a firm and that firm’s </w:t>
      </w:r>
      <w:r w:rsidR="00381F73" w:rsidRPr="00B41E66">
        <w:rPr>
          <w:rStyle w:val="tlid-translation"/>
          <w:color w:val="auto"/>
        </w:rPr>
        <w:t>returns</w:t>
      </w:r>
      <w:r w:rsidR="007E6AA3" w:rsidRPr="00B41E66">
        <w:rPr>
          <w:rStyle w:val="tlid-translation"/>
          <w:color w:val="auto"/>
        </w:rPr>
        <w:t>, so that</w:t>
      </w:r>
      <w:r w:rsidR="00381F73" w:rsidRPr="00B41E66">
        <w:rPr>
          <w:rStyle w:val="tlid-translation"/>
          <w:color w:val="auto"/>
        </w:rPr>
        <w:t xml:space="preserve"> </w:t>
      </w:r>
      <w:r w:rsidR="00380987" w:rsidRPr="00B41E66">
        <w:rPr>
          <w:rStyle w:val="tlid-translation"/>
          <w:color w:val="auto"/>
        </w:rPr>
        <w:t xml:space="preserve">a high volume of tweets in a given period </w:t>
      </w:r>
      <w:r w:rsidR="007E6AA3" w:rsidRPr="00B41E66">
        <w:rPr>
          <w:rStyle w:val="tlid-translation"/>
          <w:color w:val="auto"/>
        </w:rPr>
        <w:t>would</w:t>
      </w:r>
      <w:r w:rsidR="00381F73" w:rsidRPr="00B41E66">
        <w:rPr>
          <w:rStyle w:val="tlid-translation"/>
          <w:color w:val="auto"/>
        </w:rPr>
        <w:t xml:space="preserve"> </w:t>
      </w:r>
      <w:r w:rsidR="00380987" w:rsidRPr="00B41E66">
        <w:rPr>
          <w:rStyle w:val="tlid-translation"/>
          <w:color w:val="auto"/>
        </w:rPr>
        <w:t xml:space="preserve">have positive </w:t>
      </w:r>
      <w:r w:rsidR="007E6AA3" w:rsidRPr="00B41E66">
        <w:rPr>
          <w:rStyle w:val="tlid-translation"/>
          <w:color w:val="auto"/>
        </w:rPr>
        <w:t>impact</w:t>
      </w:r>
      <w:r w:rsidR="00380987" w:rsidRPr="00B41E66">
        <w:rPr>
          <w:rStyle w:val="tlid-translation"/>
          <w:color w:val="auto"/>
        </w:rPr>
        <w:t xml:space="preserve"> on return</w:t>
      </w:r>
      <w:r w:rsidR="007E6AA3" w:rsidRPr="00B41E66">
        <w:rPr>
          <w:rStyle w:val="tlid-translation"/>
          <w:color w:val="auto"/>
        </w:rPr>
        <w:t>s</w:t>
      </w:r>
      <w:r w:rsidR="00380987" w:rsidRPr="00B41E66">
        <w:rPr>
          <w:rStyle w:val="tlid-translation"/>
          <w:color w:val="auto"/>
        </w:rPr>
        <w:t xml:space="preserve"> in the </w:t>
      </w:r>
      <w:r w:rsidR="0088349A" w:rsidRPr="00B41E66">
        <w:rPr>
          <w:rStyle w:val="tlid-translation"/>
          <w:color w:val="auto"/>
        </w:rPr>
        <w:t>ensuing</w:t>
      </w:r>
      <w:r w:rsidR="00380987" w:rsidRPr="00B41E66">
        <w:rPr>
          <w:rStyle w:val="tlid-translation"/>
          <w:color w:val="auto"/>
        </w:rPr>
        <w:t xml:space="preserve"> period.</w:t>
      </w:r>
    </w:p>
    <w:p w14:paraId="36278E13" w14:textId="77777777" w:rsidR="0088349A" w:rsidRPr="00B41E66" w:rsidRDefault="0088349A" w:rsidP="00C5454C">
      <w:pPr>
        <w:pStyle w:val="Default"/>
        <w:spacing w:line="360" w:lineRule="auto"/>
        <w:jc w:val="both"/>
        <w:rPr>
          <w:rStyle w:val="tlid-translation"/>
          <w:color w:val="auto"/>
        </w:rPr>
      </w:pPr>
    </w:p>
    <w:p w14:paraId="2682467F" w14:textId="77777777" w:rsidR="006B24A7" w:rsidRPr="00B41E66" w:rsidRDefault="007E6AA3" w:rsidP="007E6AA3">
      <w:pPr>
        <w:pStyle w:val="Default"/>
        <w:spacing w:line="360" w:lineRule="auto"/>
        <w:jc w:val="both"/>
        <w:rPr>
          <w:color w:val="auto"/>
        </w:rPr>
      </w:pPr>
      <w:r w:rsidRPr="00B41E66">
        <w:rPr>
          <w:color w:val="auto"/>
        </w:rPr>
        <w:t>We formulated t</w:t>
      </w:r>
      <w:r w:rsidR="006B24A7" w:rsidRPr="00B41E66">
        <w:rPr>
          <w:color w:val="auto"/>
        </w:rPr>
        <w:t>he following hypothes</w:t>
      </w:r>
      <w:r w:rsidR="00380987" w:rsidRPr="00B41E66">
        <w:rPr>
          <w:color w:val="auto"/>
        </w:rPr>
        <w:t>e</w:t>
      </w:r>
      <w:r w:rsidR="006B24A7" w:rsidRPr="00B41E66">
        <w:rPr>
          <w:color w:val="auto"/>
        </w:rPr>
        <w:t>s</w:t>
      </w:r>
      <w:r w:rsidRPr="00B41E66">
        <w:rPr>
          <w:color w:val="auto"/>
        </w:rPr>
        <w:t xml:space="preserve"> to reflect these expectations</w:t>
      </w:r>
      <w:r w:rsidR="00101E3B" w:rsidRPr="00B41E66">
        <w:rPr>
          <w:color w:val="auto"/>
        </w:rPr>
        <w:t>:</w:t>
      </w:r>
    </w:p>
    <w:p w14:paraId="6ED73693" w14:textId="77777777" w:rsidR="006B24A7" w:rsidRPr="00B41E66" w:rsidRDefault="006B24A7" w:rsidP="006B24A7">
      <w:pPr>
        <w:pStyle w:val="Default"/>
        <w:spacing w:line="360" w:lineRule="auto"/>
        <w:jc w:val="both"/>
        <w:rPr>
          <w:color w:val="auto"/>
        </w:rPr>
      </w:pPr>
    </w:p>
    <w:p w14:paraId="51558755" w14:textId="77777777" w:rsidR="006B24A7" w:rsidRPr="00B41E66" w:rsidRDefault="006B24A7" w:rsidP="00321B91">
      <w:pPr>
        <w:autoSpaceDE w:val="0"/>
        <w:autoSpaceDN w:val="0"/>
        <w:adjustRightInd w:val="0"/>
        <w:spacing w:line="480" w:lineRule="auto"/>
        <w:jc w:val="both"/>
        <w:rPr>
          <w:b/>
          <w:bCs/>
        </w:rPr>
      </w:pPr>
      <w:r w:rsidRPr="00B41E66">
        <w:rPr>
          <w:b/>
          <w:i/>
          <w:iCs/>
        </w:rPr>
        <w:t>H</w:t>
      </w:r>
      <w:r w:rsidR="00101E3B" w:rsidRPr="00B41E66">
        <w:rPr>
          <w:b/>
          <w:i/>
          <w:iCs/>
        </w:rPr>
        <w:t>4</w:t>
      </w:r>
      <w:r w:rsidR="007E6AA3" w:rsidRPr="00B41E66">
        <w:rPr>
          <w:b/>
          <w:i/>
          <w:iCs/>
        </w:rPr>
        <w:t>: C</w:t>
      </w:r>
      <w:r w:rsidR="00522F4C" w:rsidRPr="00B41E66">
        <w:rPr>
          <w:b/>
          <w:bCs/>
          <w:i/>
          <w:iCs/>
        </w:rPr>
        <w:t>orrelation</w:t>
      </w:r>
      <w:r w:rsidR="007E6AA3" w:rsidRPr="00B41E66">
        <w:rPr>
          <w:b/>
          <w:bCs/>
          <w:i/>
          <w:iCs/>
        </w:rPr>
        <w:t>:</w:t>
      </w:r>
      <w:r w:rsidR="00522F4C" w:rsidRPr="00B41E66">
        <w:rPr>
          <w:b/>
          <w:bCs/>
          <w:i/>
          <w:iCs/>
        </w:rPr>
        <w:t xml:space="preserve"> </w:t>
      </w:r>
      <w:r w:rsidR="0088349A" w:rsidRPr="00B41E66">
        <w:t>T</w:t>
      </w:r>
      <w:r w:rsidR="00522F4C" w:rsidRPr="00B41E66">
        <w:t>here will be a positive correlation between Twitter volume and capital market variables: risk, returns, trading volume and market capitalization</w:t>
      </w:r>
      <w:r w:rsidR="006E172D" w:rsidRPr="00B41E66">
        <w:rPr>
          <w:b/>
          <w:bCs/>
        </w:rPr>
        <w:t>.</w:t>
      </w:r>
    </w:p>
    <w:p w14:paraId="5935B14D" w14:textId="77777777" w:rsidR="006B24A7" w:rsidRPr="00B41E66" w:rsidRDefault="006B24A7" w:rsidP="00321B91">
      <w:pPr>
        <w:autoSpaceDE w:val="0"/>
        <w:autoSpaceDN w:val="0"/>
        <w:adjustRightInd w:val="0"/>
        <w:spacing w:line="480" w:lineRule="auto"/>
        <w:jc w:val="both"/>
      </w:pPr>
    </w:p>
    <w:p w14:paraId="7BDFC69D" w14:textId="77777777" w:rsidR="0088349A" w:rsidRPr="00B41E66" w:rsidRDefault="00101E3B" w:rsidP="00321B91">
      <w:pPr>
        <w:autoSpaceDE w:val="0"/>
        <w:autoSpaceDN w:val="0"/>
        <w:adjustRightInd w:val="0"/>
        <w:spacing w:line="480" w:lineRule="auto"/>
        <w:jc w:val="both"/>
      </w:pPr>
      <w:r w:rsidRPr="00B41E66">
        <w:rPr>
          <w:b/>
          <w:bCs/>
          <w:i/>
          <w:iCs/>
        </w:rPr>
        <w:t>H5</w:t>
      </w:r>
      <w:r w:rsidR="007E6AA3" w:rsidRPr="00B41E66">
        <w:rPr>
          <w:b/>
          <w:bCs/>
          <w:i/>
          <w:iCs/>
        </w:rPr>
        <w:t>:</w:t>
      </w:r>
      <w:r w:rsidR="006B24A7" w:rsidRPr="00B41E66">
        <w:t xml:space="preserve"> </w:t>
      </w:r>
      <w:r w:rsidR="007E6AA3" w:rsidRPr="00B41E66">
        <w:t>C</w:t>
      </w:r>
      <w:r w:rsidR="006B24A7" w:rsidRPr="00B41E66">
        <w:rPr>
          <w:b/>
          <w:bCs/>
          <w:i/>
          <w:iCs/>
        </w:rPr>
        <w:t>ausality</w:t>
      </w:r>
      <w:r w:rsidR="007E6AA3" w:rsidRPr="00B41E66">
        <w:rPr>
          <w:b/>
          <w:bCs/>
          <w:i/>
          <w:iCs/>
        </w:rPr>
        <w:t>:</w:t>
      </w:r>
      <w:r w:rsidR="0088349A" w:rsidRPr="00B41E66">
        <w:rPr>
          <w:b/>
          <w:bCs/>
          <w:i/>
          <w:iCs/>
        </w:rPr>
        <w:t xml:space="preserve">       </w:t>
      </w:r>
      <w:r w:rsidR="006B24A7" w:rsidRPr="00B41E66">
        <w:rPr>
          <w:b/>
          <w:bCs/>
        </w:rPr>
        <w:t xml:space="preserve"> </w:t>
      </w:r>
      <w:r w:rsidR="005502E8" w:rsidRPr="00B41E66">
        <w:t xml:space="preserve">a: </w:t>
      </w:r>
      <w:r w:rsidR="00381F73" w:rsidRPr="00B41E66">
        <w:t xml:space="preserve">There will be a positive causality between </w:t>
      </w:r>
      <w:r w:rsidR="00717B1A" w:rsidRPr="00B41E66">
        <w:t xml:space="preserve">the </w:t>
      </w:r>
      <w:r w:rsidR="00803717" w:rsidRPr="00B41E66">
        <w:t xml:space="preserve">annual </w:t>
      </w:r>
      <w:r w:rsidR="00E82A63" w:rsidRPr="00B41E66">
        <w:t>volume</w:t>
      </w:r>
      <w:r w:rsidR="00ED6096" w:rsidRPr="00B41E66">
        <w:rPr>
          <w:rtl/>
          <w:lang w:bidi="he-IL"/>
        </w:rPr>
        <w:t xml:space="preserve"> </w:t>
      </w:r>
      <w:r w:rsidR="00ED6096" w:rsidRPr="00B41E66">
        <w:rPr>
          <w:lang w:bidi="he-IL"/>
        </w:rPr>
        <w:t xml:space="preserve">of </w:t>
      </w:r>
      <w:r w:rsidR="00381F73" w:rsidRPr="00B41E66">
        <w:t xml:space="preserve">tweets </w:t>
      </w:r>
    </w:p>
    <w:p w14:paraId="52D3679A" w14:textId="77777777" w:rsidR="006B24A7" w:rsidRPr="00B41E66" w:rsidRDefault="0088349A" w:rsidP="00321B91">
      <w:pPr>
        <w:autoSpaceDE w:val="0"/>
        <w:autoSpaceDN w:val="0"/>
        <w:adjustRightInd w:val="0"/>
        <w:spacing w:line="480" w:lineRule="auto"/>
        <w:jc w:val="both"/>
      </w:pPr>
      <w:r w:rsidRPr="00B41E66">
        <w:t xml:space="preserve">                                     </w:t>
      </w:r>
      <w:r w:rsidR="007E6AA3" w:rsidRPr="00B41E66">
        <w:t xml:space="preserve">about a firm and its </w:t>
      </w:r>
      <w:r w:rsidR="00B35B55" w:rsidRPr="00B41E66">
        <w:t>annual</w:t>
      </w:r>
      <w:r w:rsidR="00381F73" w:rsidRPr="00B41E66">
        <w:t xml:space="preserve"> returns</w:t>
      </w:r>
      <w:r w:rsidR="006E172D" w:rsidRPr="00B41E66">
        <w:t>.</w:t>
      </w:r>
    </w:p>
    <w:p w14:paraId="133A4E73" w14:textId="77777777" w:rsidR="001F74D1" w:rsidRPr="00B41E66" w:rsidRDefault="005502E8" w:rsidP="00321B91">
      <w:pPr>
        <w:autoSpaceDE w:val="0"/>
        <w:autoSpaceDN w:val="0"/>
        <w:adjustRightInd w:val="0"/>
        <w:spacing w:line="480" w:lineRule="auto"/>
        <w:jc w:val="both"/>
        <w:rPr>
          <w:rStyle w:val="tlid-translation"/>
        </w:rPr>
      </w:pPr>
      <w:r w:rsidRPr="00B41E66">
        <w:lastRenderedPageBreak/>
        <w:tab/>
      </w:r>
      <w:r w:rsidRPr="00B41E66">
        <w:tab/>
        <w:t xml:space="preserve">   </w:t>
      </w:r>
      <w:r w:rsidR="00D572DF" w:rsidRPr="00B41E66">
        <w:t xml:space="preserve">  </w:t>
      </w:r>
      <w:r w:rsidRPr="00B41E66">
        <w:t xml:space="preserve"> </w:t>
      </w:r>
      <w:r w:rsidR="007E6AA3" w:rsidRPr="00B41E66">
        <w:t xml:space="preserve">   </w:t>
      </w:r>
      <w:r w:rsidR="00D572DF" w:rsidRPr="00B41E66">
        <w:t>b</w:t>
      </w:r>
      <w:r w:rsidRPr="00B41E66">
        <w:t xml:space="preserve">: </w:t>
      </w:r>
      <w:r w:rsidR="00D572DF" w:rsidRPr="00B41E66">
        <w:rPr>
          <w:rStyle w:val="tlid-translation"/>
        </w:rPr>
        <w:t xml:space="preserve">There will be positive causality between </w:t>
      </w:r>
      <w:r w:rsidR="001F74D1" w:rsidRPr="00B41E66">
        <w:rPr>
          <w:rStyle w:val="tlid-translation"/>
        </w:rPr>
        <w:t xml:space="preserve">the </w:t>
      </w:r>
      <w:r w:rsidR="00D572DF" w:rsidRPr="00B41E66">
        <w:rPr>
          <w:rStyle w:val="tlid-translation"/>
        </w:rPr>
        <w:t xml:space="preserve">volume of tweets </w:t>
      </w:r>
      <w:r w:rsidR="007E6AA3" w:rsidRPr="00B41E66">
        <w:rPr>
          <w:rStyle w:val="tlid-translation"/>
        </w:rPr>
        <w:t xml:space="preserve">a firm </w:t>
      </w:r>
      <w:r w:rsidR="001F74D1" w:rsidRPr="00B41E66">
        <w:rPr>
          <w:rStyle w:val="tlid-translation"/>
        </w:rPr>
        <w:t xml:space="preserve"> </w:t>
      </w:r>
    </w:p>
    <w:p w14:paraId="3EE03A8A" w14:textId="77777777" w:rsidR="0088349A" w:rsidRPr="00B41E66" w:rsidRDefault="001F74D1" w:rsidP="00321B91">
      <w:pPr>
        <w:autoSpaceDE w:val="0"/>
        <w:autoSpaceDN w:val="0"/>
        <w:adjustRightInd w:val="0"/>
        <w:spacing w:line="480" w:lineRule="auto"/>
        <w:jc w:val="both"/>
        <w:rPr>
          <w:rStyle w:val="tlid-translation"/>
        </w:rPr>
      </w:pPr>
      <w:r w:rsidRPr="00B41E66">
        <w:rPr>
          <w:rStyle w:val="tlid-translation"/>
        </w:rPr>
        <w:t xml:space="preserve">                                     </w:t>
      </w:r>
      <w:r w:rsidR="007E6AA3" w:rsidRPr="00B41E66">
        <w:rPr>
          <w:rStyle w:val="tlid-translation"/>
        </w:rPr>
        <w:t xml:space="preserve">receives </w:t>
      </w:r>
      <w:r w:rsidR="00D572DF" w:rsidRPr="00B41E66">
        <w:rPr>
          <w:rStyle w:val="tlid-translation"/>
        </w:rPr>
        <w:t>in periods of less than one year</w:t>
      </w:r>
      <w:r w:rsidR="00B4009A" w:rsidRPr="00B41E66">
        <w:rPr>
          <w:rStyle w:val="tlid-translation"/>
        </w:rPr>
        <w:t xml:space="preserve">, </w:t>
      </w:r>
      <w:r w:rsidR="007E6AA3" w:rsidRPr="00B41E66">
        <w:rPr>
          <w:rStyle w:val="tlid-translation"/>
        </w:rPr>
        <w:t>one</w:t>
      </w:r>
      <w:r w:rsidR="0016450C" w:rsidRPr="00B41E66">
        <w:rPr>
          <w:rStyle w:val="tlid-translation"/>
        </w:rPr>
        <w:t xml:space="preserve"> week</w:t>
      </w:r>
      <w:r w:rsidR="007E6AA3" w:rsidRPr="00B41E66">
        <w:rPr>
          <w:rStyle w:val="tlid-translation"/>
        </w:rPr>
        <w:t>,</w:t>
      </w:r>
      <w:r w:rsidR="0016450C" w:rsidRPr="00B41E66">
        <w:rPr>
          <w:rStyle w:val="tlid-translation"/>
        </w:rPr>
        <w:t xml:space="preserve"> </w:t>
      </w:r>
      <w:r w:rsidR="00D572DF" w:rsidRPr="00B41E66">
        <w:rPr>
          <w:rStyle w:val="tlid-translation"/>
        </w:rPr>
        <w:t xml:space="preserve">two weeks and </w:t>
      </w:r>
    </w:p>
    <w:p w14:paraId="3B3292C8" w14:textId="77777777" w:rsidR="001F74D1" w:rsidRPr="00B41E66" w:rsidRDefault="0088349A" w:rsidP="00321B91">
      <w:pPr>
        <w:autoSpaceDE w:val="0"/>
        <w:autoSpaceDN w:val="0"/>
        <w:adjustRightInd w:val="0"/>
        <w:spacing w:line="480" w:lineRule="auto"/>
        <w:jc w:val="both"/>
        <w:rPr>
          <w:rStyle w:val="tlid-translation"/>
        </w:rPr>
      </w:pPr>
      <w:r w:rsidRPr="00B41E66">
        <w:rPr>
          <w:rStyle w:val="tlid-translation"/>
        </w:rPr>
        <w:t xml:space="preserve">                                     </w:t>
      </w:r>
      <w:r w:rsidR="00D572DF" w:rsidRPr="00B41E66">
        <w:rPr>
          <w:rStyle w:val="tlid-translation"/>
        </w:rPr>
        <w:t>one month</w:t>
      </w:r>
      <w:r w:rsidR="007E6AA3" w:rsidRPr="00B41E66">
        <w:rPr>
          <w:rStyle w:val="tlid-translation"/>
        </w:rPr>
        <w:t xml:space="preserve"> </w:t>
      </w:r>
      <w:r w:rsidR="00D572DF" w:rsidRPr="00B41E66">
        <w:rPr>
          <w:rStyle w:val="tlid-translation"/>
        </w:rPr>
        <w:t>prior to the IPO</w:t>
      </w:r>
      <w:r w:rsidR="00B4009A" w:rsidRPr="00B41E66">
        <w:rPr>
          <w:rStyle w:val="tlid-translation"/>
        </w:rPr>
        <w:t>,</w:t>
      </w:r>
      <w:r w:rsidR="00D572DF" w:rsidRPr="00B41E66">
        <w:rPr>
          <w:rStyle w:val="tlid-translation"/>
        </w:rPr>
        <w:t xml:space="preserve"> and return</w:t>
      </w:r>
      <w:r w:rsidR="001F74D1" w:rsidRPr="00B41E66">
        <w:rPr>
          <w:rStyle w:val="tlid-translation"/>
        </w:rPr>
        <w:t>s</w:t>
      </w:r>
      <w:r w:rsidR="00D572DF" w:rsidRPr="00B41E66">
        <w:rPr>
          <w:rStyle w:val="tlid-translation"/>
        </w:rPr>
        <w:t xml:space="preserve"> in parallel periods post</w:t>
      </w:r>
      <w:r w:rsidR="001F74D1" w:rsidRPr="00B41E66">
        <w:rPr>
          <w:rStyle w:val="tlid-translation"/>
        </w:rPr>
        <w:t>-</w:t>
      </w:r>
    </w:p>
    <w:p w14:paraId="1E35C38C" w14:textId="77777777" w:rsidR="00D572DF" w:rsidRPr="00B41E66" w:rsidRDefault="001F74D1" w:rsidP="00321B91">
      <w:pPr>
        <w:autoSpaceDE w:val="0"/>
        <w:autoSpaceDN w:val="0"/>
        <w:adjustRightInd w:val="0"/>
        <w:spacing w:line="480" w:lineRule="auto"/>
        <w:jc w:val="both"/>
      </w:pPr>
      <w:r w:rsidRPr="00B41E66">
        <w:rPr>
          <w:rStyle w:val="tlid-translation"/>
        </w:rPr>
        <w:t xml:space="preserve">                                    </w:t>
      </w:r>
      <w:r w:rsidR="00D572DF" w:rsidRPr="00B41E66">
        <w:rPr>
          <w:rStyle w:val="tlid-translation"/>
        </w:rPr>
        <w:t xml:space="preserve"> IPO.</w:t>
      </w:r>
    </w:p>
    <w:p w14:paraId="0F9B90E1" w14:textId="77777777" w:rsidR="00154E32" w:rsidRPr="00B41E66" w:rsidRDefault="00154E32" w:rsidP="001F74D1">
      <w:pPr>
        <w:autoSpaceDE w:val="0"/>
        <w:autoSpaceDN w:val="0"/>
        <w:adjustRightInd w:val="0"/>
        <w:spacing w:line="360" w:lineRule="auto"/>
        <w:jc w:val="both"/>
      </w:pPr>
    </w:p>
    <w:p w14:paraId="5E11B1FF" w14:textId="77777777" w:rsidR="006B24A7" w:rsidRPr="00B41E66" w:rsidRDefault="006B24A7" w:rsidP="002777B6">
      <w:pPr>
        <w:pBdr>
          <w:bottom w:val="single" w:sz="6" w:space="1" w:color="auto"/>
        </w:pBdr>
        <w:rPr>
          <w:vanish/>
          <w:lang w:bidi="he-IL"/>
        </w:rPr>
      </w:pPr>
      <w:r w:rsidRPr="00B41E66">
        <w:rPr>
          <w:vanish/>
          <w:rtl/>
          <w:lang w:bidi="he-IL"/>
        </w:rPr>
        <w:t>ראש הטופס</w:t>
      </w:r>
    </w:p>
    <w:p w14:paraId="67E66E8F" w14:textId="77777777" w:rsidR="00BA3CD0" w:rsidRPr="00B41E66" w:rsidRDefault="00087F6D" w:rsidP="007C68F9">
      <w:pPr>
        <w:pStyle w:val="Default"/>
        <w:spacing w:line="360" w:lineRule="auto"/>
        <w:jc w:val="both"/>
        <w:rPr>
          <w:b/>
          <w:bCs/>
          <w:color w:val="auto"/>
        </w:rPr>
      </w:pPr>
      <w:r w:rsidRPr="00B41E66">
        <w:rPr>
          <w:b/>
          <w:bCs/>
          <w:color w:val="auto"/>
        </w:rPr>
        <w:t>4</w:t>
      </w:r>
      <w:r w:rsidR="00BB7443" w:rsidRPr="00B41E66">
        <w:rPr>
          <w:b/>
          <w:bCs/>
          <w:color w:val="auto"/>
        </w:rPr>
        <w:t>.2</w:t>
      </w:r>
      <w:r w:rsidR="00BA3CD0" w:rsidRPr="00B41E66">
        <w:rPr>
          <w:b/>
          <w:bCs/>
          <w:color w:val="auto"/>
        </w:rPr>
        <w:t xml:space="preserve"> Data</w:t>
      </w:r>
      <w:r w:rsidR="002407C5" w:rsidRPr="00B41E66">
        <w:rPr>
          <w:b/>
          <w:bCs/>
          <w:color w:val="auto"/>
        </w:rPr>
        <w:t xml:space="preserve"> and Method</w:t>
      </w:r>
    </w:p>
    <w:p w14:paraId="0E2C4582" w14:textId="2060AFE5" w:rsidR="00AC0E26" w:rsidRPr="00B41E66" w:rsidRDefault="00BA3CD0" w:rsidP="004A5F04">
      <w:pPr>
        <w:autoSpaceDE w:val="0"/>
        <w:autoSpaceDN w:val="0"/>
        <w:adjustRightInd w:val="0"/>
        <w:spacing w:after="240" w:line="480" w:lineRule="auto"/>
        <w:jc w:val="both"/>
      </w:pPr>
      <w:r w:rsidRPr="00B41E66">
        <w:t>For each firm in our sample</w:t>
      </w:r>
      <w:r w:rsidR="0088349A" w:rsidRPr="00B41E66">
        <w:t>,</w:t>
      </w:r>
      <w:r w:rsidRPr="00B41E66">
        <w:t xml:space="preserve"> we </w:t>
      </w:r>
      <w:r w:rsidR="0086661C" w:rsidRPr="00B41E66">
        <w:rPr>
          <w:lang w:bidi="he-IL"/>
        </w:rPr>
        <w:t>down</w:t>
      </w:r>
      <w:r w:rsidR="0086661C" w:rsidRPr="00B41E66">
        <w:t>loaded</w:t>
      </w:r>
      <w:r w:rsidR="00CA0A62" w:rsidRPr="00B41E66">
        <w:t xml:space="preserve"> its related tw</w:t>
      </w:r>
      <w:r w:rsidR="0015699E" w:rsidRPr="00B41E66">
        <w:t>ee</w:t>
      </w:r>
      <w:r w:rsidR="00CA0A62" w:rsidRPr="00B41E66">
        <w:t>ts</w:t>
      </w:r>
      <w:r w:rsidR="0086661C" w:rsidRPr="00B41E66">
        <w:t xml:space="preserve"> using</w:t>
      </w:r>
      <w:r w:rsidRPr="00B41E66">
        <w:t xml:space="preserve"> Python programing</w:t>
      </w:r>
      <w:r w:rsidR="00245445" w:rsidRPr="00B41E66">
        <w:rPr>
          <w:rStyle w:val="FootnoteReference"/>
        </w:rPr>
        <w:footnoteReference w:id="8"/>
      </w:r>
      <w:r w:rsidR="00B82976" w:rsidRPr="00B41E66">
        <w:t>,</w:t>
      </w:r>
      <w:r w:rsidRPr="00B41E66">
        <w:t xml:space="preserve"> starting from </w:t>
      </w:r>
      <w:r w:rsidR="004A5F04" w:rsidRPr="00B41E66">
        <w:t>one</w:t>
      </w:r>
      <w:r w:rsidRPr="00B41E66">
        <w:t xml:space="preserve"> calendar year </w:t>
      </w:r>
      <w:r w:rsidR="0086661C" w:rsidRPr="00B41E66">
        <w:t>pr</w:t>
      </w:r>
      <w:r w:rsidR="0088349A" w:rsidRPr="00B41E66">
        <w:t>e</w:t>
      </w:r>
      <w:r w:rsidR="0086661C" w:rsidRPr="00B41E66">
        <w:t>ceding</w:t>
      </w:r>
      <w:r w:rsidRPr="00B41E66">
        <w:t xml:space="preserve"> the IPO day and up to </w:t>
      </w:r>
      <w:r w:rsidR="00FA7411" w:rsidRPr="00B41E66">
        <w:t>three</w:t>
      </w:r>
      <w:r w:rsidRPr="00B41E66">
        <w:t xml:space="preserve"> calendar years post</w:t>
      </w:r>
      <w:r w:rsidR="00FA7411" w:rsidRPr="00B41E66">
        <w:t>-</w:t>
      </w:r>
      <w:r w:rsidRPr="00B41E66">
        <w:t xml:space="preserve">IPO. We extracted all tweets containing: full company name, $ + </w:t>
      </w:r>
      <w:r w:rsidR="00381F73" w:rsidRPr="00B41E66">
        <w:t xml:space="preserve">firms’ </w:t>
      </w:r>
      <w:r w:rsidRPr="00B41E66">
        <w:t xml:space="preserve">ticker </w:t>
      </w:r>
      <w:r w:rsidR="004A5F04" w:rsidRPr="00B41E66">
        <w:t>and</w:t>
      </w:r>
      <w:r w:rsidRPr="00B41E66">
        <w:t xml:space="preserve"> the </w:t>
      </w:r>
      <w:r w:rsidR="00A82CF3" w:rsidRPr="00B41E66">
        <w:t xml:space="preserve">company’s </w:t>
      </w:r>
      <w:r w:rsidRPr="00B41E66">
        <w:t xml:space="preserve">twitter </w:t>
      </w:r>
      <w:r w:rsidR="00B90F91" w:rsidRPr="00B41E66">
        <w:t>username</w:t>
      </w:r>
      <w:r w:rsidRPr="00B41E66">
        <w:t xml:space="preserve"> if there was one, </w:t>
      </w:r>
      <w:r w:rsidR="00B4009A" w:rsidRPr="00B41E66">
        <w:t>such as</w:t>
      </w:r>
      <w:r w:rsidR="00EC2F62" w:rsidRPr="00B41E66">
        <w:t xml:space="preserve"> </w:t>
      </w:r>
      <w:r w:rsidRPr="00B41E66">
        <w:t>@chimerix for Chimerix. N</w:t>
      </w:r>
      <w:r w:rsidRPr="00B41E66">
        <w:rPr>
          <w:lang w:bidi="he-IL"/>
        </w:rPr>
        <w:t xml:space="preserve">ext, </w:t>
      </w:r>
      <w:r w:rsidRPr="00B41E66">
        <w:t>we excluded all unrelated tw</w:t>
      </w:r>
      <w:r w:rsidR="0015699E" w:rsidRPr="00B41E66">
        <w:t>ee</w:t>
      </w:r>
      <w:r w:rsidRPr="00B41E66">
        <w:t xml:space="preserve">ts in which the company name appeared in a non-company context, such as “Adam Kadmon” for Kadmon. </w:t>
      </w:r>
      <w:r w:rsidR="000C044D" w:rsidRPr="00B41E66">
        <w:t xml:space="preserve">Our </w:t>
      </w:r>
      <w:r w:rsidR="00FA7411" w:rsidRPr="00B41E66">
        <w:t>T</w:t>
      </w:r>
      <w:r w:rsidR="000C044D" w:rsidRPr="00B41E66">
        <w:t>witter data</w:t>
      </w:r>
      <w:r w:rsidR="003408A8" w:rsidRPr="00B41E66">
        <w:rPr>
          <w:lang w:bidi="he-IL"/>
        </w:rPr>
        <w:t>base</w:t>
      </w:r>
      <w:r w:rsidR="000C044D" w:rsidRPr="00B41E66">
        <w:t xml:space="preserve"> consist</w:t>
      </w:r>
      <w:r w:rsidR="00FA7411" w:rsidRPr="00B41E66">
        <w:t>ed</w:t>
      </w:r>
      <w:r w:rsidR="000C044D" w:rsidRPr="00B41E66">
        <w:t xml:space="preserve"> of daily</w:t>
      </w:r>
      <w:r w:rsidR="000C044D" w:rsidRPr="00B41E66">
        <w:rPr>
          <w:rtl/>
          <w:lang w:bidi="he-IL"/>
        </w:rPr>
        <w:t xml:space="preserve"> </w:t>
      </w:r>
      <w:r w:rsidR="000C044D" w:rsidRPr="00B41E66">
        <w:rPr>
          <w:lang w:bidi="he-IL"/>
        </w:rPr>
        <w:t>tw</w:t>
      </w:r>
      <w:r w:rsidR="0015699E" w:rsidRPr="00B41E66">
        <w:rPr>
          <w:lang w:bidi="he-IL"/>
        </w:rPr>
        <w:t>ee</w:t>
      </w:r>
      <w:r w:rsidR="000C044D" w:rsidRPr="00B41E66">
        <w:rPr>
          <w:lang w:bidi="he-IL"/>
        </w:rPr>
        <w:t xml:space="preserve">ts </w:t>
      </w:r>
      <w:r w:rsidR="000C044D" w:rsidRPr="00B41E66">
        <w:t>for each company</w:t>
      </w:r>
      <w:r w:rsidR="00FA7411" w:rsidRPr="00B41E66">
        <w:t xml:space="preserve"> and contained over</w:t>
      </w:r>
      <w:r w:rsidR="00A86CB3" w:rsidRPr="00B41E66">
        <w:t xml:space="preserve"> 1.5 million tw</w:t>
      </w:r>
      <w:r w:rsidR="0088349A" w:rsidRPr="00B41E66">
        <w:t>ee</w:t>
      </w:r>
      <w:r w:rsidR="00A86CB3" w:rsidRPr="00B41E66">
        <w:t>ts</w:t>
      </w:r>
      <w:r w:rsidR="000C044D" w:rsidRPr="00B41E66">
        <w:t xml:space="preserve">. </w:t>
      </w:r>
      <w:r w:rsidR="00805F1F" w:rsidRPr="00B41E66">
        <w:t xml:space="preserve">Table 4 displays descriptive statistics regarding the </w:t>
      </w:r>
      <w:r w:rsidR="00BB35E1" w:rsidRPr="00B41E66">
        <w:t>annual volume</w:t>
      </w:r>
      <w:r w:rsidR="00FA7411" w:rsidRPr="00B41E66">
        <w:t xml:space="preserve"> of</w:t>
      </w:r>
      <w:r w:rsidR="0015699E" w:rsidRPr="00B41E66">
        <w:t xml:space="preserve"> </w:t>
      </w:r>
      <w:r w:rsidR="00FA7411" w:rsidRPr="00B41E66">
        <w:t>tweets</w:t>
      </w:r>
      <w:r w:rsidR="00805F1F" w:rsidRPr="00B41E66">
        <w:t>.</w:t>
      </w:r>
      <w:r w:rsidR="00AC0E26" w:rsidRPr="00B41E66">
        <w:t xml:space="preserve"> The actual date of the IPO was marked as t=0, we name </w:t>
      </w:r>
      <w:r w:rsidR="004E563C" w:rsidRPr="00B41E66">
        <w:t xml:space="preserve">the </w:t>
      </w:r>
      <w:r w:rsidR="004A5F04" w:rsidRPr="00B41E66">
        <w:t>pre-IPO</w:t>
      </w:r>
      <w:r w:rsidR="00AC0E26" w:rsidRPr="00B41E66">
        <w:t xml:space="preserve"> days -250 – </w:t>
      </w:r>
      <w:r w:rsidR="008914F3" w:rsidRPr="00B41E66">
        <w:t>(-1)</w:t>
      </w:r>
      <w:r w:rsidR="00AC0E26" w:rsidRPr="00B41E66">
        <w:t xml:space="preserve"> as IPO </w:t>
      </w:r>
      <w:r w:rsidR="004E563C" w:rsidRPr="00B41E66">
        <w:t>y</w:t>
      </w:r>
      <w:r w:rsidR="00AC0E26" w:rsidRPr="00B41E66">
        <w:t xml:space="preserve">ear-1, post-IPO days </w:t>
      </w:r>
      <w:r w:rsidR="008914F3" w:rsidRPr="00B41E66">
        <w:t>0</w:t>
      </w:r>
      <w:r w:rsidR="00AC0E26" w:rsidRPr="00B41E66">
        <w:t xml:space="preserve">–250 as IPO year, post-IPO days 251–501 as IPO year+1 and post-IPO days 502–755 as IPO year+2. </w:t>
      </w:r>
    </w:p>
    <w:p w14:paraId="537352BC" w14:textId="77777777" w:rsidR="00A67B7F" w:rsidRPr="00B41E66" w:rsidRDefault="00A67B7F" w:rsidP="00727065">
      <w:pPr>
        <w:spacing w:line="360" w:lineRule="auto"/>
        <w:rPr>
          <w:b/>
          <w:bCs/>
          <w:rtl/>
          <w:lang w:bidi="he-IL"/>
        </w:rPr>
      </w:pPr>
      <w:r w:rsidRPr="00B41E66">
        <w:rPr>
          <w:b/>
          <w:bCs/>
        </w:rPr>
        <w:t xml:space="preserve">Table 4: </w:t>
      </w:r>
      <w:r w:rsidR="00FA7411" w:rsidRPr="00B41E66">
        <w:rPr>
          <w:b/>
          <w:bCs/>
          <w:lang w:bidi="he-IL"/>
        </w:rPr>
        <w:t>Volume of</w:t>
      </w:r>
      <w:r w:rsidR="00FA7411" w:rsidRPr="00B41E66">
        <w:rPr>
          <w:b/>
          <w:bCs/>
        </w:rPr>
        <w:t xml:space="preserve"> </w:t>
      </w:r>
      <w:r w:rsidRPr="00B41E66">
        <w:rPr>
          <w:b/>
          <w:bCs/>
        </w:rPr>
        <w:t>Tweets</w:t>
      </w:r>
      <w:r w:rsidR="00FA7411" w:rsidRPr="00B41E66">
        <w:rPr>
          <w:b/>
          <w:bCs/>
        </w:rPr>
        <w:t>:</w:t>
      </w:r>
      <w:r w:rsidRPr="00B41E66">
        <w:rPr>
          <w:b/>
          <w:bCs/>
        </w:rPr>
        <w:t xml:space="preserve"> </w:t>
      </w:r>
      <w:r w:rsidR="00FA7411" w:rsidRPr="00B41E66">
        <w:rPr>
          <w:b/>
          <w:bCs/>
          <w:lang w:bidi="he-IL"/>
        </w:rPr>
        <w:t>D</w:t>
      </w:r>
      <w:r w:rsidRPr="00B41E66">
        <w:rPr>
          <w:b/>
          <w:bCs/>
        </w:rPr>
        <w:t xml:space="preserve">escriptive </w:t>
      </w:r>
      <w:r w:rsidR="00FA7411" w:rsidRPr="00B41E66">
        <w:rPr>
          <w:b/>
          <w:bCs/>
        </w:rPr>
        <w:t>S</w:t>
      </w:r>
      <w:r w:rsidRPr="00B41E66">
        <w:rPr>
          <w:b/>
          <w:bCs/>
        </w:rPr>
        <w:t>tatistics</w:t>
      </w:r>
      <w:r w:rsidR="00460D70" w:rsidRPr="00B41E66">
        <w:rPr>
          <w:b/>
          <w:bCs/>
        </w:rPr>
        <w:t xml:space="preserve"> </w:t>
      </w:r>
    </w:p>
    <w:tbl>
      <w:tblPr>
        <w:tblW w:w="7608" w:type="dxa"/>
        <w:tblInd w:w="93" w:type="dxa"/>
        <w:tblLook w:val="04A0" w:firstRow="1" w:lastRow="0" w:firstColumn="1" w:lastColumn="0" w:noHBand="0" w:noVBand="1"/>
      </w:tblPr>
      <w:tblGrid>
        <w:gridCol w:w="1656"/>
        <w:gridCol w:w="1488"/>
        <w:gridCol w:w="1488"/>
        <w:gridCol w:w="1488"/>
        <w:gridCol w:w="1488"/>
      </w:tblGrid>
      <w:tr w:rsidR="00A67B7F" w:rsidRPr="00B41E66" w14:paraId="1CF1280F" w14:textId="77777777" w:rsidTr="00C06F20">
        <w:trPr>
          <w:trHeight w:val="330"/>
        </w:trPr>
        <w:tc>
          <w:tcPr>
            <w:tcW w:w="1656" w:type="dxa"/>
            <w:tcBorders>
              <w:top w:val="single" w:sz="12" w:space="0" w:color="auto"/>
              <w:left w:val="single" w:sz="12" w:space="0" w:color="auto"/>
              <w:bottom w:val="nil"/>
              <w:right w:val="nil"/>
            </w:tcBorders>
            <w:shd w:val="clear" w:color="auto" w:fill="auto"/>
            <w:noWrap/>
            <w:vAlign w:val="bottom"/>
            <w:hideMark/>
          </w:tcPr>
          <w:p w14:paraId="0A39CD38" w14:textId="77777777" w:rsidR="00A67B7F" w:rsidRPr="00B41E66" w:rsidRDefault="00A67B7F" w:rsidP="00C06F20">
            <w:pPr>
              <w:spacing w:line="360" w:lineRule="auto"/>
            </w:pPr>
            <w:r w:rsidRPr="00B41E66">
              <w:t> </w:t>
            </w:r>
          </w:p>
        </w:tc>
        <w:tc>
          <w:tcPr>
            <w:tcW w:w="1488" w:type="dxa"/>
            <w:tcBorders>
              <w:top w:val="single" w:sz="12" w:space="0" w:color="auto"/>
              <w:left w:val="nil"/>
              <w:bottom w:val="nil"/>
              <w:right w:val="nil"/>
            </w:tcBorders>
            <w:shd w:val="clear" w:color="auto" w:fill="auto"/>
            <w:noWrap/>
            <w:vAlign w:val="bottom"/>
            <w:hideMark/>
          </w:tcPr>
          <w:p w14:paraId="6682856E" w14:textId="77777777" w:rsidR="00A67B7F" w:rsidRPr="00B41E66" w:rsidRDefault="00A67B7F" w:rsidP="00C06F20">
            <w:pPr>
              <w:spacing w:line="360" w:lineRule="auto"/>
              <w:rPr>
                <w:b/>
                <w:bCs/>
              </w:rPr>
            </w:pPr>
            <w:r w:rsidRPr="00B41E66">
              <w:rPr>
                <w:b/>
                <w:bCs/>
              </w:rPr>
              <w:t xml:space="preserve"> IPO Year-1</w:t>
            </w:r>
          </w:p>
        </w:tc>
        <w:tc>
          <w:tcPr>
            <w:tcW w:w="1488" w:type="dxa"/>
            <w:tcBorders>
              <w:top w:val="single" w:sz="12" w:space="0" w:color="auto"/>
              <w:left w:val="nil"/>
              <w:bottom w:val="nil"/>
              <w:right w:val="nil"/>
            </w:tcBorders>
            <w:shd w:val="clear" w:color="auto" w:fill="auto"/>
            <w:noWrap/>
            <w:vAlign w:val="bottom"/>
            <w:hideMark/>
          </w:tcPr>
          <w:p w14:paraId="3845AD9F" w14:textId="77777777" w:rsidR="00A67B7F" w:rsidRPr="00B41E66" w:rsidRDefault="00A67B7F" w:rsidP="00C06F20">
            <w:pPr>
              <w:spacing w:line="360" w:lineRule="auto"/>
              <w:rPr>
                <w:b/>
                <w:bCs/>
              </w:rPr>
            </w:pPr>
            <w:r w:rsidRPr="00B41E66">
              <w:rPr>
                <w:b/>
                <w:bCs/>
              </w:rPr>
              <w:t>IPO Year</w:t>
            </w:r>
          </w:p>
        </w:tc>
        <w:tc>
          <w:tcPr>
            <w:tcW w:w="1488" w:type="dxa"/>
            <w:tcBorders>
              <w:top w:val="single" w:sz="12" w:space="0" w:color="auto"/>
              <w:left w:val="nil"/>
              <w:bottom w:val="nil"/>
              <w:right w:val="nil"/>
            </w:tcBorders>
            <w:shd w:val="clear" w:color="auto" w:fill="auto"/>
            <w:noWrap/>
            <w:vAlign w:val="bottom"/>
            <w:hideMark/>
          </w:tcPr>
          <w:p w14:paraId="64226C60" w14:textId="77777777" w:rsidR="00A67B7F" w:rsidRPr="00B41E66" w:rsidRDefault="00A67B7F" w:rsidP="00C53897">
            <w:pPr>
              <w:spacing w:line="360" w:lineRule="auto"/>
              <w:rPr>
                <w:b/>
                <w:bCs/>
              </w:rPr>
            </w:pPr>
            <w:r w:rsidRPr="00B41E66">
              <w:rPr>
                <w:b/>
                <w:bCs/>
              </w:rPr>
              <w:t>IPO</w:t>
            </w:r>
            <w:r w:rsidR="00C53897" w:rsidRPr="00B41E66">
              <w:rPr>
                <w:b/>
                <w:bCs/>
              </w:rPr>
              <w:t xml:space="preserve"> Year</w:t>
            </w:r>
            <w:r w:rsidRPr="00B41E66">
              <w:rPr>
                <w:b/>
                <w:bCs/>
              </w:rPr>
              <w:t xml:space="preserve">+1 </w:t>
            </w:r>
          </w:p>
        </w:tc>
        <w:tc>
          <w:tcPr>
            <w:tcW w:w="1488" w:type="dxa"/>
            <w:tcBorders>
              <w:top w:val="single" w:sz="12" w:space="0" w:color="auto"/>
              <w:left w:val="nil"/>
              <w:bottom w:val="nil"/>
              <w:right w:val="single" w:sz="12" w:space="0" w:color="auto"/>
            </w:tcBorders>
            <w:shd w:val="clear" w:color="auto" w:fill="auto"/>
            <w:noWrap/>
            <w:vAlign w:val="bottom"/>
            <w:hideMark/>
          </w:tcPr>
          <w:p w14:paraId="17A480E2" w14:textId="77777777" w:rsidR="00A67B7F" w:rsidRPr="00B41E66" w:rsidRDefault="00A67B7F" w:rsidP="003F54F1">
            <w:pPr>
              <w:spacing w:line="360" w:lineRule="auto"/>
              <w:rPr>
                <w:b/>
                <w:bCs/>
              </w:rPr>
            </w:pPr>
            <w:r w:rsidRPr="00B41E66">
              <w:rPr>
                <w:b/>
                <w:bCs/>
              </w:rPr>
              <w:t>IPO</w:t>
            </w:r>
            <w:r w:rsidR="003F54F1" w:rsidRPr="00B41E66">
              <w:rPr>
                <w:b/>
                <w:bCs/>
              </w:rPr>
              <w:t xml:space="preserve"> </w:t>
            </w:r>
            <w:r w:rsidRPr="00B41E66">
              <w:rPr>
                <w:b/>
                <w:bCs/>
              </w:rPr>
              <w:t>Year</w:t>
            </w:r>
            <w:r w:rsidR="003F54F1" w:rsidRPr="00B41E66">
              <w:rPr>
                <w:b/>
                <w:bCs/>
              </w:rPr>
              <w:t>+2</w:t>
            </w:r>
          </w:p>
        </w:tc>
      </w:tr>
      <w:tr w:rsidR="00A67B7F" w:rsidRPr="00B41E66" w14:paraId="2BDB2E0A" w14:textId="77777777" w:rsidTr="00C06F20">
        <w:trPr>
          <w:trHeight w:val="315"/>
        </w:trPr>
        <w:tc>
          <w:tcPr>
            <w:tcW w:w="1656" w:type="dxa"/>
            <w:tcBorders>
              <w:top w:val="nil"/>
              <w:left w:val="single" w:sz="12" w:space="0" w:color="auto"/>
              <w:bottom w:val="nil"/>
              <w:right w:val="nil"/>
            </w:tcBorders>
            <w:shd w:val="clear" w:color="auto" w:fill="auto"/>
            <w:noWrap/>
            <w:vAlign w:val="bottom"/>
            <w:hideMark/>
          </w:tcPr>
          <w:p w14:paraId="6A9A85A3" w14:textId="77777777" w:rsidR="00A67B7F" w:rsidRPr="00B41E66" w:rsidRDefault="00A67B7F" w:rsidP="00C06F20">
            <w:pPr>
              <w:spacing w:line="360" w:lineRule="auto"/>
              <w:rPr>
                <w:b/>
                <w:bCs/>
              </w:rPr>
            </w:pPr>
            <w:r w:rsidRPr="00B41E66">
              <w:rPr>
                <w:b/>
                <w:bCs/>
              </w:rPr>
              <w:t>Average</w:t>
            </w:r>
          </w:p>
        </w:tc>
        <w:tc>
          <w:tcPr>
            <w:tcW w:w="1488" w:type="dxa"/>
            <w:tcBorders>
              <w:top w:val="nil"/>
              <w:left w:val="nil"/>
              <w:bottom w:val="nil"/>
              <w:right w:val="nil"/>
            </w:tcBorders>
            <w:shd w:val="clear" w:color="auto" w:fill="auto"/>
            <w:noWrap/>
            <w:vAlign w:val="bottom"/>
            <w:hideMark/>
          </w:tcPr>
          <w:p w14:paraId="4505B547" w14:textId="77777777" w:rsidR="00A67B7F" w:rsidRPr="00B41E66" w:rsidRDefault="00A67B7F" w:rsidP="00C06F20">
            <w:pPr>
              <w:spacing w:line="360" w:lineRule="auto"/>
              <w:jc w:val="center"/>
            </w:pPr>
            <w:r w:rsidRPr="00B41E66">
              <w:t>359</w:t>
            </w:r>
          </w:p>
        </w:tc>
        <w:tc>
          <w:tcPr>
            <w:tcW w:w="1488" w:type="dxa"/>
            <w:tcBorders>
              <w:top w:val="nil"/>
              <w:left w:val="nil"/>
              <w:bottom w:val="nil"/>
              <w:right w:val="nil"/>
            </w:tcBorders>
            <w:shd w:val="clear" w:color="auto" w:fill="auto"/>
            <w:noWrap/>
            <w:vAlign w:val="bottom"/>
            <w:hideMark/>
          </w:tcPr>
          <w:p w14:paraId="07083053" w14:textId="77777777" w:rsidR="00A67B7F" w:rsidRPr="00B41E66" w:rsidRDefault="00A67B7F" w:rsidP="00C06F20">
            <w:pPr>
              <w:spacing w:line="360" w:lineRule="auto"/>
              <w:jc w:val="center"/>
            </w:pPr>
            <w:r w:rsidRPr="00B41E66">
              <w:t>2,237</w:t>
            </w:r>
          </w:p>
        </w:tc>
        <w:tc>
          <w:tcPr>
            <w:tcW w:w="1488" w:type="dxa"/>
            <w:tcBorders>
              <w:top w:val="nil"/>
              <w:left w:val="nil"/>
              <w:bottom w:val="nil"/>
              <w:right w:val="nil"/>
            </w:tcBorders>
            <w:shd w:val="clear" w:color="auto" w:fill="auto"/>
            <w:noWrap/>
            <w:vAlign w:val="bottom"/>
            <w:hideMark/>
          </w:tcPr>
          <w:p w14:paraId="60329739" w14:textId="77777777" w:rsidR="00A67B7F" w:rsidRPr="00B41E66" w:rsidRDefault="00A67B7F" w:rsidP="00C06F20">
            <w:pPr>
              <w:spacing w:line="360" w:lineRule="auto"/>
              <w:jc w:val="center"/>
            </w:pPr>
            <w:r w:rsidRPr="00B41E66">
              <w:t>3,083</w:t>
            </w:r>
          </w:p>
        </w:tc>
        <w:tc>
          <w:tcPr>
            <w:tcW w:w="1488" w:type="dxa"/>
            <w:tcBorders>
              <w:top w:val="nil"/>
              <w:left w:val="nil"/>
              <w:bottom w:val="nil"/>
              <w:right w:val="single" w:sz="12" w:space="0" w:color="auto"/>
            </w:tcBorders>
            <w:shd w:val="clear" w:color="auto" w:fill="auto"/>
            <w:noWrap/>
            <w:vAlign w:val="bottom"/>
            <w:hideMark/>
          </w:tcPr>
          <w:p w14:paraId="0FE052F5" w14:textId="77777777" w:rsidR="00A67B7F" w:rsidRPr="00B41E66" w:rsidRDefault="00A67B7F" w:rsidP="00C06F20">
            <w:pPr>
              <w:spacing w:line="360" w:lineRule="auto"/>
              <w:jc w:val="center"/>
            </w:pPr>
            <w:r w:rsidRPr="00B41E66">
              <w:t>3,558</w:t>
            </w:r>
          </w:p>
        </w:tc>
      </w:tr>
      <w:tr w:rsidR="00A67B7F" w:rsidRPr="00B41E66" w14:paraId="7DCD8AF8" w14:textId="77777777" w:rsidTr="00C06F20">
        <w:trPr>
          <w:trHeight w:val="315"/>
        </w:trPr>
        <w:tc>
          <w:tcPr>
            <w:tcW w:w="1656" w:type="dxa"/>
            <w:tcBorders>
              <w:top w:val="nil"/>
              <w:left w:val="single" w:sz="12" w:space="0" w:color="auto"/>
              <w:bottom w:val="nil"/>
              <w:right w:val="nil"/>
            </w:tcBorders>
            <w:shd w:val="clear" w:color="auto" w:fill="auto"/>
            <w:noWrap/>
            <w:vAlign w:val="bottom"/>
            <w:hideMark/>
          </w:tcPr>
          <w:p w14:paraId="1281EF7B" w14:textId="77777777" w:rsidR="00A67B7F" w:rsidRPr="00B41E66" w:rsidRDefault="00A67B7F" w:rsidP="00C06F20">
            <w:pPr>
              <w:spacing w:line="360" w:lineRule="auto"/>
              <w:rPr>
                <w:b/>
                <w:bCs/>
              </w:rPr>
            </w:pPr>
            <w:r w:rsidRPr="00B41E66">
              <w:rPr>
                <w:b/>
                <w:bCs/>
              </w:rPr>
              <w:t>Median</w:t>
            </w:r>
          </w:p>
        </w:tc>
        <w:tc>
          <w:tcPr>
            <w:tcW w:w="1488" w:type="dxa"/>
            <w:tcBorders>
              <w:top w:val="nil"/>
              <w:left w:val="nil"/>
              <w:bottom w:val="nil"/>
              <w:right w:val="nil"/>
            </w:tcBorders>
            <w:shd w:val="clear" w:color="auto" w:fill="auto"/>
            <w:noWrap/>
            <w:vAlign w:val="bottom"/>
            <w:hideMark/>
          </w:tcPr>
          <w:p w14:paraId="1DCCFDDA" w14:textId="77777777" w:rsidR="00A67B7F" w:rsidRPr="00B41E66" w:rsidRDefault="00A67B7F" w:rsidP="00C06F20">
            <w:pPr>
              <w:spacing w:line="360" w:lineRule="auto"/>
              <w:jc w:val="center"/>
            </w:pPr>
            <w:r w:rsidRPr="00B41E66">
              <w:t>246</w:t>
            </w:r>
          </w:p>
        </w:tc>
        <w:tc>
          <w:tcPr>
            <w:tcW w:w="1488" w:type="dxa"/>
            <w:tcBorders>
              <w:top w:val="nil"/>
              <w:left w:val="nil"/>
              <w:bottom w:val="nil"/>
              <w:right w:val="nil"/>
            </w:tcBorders>
            <w:shd w:val="clear" w:color="auto" w:fill="auto"/>
            <w:noWrap/>
            <w:vAlign w:val="bottom"/>
            <w:hideMark/>
          </w:tcPr>
          <w:p w14:paraId="5C336890" w14:textId="77777777" w:rsidR="00A67B7F" w:rsidRPr="00B41E66" w:rsidRDefault="00A67B7F" w:rsidP="00C06F20">
            <w:pPr>
              <w:spacing w:line="360" w:lineRule="auto"/>
              <w:jc w:val="center"/>
            </w:pPr>
            <w:r w:rsidRPr="00B41E66">
              <w:t>1,524</w:t>
            </w:r>
          </w:p>
        </w:tc>
        <w:tc>
          <w:tcPr>
            <w:tcW w:w="1488" w:type="dxa"/>
            <w:tcBorders>
              <w:top w:val="nil"/>
              <w:left w:val="nil"/>
              <w:bottom w:val="nil"/>
              <w:right w:val="nil"/>
            </w:tcBorders>
            <w:shd w:val="clear" w:color="auto" w:fill="auto"/>
            <w:noWrap/>
            <w:vAlign w:val="bottom"/>
            <w:hideMark/>
          </w:tcPr>
          <w:p w14:paraId="3B3F4A62" w14:textId="77777777" w:rsidR="00A67B7F" w:rsidRPr="00B41E66" w:rsidRDefault="00A67B7F" w:rsidP="00C06F20">
            <w:pPr>
              <w:spacing w:line="360" w:lineRule="auto"/>
              <w:jc w:val="center"/>
            </w:pPr>
            <w:r w:rsidRPr="00B41E66">
              <w:t>2,377</w:t>
            </w:r>
          </w:p>
        </w:tc>
        <w:tc>
          <w:tcPr>
            <w:tcW w:w="1488" w:type="dxa"/>
            <w:tcBorders>
              <w:top w:val="nil"/>
              <w:left w:val="nil"/>
              <w:bottom w:val="nil"/>
              <w:right w:val="single" w:sz="12" w:space="0" w:color="auto"/>
            </w:tcBorders>
            <w:shd w:val="clear" w:color="auto" w:fill="auto"/>
            <w:noWrap/>
            <w:vAlign w:val="bottom"/>
            <w:hideMark/>
          </w:tcPr>
          <w:p w14:paraId="061564ED" w14:textId="77777777" w:rsidR="00A67B7F" w:rsidRPr="00B41E66" w:rsidRDefault="00A67B7F" w:rsidP="00C06F20">
            <w:pPr>
              <w:spacing w:line="360" w:lineRule="auto"/>
              <w:jc w:val="center"/>
            </w:pPr>
            <w:r w:rsidRPr="00B41E66">
              <w:t>2,326</w:t>
            </w:r>
          </w:p>
        </w:tc>
      </w:tr>
      <w:tr w:rsidR="00A67B7F" w:rsidRPr="00B41E66" w14:paraId="2ED49AE3" w14:textId="77777777" w:rsidTr="00C06F20">
        <w:trPr>
          <w:trHeight w:val="315"/>
        </w:trPr>
        <w:tc>
          <w:tcPr>
            <w:tcW w:w="1656" w:type="dxa"/>
            <w:tcBorders>
              <w:top w:val="nil"/>
              <w:left w:val="single" w:sz="12" w:space="0" w:color="auto"/>
              <w:bottom w:val="nil"/>
              <w:right w:val="nil"/>
            </w:tcBorders>
            <w:shd w:val="clear" w:color="auto" w:fill="auto"/>
            <w:noWrap/>
            <w:vAlign w:val="bottom"/>
            <w:hideMark/>
          </w:tcPr>
          <w:p w14:paraId="5159591C" w14:textId="77777777" w:rsidR="00A67B7F" w:rsidRPr="00B41E66" w:rsidRDefault="00A67B7F" w:rsidP="00C06F20">
            <w:pPr>
              <w:spacing w:line="360" w:lineRule="auto"/>
              <w:rPr>
                <w:b/>
                <w:bCs/>
              </w:rPr>
            </w:pPr>
            <w:r w:rsidRPr="00B41E66">
              <w:rPr>
                <w:b/>
                <w:bCs/>
              </w:rPr>
              <w:t>Std. Dev.</w:t>
            </w:r>
          </w:p>
        </w:tc>
        <w:tc>
          <w:tcPr>
            <w:tcW w:w="1488" w:type="dxa"/>
            <w:tcBorders>
              <w:top w:val="nil"/>
              <w:left w:val="nil"/>
              <w:bottom w:val="nil"/>
              <w:right w:val="nil"/>
            </w:tcBorders>
            <w:shd w:val="clear" w:color="auto" w:fill="auto"/>
            <w:noWrap/>
            <w:vAlign w:val="bottom"/>
            <w:hideMark/>
          </w:tcPr>
          <w:p w14:paraId="6BBC5B50" w14:textId="77777777" w:rsidR="00A67B7F" w:rsidRPr="00B41E66" w:rsidRDefault="00A67B7F" w:rsidP="00C06F20">
            <w:pPr>
              <w:spacing w:line="360" w:lineRule="auto"/>
              <w:jc w:val="center"/>
            </w:pPr>
            <w:r w:rsidRPr="00B41E66">
              <w:t>377</w:t>
            </w:r>
          </w:p>
        </w:tc>
        <w:tc>
          <w:tcPr>
            <w:tcW w:w="1488" w:type="dxa"/>
            <w:tcBorders>
              <w:top w:val="nil"/>
              <w:left w:val="nil"/>
              <w:bottom w:val="nil"/>
              <w:right w:val="nil"/>
            </w:tcBorders>
            <w:shd w:val="clear" w:color="auto" w:fill="auto"/>
            <w:noWrap/>
            <w:vAlign w:val="bottom"/>
            <w:hideMark/>
          </w:tcPr>
          <w:p w14:paraId="34080B97" w14:textId="77777777" w:rsidR="00A67B7F" w:rsidRPr="00B41E66" w:rsidRDefault="00A67B7F" w:rsidP="00C06F20">
            <w:pPr>
              <w:spacing w:line="360" w:lineRule="auto"/>
              <w:jc w:val="center"/>
            </w:pPr>
            <w:r w:rsidRPr="00B41E66">
              <w:t>2,690</w:t>
            </w:r>
          </w:p>
        </w:tc>
        <w:tc>
          <w:tcPr>
            <w:tcW w:w="1488" w:type="dxa"/>
            <w:tcBorders>
              <w:top w:val="nil"/>
              <w:left w:val="nil"/>
              <w:bottom w:val="nil"/>
              <w:right w:val="nil"/>
            </w:tcBorders>
            <w:shd w:val="clear" w:color="auto" w:fill="auto"/>
            <w:noWrap/>
            <w:vAlign w:val="bottom"/>
            <w:hideMark/>
          </w:tcPr>
          <w:p w14:paraId="33B17FB1" w14:textId="77777777" w:rsidR="00A67B7F" w:rsidRPr="00B41E66" w:rsidRDefault="00A67B7F" w:rsidP="00C06F20">
            <w:pPr>
              <w:spacing w:line="360" w:lineRule="auto"/>
              <w:jc w:val="center"/>
            </w:pPr>
            <w:r w:rsidRPr="00B41E66">
              <w:t>2,978</w:t>
            </w:r>
          </w:p>
        </w:tc>
        <w:tc>
          <w:tcPr>
            <w:tcW w:w="1488" w:type="dxa"/>
            <w:tcBorders>
              <w:top w:val="nil"/>
              <w:left w:val="nil"/>
              <w:bottom w:val="nil"/>
              <w:right w:val="single" w:sz="12" w:space="0" w:color="auto"/>
            </w:tcBorders>
            <w:shd w:val="clear" w:color="auto" w:fill="auto"/>
            <w:noWrap/>
            <w:vAlign w:val="bottom"/>
            <w:hideMark/>
          </w:tcPr>
          <w:p w14:paraId="3B7C68FE" w14:textId="77777777" w:rsidR="00A67B7F" w:rsidRPr="00B41E66" w:rsidRDefault="00A67B7F" w:rsidP="00C06F20">
            <w:pPr>
              <w:spacing w:line="360" w:lineRule="auto"/>
              <w:jc w:val="center"/>
            </w:pPr>
            <w:r w:rsidRPr="00B41E66">
              <w:t>3,976</w:t>
            </w:r>
          </w:p>
        </w:tc>
      </w:tr>
      <w:tr w:rsidR="00A67B7F" w:rsidRPr="00B41E66" w14:paraId="29404D33" w14:textId="77777777" w:rsidTr="00C06F20">
        <w:trPr>
          <w:trHeight w:val="315"/>
        </w:trPr>
        <w:tc>
          <w:tcPr>
            <w:tcW w:w="1656" w:type="dxa"/>
            <w:tcBorders>
              <w:top w:val="nil"/>
              <w:left w:val="single" w:sz="12" w:space="0" w:color="auto"/>
              <w:bottom w:val="nil"/>
              <w:right w:val="nil"/>
            </w:tcBorders>
            <w:shd w:val="clear" w:color="auto" w:fill="auto"/>
            <w:noWrap/>
            <w:vAlign w:val="bottom"/>
            <w:hideMark/>
          </w:tcPr>
          <w:p w14:paraId="2D46BC4D" w14:textId="77777777" w:rsidR="00A67B7F" w:rsidRPr="00B41E66" w:rsidRDefault="00A67B7F" w:rsidP="00C06F20">
            <w:pPr>
              <w:spacing w:line="360" w:lineRule="auto"/>
              <w:rPr>
                <w:b/>
                <w:bCs/>
              </w:rPr>
            </w:pPr>
            <w:r w:rsidRPr="00B41E66">
              <w:rPr>
                <w:b/>
                <w:bCs/>
              </w:rPr>
              <w:t>Min</w:t>
            </w:r>
            <w:r w:rsidR="0015699E" w:rsidRPr="00B41E66">
              <w:rPr>
                <w:b/>
                <w:bCs/>
              </w:rPr>
              <w:t>.</w:t>
            </w:r>
          </w:p>
        </w:tc>
        <w:tc>
          <w:tcPr>
            <w:tcW w:w="1488" w:type="dxa"/>
            <w:tcBorders>
              <w:top w:val="nil"/>
              <w:left w:val="nil"/>
              <w:bottom w:val="nil"/>
              <w:right w:val="nil"/>
            </w:tcBorders>
            <w:shd w:val="clear" w:color="auto" w:fill="auto"/>
            <w:noWrap/>
            <w:vAlign w:val="bottom"/>
            <w:hideMark/>
          </w:tcPr>
          <w:p w14:paraId="0DB2948B" w14:textId="77777777" w:rsidR="00A67B7F" w:rsidRPr="00B41E66" w:rsidRDefault="00A67B7F" w:rsidP="00C06F20">
            <w:pPr>
              <w:spacing w:line="360" w:lineRule="auto"/>
              <w:jc w:val="center"/>
            </w:pPr>
            <w:r w:rsidRPr="00B41E66">
              <w:t>0</w:t>
            </w:r>
          </w:p>
        </w:tc>
        <w:tc>
          <w:tcPr>
            <w:tcW w:w="1488" w:type="dxa"/>
            <w:tcBorders>
              <w:top w:val="nil"/>
              <w:left w:val="nil"/>
              <w:bottom w:val="nil"/>
              <w:right w:val="nil"/>
            </w:tcBorders>
            <w:shd w:val="clear" w:color="auto" w:fill="auto"/>
            <w:noWrap/>
            <w:vAlign w:val="bottom"/>
            <w:hideMark/>
          </w:tcPr>
          <w:p w14:paraId="16F93F50" w14:textId="77777777" w:rsidR="00A67B7F" w:rsidRPr="00B41E66" w:rsidRDefault="00A67B7F" w:rsidP="00C06F20">
            <w:pPr>
              <w:spacing w:line="360" w:lineRule="auto"/>
              <w:jc w:val="center"/>
            </w:pPr>
            <w:r w:rsidRPr="00B41E66">
              <w:t>0</w:t>
            </w:r>
          </w:p>
        </w:tc>
        <w:tc>
          <w:tcPr>
            <w:tcW w:w="1488" w:type="dxa"/>
            <w:tcBorders>
              <w:top w:val="nil"/>
              <w:left w:val="nil"/>
              <w:bottom w:val="nil"/>
              <w:right w:val="nil"/>
            </w:tcBorders>
            <w:shd w:val="clear" w:color="auto" w:fill="auto"/>
            <w:noWrap/>
            <w:vAlign w:val="bottom"/>
            <w:hideMark/>
          </w:tcPr>
          <w:p w14:paraId="72FE96FB" w14:textId="77777777" w:rsidR="00A67B7F" w:rsidRPr="00B41E66" w:rsidRDefault="00A67B7F" w:rsidP="00C06F20">
            <w:pPr>
              <w:spacing w:line="360" w:lineRule="auto"/>
              <w:jc w:val="center"/>
            </w:pPr>
            <w:r w:rsidRPr="00B41E66">
              <w:t>197</w:t>
            </w:r>
          </w:p>
        </w:tc>
        <w:tc>
          <w:tcPr>
            <w:tcW w:w="1488" w:type="dxa"/>
            <w:tcBorders>
              <w:top w:val="nil"/>
              <w:left w:val="nil"/>
              <w:bottom w:val="nil"/>
              <w:right w:val="single" w:sz="12" w:space="0" w:color="auto"/>
            </w:tcBorders>
            <w:shd w:val="clear" w:color="auto" w:fill="auto"/>
            <w:noWrap/>
            <w:vAlign w:val="bottom"/>
            <w:hideMark/>
          </w:tcPr>
          <w:p w14:paraId="2BF320DB" w14:textId="77777777" w:rsidR="00A67B7F" w:rsidRPr="00B41E66" w:rsidRDefault="00A67B7F" w:rsidP="00C06F20">
            <w:pPr>
              <w:spacing w:line="360" w:lineRule="auto"/>
              <w:jc w:val="center"/>
            </w:pPr>
            <w:r w:rsidRPr="00B41E66">
              <w:t>15</w:t>
            </w:r>
          </w:p>
        </w:tc>
      </w:tr>
      <w:tr w:rsidR="00A67B7F" w:rsidRPr="00B41E66" w14:paraId="6E4D4910" w14:textId="77777777" w:rsidTr="00C06F20">
        <w:trPr>
          <w:trHeight w:val="315"/>
        </w:trPr>
        <w:tc>
          <w:tcPr>
            <w:tcW w:w="1656" w:type="dxa"/>
            <w:tcBorders>
              <w:top w:val="nil"/>
              <w:left w:val="single" w:sz="12" w:space="0" w:color="auto"/>
              <w:bottom w:val="nil"/>
              <w:right w:val="nil"/>
            </w:tcBorders>
            <w:shd w:val="clear" w:color="auto" w:fill="auto"/>
            <w:noWrap/>
            <w:vAlign w:val="bottom"/>
            <w:hideMark/>
          </w:tcPr>
          <w:p w14:paraId="22DE56A0" w14:textId="77777777" w:rsidR="00A67B7F" w:rsidRPr="00B41E66" w:rsidRDefault="00A67B7F" w:rsidP="00C06F20">
            <w:pPr>
              <w:spacing w:line="360" w:lineRule="auto"/>
              <w:rPr>
                <w:b/>
                <w:bCs/>
              </w:rPr>
            </w:pPr>
            <w:r w:rsidRPr="00B41E66">
              <w:rPr>
                <w:b/>
                <w:bCs/>
              </w:rPr>
              <w:t>Max</w:t>
            </w:r>
            <w:r w:rsidR="0015699E" w:rsidRPr="00B41E66">
              <w:rPr>
                <w:b/>
                <w:bCs/>
              </w:rPr>
              <w:t>.</w:t>
            </w:r>
          </w:p>
        </w:tc>
        <w:tc>
          <w:tcPr>
            <w:tcW w:w="1488" w:type="dxa"/>
            <w:tcBorders>
              <w:top w:val="nil"/>
              <w:left w:val="nil"/>
              <w:bottom w:val="nil"/>
              <w:right w:val="nil"/>
            </w:tcBorders>
            <w:shd w:val="clear" w:color="auto" w:fill="auto"/>
            <w:noWrap/>
            <w:vAlign w:val="bottom"/>
            <w:hideMark/>
          </w:tcPr>
          <w:p w14:paraId="46ADFB56" w14:textId="77777777" w:rsidR="00A67B7F" w:rsidRPr="00B41E66" w:rsidRDefault="00A67B7F" w:rsidP="00C06F20">
            <w:pPr>
              <w:spacing w:line="360" w:lineRule="auto"/>
              <w:jc w:val="center"/>
            </w:pPr>
            <w:r w:rsidRPr="00B41E66">
              <w:t>2,035</w:t>
            </w:r>
          </w:p>
        </w:tc>
        <w:tc>
          <w:tcPr>
            <w:tcW w:w="1488" w:type="dxa"/>
            <w:tcBorders>
              <w:top w:val="nil"/>
              <w:left w:val="nil"/>
              <w:bottom w:val="nil"/>
              <w:right w:val="nil"/>
            </w:tcBorders>
            <w:shd w:val="clear" w:color="auto" w:fill="auto"/>
            <w:noWrap/>
            <w:vAlign w:val="bottom"/>
            <w:hideMark/>
          </w:tcPr>
          <w:p w14:paraId="1B8FE976" w14:textId="77777777" w:rsidR="00A67B7F" w:rsidRPr="00B41E66" w:rsidRDefault="00A67B7F" w:rsidP="00C06F20">
            <w:pPr>
              <w:spacing w:line="360" w:lineRule="auto"/>
              <w:jc w:val="center"/>
            </w:pPr>
            <w:r w:rsidRPr="00B41E66">
              <w:t>26,126</w:t>
            </w:r>
          </w:p>
        </w:tc>
        <w:tc>
          <w:tcPr>
            <w:tcW w:w="1488" w:type="dxa"/>
            <w:tcBorders>
              <w:top w:val="nil"/>
              <w:left w:val="nil"/>
              <w:bottom w:val="nil"/>
              <w:right w:val="nil"/>
            </w:tcBorders>
            <w:shd w:val="clear" w:color="auto" w:fill="auto"/>
            <w:noWrap/>
            <w:vAlign w:val="bottom"/>
            <w:hideMark/>
          </w:tcPr>
          <w:p w14:paraId="7AFC17D3" w14:textId="77777777" w:rsidR="00A67B7F" w:rsidRPr="00B41E66" w:rsidRDefault="00A67B7F" w:rsidP="00C06F20">
            <w:pPr>
              <w:spacing w:line="360" w:lineRule="auto"/>
              <w:jc w:val="center"/>
            </w:pPr>
            <w:r w:rsidRPr="00B41E66">
              <w:t>20,022</w:t>
            </w:r>
          </w:p>
        </w:tc>
        <w:tc>
          <w:tcPr>
            <w:tcW w:w="1488" w:type="dxa"/>
            <w:tcBorders>
              <w:top w:val="nil"/>
              <w:left w:val="nil"/>
              <w:bottom w:val="nil"/>
              <w:right w:val="single" w:sz="12" w:space="0" w:color="auto"/>
            </w:tcBorders>
            <w:shd w:val="clear" w:color="auto" w:fill="auto"/>
            <w:noWrap/>
            <w:vAlign w:val="bottom"/>
            <w:hideMark/>
          </w:tcPr>
          <w:p w14:paraId="342AF031" w14:textId="77777777" w:rsidR="00A67B7F" w:rsidRPr="00B41E66" w:rsidRDefault="00A67B7F" w:rsidP="00C06F20">
            <w:pPr>
              <w:spacing w:line="360" w:lineRule="auto"/>
              <w:jc w:val="center"/>
            </w:pPr>
            <w:r w:rsidRPr="00B41E66">
              <w:t>27,579</w:t>
            </w:r>
          </w:p>
        </w:tc>
      </w:tr>
      <w:tr w:rsidR="00A67B7F" w:rsidRPr="00B41E66" w14:paraId="15964D57" w14:textId="77777777" w:rsidTr="00C06F20">
        <w:trPr>
          <w:trHeight w:val="330"/>
        </w:trPr>
        <w:tc>
          <w:tcPr>
            <w:tcW w:w="1656" w:type="dxa"/>
            <w:tcBorders>
              <w:top w:val="nil"/>
              <w:left w:val="single" w:sz="12" w:space="0" w:color="auto"/>
              <w:bottom w:val="single" w:sz="12" w:space="0" w:color="auto"/>
              <w:right w:val="nil"/>
            </w:tcBorders>
            <w:shd w:val="clear" w:color="auto" w:fill="auto"/>
            <w:noWrap/>
            <w:vAlign w:val="bottom"/>
          </w:tcPr>
          <w:p w14:paraId="25F8CCAC" w14:textId="77777777" w:rsidR="00A67B7F" w:rsidRPr="00B41E66" w:rsidRDefault="00A67B7F" w:rsidP="00C06F20">
            <w:pPr>
              <w:spacing w:line="360" w:lineRule="auto"/>
              <w:rPr>
                <w:b/>
                <w:bCs/>
              </w:rPr>
            </w:pPr>
            <w:r w:rsidRPr="00B41E66">
              <w:rPr>
                <w:b/>
                <w:bCs/>
              </w:rPr>
              <w:t>No</w:t>
            </w:r>
            <w:r w:rsidR="00FA7411" w:rsidRPr="00B41E66">
              <w:rPr>
                <w:b/>
                <w:bCs/>
              </w:rPr>
              <w:t>.</w:t>
            </w:r>
            <w:r w:rsidRPr="00B41E66">
              <w:rPr>
                <w:b/>
                <w:bCs/>
              </w:rPr>
              <w:t xml:space="preserve"> of Tw</w:t>
            </w:r>
            <w:r w:rsidRPr="00B41E66">
              <w:rPr>
                <w:b/>
                <w:bCs/>
                <w:lang w:bidi="he-IL"/>
              </w:rPr>
              <w:t>eets</w:t>
            </w:r>
          </w:p>
        </w:tc>
        <w:tc>
          <w:tcPr>
            <w:tcW w:w="1488" w:type="dxa"/>
            <w:tcBorders>
              <w:top w:val="nil"/>
              <w:left w:val="nil"/>
              <w:bottom w:val="single" w:sz="12" w:space="0" w:color="auto"/>
              <w:right w:val="nil"/>
            </w:tcBorders>
            <w:shd w:val="clear" w:color="auto" w:fill="auto"/>
            <w:noWrap/>
            <w:vAlign w:val="bottom"/>
          </w:tcPr>
          <w:p w14:paraId="54D09EA7" w14:textId="77777777" w:rsidR="00A67B7F" w:rsidRPr="00B41E66" w:rsidRDefault="00A67B7F" w:rsidP="00C06F20">
            <w:pPr>
              <w:spacing w:line="360" w:lineRule="auto"/>
              <w:jc w:val="center"/>
            </w:pPr>
            <w:r w:rsidRPr="00B41E66">
              <w:t>65,349</w:t>
            </w:r>
          </w:p>
        </w:tc>
        <w:tc>
          <w:tcPr>
            <w:tcW w:w="1488" w:type="dxa"/>
            <w:tcBorders>
              <w:top w:val="nil"/>
              <w:left w:val="nil"/>
              <w:bottom w:val="single" w:sz="12" w:space="0" w:color="auto"/>
              <w:right w:val="nil"/>
            </w:tcBorders>
            <w:shd w:val="clear" w:color="auto" w:fill="auto"/>
            <w:noWrap/>
            <w:vAlign w:val="bottom"/>
          </w:tcPr>
          <w:p w14:paraId="62634109" w14:textId="77777777" w:rsidR="00A67B7F" w:rsidRPr="00B41E66" w:rsidRDefault="00A67B7F" w:rsidP="00C06F20">
            <w:pPr>
              <w:spacing w:line="360" w:lineRule="auto"/>
              <w:jc w:val="center"/>
            </w:pPr>
            <w:r w:rsidRPr="00B41E66">
              <w:t>407,067</w:t>
            </w:r>
          </w:p>
        </w:tc>
        <w:tc>
          <w:tcPr>
            <w:tcW w:w="1488" w:type="dxa"/>
            <w:tcBorders>
              <w:top w:val="nil"/>
              <w:left w:val="nil"/>
              <w:bottom w:val="single" w:sz="12" w:space="0" w:color="auto"/>
              <w:right w:val="nil"/>
            </w:tcBorders>
            <w:shd w:val="clear" w:color="auto" w:fill="auto"/>
            <w:noWrap/>
            <w:vAlign w:val="bottom"/>
          </w:tcPr>
          <w:p w14:paraId="14C2E458" w14:textId="77777777" w:rsidR="00A67B7F" w:rsidRPr="00B41E66" w:rsidRDefault="00A67B7F" w:rsidP="00C06F20">
            <w:pPr>
              <w:spacing w:line="360" w:lineRule="auto"/>
              <w:jc w:val="center"/>
            </w:pPr>
            <w:r w:rsidRPr="00B41E66">
              <w:t>548,815</w:t>
            </w:r>
          </w:p>
        </w:tc>
        <w:tc>
          <w:tcPr>
            <w:tcW w:w="1488" w:type="dxa"/>
            <w:tcBorders>
              <w:top w:val="nil"/>
              <w:left w:val="nil"/>
              <w:bottom w:val="single" w:sz="12" w:space="0" w:color="auto"/>
              <w:right w:val="single" w:sz="12" w:space="0" w:color="auto"/>
            </w:tcBorders>
            <w:shd w:val="clear" w:color="auto" w:fill="auto"/>
            <w:noWrap/>
            <w:vAlign w:val="bottom"/>
          </w:tcPr>
          <w:p w14:paraId="13BEB0EE" w14:textId="77777777" w:rsidR="00A67B7F" w:rsidRPr="00B41E66" w:rsidRDefault="00A67B7F" w:rsidP="00C06F20">
            <w:pPr>
              <w:spacing w:line="360" w:lineRule="auto"/>
              <w:jc w:val="center"/>
            </w:pPr>
            <w:r w:rsidRPr="00B41E66">
              <w:t>542,232</w:t>
            </w:r>
          </w:p>
        </w:tc>
      </w:tr>
      <w:tr w:rsidR="00A67B7F" w:rsidRPr="00B41E66" w14:paraId="4BDDA372" w14:textId="77777777" w:rsidTr="00C06F20">
        <w:trPr>
          <w:trHeight w:val="330"/>
        </w:trPr>
        <w:tc>
          <w:tcPr>
            <w:tcW w:w="1656" w:type="dxa"/>
            <w:tcBorders>
              <w:top w:val="nil"/>
              <w:left w:val="single" w:sz="12" w:space="0" w:color="auto"/>
              <w:bottom w:val="single" w:sz="12" w:space="0" w:color="auto"/>
              <w:right w:val="nil"/>
            </w:tcBorders>
            <w:shd w:val="clear" w:color="auto" w:fill="auto"/>
            <w:noWrap/>
            <w:vAlign w:val="bottom"/>
            <w:hideMark/>
          </w:tcPr>
          <w:p w14:paraId="4221C2E5" w14:textId="77777777" w:rsidR="00A67B7F" w:rsidRPr="00B41E66" w:rsidRDefault="00A67B7F" w:rsidP="00C06F20">
            <w:pPr>
              <w:spacing w:line="360" w:lineRule="auto"/>
              <w:rPr>
                <w:b/>
                <w:bCs/>
              </w:rPr>
            </w:pPr>
            <w:r w:rsidRPr="00B41E66">
              <w:rPr>
                <w:b/>
                <w:bCs/>
              </w:rPr>
              <w:t>No</w:t>
            </w:r>
            <w:r w:rsidR="00FA7411" w:rsidRPr="00B41E66">
              <w:rPr>
                <w:b/>
                <w:bCs/>
              </w:rPr>
              <w:t>.</w:t>
            </w:r>
            <w:r w:rsidRPr="00B41E66">
              <w:rPr>
                <w:b/>
                <w:bCs/>
              </w:rPr>
              <w:t xml:space="preserve"> of firms</w:t>
            </w:r>
          </w:p>
        </w:tc>
        <w:tc>
          <w:tcPr>
            <w:tcW w:w="1488" w:type="dxa"/>
            <w:tcBorders>
              <w:top w:val="nil"/>
              <w:left w:val="nil"/>
              <w:bottom w:val="single" w:sz="12" w:space="0" w:color="auto"/>
              <w:right w:val="nil"/>
            </w:tcBorders>
            <w:shd w:val="clear" w:color="auto" w:fill="auto"/>
            <w:noWrap/>
            <w:vAlign w:val="bottom"/>
            <w:hideMark/>
          </w:tcPr>
          <w:p w14:paraId="243E9F30" w14:textId="77777777" w:rsidR="00A67B7F" w:rsidRPr="00B41E66" w:rsidRDefault="00A67B7F" w:rsidP="00C06F20">
            <w:pPr>
              <w:spacing w:line="360" w:lineRule="auto"/>
              <w:jc w:val="center"/>
            </w:pPr>
            <w:r w:rsidRPr="00B41E66">
              <w:t>182</w:t>
            </w:r>
          </w:p>
        </w:tc>
        <w:tc>
          <w:tcPr>
            <w:tcW w:w="1488" w:type="dxa"/>
            <w:tcBorders>
              <w:top w:val="nil"/>
              <w:left w:val="nil"/>
              <w:bottom w:val="single" w:sz="12" w:space="0" w:color="auto"/>
              <w:right w:val="nil"/>
            </w:tcBorders>
            <w:shd w:val="clear" w:color="auto" w:fill="auto"/>
            <w:noWrap/>
            <w:vAlign w:val="bottom"/>
            <w:hideMark/>
          </w:tcPr>
          <w:p w14:paraId="116DBFAB" w14:textId="77777777" w:rsidR="00A67B7F" w:rsidRPr="00B41E66" w:rsidRDefault="00A67B7F" w:rsidP="00C06F20">
            <w:pPr>
              <w:spacing w:line="360" w:lineRule="auto"/>
              <w:jc w:val="center"/>
            </w:pPr>
            <w:r w:rsidRPr="00B41E66">
              <w:t>182</w:t>
            </w:r>
          </w:p>
        </w:tc>
        <w:tc>
          <w:tcPr>
            <w:tcW w:w="1488" w:type="dxa"/>
            <w:tcBorders>
              <w:top w:val="nil"/>
              <w:left w:val="nil"/>
              <w:bottom w:val="single" w:sz="12" w:space="0" w:color="auto"/>
              <w:right w:val="nil"/>
            </w:tcBorders>
            <w:shd w:val="clear" w:color="auto" w:fill="auto"/>
            <w:noWrap/>
            <w:vAlign w:val="bottom"/>
            <w:hideMark/>
          </w:tcPr>
          <w:p w14:paraId="3A5EC4AF" w14:textId="77777777" w:rsidR="00A67B7F" w:rsidRPr="00B41E66" w:rsidRDefault="00A67B7F" w:rsidP="00C06F20">
            <w:pPr>
              <w:spacing w:line="360" w:lineRule="auto"/>
              <w:jc w:val="center"/>
            </w:pPr>
            <w:r w:rsidRPr="00B41E66">
              <w:t>178</w:t>
            </w:r>
          </w:p>
        </w:tc>
        <w:tc>
          <w:tcPr>
            <w:tcW w:w="1488" w:type="dxa"/>
            <w:tcBorders>
              <w:top w:val="nil"/>
              <w:left w:val="nil"/>
              <w:bottom w:val="single" w:sz="12" w:space="0" w:color="auto"/>
              <w:right w:val="single" w:sz="12" w:space="0" w:color="auto"/>
            </w:tcBorders>
            <w:shd w:val="clear" w:color="auto" w:fill="auto"/>
            <w:noWrap/>
            <w:vAlign w:val="bottom"/>
            <w:hideMark/>
          </w:tcPr>
          <w:p w14:paraId="60AC44F0" w14:textId="77777777" w:rsidR="00A67B7F" w:rsidRPr="00B41E66" w:rsidRDefault="00A67B7F" w:rsidP="00C06F20">
            <w:pPr>
              <w:spacing w:line="360" w:lineRule="auto"/>
              <w:jc w:val="center"/>
            </w:pPr>
            <w:r w:rsidRPr="00B41E66">
              <w:t>147</w:t>
            </w:r>
          </w:p>
        </w:tc>
      </w:tr>
    </w:tbl>
    <w:p w14:paraId="10D43AB6" w14:textId="77777777" w:rsidR="00321B91" w:rsidRPr="00B41E66" w:rsidRDefault="00A67B7F" w:rsidP="00321B91">
      <w:pPr>
        <w:spacing w:after="200" w:line="276" w:lineRule="auto"/>
        <w:rPr>
          <w:color w:val="0000FF"/>
          <w:lang w:bidi="he-IL"/>
        </w:rPr>
      </w:pPr>
      <w:r w:rsidRPr="00B41E66">
        <w:lastRenderedPageBreak/>
        <w:t>Note: This table presents Tw</w:t>
      </w:r>
      <w:r w:rsidR="00727065" w:rsidRPr="00B41E66">
        <w:t>itter</w:t>
      </w:r>
      <w:r w:rsidRPr="00B41E66">
        <w:t xml:space="preserve"> volume descriptive statistics for one </w:t>
      </w:r>
      <w:r w:rsidR="00FA7411" w:rsidRPr="00B41E66">
        <w:t>y</w:t>
      </w:r>
      <w:r w:rsidRPr="00B41E66">
        <w:t xml:space="preserve">ear before the IPO up to </w:t>
      </w:r>
      <w:r w:rsidR="00C84373" w:rsidRPr="00B41E66">
        <w:rPr>
          <w:color w:val="0000FF"/>
        </w:rPr>
        <w:t xml:space="preserve">two years after the IPO. Tweets were extracted only for firms that performed IPO between 2013 – 2017. </w:t>
      </w:r>
    </w:p>
    <w:p w14:paraId="38DD19FB" w14:textId="77777777" w:rsidR="008914F3" w:rsidRPr="00B41E66" w:rsidRDefault="008914F3" w:rsidP="00321B91">
      <w:pPr>
        <w:spacing w:after="200" w:line="480" w:lineRule="auto"/>
        <w:rPr>
          <w:lang w:bidi="he-IL"/>
        </w:rPr>
      </w:pPr>
    </w:p>
    <w:p w14:paraId="153A7F10" w14:textId="77777777" w:rsidR="00E830E8" w:rsidRPr="00B41E66" w:rsidRDefault="00397497" w:rsidP="00321B91">
      <w:pPr>
        <w:spacing w:after="200" w:line="480" w:lineRule="auto"/>
        <w:rPr>
          <w:lang w:bidi="he-IL"/>
        </w:rPr>
      </w:pPr>
      <w:r w:rsidRPr="00B41E66">
        <w:rPr>
          <w:lang w:bidi="he-IL"/>
        </w:rPr>
        <w:t>Two</w:t>
      </w:r>
      <w:r w:rsidR="000C044D" w:rsidRPr="00B41E66">
        <w:rPr>
          <w:lang w:bidi="he-IL"/>
        </w:rPr>
        <w:t xml:space="preserve"> </w:t>
      </w:r>
      <w:r w:rsidR="00BB35E1" w:rsidRPr="00B41E66">
        <w:rPr>
          <w:lang w:bidi="he-IL"/>
        </w:rPr>
        <w:t xml:space="preserve">main </w:t>
      </w:r>
      <w:r w:rsidRPr="00B41E66">
        <w:rPr>
          <w:lang w:bidi="he-IL"/>
        </w:rPr>
        <w:t xml:space="preserve">findings </w:t>
      </w:r>
      <w:r w:rsidR="00FA7411" w:rsidRPr="00B41E66">
        <w:rPr>
          <w:lang w:bidi="he-IL"/>
        </w:rPr>
        <w:t>emerged, as presented in</w:t>
      </w:r>
      <w:r w:rsidR="000C044D" w:rsidRPr="00B41E66">
        <w:rPr>
          <w:lang w:bidi="he-IL"/>
        </w:rPr>
        <w:t xml:space="preserve"> </w:t>
      </w:r>
      <w:r w:rsidR="00E830E8" w:rsidRPr="00B41E66">
        <w:rPr>
          <w:lang w:bidi="he-IL"/>
        </w:rPr>
        <w:t>T</w:t>
      </w:r>
      <w:r w:rsidRPr="00B41E66">
        <w:rPr>
          <w:lang w:bidi="he-IL"/>
        </w:rPr>
        <w:t xml:space="preserve">able 4. First, </w:t>
      </w:r>
      <w:r w:rsidR="000C044D" w:rsidRPr="00B41E66">
        <w:rPr>
          <w:lang w:bidi="he-IL"/>
        </w:rPr>
        <w:t xml:space="preserve">the average annual number of </w:t>
      </w:r>
      <w:r w:rsidR="0015699E" w:rsidRPr="00B41E66">
        <w:rPr>
          <w:lang w:bidi="he-IL"/>
        </w:rPr>
        <w:t xml:space="preserve">tweets </w:t>
      </w:r>
      <w:r w:rsidR="00B47DBD" w:rsidRPr="00B41E66">
        <w:rPr>
          <w:lang w:bidi="he-IL"/>
        </w:rPr>
        <w:t>increased</w:t>
      </w:r>
      <w:r w:rsidRPr="00B41E66">
        <w:rPr>
          <w:lang w:bidi="he-IL"/>
        </w:rPr>
        <w:t xml:space="preserve"> over the years,</w:t>
      </w:r>
      <w:r w:rsidR="000C044D" w:rsidRPr="00B41E66">
        <w:rPr>
          <w:lang w:bidi="he-IL"/>
        </w:rPr>
        <w:t xml:space="preserve"> </w:t>
      </w:r>
      <w:r w:rsidRPr="00B41E66">
        <w:rPr>
          <w:lang w:bidi="he-IL"/>
        </w:rPr>
        <w:t>f</w:t>
      </w:r>
      <w:r w:rsidR="00AA3CBF" w:rsidRPr="00B41E66">
        <w:rPr>
          <w:lang w:bidi="he-IL"/>
        </w:rPr>
        <w:t>rom</w:t>
      </w:r>
      <w:r w:rsidR="00F05128" w:rsidRPr="00B41E66">
        <w:rPr>
          <w:lang w:bidi="he-IL"/>
        </w:rPr>
        <w:t xml:space="preserve"> 359 </w:t>
      </w:r>
      <w:r w:rsidR="0015699E" w:rsidRPr="00B41E66">
        <w:rPr>
          <w:lang w:bidi="he-IL"/>
        </w:rPr>
        <w:t>during</w:t>
      </w:r>
      <w:r w:rsidR="00F05128" w:rsidRPr="00B41E66">
        <w:rPr>
          <w:lang w:bidi="he-IL"/>
        </w:rPr>
        <w:t xml:space="preserve"> the year </w:t>
      </w:r>
      <w:r w:rsidR="0015699E" w:rsidRPr="00B41E66">
        <w:rPr>
          <w:lang w:bidi="he-IL"/>
        </w:rPr>
        <w:t>preceding</w:t>
      </w:r>
      <w:r w:rsidR="00F05128" w:rsidRPr="00B41E66">
        <w:rPr>
          <w:lang w:bidi="he-IL"/>
        </w:rPr>
        <w:t xml:space="preserve"> the IPO,</w:t>
      </w:r>
      <w:r w:rsidR="000C044D" w:rsidRPr="00B41E66">
        <w:rPr>
          <w:lang w:bidi="he-IL"/>
        </w:rPr>
        <w:t xml:space="preserve"> </w:t>
      </w:r>
      <w:r w:rsidR="00696D63" w:rsidRPr="00B41E66">
        <w:rPr>
          <w:lang w:bidi="he-IL"/>
        </w:rPr>
        <w:t xml:space="preserve">through </w:t>
      </w:r>
      <w:r w:rsidR="000C044D" w:rsidRPr="00B41E66">
        <w:rPr>
          <w:lang w:bidi="he-IL"/>
        </w:rPr>
        <w:t>2,</w:t>
      </w:r>
      <w:r w:rsidR="00DD2931" w:rsidRPr="00B41E66">
        <w:rPr>
          <w:lang w:bidi="he-IL"/>
        </w:rPr>
        <w:t>237 tw</w:t>
      </w:r>
      <w:r w:rsidR="0015699E" w:rsidRPr="00B41E66">
        <w:rPr>
          <w:lang w:bidi="he-IL"/>
        </w:rPr>
        <w:t>eets during the</w:t>
      </w:r>
      <w:r w:rsidR="00DD2931" w:rsidRPr="00B41E66">
        <w:rPr>
          <w:lang w:bidi="he-IL"/>
        </w:rPr>
        <w:t xml:space="preserve"> IPO year and up to</w:t>
      </w:r>
      <w:r w:rsidR="000C044D" w:rsidRPr="00B41E66">
        <w:rPr>
          <w:lang w:bidi="he-IL"/>
        </w:rPr>
        <w:t xml:space="preserve"> 3,</w:t>
      </w:r>
      <w:r w:rsidR="00AA3CBF" w:rsidRPr="00B41E66">
        <w:rPr>
          <w:lang w:bidi="he-IL"/>
        </w:rPr>
        <w:t>558</w:t>
      </w:r>
      <w:r w:rsidR="000C044D" w:rsidRPr="00B41E66">
        <w:rPr>
          <w:lang w:bidi="he-IL"/>
        </w:rPr>
        <w:t xml:space="preserve"> </w:t>
      </w:r>
      <w:r w:rsidR="0015699E" w:rsidRPr="00B41E66">
        <w:rPr>
          <w:lang w:bidi="he-IL"/>
        </w:rPr>
        <w:t>tweets two years after the IPO.</w:t>
      </w:r>
      <w:r w:rsidRPr="00B41E66">
        <w:rPr>
          <w:lang w:bidi="he-IL"/>
        </w:rPr>
        <w:t xml:space="preserve"> The second </w:t>
      </w:r>
      <w:r w:rsidR="00696D63" w:rsidRPr="00B41E66">
        <w:rPr>
          <w:lang w:bidi="he-IL"/>
        </w:rPr>
        <w:t xml:space="preserve">notable observation </w:t>
      </w:r>
      <w:r w:rsidRPr="00B41E66">
        <w:rPr>
          <w:lang w:bidi="he-IL"/>
        </w:rPr>
        <w:t>is the</w:t>
      </w:r>
      <w:r w:rsidR="000C044D" w:rsidRPr="00B41E66">
        <w:rPr>
          <w:lang w:bidi="he-IL"/>
        </w:rPr>
        <w:t xml:space="preserve"> </w:t>
      </w:r>
      <w:r w:rsidR="00E830E8" w:rsidRPr="00B41E66">
        <w:rPr>
          <w:lang w:bidi="he-IL"/>
        </w:rPr>
        <w:t xml:space="preserve">huge variance in </w:t>
      </w:r>
      <w:r w:rsidR="000C044D" w:rsidRPr="00B41E66">
        <w:rPr>
          <w:lang w:bidi="he-IL"/>
        </w:rPr>
        <w:t xml:space="preserve">the </w:t>
      </w:r>
      <w:r w:rsidR="00E830E8" w:rsidRPr="00B41E66">
        <w:rPr>
          <w:lang w:bidi="he-IL"/>
        </w:rPr>
        <w:t xml:space="preserve">annual volume of tweets </w:t>
      </w:r>
      <w:r w:rsidR="00B47DBD" w:rsidRPr="00B41E66">
        <w:rPr>
          <w:lang w:bidi="he-IL"/>
        </w:rPr>
        <w:t>among</w:t>
      </w:r>
      <w:r w:rsidR="00E830E8" w:rsidRPr="00B41E66">
        <w:rPr>
          <w:lang w:bidi="he-IL"/>
        </w:rPr>
        <w:t xml:space="preserve"> the firms.</w:t>
      </w:r>
      <w:r w:rsidR="00AA3CBF" w:rsidRPr="00B41E66">
        <w:rPr>
          <w:lang w:bidi="he-IL"/>
        </w:rPr>
        <w:t xml:space="preserve"> For example</w:t>
      </w:r>
      <w:r w:rsidR="00B47DBD" w:rsidRPr="00B41E66">
        <w:rPr>
          <w:lang w:bidi="he-IL"/>
        </w:rPr>
        <w:t>,</w:t>
      </w:r>
      <w:r w:rsidR="00AA3CBF" w:rsidRPr="00B41E66">
        <w:rPr>
          <w:lang w:bidi="he-IL"/>
        </w:rPr>
        <w:t xml:space="preserve"> in </w:t>
      </w:r>
      <w:r w:rsidR="00B47DBD" w:rsidRPr="00B41E66">
        <w:rPr>
          <w:lang w:bidi="he-IL"/>
        </w:rPr>
        <w:t>Adverum Biotechnologies’</w:t>
      </w:r>
      <w:r w:rsidR="00AA3CBF" w:rsidRPr="00B41E66">
        <w:rPr>
          <w:lang w:bidi="he-IL"/>
        </w:rPr>
        <w:t xml:space="preserve"> IPO year</w:t>
      </w:r>
      <w:r w:rsidR="00B47DBD" w:rsidRPr="00B41E66">
        <w:rPr>
          <w:lang w:bidi="he-IL"/>
        </w:rPr>
        <w:t>, it</w:t>
      </w:r>
      <w:r w:rsidR="008E39B0" w:rsidRPr="00B41E66">
        <w:rPr>
          <w:lang w:bidi="he-IL"/>
        </w:rPr>
        <w:t xml:space="preserve"> had zero tweets</w:t>
      </w:r>
      <w:r w:rsidR="00696D63" w:rsidRPr="00B41E66">
        <w:rPr>
          <w:lang w:bidi="he-IL"/>
        </w:rPr>
        <w:t>,</w:t>
      </w:r>
      <w:r w:rsidR="008E39B0" w:rsidRPr="00B41E66">
        <w:rPr>
          <w:lang w:bidi="he-IL"/>
        </w:rPr>
        <w:t xml:space="preserve"> while Juno Therapeutics had </w:t>
      </w:r>
      <w:r w:rsidR="00B47DBD" w:rsidRPr="00B41E66">
        <w:rPr>
          <w:lang w:bidi="he-IL"/>
        </w:rPr>
        <w:t>over</w:t>
      </w:r>
      <w:r w:rsidR="008E39B0" w:rsidRPr="00B41E66">
        <w:rPr>
          <w:lang w:bidi="he-IL"/>
        </w:rPr>
        <w:t xml:space="preserve"> 26,000 related tweets</w:t>
      </w:r>
      <w:r w:rsidR="00B47DBD" w:rsidRPr="00B41E66">
        <w:rPr>
          <w:lang w:bidi="he-IL"/>
        </w:rPr>
        <w:t xml:space="preserve"> in its IPO year</w:t>
      </w:r>
      <w:r w:rsidR="008E39B0" w:rsidRPr="00B41E66">
        <w:rPr>
          <w:lang w:bidi="he-IL"/>
        </w:rPr>
        <w:t xml:space="preserve">. The growing number of </w:t>
      </w:r>
      <w:r w:rsidR="00696D63" w:rsidRPr="00B41E66">
        <w:rPr>
          <w:lang w:bidi="he-IL"/>
        </w:rPr>
        <w:t xml:space="preserve">annual </w:t>
      </w:r>
      <w:r w:rsidR="008E39B0" w:rsidRPr="00B41E66">
        <w:rPr>
          <w:lang w:bidi="he-IL"/>
        </w:rPr>
        <w:t>tweets reflect</w:t>
      </w:r>
      <w:r w:rsidR="00383C33" w:rsidRPr="00B41E66">
        <w:rPr>
          <w:lang w:bidi="he-IL"/>
        </w:rPr>
        <w:t>s</w:t>
      </w:r>
      <w:r w:rsidR="008E39B0" w:rsidRPr="00B41E66">
        <w:rPr>
          <w:lang w:bidi="he-IL"/>
        </w:rPr>
        <w:t xml:space="preserve"> </w:t>
      </w:r>
      <w:r w:rsidR="00383C33" w:rsidRPr="00B41E66">
        <w:rPr>
          <w:lang w:bidi="he-IL"/>
        </w:rPr>
        <w:t xml:space="preserve">both </w:t>
      </w:r>
      <w:r w:rsidR="00E830E8" w:rsidRPr="00B41E66">
        <w:rPr>
          <w:lang w:bidi="he-IL"/>
        </w:rPr>
        <w:t>the growth in Twitter</w:t>
      </w:r>
      <w:r w:rsidR="00A82CF3" w:rsidRPr="00B41E66">
        <w:rPr>
          <w:lang w:bidi="he-IL"/>
        </w:rPr>
        <w:t>’</w:t>
      </w:r>
      <w:r w:rsidR="00E830E8" w:rsidRPr="00B41E66">
        <w:rPr>
          <w:lang w:bidi="he-IL"/>
        </w:rPr>
        <w:t>s popularity and the increase</w:t>
      </w:r>
      <w:r w:rsidR="00B47DBD" w:rsidRPr="00B41E66">
        <w:rPr>
          <w:lang w:bidi="he-IL"/>
        </w:rPr>
        <w:t>d</w:t>
      </w:r>
      <w:r w:rsidR="00E830E8" w:rsidRPr="00B41E66">
        <w:rPr>
          <w:lang w:bidi="he-IL"/>
        </w:rPr>
        <w:t xml:space="preserve"> interest in firms </w:t>
      </w:r>
      <w:r w:rsidR="008E39B0" w:rsidRPr="00B41E66">
        <w:rPr>
          <w:lang w:bidi="he-IL"/>
        </w:rPr>
        <w:t>over time.</w:t>
      </w:r>
    </w:p>
    <w:p w14:paraId="00294A3B" w14:textId="77777777" w:rsidR="00F05128" w:rsidRPr="00B41E66" w:rsidRDefault="00F05128" w:rsidP="00321B91">
      <w:pPr>
        <w:spacing w:line="480" w:lineRule="auto"/>
        <w:jc w:val="both"/>
        <w:rPr>
          <w:lang w:bidi="he-IL"/>
        </w:rPr>
      </w:pPr>
    </w:p>
    <w:p w14:paraId="4B115C80" w14:textId="4D2105D4" w:rsidR="008416E7" w:rsidRPr="00B41E66" w:rsidRDefault="00ED6096" w:rsidP="00907ABE">
      <w:pPr>
        <w:spacing w:line="480" w:lineRule="auto"/>
        <w:jc w:val="both"/>
      </w:pPr>
      <w:r w:rsidRPr="00B41E66">
        <w:rPr>
          <w:lang w:bidi="he-IL"/>
        </w:rPr>
        <w:t xml:space="preserve">To explore the relations between </w:t>
      </w:r>
      <w:r w:rsidR="00B47DBD" w:rsidRPr="00B41E66">
        <w:rPr>
          <w:lang w:bidi="he-IL"/>
        </w:rPr>
        <w:t xml:space="preserve">the volume of </w:t>
      </w:r>
      <w:r w:rsidRPr="00B41E66">
        <w:rPr>
          <w:lang w:bidi="he-IL"/>
        </w:rPr>
        <w:t xml:space="preserve">tweets and capital market variables, </w:t>
      </w:r>
      <w:r w:rsidR="00124149" w:rsidRPr="00B41E66">
        <w:rPr>
          <w:lang w:bidi="he-IL"/>
        </w:rPr>
        <w:t xml:space="preserve">both </w:t>
      </w:r>
      <w:r w:rsidR="002407C5" w:rsidRPr="00B41E66">
        <w:rPr>
          <w:lang w:bidi="he-IL"/>
        </w:rPr>
        <w:t>univariate and multivariate analys</w:t>
      </w:r>
      <w:r w:rsidR="0013705A" w:rsidRPr="00B41E66">
        <w:rPr>
          <w:lang w:bidi="he-IL"/>
        </w:rPr>
        <w:t>es were employed</w:t>
      </w:r>
      <w:r w:rsidR="002407C5" w:rsidRPr="00B41E66">
        <w:rPr>
          <w:lang w:bidi="he-IL"/>
        </w:rPr>
        <w:t>. In the univariate analysis</w:t>
      </w:r>
      <w:r w:rsidR="00B47DBD" w:rsidRPr="00B41E66">
        <w:rPr>
          <w:lang w:bidi="he-IL"/>
        </w:rPr>
        <w:t>,</w:t>
      </w:r>
      <w:r w:rsidR="002407C5" w:rsidRPr="00B41E66">
        <w:rPr>
          <w:lang w:bidi="he-IL"/>
        </w:rPr>
        <w:t xml:space="preserve"> several capital market variables </w:t>
      </w:r>
      <w:r w:rsidR="00C53897" w:rsidRPr="00B41E66">
        <w:rPr>
          <w:lang w:bidi="he-IL"/>
        </w:rPr>
        <w:t xml:space="preserve">were calculated </w:t>
      </w:r>
      <w:r w:rsidR="002407C5" w:rsidRPr="00B41E66">
        <w:rPr>
          <w:lang w:bidi="he-IL"/>
        </w:rPr>
        <w:t>for each firm in our database and compare</w:t>
      </w:r>
      <w:r w:rsidR="00B47DBD" w:rsidRPr="00B41E66">
        <w:rPr>
          <w:lang w:bidi="he-IL"/>
        </w:rPr>
        <w:t>d</w:t>
      </w:r>
      <w:r w:rsidR="002407C5" w:rsidRPr="00B41E66">
        <w:rPr>
          <w:lang w:bidi="he-IL"/>
        </w:rPr>
        <w:t xml:space="preserve"> the average of these variables between the </w:t>
      </w:r>
      <w:r w:rsidR="002407C5" w:rsidRPr="00B41E66">
        <w:t xml:space="preserve">LTV and HTV groups. The compared variables </w:t>
      </w:r>
      <w:r w:rsidR="00A0117C" w:rsidRPr="00B41E66">
        <w:t>were</w:t>
      </w:r>
      <w:r w:rsidR="002407C5" w:rsidRPr="00B41E66">
        <w:t xml:space="preserve"> Return (t)</w:t>
      </w:r>
      <w:r w:rsidR="00AF4495" w:rsidRPr="00B41E66">
        <w:t>,</w:t>
      </w:r>
      <w:r w:rsidR="002407C5" w:rsidRPr="00B41E66">
        <w:t xml:space="preserve"> the rate of return on a firm</w:t>
      </w:r>
      <w:r w:rsidR="00A82CF3" w:rsidRPr="00B41E66">
        <w:t>’</w:t>
      </w:r>
      <w:r w:rsidR="002407C5" w:rsidRPr="00B41E66">
        <w:t>s stock at period t; Trading volume (t)</w:t>
      </w:r>
      <w:r w:rsidR="00AF4495" w:rsidRPr="00B41E66">
        <w:t>,</w:t>
      </w:r>
      <w:r w:rsidR="002407C5" w:rsidRPr="00B41E66">
        <w:t xml:space="preserve"> a firm's daily average trading volume at period t; Std.</w:t>
      </w:r>
      <w:r w:rsidR="00B47DBD" w:rsidRPr="00B41E66">
        <w:t xml:space="preserve"> </w:t>
      </w:r>
      <w:r w:rsidR="002407C5" w:rsidRPr="00B41E66">
        <w:t>Dev</w:t>
      </w:r>
      <w:r w:rsidR="00B47DBD" w:rsidRPr="00B41E66">
        <w:t xml:space="preserve">. </w:t>
      </w:r>
      <w:r w:rsidR="002407C5" w:rsidRPr="00B41E66">
        <w:t>(t), the standard deviation of daily returns calculated over the period and used as a proxy for total risk</w:t>
      </w:r>
      <w:r w:rsidR="00570947" w:rsidRPr="00B41E66">
        <w:t xml:space="preserve"> and b</w:t>
      </w:r>
      <w:r w:rsidR="002407C5" w:rsidRPr="00B41E66">
        <w:t xml:space="preserve">eta is a proxy for systematic risk coefficients. </w:t>
      </w:r>
      <w:r w:rsidR="00A0117C" w:rsidRPr="00B41E66">
        <w:rPr>
          <w:color w:val="0000FF"/>
        </w:rPr>
        <w:t>For the IPO year</w:t>
      </w:r>
      <w:r w:rsidR="00A0117C" w:rsidRPr="00B41E66">
        <w:t xml:space="preserve"> beta was e</w:t>
      </w:r>
      <w:r w:rsidR="0039258D" w:rsidRPr="00B41E66">
        <w:t>stimat</w:t>
      </w:r>
      <w:r w:rsidR="00A0117C" w:rsidRPr="00B41E66">
        <w:t>ed</w:t>
      </w:r>
      <w:r w:rsidR="006F6318" w:rsidRPr="00B41E66">
        <w:t xml:space="preserve"> </w:t>
      </w:r>
      <w:r w:rsidR="00A0117C" w:rsidRPr="00B41E66">
        <w:t>using</w:t>
      </w:r>
      <w:r w:rsidR="002407C5" w:rsidRPr="00B41E66">
        <w:t xml:space="preserve"> the market model regression on </w:t>
      </w:r>
      <w:r w:rsidR="00A0117C" w:rsidRPr="00B41E66">
        <w:t>both</w:t>
      </w:r>
      <w:r w:rsidR="002407C5" w:rsidRPr="00B41E66">
        <w:t xml:space="preserve"> </w:t>
      </w:r>
      <w:r w:rsidR="00B47DBD" w:rsidRPr="00B41E66">
        <w:t>I</w:t>
      </w:r>
      <w:r w:rsidR="002407C5" w:rsidRPr="00B41E66">
        <w:t>ndex</w:t>
      </w:r>
      <w:r w:rsidR="00A0117C" w:rsidRPr="00B41E66">
        <w:t>es</w:t>
      </w:r>
      <w:r w:rsidR="002407C5" w:rsidRPr="00B41E66">
        <w:t xml:space="preserve"> </w:t>
      </w:r>
      <w:r w:rsidR="00A0117C" w:rsidRPr="00B41E66">
        <w:t>based on</w:t>
      </w:r>
      <w:r w:rsidR="002407C5" w:rsidRPr="00B41E66">
        <w:t xml:space="preserve"> the first 50 trading days after the IPO </w:t>
      </w:r>
      <w:r w:rsidR="00A0117C" w:rsidRPr="00B41E66">
        <w:rPr>
          <w:color w:val="0000FF"/>
        </w:rPr>
        <w:t xml:space="preserve">for the IPO year+1 and IPO year+2 beta was estimated using daily returns </w:t>
      </w:r>
      <w:r w:rsidR="00317DE3" w:rsidRPr="00B41E66">
        <w:rPr>
          <w:color w:val="0000FF"/>
        </w:rPr>
        <w:t>of</w:t>
      </w:r>
      <w:r w:rsidR="00A0117C" w:rsidRPr="00B41E66">
        <w:rPr>
          <w:color w:val="0000FF"/>
        </w:rPr>
        <w:t xml:space="preserve"> a time window that ends ten trading days before the beginning of that year</w:t>
      </w:r>
      <w:r w:rsidR="002407C5" w:rsidRPr="00B41E66">
        <w:t>.</w:t>
      </w:r>
      <w:r w:rsidR="002407C5" w:rsidRPr="00B41E66">
        <w:rPr>
          <w:rtl/>
        </w:rPr>
        <w:t xml:space="preserve"> </w:t>
      </w:r>
      <w:r w:rsidR="002407C5" w:rsidRPr="00B41E66">
        <w:t>Market value</w:t>
      </w:r>
      <w:r w:rsidR="00AF4495" w:rsidRPr="00B41E66">
        <w:t xml:space="preserve"> </w:t>
      </w:r>
      <w:r w:rsidR="002407C5" w:rsidRPr="00B41E66">
        <w:t xml:space="preserve">(t) was calculated as the number of shares for December of that year multiplied by the stock price of that day. </w:t>
      </w:r>
    </w:p>
    <w:p w14:paraId="741674A3" w14:textId="77777777" w:rsidR="00C202BB" w:rsidRPr="00B41E66" w:rsidRDefault="00C202BB" w:rsidP="00321B91">
      <w:pPr>
        <w:spacing w:line="480" w:lineRule="auto"/>
        <w:jc w:val="both"/>
        <w:rPr>
          <w:rtl/>
          <w:lang w:bidi="he-IL"/>
        </w:rPr>
      </w:pPr>
    </w:p>
    <w:p w14:paraId="4A84AF10" w14:textId="31E55681" w:rsidR="00DB5490" w:rsidRPr="00B41E66" w:rsidRDefault="00287148" w:rsidP="00570947">
      <w:pPr>
        <w:spacing w:line="480" w:lineRule="auto"/>
        <w:jc w:val="both"/>
      </w:pPr>
      <w:bookmarkStart w:id="8" w:name="_Hlk80535679"/>
      <w:r w:rsidRPr="00B41E66">
        <w:rPr>
          <w:color w:val="0000FF"/>
          <w:lang w:bidi="he-IL"/>
        </w:rPr>
        <w:lastRenderedPageBreak/>
        <w:t xml:space="preserve">While there are many parameters that attempt to explain stocks return, our goal was to shed light on the relationship between returns and </w:t>
      </w:r>
      <w:r w:rsidR="00A7255A" w:rsidRPr="00B41E66">
        <w:rPr>
          <w:color w:val="0000FF"/>
          <w:lang w:bidi="he-IL"/>
        </w:rPr>
        <w:t>their</w:t>
      </w:r>
      <w:r w:rsidRPr="00B41E66">
        <w:rPr>
          <w:color w:val="0000FF"/>
          <w:lang w:bidi="he-IL"/>
        </w:rPr>
        <w:t xml:space="preserve"> contemporaneous tweet</w:t>
      </w:r>
      <w:r w:rsidR="00A7255A" w:rsidRPr="00B41E66">
        <w:rPr>
          <w:color w:val="0000FF"/>
          <w:lang w:bidi="he-IL"/>
        </w:rPr>
        <w:t>s</w:t>
      </w:r>
      <w:r w:rsidRPr="00B41E66">
        <w:rPr>
          <w:color w:val="0000FF"/>
          <w:lang w:bidi="he-IL"/>
        </w:rPr>
        <w:t xml:space="preserve"> volume. This goal guided our choice of the explanatory variables in the multivariate section</w:t>
      </w:r>
      <w:bookmarkEnd w:id="8"/>
      <w:r w:rsidRPr="00B41E66">
        <w:rPr>
          <w:color w:val="0000FF"/>
          <w:lang w:bidi="he-IL"/>
        </w:rPr>
        <w:t>.</w:t>
      </w:r>
      <w:r w:rsidR="00570947" w:rsidRPr="00B41E66">
        <w:rPr>
          <w:color w:val="0000FF"/>
          <w:lang w:bidi="he-IL"/>
        </w:rPr>
        <w:t xml:space="preserve"> </w:t>
      </w:r>
      <w:r w:rsidR="00DB5490" w:rsidRPr="00B41E66">
        <w:rPr>
          <w:lang w:bidi="he-IL"/>
        </w:rPr>
        <w:t xml:space="preserve">The multivariate </w:t>
      </w:r>
      <w:r w:rsidR="008416E7" w:rsidRPr="00B41E66">
        <w:rPr>
          <w:lang w:bidi="he-IL"/>
        </w:rPr>
        <w:t>analysis employs</w:t>
      </w:r>
      <w:r w:rsidR="00DB5490" w:rsidRPr="00B41E66">
        <w:rPr>
          <w:lang w:bidi="he-IL"/>
        </w:rPr>
        <w:t xml:space="preserve"> two sets of </w:t>
      </w:r>
      <w:r w:rsidR="00AF4495" w:rsidRPr="00B41E66">
        <w:rPr>
          <w:lang w:bidi="he-IL"/>
        </w:rPr>
        <w:t>ordinary least squares (</w:t>
      </w:r>
      <w:r w:rsidR="008416E7" w:rsidRPr="00B41E66">
        <w:rPr>
          <w:lang w:bidi="he-IL"/>
        </w:rPr>
        <w:t>OLS</w:t>
      </w:r>
      <w:r w:rsidR="00AF4495" w:rsidRPr="00B41E66">
        <w:rPr>
          <w:lang w:bidi="he-IL"/>
        </w:rPr>
        <w:t>) linear</w:t>
      </w:r>
      <w:r w:rsidR="008416E7" w:rsidRPr="00B41E66">
        <w:rPr>
          <w:lang w:bidi="he-IL"/>
        </w:rPr>
        <w:t xml:space="preserve"> </w:t>
      </w:r>
      <w:r w:rsidR="00DB5490" w:rsidRPr="00B41E66">
        <w:rPr>
          <w:lang w:bidi="he-IL"/>
        </w:rPr>
        <w:t xml:space="preserve">regressions to analyze </w:t>
      </w:r>
      <w:r w:rsidR="00DB5490" w:rsidRPr="00B41E66">
        <w:t xml:space="preserve">the contemporaneous relation between </w:t>
      </w:r>
      <w:r w:rsidR="00741EEB" w:rsidRPr="00B41E66">
        <w:rPr>
          <w:lang w:bidi="he-IL"/>
        </w:rPr>
        <w:t xml:space="preserve">annual </w:t>
      </w:r>
      <w:r w:rsidR="00AF4495" w:rsidRPr="00B41E66">
        <w:rPr>
          <w:lang w:bidi="he-IL"/>
        </w:rPr>
        <w:t xml:space="preserve">volume of </w:t>
      </w:r>
      <w:r w:rsidR="00DB5490" w:rsidRPr="00B41E66">
        <w:t xml:space="preserve">tweets and </w:t>
      </w:r>
      <w:r w:rsidR="00AF4495" w:rsidRPr="00B41E66">
        <w:t xml:space="preserve">the </w:t>
      </w:r>
      <w:r w:rsidR="00741EEB" w:rsidRPr="00B41E66">
        <w:t xml:space="preserve">annual </w:t>
      </w:r>
      <w:r w:rsidR="00DB5490" w:rsidRPr="00B41E66">
        <w:t>return</w:t>
      </w:r>
      <w:r w:rsidR="00846335" w:rsidRPr="00B41E66">
        <w:t>s and abnormal returns</w:t>
      </w:r>
      <w:r w:rsidR="00DB5490" w:rsidRPr="00B41E66">
        <w:t xml:space="preserve">. </w:t>
      </w:r>
      <w:r w:rsidR="008416E7" w:rsidRPr="00B41E66">
        <w:t>T</w:t>
      </w:r>
      <w:r w:rsidR="00DB5490" w:rsidRPr="00B41E66">
        <w:t>he regression</w:t>
      </w:r>
      <w:r w:rsidR="008416E7" w:rsidRPr="00B41E66">
        <w:t xml:space="preserve"> equations </w:t>
      </w:r>
      <w:r w:rsidR="00741EEB" w:rsidRPr="00B41E66">
        <w:rPr>
          <w:lang w:bidi="he-IL"/>
        </w:rPr>
        <w:t>wer</w:t>
      </w:r>
      <w:r w:rsidR="008416E7" w:rsidRPr="00B41E66">
        <w:t>e</w:t>
      </w:r>
      <w:r w:rsidR="00DB5490" w:rsidRPr="00B41E66">
        <w:t>:</w:t>
      </w:r>
    </w:p>
    <w:p w14:paraId="03D6FE23" w14:textId="450A545F" w:rsidR="006B3EA7" w:rsidRPr="00B41E66" w:rsidRDefault="006B6ED3" w:rsidP="006B3EA7">
      <w:pPr>
        <w:rPr>
          <w:i/>
          <w:lang w:bidi="he-IL"/>
        </w:rPr>
      </w:pPr>
      <w:r w:rsidRPr="00B41E66">
        <w:rPr>
          <w:color w:val="0000FF"/>
        </w:rPr>
        <w:t>(1)</w:t>
      </w:r>
      <w:r w:rsidRPr="00B41E66">
        <w:rPr>
          <w:rFonts w:eastAsia="Calibri"/>
          <w:i/>
          <w:color w:val="0000FF"/>
          <w:lang w:val="en-IL" w:bidi="he-IL"/>
        </w:rPr>
        <w:br/>
      </w:r>
      <w:bookmarkStart w:id="9" w:name="_Hlk80788765"/>
      <w:bookmarkStart w:id="10" w:name="_Hlk80788735"/>
    </w:p>
    <w:bookmarkEnd w:id="9"/>
    <w:p w14:paraId="79528C01" w14:textId="06B62CE3" w:rsidR="006B3EA7" w:rsidRPr="001D366A" w:rsidRDefault="001D366A" w:rsidP="006B3EA7">
      <w:pPr>
        <w:spacing w:after="160" w:line="259" w:lineRule="auto"/>
        <w:rPr>
          <w:i/>
          <w:lang w:bidi="he-IL"/>
        </w:rPr>
      </w:pPr>
      <m:oMathPara>
        <m:oMath>
          <m:r>
            <w:rPr>
              <w:rFonts w:ascii="Cambria Math" w:eastAsia="Calibri" w:hAnsi="Cambria Math" w:cs="Arial"/>
              <w:sz w:val="22"/>
              <w:szCs w:val="22"/>
              <w:lang w:val="en-IL" w:bidi="he-IL"/>
            </w:rPr>
            <m:t>Return</m:t>
          </m:r>
          <w:bookmarkStart w:id="11" w:name="_Hlk80888673"/>
          <m:d>
            <m:dPr>
              <m:ctrlPr>
                <w:rPr>
                  <w:rFonts w:ascii="Cambria Math" w:eastAsia="Calibri" w:hAnsi="Cambria Math" w:cs="Arial"/>
                  <w:i/>
                  <w:sz w:val="22"/>
                  <w:szCs w:val="22"/>
                  <w:lang w:val="en-IL" w:bidi="he-IL"/>
                </w:rPr>
              </m:ctrlPr>
            </m:dPr>
            <m:e>
              <m:r>
                <w:rPr>
                  <w:rFonts w:ascii="Cambria Math" w:eastAsia="Calibri" w:hAnsi="Cambria Math" w:cs="Arial"/>
                  <w:sz w:val="22"/>
                  <w:szCs w:val="22"/>
                  <w:lang w:val="en-IL" w:bidi="he-IL"/>
                </w:rPr>
                <m:t>IPOyear+t</m:t>
              </m:r>
            </m:e>
          </m:d>
          <m:r>
            <w:rPr>
              <w:rFonts w:ascii="Cambria Math" w:eastAsia="Calibri" w:hAnsi="Cambria Math" w:cs="Arial"/>
              <w:sz w:val="22"/>
              <w:szCs w:val="22"/>
              <w:lang w:val="en-IL" w:bidi="he-IL"/>
            </w:rPr>
            <m:t xml:space="preserve"> =</m:t>
          </m:r>
          <m:sSub>
            <m:sSubPr>
              <m:ctrlPr>
                <w:rPr>
                  <w:rFonts w:ascii="Cambria Math" w:eastAsia="Calibri" w:hAnsi="Cambria Math" w:cs="Arial"/>
                  <w:i/>
                  <w:sz w:val="22"/>
                  <w:szCs w:val="22"/>
                  <w:lang w:bidi="he-IL"/>
                </w:rPr>
              </m:ctrlPr>
            </m:sSubPr>
            <m:e>
              <m:r>
                <w:rPr>
                  <w:rFonts w:ascii="Cambria Math" w:eastAsia="Calibri" w:hAnsi="Cambria Math" w:cs="Arial"/>
                  <w:sz w:val="22"/>
                  <w:szCs w:val="22"/>
                  <w:lang w:bidi="he-IL"/>
                </w:rPr>
                <m:t>β</m:t>
              </m:r>
            </m:e>
            <m:sub>
              <m:r>
                <w:rPr>
                  <w:rFonts w:ascii="Cambria Math" w:eastAsia="Calibri" w:hAnsi="Cambria Math" w:cs="Arial"/>
                  <w:sz w:val="22"/>
                  <w:szCs w:val="22"/>
                  <w:lang w:bidi="he-IL"/>
                </w:rPr>
                <m:t>0</m:t>
              </m:r>
            </m:sub>
          </m:sSub>
          <m:r>
            <w:rPr>
              <w:rFonts w:ascii="Cambria Math" w:eastAsia="Calibri" w:hAnsi="Cambria Math" w:cs="Arial"/>
              <w:sz w:val="22"/>
              <w:szCs w:val="22"/>
              <w:lang w:bidi="he-IL"/>
            </w:rPr>
            <m:t>+</m:t>
          </m:r>
          <m:sSub>
            <m:sSubPr>
              <m:ctrlPr>
                <w:rPr>
                  <w:rFonts w:ascii="Cambria Math" w:eastAsia="Calibri" w:hAnsi="Cambria Math" w:cs="Arial"/>
                  <w:i/>
                  <w:sz w:val="22"/>
                  <w:szCs w:val="22"/>
                  <w:lang w:bidi="he-IL"/>
                </w:rPr>
              </m:ctrlPr>
            </m:sSubPr>
            <m:e>
              <m:r>
                <w:rPr>
                  <w:rFonts w:ascii="Cambria Math" w:eastAsia="Calibri" w:hAnsi="Cambria Math" w:cs="Arial"/>
                  <w:sz w:val="22"/>
                  <w:szCs w:val="22"/>
                  <w:lang w:bidi="he-IL"/>
                </w:rPr>
                <m:t>β</m:t>
              </m:r>
            </m:e>
            <m:sub>
              <m:r>
                <w:rPr>
                  <w:rFonts w:ascii="Cambria Math" w:eastAsia="Calibri" w:hAnsi="Cambria Math" w:cs="Arial"/>
                  <w:sz w:val="22"/>
                  <w:szCs w:val="22"/>
                  <w:lang w:bidi="he-IL"/>
                </w:rPr>
                <m:t>1</m:t>
              </m:r>
            </m:sub>
          </m:sSub>
          <m:r>
            <w:rPr>
              <w:rFonts w:ascii="Cambria Math" w:eastAsia="Calibri" w:hAnsi="Cambria Math" w:cs="Arial"/>
              <w:sz w:val="22"/>
              <w:szCs w:val="22"/>
              <w:lang w:bidi="he-IL"/>
            </w:rPr>
            <m:t>*Rm(IPOyear+t)+</m:t>
          </m:r>
          <m:sSub>
            <m:sSubPr>
              <m:ctrlPr>
                <w:rPr>
                  <w:rFonts w:ascii="Cambria Math" w:eastAsia="Calibri" w:hAnsi="Cambria Math" w:cs="Arial"/>
                  <w:i/>
                  <w:sz w:val="22"/>
                  <w:szCs w:val="22"/>
                  <w:lang w:bidi="he-IL"/>
                </w:rPr>
              </m:ctrlPr>
            </m:sSubPr>
            <m:e>
              <m:r>
                <w:rPr>
                  <w:rFonts w:ascii="Cambria Math" w:eastAsia="Calibri" w:hAnsi="Cambria Math" w:cs="Arial"/>
                  <w:sz w:val="22"/>
                  <w:szCs w:val="22"/>
                  <w:lang w:bidi="he-IL"/>
                </w:rPr>
                <m:t>β</m:t>
              </m:r>
            </m:e>
            <m:sub>
              <m:r>
                <w:rPr>
                  <w:rFonts w:ascii="Cambria Math" w:eastAsia="Calibri" w:hAnsi="Cambria Math" w:cs="Arial"/>
                  <w:sz w:val="22"/>
                  <w:szCs w:val="22"/>
                  <w:lang w:bidi="he-IL"/>
                </w:rPr>
                <m:t>2</m:t>
              </m:r>
            </m:sub>
          </m:sSub>
          <m:r>
            <w:rPr>
              <w:rFonts w:ascii="Cambria Math" w:eastAsia="Calibri" w:hAnsi="Cambria Math" w:cs="Arial"/>
              <w:sz w:val="22"/>
              <w:szCs w:val="22"/>
              <w:lang w:bidi="he-IL"/>
            </w:rPr>
            <m:t>*HTV</m:t>
          </m:r>
          <m:d>
            <m:dPr>
              <m:ctrlPr>
                <w:rPr>
                  <w:rFonts w:ascii="Cambria Math" w:eastAsia="Calibri" w:hAnsi="Cambria Math" w:cs="Arial"/>
                  <w:i/>
                  <w:sz w:val="22"/>
                  <w:szCs w:val="22"/>
                  <w:lang w:bidi="he-IL"/>
                </w:rPr>
              </m:ctrlPr>
            </m:dPr>
            <m:e>
              <m:r>
                <w:rPr>
                  <w:rFonts w:ascii="Cambria Math" w:eastAsia="Calibri" w:hAnsi="Cambria Math" w:cs="Arial"/>
                  <w:sz w:val="22"/>
                  <w:szCs w:val="22"/>
                  <w:lang w:bidi="he-IL"/>
                </w:rPr>
                <m:t>IPOyear+t</m:t>
              </m:r>
            </m:e>
          </m:d>
          <m:r>
            <w:rPr>
              <w:rFonts w:ascii="Cambria Math" w:eastAsia="Calibri" w:hAnsi="Cambria Math" w:cs="Arial"/>
              <w:sz w:val="22"/>
              <w:szCs w:val="22"/>
              <w:lang w:bidi="he-IL"/>
            </w:rPr>
            <m:t>+</m:t>
          </m:r>
          <m:sSub>
            <m:sSubPr>
              <m:ctrlPr>
                <w:rPr>
                  <w:rFonts w:ascii="Cambria Math" w:eastAsia="Calibri" w:hAnsi="Cambria Math" w:cs="Arial"/>
                  <w:i/>
                  <w:sz w:val="22"/>
                  <w:szCs w:val="22"/>
                  <w:lang w:bidi="he-IL"/>
                </w:rPr>
              </m:ctrlPr>
            </m:sSubPr>
            <m:e>
              <m:r>
                <w:rPr>
                  <w:rFonts w:ascii="Cambria Math" w:eastAsia="Calibri" w:hAnsi="Cambria Math" w:cs="Arial"/>
                  <w:sz w:val="22"/>
                  <w:szCs w:val="22"/>
                  <w:lang w:bidi="he-IL"/>
                </w:rPr>
                <m:t>β</m:t>
              </m:r>
            </m:e>
            <m:sub>
              <m:r>
                <w:rPr>
                  <w:rFonts w:ascii="Cambria Math" w:eastAsia="Calibri" w:hAnsi="Cambria Math" w:cs="Arial"/>
                  <w:sz w:val="22"/>
                  <w:szCs w:val="22"/>
                  <w:lang w:bidi="he-IL"/>
                </w:rPr>
                <m:t>3</m:t>
              </m:r>
            </m:sub>
          </m:sSub>
          <m:r>
            <w:rPr>
              <w:rFonts w:ascii="Cambria Math" w:eastAsia="Calibri" w:hAnsi="Cambria Math" w:cs="Arial"/>
              <w:sz w:val="22"/>
              <w:szCs w:val="22"/>
              <w:lang w:bidi="he-IL"/>
            </w:rPr>
            <m:t>*Y2013+…+</m:t>
          </m:r>
          <m:sSub>
            <m:sSubPr>
              <m:ctrlPr>
                <w:rPr>
                  <w:rFonts w:ascii="Cambria Math" w:eastAsia="Calibri" w:hAnsi="Cambria Math" w:cs="Arial"/>
                  <w:i/>
                  <w:sz w:val="22"/>
                  <w:szCs w:val="22"/>
                  <w:lang w:bidi="he-IL"/>
                </w:rPr>
              </m:ctrlPr>
            </m:sSubPr>
            <m:e>
              <m:r>
                <w:rPr>
                  <w:rFonts w:ascii="Cambria Math" w:eastAsia="Calibri" w:hAnsi="Cambria Math" w:cs="Arial"/>
                  <w:sz w:val="22"/>
                  <w:szCs w:val="22"/>
                  <w:lang w:bidi="he-IL"/>
                </w:rPr>
                <m:t>β</m:t>
              </m:r>
            </m:e>
            <m:sub>
              <m:r>
                <w:rPr>
                  <w:rFonts w:ascii="Cambria Math" w:eastAsia="Calibri" w:hAnsi="Cambria Math" w:cs="Arial"/>
                  <w:sz w:val="22"/>
                  <w:szCs w:val="22"/>
                  <w:lang w:bidi="he-IL"/>
                </w:rPr>
                <m:t>6</m:t>
              </m:r>
            </m:sub>
          </m:sSub>
          <m:r>
            <w:rPr>
              <w:rFonts w:ascii="Cambria Math" w:eastAsia="Calibri" w:hAnsi="Cambria Math" w:cs="Arial"/>
              <w:sz w:val="22"/>
              <w:szCs w:val="22"/>
              <w:lang w:bidi="he-IL"/>
            </w:rPr>
            <m:t>*Y2016+</m:t>
          </m:r>
          <m:sSub>
            <m:sSubPr>
              <m:ctrlPr>
                <w:rPr>
                  <w:rFonts w:ascii="Cambria Math" w:eastAsia="Calibri" w:hAnsi="Cambria Math" w:cs="Arial"/>
                  <w:i/>
                  <w:sz w:val="22"/>
                  <w:szCs w:val="22"/>
                  <w:lang w:bidi="he-IL"/>
                </w:rPr>
              </m:ctrlPr>
            </m:sSubPr>
            <m:e>
              <m:r>
                <w:rPr>
                  <w:rFonts w:ascii="Cambria Math" w:eastAsia="Calibri" w:hAnsi="Cambria Math" w:cs="Arial"/>
                  <w:sz w:val="22"/>
                  <w:szCs w:val="22"/>
                  <w:lang w:bidi="he-IL"/>
                </w:rPr>
                <m:t>β</m:t>
              </m:r>
            </m:e>
            <m:sub>
              <m:r>
                <w:rPr>
                  <w:rFonts w:ascii="Cambria Math" w:eastAsia="Calibri" w:hAnsi="Cambria Math" w:cs="Arial"/>
                  <w:sz w:val="22"/>
                  <w:szCs w:val="22"/>
                  <w:lang w:bidi="he-IL"/>
                </w:rPr>
                <m:t>7</m:t>
              </m:r>
            </m:sub>
          </m:sSub>
          <m:r>
            <w:rPr>
              <w:rFonts w:ascii="Cambria Math" w:eastAsia="Calibri" w:hAnsi="Cambria Math" w:cs="Arial"/>
              <w:sz w:val="22"/>
              <w:szCs w:val="22"/>
              <w:lang w:bidi="he-IL"/>
            </w:rPr>
            <m:t>*NMV(IPOyear+t)</m:t>
          </m:r>
        </m:oMath>
      </m:oMathPara>
      <w:bookmarkEnd w:id="11"/>
    </w:p>
    <w:p w14:paraId="6561FAF2" w14:textId="69E034BE" w:rsidR="006B6ED3" w:rsidRPr="00B41E66" w:rsidRDefault="006B6ED3" w:rsidP="006B6ED3">
      <w:pPr>
        <w:rPr>
          <w:i/>
          <w:lang w:bidi="he-IL"/>
        </w:rPr>
      </w:pPr>
    </w:p>
    <w:bookmarkEnd w:id="10"/>
    <w:p w14:paraId="22FBBA2F" w14:textId="7AE50EEC" w:rsidR="000F69BD" w:rsidRPr="00B41E66" w:rsidRDefault="000F69BD" w:rsidP="000F69BD">
      <w:pPr>
        <w:ind w:left="360"/>
        <w:rPr>
          <w:i/>
        </w:rPr>
      </w:pPr>
    </w:p>
    <w:p w14:paraId="57E71D13" w14:textId="020F707D" w:rsidR="006B6ED3" w:rsidRPr="00B41E66" w:rsidRDefault="006B6ED3" w:rsidP="000E7140">
      <w:pPr>
        <w:spacing w:after="160" w:line="259" w:lineRule="auto"/>
      </w:pPr>
      <w:r w:rsidRPr="00B41E66">
        <w:t>(2)</w:t>
      </w:r>
    </w:p>
    <w:p w14:paraId="42B09FAB" w14:textId="607C2A1F" w:rsidR="00570947" w:rsidRPr="001D366A" w:rsidRDefault="001D366A" w:rsidP="00570947">
      <w:pPr>
        <w:spacing w:after="160" w:line="259" w:lineRule="auto"/>
        <w:rPr>
          <w:i/>
          <w:lang w:bidi="he-IL"/>
        </w:rPr>
      </w:pPr>
      <m:oMathPara>
        <m:oMath>
          <m:r>
            <w:rPr>
              <w:rFonts w:ascii="Cambria Math" w:eastAsia="Calibri" w:hAnsi="Cambria Math" w:cs="Arial"/>
              <w:sz w:val="22"/>
              <w:szCs w:val="22"/>
              <w:lang w:val="en-IL" w:bidi="he-IL"/>
            </w:rPr>
            <m:t>Abnormal Return</m:t>
          </m:r>
          <m:d>
            <m:dPr>
              <m:ctrlPr>
                <w:rPr>
                  <w:rFonts w:ascii="Cambria Math" w:eastAsia="Calibri" w:hAnsi="Cambria Math" w:cs="Arial"/>
                  <w:i/>
                  <w:sz w:val="22"/>
                  <w:szCs w:val="22"/>
                  <w:lang w:val="en-IL" w:bidi="he-IL"/>
                </w:rPr>
              </m:ctrlPr>
            </m:dPr>
            <m:e>
              <m:r>
                <w:rPr>
                  <w:rFonts w:ascii="Cambria Math" w:eastAsia="Calibri" w:hAnsi="Cambria Math" w:cs="Arial"/>
                  <w:sz w:val="22"/>
                  <w:szCs w:val="22"/>
                  <w:lang w:val="en-IL" w:bidi="he-IL"/>
                </w:rPr>
                <m:t>IPOyear+t</m:t>
              </m:r>
            </m:e>
          </m:d>
          <m:r>
            <w:rPr>
              <w:rFonts w:ascii="Cambria Math" w:eastAsia="Calibri" w:hAnsi="Cambria Math" w:cs="Arial"/>
              <w:sz w:val="22"/>
              <w:szCs w:val="22"/>
              <w:lang w:val="en-IL" w:bidi="he-IL"/>
            </w:rPr>
            <m:t>=</m:t>
          </m:r>
          <m:sSub>
            <m:sSubPr>
              <m:ctrlPr>
                <w:rPr>
                  <w:rFonts w:ascii="Cambria Math" w:eastAsia="Calibri" w:hAnsi="Cambria Math" w:cs="Arial"/>
                  <w:i/>
                  <w:sz w:val="22"/>
                  <w:szCs w:val="22"/>
                  <w:lang w:bidi="he-IL"/>
                </w:rPr>
              </m:ctrlPr>
            </m:sSubPr>
            <m:e>
              <m:r>
                <w:rPr>
                  <w:rFonts w:ascii="Cambria Math" w:eastAsia="Calibri" w:hAnsi="Cambria Math" w:cs="Arial"/>
                  <w:sz w:val="22"/>
                  <w:szCs w:val="22"/>
                  <w:lang w:bidi="he-IL"/>
                </w:rPr>
                <m:t>β</m:t>
              </m:r>
            </m:e>
            <m:sub>
              <m:r>
                <w:rPr>
                  <w:rFonts w:ascii="Cambria Math" w:eastAsia="Calibri" w:hAnsi="Cambria Math" w:cs="Arial"/>
                  <w:sz w:val="22"/>
                  <w:szCs w:val="22"/>
                  <w:lang w:bidi="he-IL"/>
                </w:rPr>
                <m:t>0</m:t>
              </m:r>
            </m:sub>
          </m:sSub>
          <m:r>
            <w:rPr>
              <w:rFonts w:ascii="Cambria Math" w:eastAsia="Calibri" w:hAnsi="Cambria Math" w:cs="Arial"/>
              <w:sz w:val="22"/>
              <w:szCs w:val="22"/>
              <w:lang w:bidi="he-IL"/>
            </w:rPr>
            <m:t>+</m:t>
          </m:r>
          <m:sSub>
            <m:sSubPr>
              <m:ctrlPr>
                <w:rPr>
                  <w:rFonts w:ascii="Cambria Math" w:eastAsia="Calibri" w:hAnsi="Cambria Math" w:cs="Arial"/>
                  <w:i/>
                  <w:sz w:val="22"/>
                  <w:szCs w:val="22"/>
                  <w:lang w:bidi="he-IL"/>
                </w:rPr>
              </m:ctrlPr>
            </m:sSubPr>
            <m:e>
              <m:r>
                <w:rPr>
                  <w:rFonts w:ascii="Cambria Math" w:eastAsia="Calibri" w:hAnsi="Cambria Math" w:cs="Arial"/>
                  <w:sz w:val="22"/>
                  <w:szCs w:val="22"/>
                  <w:lang w:bidi="he-IL"/>
                </w:rPr>
                <m:t>β</m:t>
              </m:r>
            </m:e>
            <m:sub>
              <m:r>
                <w:rPr>
                  <w:rFonts w:ascii="Cambria Math" w:eastAsia="Calibri" w:hAnsi="Cambria Math" w:cs="Arial"/>
                  <w:sz w:val="22"/>
                  <w:szCs w:val="22"/>
                  <w:lang w:bidi="he-IL"/>
                </w:rPr>
                <m:t>1</m:t>
              </m:r>
            </m:sub>
          </m:sSub>
          <m:r>
            <w:rPr>
              <w:rFonts w:ascii="Cambria Math" w:eastAsia="Calibri" w:hAnsi="Cambria Math" w:cs="Arial"/>
              <w:sz w:val="22"/>
              <w:szCs w:val="22"/>
              <w:lang w:bidi="he-IL"/>
            </w:rPr>
            <m:t>*Beta+</m:t>
          </m:r>
          <m:sSub>
            <m:sSubPr>
              <m:ctrlPr>
                <w:rPr>
                  <w:rFonts w:ascii="Cambria Math" w:eastAsia="Calibri" w:hAnsi="Cambria Math" w:cs="Arial"/>
                  <w:i/>
                  <w:sz w:val="22"/>
                  <w:szCs w:val="22"/>
                  <w:lang w:bidi="he-IL"/>
                </w:rPr>
              </m:ctrlPr>
            </m:sSubPr>
            <m:e>
              <m:r>
                <w:rPr>
                  <w:rFonts w:ascii="Cambria Math" w:eastAsia="Calibri" w:hAnsi="Cambria Math" w:cs="Arial"/>
                  <w:sz w:val="22"/>
                  <w:szCs w:val="22"/>
                  <w:lang w:bidi="he-IL"/>
                </w:rPr>
                <m:t>β</m:t>
              </m:r>
            </m:e>
            <m:sub>
              <m:r>
                <w:rPr>
                  <w:rFonts w:ascii="Cambria Math" w:eastAsia="Calibri" w:hAnsi="Cambria Math" w:cs="Arial"/>
                  <w:sz w:val="22"/>
                  <w:szCs w:val="22"/>
                  <w:lang w:bidi="he-IL"/>
                </w:rPr>
                <m:t>2</m:t>
              </m:r>
            </m:sub>
          </m:sSub>
          <m:r>
            <w:rPr>
              <w:rFonts w:ascii="Cambria Math" w:eastAsia="Calibri" w:hAnsi="Cambria Math" w:cs="Arial"/>
              <w:sz w:val="22"/>
              <w:szCs w:val="22"/>
              <w:lang w:bidi="he-IL"/>
            </w:rPr>
            <m:t>*HTV</m:t>
          </m:r>
          <m:d>
            <m:dPr>
              <m:ctrlPr>
                <w:rPr>
                  <w:rFonts w:ascii="Cambria Math" w:eastAsia="Calibri" w:hAnsi="Cambria Math" w:cs="Arial"/>
                  <w:i/>
                  <w:sz w:val="22"/>
                  <w:szCs w:val="22"/>
                  <w:lang w:bidi="he-IL"/>
                </w:rPr>
              </m:ctrlPr>
            </m:dPr>
            <m:e>
              <m:r>
                <w:rPr>
                  <w:rFonts w:ascii="Cambria Math" w:eastAsia="Calibri" w:hAnsi="Cambria Math" w:cs="Arial"/>
                  <w:sz w:val="22"/>
                  <w:szCs w:val="22"/>
                  <w:lang w:bidi="he-IL"/>
                </w:rPr>
                <m:t>IPOyear+t</m:t>
              </m:r>
            </m:e>
          </m:d>
          <m:r>
            <w:rPr>
              <w:rFonts w:ascii="Cambria Math" w:eastAsia="Calibri" w:hAnsi="Cambria Math" w:cs="Arial"/>
              <w:sz w:val="22"/>
              <w:szCs w:val="22"/>
              <w:lang w:bidi="he-IL"/>
            </w:rPr>
            <m:t>+</m:t>
          </m:r>
          <m:sSub>
            <m:sSubPr>
              <m:ctrlPr>
                <w:rPr>
                  <w:rFonts w:ascii="Cambria Math" w:eastAsia="Calibri" w:hAnsi="Cambria Math" w:cs="Arial"/>
                  <w:i/>
                  <w:sz w:val="22"/>
                  <w:szCs w:val="22"/>
                  <w:lang w:bidi="he-IL"/>
                </w:rPr>
              </m:ctrlPr>
            </m:sSubPr>
            <m:e>
              <m:r>
                <w:rPr>
                  <w:rFonts w:ascii="Cambria Math" w:eastAsia="Calibri" w:hAnsi="Cambria Math" w:cs="Arial"/>
                  <w:sz w:val="22"/>
                  <w:szCs w:val="22"/>
                  <w:lang w:bidi="he-IL"/>
                </w:rPr>
                <m:t>β</m:t>
              </m:r>
            </m:e>
            <m:sub>
              <m:r>
                <w:rPr>
                  <w:rFonts w:ascii="Cambria Math" w:eastAsia="Calibri" w:hAnsi="Cambria Math" w:cs="Arial"/>
                  <w:sz w:val="22"/>
                  <w:szCs w:val="22"/>
                  <w:lang w:bidi="he-IL"/>
                </w:rPr>
                <m:t>3</m:t>
              </m:r>
            </m:sub>
          </m:sSub>
          <m:r>
            <w:rPr>
              <w:rFonts w:ascii="Cambria Math" w:eastAsia="Calibri" w:hAnsi="Cambria Math" w:cs="Arial"/>
              <w:sz w:val="22"/>
              <w:szCs w:val="22"/>
              <w:lang w:bidi="he-IL"/>
            </w:rPr>
            <m:t>*Y2013+…+</m:t>
          </m:r>
          <m:sSub>
            <m:sSubPr>
              <m:ctrlPr>
                <w:rPr>
                  <w:rFonts w:ascii="Cambria Math" w:eastAsia="Calibri" w:hAnsi="Cambria Math" w:cs="Arial"/>
                  <w:i/>
                  <w:sz w:val="22"/>
                  <w:szCs w:val="22"/>
                  <w:lang w:bidi="he-IL"/>
                </w:rPr>
              </m:ctrlPr>
            </m:sSubPr>
            <m:e>
              <m:r>
                <w:rPr>
                  <w:rFonts w:ascii="Cambria Math" w:eastAsia="Calibri" w:hAnsi="Cambria Math" w:cs="Arial"/>
                  <w:sz w:val="22"/>
                  <w:szCs w:val="22"/>
                  <w:lang w:bidi="he-IL"/>
                </w:rPr>
                <m:t>β</m:t>
              </m:r>
            </m:e>
            <m:sub>
              <m:r>
                <w:rPr>
                  <w:rFonts w:ascii="Cambria Math" w:eastAsia="Calibri" w:hAnsi="Cambria Math" w:cs="Arial"/>
                  <w:sz w:val="22"/>
                  <w:szCs w:val="22"/>
                  <w:lang w:bidi="he-IL"/>
                </w:rPr>
                <m:t>6</m:t>
              </m:r>
            </m:sub>
          </m:sSub>
          <m:r>
            <w:rPr>
              <w:rFonts w:ascii="Cambria Math" w:eastAsia="Calibri" w:hAnsi="Cambria Math" w:cs="Arial"/>
              <w:sz w:val="22"/>
              <w:szCs w:val="22"/>
              <w:lang w:bidi="he-IL"/>
            </w:rPr>
            <m:t>*Y2016+</m:t>
          </m:r>
          <m:sSub>
            <m:sSubPr>
              <m:ctrlPr>
                <w:rPr>
                  <w:rFonts w:ascii="Cambria Math" w:eastAsia="Calibri" w:hAnsi="Cambria Math" w:cs="Arial"/>
                  <w:i/>
                  <w:sz w:val="22"/>
                  <w:szCs w:val="22"/>
                  <w:lang w:bidi="he-IL"/>
                </w:rPr>
              </m:ctrlPr>
            </m:sSubPr>
            <m:e>
              <m:r>
                <w:rPr>
                  <w:rFonts w:ascii="Cambria Math" w:eastAsia="Calibri" w:hAnsi="Cambria Math" w:cs="Arial"/>
                  <w:sz w:val="22"/>
                  <w:szCs w:val="22"/>
                  <w:lang w:bidi="he-IL"/>
                </w:rPr>
                <m:t>β</m:t>
              </m:r>
            </m:e>
            <m:sub>
              <m:r>
                <w:rPr>
                  <w:rFonts w:ascii="Cambria Math" w:eastAsia="Calibri" w:hAnsi="Cambria Math" w:cs="Arial"/>
                  <w:sz w:val="22"/>
                  <w:szCs w:val="22"/>
                  <w:lang w:bidi="he-IL"/>
                </w:rPr>
                <m:t>7</m:t>
              </m:r>
            </m:sub>
          </m:sSub>
          <m:r>
            <w:rPr>
              <w:rFonts w:ascii="Cambria Math" w:eastAsia="Calibri" w:hAnsi="Cambria Math" w:cs="Arial"/>
              <w:sz w:val="22"/>
              <w:szCs w:val="22"/>
              <w:lang w:bidi="he-IL"/>
            </w:rPr>
            <m:t>*NMV(IPOyear+t)</m:t>
          </m:r>
        </m:oMath>
      </m:oMathPara>
    </w:p>
    <w:p w14:paraId="7FCC2EE9" w14:textId="5CADFB82" w:rsidR="006B6ED3" w:rsidRPr="00B41E66" w:rsidRDefault="006B6ED3" w:rsidP="006B6ED3">
      <w:pPr>
        <w:spacing w:after="160" w:line="259" w:lineRule="auto"/>
        <w:rPr>
          <w:i/>
          <w:lang w:bidi="he-IL"/>
        </w:rPr>
      </w:pPr>
    </w:p>
    <w:p w14:paraId="03FA3A7D" w14:textId="0D67077F" w:rsidR="000E7140" w:rsidRPr="001D366A" w:rsidRDefault="001D366A" w:rsidP="000E7140">
      <w:pPr>
        <w:spacing w:after="160" w:line="259" w:lineRule="auto"/>
      </w:pPr>
      <m:oMathPara>
        <m:oMath>
          <m:r>
            <m:rPr>
              <m:sty m:val="p"/>
            </m:rPr>
            <w:rPr>
              <w:rFonts w:ascii="Cambria Math" w:hAnsi="Cambria Math" w:cs="Arial"/>
              <w:sz w:val="22"/>
              <w:szCs w:val="22"/>
              <w:lang w:bidi="he-IL"/>
            </w:rPr>
            <m:t>∀ 0≤t≤2</m:t>
          </m:r>
        </m:oMath>
      </m:oMathPara>
    </w:p>
    <w:p w14:paraId="288BBDAE" w14:textId="77777777" w:rsidR="00DB5490" w:rsidRPr="00B41E66" w:rsidRDefault="00DB5490" w:rsidP="00DB5490">
      <w:pPr>
        <w:spacing w:line="360" w:lineRule="auto"/>
        <w:jc w:val="both"/>
        <w:rPr>
          <w:position w:val="-6"/>
        </w:rPr>
      </w:pPr>
    </w:p>
    <w:p w14:paraId="13F88C2A" w14:textId="41D16D82" w:rsidR="00F874E4" w:rsidRPr="00B41E66" w:rsidRDefault="00DB5490" w:rsidP="00EA42FF">
      <w:pPr>
        <w:spacing w:line="480" w:lineRule="auto"/>
        <w:jc w:val="both"/>
        <w:rPr>
          <w:position w:val="-6"/>
          <w:lang w:bidi="he-IL"/>
        </w:rPr>
      </w:pPr>
      <w:r w:rsidRPr="00B41E66">
        <w:rPr>
          <w:position w:val="-6"/>
        </w:rPr>
        <w:t xml:space="preserve">Explained variables </w:t>
      </w:r>
      <w:r w:rsidRPr="00B41E66">
        <w:rPr>
          <w:position w:val="-6"/>
          <w:lang w:bidi="he-IL"/>
        </w:rPr>
        <w:t>we</w:t>
      </w:r>
      <w:r w:rsidRPr="00B41E66">
        <w:rPr>
          <w:position w:val="-6"/>
        </w:rPr>
        <w:t>re return</w:t>
      </w:r>
      <w:r w:rsidR="00846335" w:rsidRPr="00B41E66">
        <w:rPr>
          <w:position w:val="-6"/>
        </w:rPr>
        <w:t>s</w:t>
      </w:r>
      <w:r w:rsidRPr="00B41E66">
        <w:rPr>
          <w:position w:val="-6"/>
        </w:rPr>
        <w:t xml:space="preserve"> and abnormal return</w:t>
      </w:r>
      <w:r w:rsidR="00846335" w:rsidRPr="00B41E66">
        <w:rPr>
          <w:position w:val="-6"/>
        </w:rPr>
        <w:t>s</w:t>
      </w:r>
      <w:r w:rsidRPr="00B41E66">
        <w:rPr>
          <w:position w:val="-6"/>
        </w:rPr>
        <w:t xml:space="preserve">. The abnormal return was calculated relative to two benchmarks: </w:t>
      </w:r>
      <w:r w:rsidR="00A23032" w:rsidRPr="00B41E66">
        <w:rPr>
          <w:position w:val="-6"/>
        </w:rPr>
        <w:t>The</w:t>
      </w:r>
      <w:r w:rsidRPr="00B41E66">
        <w:rPr>
          <w:position w:val="-6"/>
        </w:rPr>
        <w:t xml:space="preserve"> S&amp;P 500 </w:t>
      </w:r>
      <w:r w:rsidR="00AF4495" w:rsidRPr="00B41E66">
        <w:rPr>
          <w:position w:val="-6"/>
        </w:rPr>
        <w:t>I</w:t>
      </w:r>
      <w:r w:rsidRPr="00B41E66">
        <w:rPr>
          <w:position w:val="-6"/>
        </w:rPr>
        <w:t xml:space="preserve">ndex and the IXJ index. Explanatory variables </w:t>
      </w:r>
      <w:r w:rsidR="008A5398" w:rsidRPr="00B41E66">
        <w:rPr>
          <w:position w:val="-6"/>
        </w:rPr>
        <w:t>are</w:t>
      </w:r>
      <w:r w:rsidRPr="00B41E66">
        <w:rPr>
          <w:position w:val="-6"/>
        </w:rPr>
        <w:t xml:space="preserve"> </w:t>
      </w:r>
      <w:r w:rsidR="0055255C" w:rsidRPr="00B41E66">
        <w:rPr>
          <w:color w:val="0000FF"/>
          <w:position w:val="-6"/>
        </w:rPr>
        <w:t>Rm market return for the S&amp;P500 and IXJ index</w:t>
      </w:r>
      <w:r w:rsidR="0055255C" w:rsidRPr="00B41E66">
        <w:rPr>
          <w:position w:val="-6"/>
        </w:rPr>
        <w:t xml:space="preserve">; </w:t>
      </w:r>
      <w:r w:rsidRPr="00B41E66">
        <w:rPr>
          <w:position w:val="-6"/>
        </w:rPr>
        <w:t>Beta</w:t>
      </w:r>
      <w:r w:rsidR="0055255C" w:rsidRPr="00B41E66">
        <w:rPr>
          <w:position w:val="-6"/>
        </w:rPr>
        <w:t xml:space="preserve">- </w:t>
      </w:r>
      <w:r w:rsidR="007431B7" w:rsidRPr="00B41E66">
        <w:rPr>
          <w:color w:val="0000FF"/>
          <w:position w:val="-6"/>
        </w:rPr>
        <w:t>as described above</w:t>
      </w:r>
      <w:r w:rsidR="0079152F" w:rsidRPr="00B41E66">
        <w:rPr>
          <w:position w:val="-6"/>
        </w:rPr>
        <w:t>;</w:t>
      </w:r>
      <w:r w:rsidRPr="00B41E66">
        <w:rPr>
          <w:position w:val="-6"/>
        </w:rPr>
        <w:t xml:space="preserve"> HTV </w:t>
      </w:r>
      <w:r w:rsidR="00AF4495" w:rsidRPr="00B41E66">
        <w:rPr>
          <w:position w:val="-6"/>
        </w:rPr>
        <w:t>as</w:t>
      </w:r>
      <w:r w:rsidRPr="00B41E66">
        <w:rPr>
          <w:position w:val="-6"/>
        </w:rPr>
        <w:t xml:space="preserve"> a dummy variable that receives 1 for companies with </w:t>
      </w:r>
      <w:r w:rsidR="00AF4495" w:rsidRPr="00B41E66">
        <w:rPr>
          <w:position w:val="-6"/>
        </w:rPr>
        <w:t xml:space="preserve">a </w:t>
      </w:r>
      <w:r w:rsidRPr="00B41E66">
        <w:rPr>
          <w:position w:val="-6"/>
        </w:rPr>
        <w:t xml:space="preserve">high </w:t>
      </w:r>
      <w:r w:rsidR="00AF4495" w:rsidRPr="00B41E66">
        <w:rPr>
          <w:position w:val="-6"/>
        </w:rPr>
        <w:t xml:space="preserve">volume of </w:t>
      </w:r>
      <w:r w:rsidRPr="00B41E66">
        <w:rPr>
          <w:position w:val="-6"/>
        </w:rPr>
        <w:t xml:space="preserve">tweets and 0 otherwise. </w:t>
      </w:r>
      <w:r w:rsidR="00AF4495" w:rsidRPr="00B41E66">
        <w:rPr>
          <w:position w:val="-6"/>
        </w:rPr>
        <w:t xml:space="preserve">The </w:t>
      </w:r>
      <w:r w:rsidRPr="00B41E66">
        <w:rPr>
          <w:position w:val="-6"/>
        </w:rPr>
        <w:t xml:space="preserve">dummy variables for the </w:t>
      </w:r>
      <w:r w:rsidR="006F06C0" w:rsidRPr="00B41E66">
        <w:rPr>
          <w:position w:val="-6"/>
        </w:rPr>
        <w:t xml:space="preserve">IPO </w:t>
      </w:r>
      <w:r w:rsidRPr="00B41E66">
        <w:rPr>
          <w:position w:val="-6"/>
        </w:rPr>
        <w:t>years 2013</w:t>
      </w:r>
      <w:r w:rsidR="00AF4495" w:rsidRPr="00B41E66">
        <w:rPr>
          <w:position w:val="-6"/>
        </w:rPr>
        <w:t>–</w:t>
      </w:r>
      <w:r w:rsidRPr="00B41E66">
        <w:rPr>
          <w:position w:val="-6"/>
        </w:rPr>
        <w:t>2017</w:t>
      </w:r>
      <w:r w:rsidR="00AF4495" w:rsidRPr="00B41E66">
        <w:rPr>
          <w:position w:val="-6"/>
        </w:rPr>
        <w:t xml:space="preserve"> are Y2013 to Y2016</w:t>
      </w:r>
      <w:r w:rsidRPr="00B41E66">
        <w:rPr>
          <w:position w:val="-6"/>
        </w:rPr>
        <w:t xml:space="preserve">, </w:t>
      </w:r>
      <w:r w:rsidR="00AF4495" w:rsidRPr="00B41E66">
        <w:rPr>
          <w:position w:val="-6"/>
        </w:rPr>
        <w:t xml:space="preserve">which are </w:t>
      </w:r>
      <w:r w:rsidR="0079152F" w:rsidRPr="00B41E66">
        <w:rPr>
          <w:position w:val="-6"/>
        </w:rPr>
        <w:t xml:space="preserve">aimed at capturing potential influence </w:t>
      </w:r>
      <w:r w:rsidR="00AF4495" w:rsidRPr="00B41E66">
        <w:rPr>
          <w:position w:val="-6"/>
        </w:rPr>
        <w:t xml:space="preserve">during </w:t>
      </w:r>
      <w:r w:rsidR="0079152F" w:rsidRPr="00B41E66">
        <w:rPr>
          <w:position w:val="-6"/>
        </w:rPr>
        <w:t>a given year</w:t>
      </w:r>
      <w:r w:rsidR="004D47CC" w:rsidRPr="00B41E66">
        <w:rPr>
          <w:position w:val="-6"/>
        </w:rPr>
        <w:t xml:space="preserve">. Normalized Market </w:t>
      </w:r>
      <w:r w:rsidR="00294EF2" w:rsidRPr="00B41E66">
        <w:rPr>
          <w:position w:val="-6"/>
        </w:rPr>
        <w:t>Value</w:t>
      </w:r>
      <w:r w:rsidR="00AF4495" w:rsidRPr="00B41E66">
        <w:rPr>
          <w:position w:val="-6"/>
        </w:rPr>
        <w:t xml:space="preserve"> (NMV)</w:t>
      </w:r>
      <w:r w:rsidR="004D47CC" w:rsidRPr="00B41E66">
        <w:rPr>
          <w:position w:val="-6"/>
        </w:rPr>
        <w:t xml:space="preserve"> was calculated </w:t>
      </w:r>
      <w:r w:rsidR="00FE420E" w:rsidRPr="00B41E66">
        <w:rPr>
          <w:position w:val="-6"/>
        </w:rPr>
        <w:t xml:space="preserve">for each firm </w:t>
      </w:r>
      <w:r w:rsidR="00AB30DE" w:rsidRPr="00B41E66">
        <w:rPr>
          <w:position w:val="-6"/>
        </w:rPr>
        <w:t xml:space="preserve">for each year relative to the IPO date </w:t>
      </w:r>
      <w:r w:rsidR="004D47CC" w:rsidRPr="00B41E66">
        <w:rPr>
          <w:position w:val="-6"/>
        </w:rPr>
        <w:t xml:space="preserve">by </w:t>
      </w:r>
      <w:r w:rsidR="00294EF2" w:rsidRPr="00B41E66">
        <w:rPr>
          <w:position w:val="-6"/>
        </w:rPr>
        <w:t xml:space="preserve">subtracting </w:t>
      </w:r>
      <w:r w:rsidR="00AB30DE" w:rsidRPr="00B41E66">
        <w:rPr>
          <w:position w:val="-6"/>
        </w:rPr>
        <w:t xml:space="preserve">the </w:t>
      </w:r>
      <w:r w:rsidR="00294EF2" w:rsidRPr="00B41E66">
        <w:rPr>
          <w:position w:val="-6"/>
        </w:rPr>
        <w:t>firms</w:t>
      </w:r>
      <w:r w:rsidR="00A82CF3" w:rsidRPr="00B41E66">
        <w:rPr>
          <w:position w:val="-6"/>
        </w:rPr>
        <w:t>’</w:t>
      </w:r>
      <w:r w:rsidR="00294EF2" w:rsidRPr="00B41E66">
        <w:rPr>
          <w:position w:val="-6"/>
        </w:rPr>
        <w:t xml:space="preserve"> average market value from </w:t>
      </w:r>
      <w:r w:rsidR="00AB30DE" w:rsidRPr="00B41E66">
        <w:rPr>
          <w:position w:val="-6"/>
        </w:rPr>
        <w:t xml:space="preserve">a </w:t>
      </w:r>
      <w:r w:rsidR="00294EF2" w:rsidRPr="00B41E66">
        <w:rPr>
          <w:position w:val="-6"/>
        </w:rPr>
        <w:t>firm</w:t>
      </w:r>
      <w:r w:rsidR="00AF4495" w:rsidRPr="00B41E66">
        <w:rPr>
          <w:position w:val="-6"/>
        </w:rPr>
        <w:t>’s</w:t>
      </w:r>
      <w:r w:rsidR="00294EF2" w:rsidRPr="00B41E66">
        <w:rPr>
          <w:position w:val="-6"/>
        </w:rPr>
        <w:t xml:space="preserve"> value and </w:t>
      </w:r>
      <w:r w:rsidR="00294EF2" w:rsidRPr="00B41E66">
        <w:rPr>
          <w:position w:val="-6"/>
        </w:rPr>
        <w:lastRenderedPageBreak/>
        <w:t>divid</w:t>
      </w:r>
      <w:r w:rsidR="00846335" w:rsidRPr="00B41E66">
        <w:rPr>
          <w:position w:val="-6"/>
        </w:rPr>
        <w:t>ing</w:t>
      </w:r>
      <w:r w:rsidR="00294EF2" w:rsidRPr="00B41E66">
        <w:rPr>
          <w:position w:val="-6"/>
        </w:rPr>
        <w:t xml:space="preserve"> by standard deviations of</w:t>
      </w:r>
      <w:r w:rsidR="00AF4495" w:rsidRPr="00B41E66">
        <w:rPr>
          <w:position w:val="-6"/>
        </w:rPr>
        <w:t xml:space="preserve"> the</w:t>
      </w:r>
      <w:r w:rsidR="00294EF2" w:rsidRPr="00B41E66">
        <w:rPr>
          <w:position w:val="-6"/>
        </w:rPr>
        <w:t xml:space="preserve"> firms</w:t>
      </w:r>
      <w:r w:rsidR="00A82CF3" w:rsidRPr="00B41E66">
        <w:rPr>
          <w:position w:val="-6"/>
        </w:rPr>
        <w:t>’</w:t>
      </w:r>
      <w:r w:rsidR="00294EF2" w:rsidRPr="00B41E66">
        <w:rPr>
          <w:position w:val="-6"/>
        </w:rPr>
        <w:t xml:space="preserve"> </w:t>
      </w:r>
      <w:r w:rsidR="002073E0" w:rsidRPr="00B41E66">
        <w:rPr>
          <w:position w:val="-6"/>
        </w:rPr>
        <w:t>market value</w:t>
      </w:r>
      <w:r w:rsidR="00AF4495" w:rsidRPr="00B41E66">
        <w:rPr>
          <w:position w:val="-6"/>
        </w:rPr>
        <w:t>.</w:t>
      </w:r>
      <w:r w:rsidR="004D47CC" w:rsidRPr="00B41E66">
        <w:rPr>
          <w:rStyle w:val="FootnoteReference"/>
        </w:rPr>
        <w:footnoteReference w:id="9"/>
      </w:r>
      <w:r w:rsidR="00EA42FF" w:rsidRPr="00B41E66">
        <w:rPr>
          <w:lang w:bidi="he-IL"/>
        </w:rPr>
        <w:t xml:space="preserve"> </w:t>
      </w:r>
      <w:r w:rsidR="00AF4495" w:rsidRPr="00B41E66">
        <w:rPr>
          <w:lang w:bidi="he-IL"/>
        </w:rPr>
        <w:t>Additional</w:t>
      </w:r>
      <w:r w:rsidR="00F874E4" w:rsidRPr="00B41E66">
        <w:rPr>
          <w:lang w:bidi="he-IL"/>
        </w:rPr>
        <w:t xml:space="preserve"> multivariate analys</w:t>
      </w:r>
      <w:r w:rsidR="00AF4495" w:rsidRPr="00B41E66">
        <w:rPr>
          <w:lang w:bidi="he-IL"/>
        </w:rPr>
        <w:t>e</w:t>
      </w:r>
      <w:r w:rsidR="00F874E4" w:rsidRPr="00B41E66">
        <w:rPr>
          <w:lang w:bidi="he-IL"/>
        </w:rPr>
        <w:t xml:space="preserve">s </w:t>
      </w:r>
      <w:r w:rsidR="00294EF2" w:rsidRPr="00B41E66">
        <w:rPr>
          <w:lang w:bidi="he-IL"/>
        </w:rPr>
        <w:t>employ</w:t>
      </w:r>
      <w:r w:rsidR="00AF4495" w:rsidRPr="00B41E66">
        <w:rPr>
          <w:lang w:bidi="he-IL"/>
        </w:rPr>
        <w:t>ing</w:t>
      </w:r>
      <w:r w:rsidR="00F874E4" w:rsidRPr="00B41E66">
        <w:rPr>
          <w:lang w:bidi="he-IL"/>
        </w:rPr>
        <w:t xml:space="preserve"> causality test</w:t>
      </w:r>
      <w:r w:rsidR="00294EF2" w:rsidRPr="00B41E66">
        <w:rPr>
          <w:lang w:bidi="he-IL"/>
        </w:rPr>
        <w:t>s</w:t>
      </w:r>
      <w:r w:rsidR="00F874E4" w:rsidRPr="00B41E66">
        <w:rPr>
          <w:lang w:bidi="he-IL"/>
        </w:rPr>
        <w:t xml:space="preserve"> </w:t>
      </w:r>
      <w:r w:rsidR="00A85B56" w:rsidRPr="00B41E66">
        <w:rPr>
          <w:lang w:bidi="he-IL"/>
        </w:rPr>
        <w:t xml:space="preserve">will be detailed </w:t>
      </w:r>
      <w:r w:rsidR="00F874E4" w:rsidRPr="00B41E66">
        <w:rPr>
          <w:lang w:bidi="he-IL"/>
        </w:rPr>
        <w:t xml:space="preserve">later. </w:t>
      </w:r>
    </w:p>
    <w:p w14:paraId="4125D377" w14:textId="77777777" w:rsidR="00DB5490" w:rsidRPr="00B41E66" w:rsidRDefault="00DB5490" w:rsidP="00DB5490">
      <w:pPr>
        <w:bidi/>
        <w:spacing w:line="360" w:lineRule="auto"/>
        <w:jc w:val="both"/>
        <w:rPr>
          <w:rtl/>
        </w:rPr>
      </w:pPr>
    </w:p>
    <w:p w14:paraId="632E5C83" w14:textId="77777777" w:rsidR="00BA3CD0" w:rsidRPr="00B41E66" w:rsidRDefault="00087F6D" w:rsidP="007C68F9">
      <w:pPr>
        <w:pStyle w:val="Default"/>
        <w:spacing w:line="360" w:lineRule="auto"/>
        <w:jc w:val="both"/>
        <w:rPr>
          <w:b/>
          <w:bCs/>
          <w:color w:val="auto"/>
        </w:rPr>
      </w:pPr>
      <w:r w:rsidRPr="00B41E66">
        <w:rPr>
          <w:b/>
          <w:bCs/>
          <w:color w:val="auto"/>
        </w:rPr>
        <w:t>4</w:t>
      </w:r>
      <w:r w:rsidR="00F874E4" w:rsidRPr="00B41E66">
        <w:rPr>
          <w:b/>
          <w:bCs/>
          <w:color w:val="auto"/>
        </w:rPr>
        <w:t>.3</w:t>
      </w:r>
      <w:r w:rsidR="007C68F9" w:rsidRPr="00B41E66">
        <w:rPr>
          <w:b/>
          <w:bCs/>
          <w:color w:val="auto"/>
        </w:rPr>
        <w:t xml:space="preserve"> </w:t>
      </w:r>
      <w:r w:rsidR="00BA3CD0" w:rsidRPr="00B41E66">
        <w:rPr>
          <w:b/>
          <w:bCs/>
          <w:color w:val="auto"/>
        </w:rPr>
        <w:t>Results</w:t>
      </w:r>
    </w:p>
    <w:p w14:paraId="049FF718" w14:textId="77777777" w:rsidR="00846335" w:rsidRPr="00B41E66" w:rsidRDefault="00846335" w:rsidP="007C68F9">
      <w:pPr>
        <w:pStyle w:val="Default"/>
        <w:spacing w:line="360" w:lineRule="auto"/>
        <w:jc w:val="both"/>
        <w:rPr>
          <w:b/>
          <w:bCs/>
          <w:color w:val="auto"/>
          <w:rtl/>
        </w:rPr>
      </w:pPr>
    </w:p>
    <w:p w14:paraId="07D6FD9C" w14:textId="77777777" w:rsidR="00161335" w:rsidRPr="00B41E66" w:rsidRDefault="00087F6D" w:rsidP="00A85B56">
      <w:pPr>
        <w:pStyle w:val="Default"/>
        <w:spacing w:line="360" w:lineRule="auto"/>
        <w:jc w:val="both"/>
        <w:rPr>
          <w:b/>
          <w:bCs/>
          <w:color w:val="auto"/>
          <w:rtl/>
        </w:rPr>
      </w:pPr>
      <w:r w:rsidRPr="00B41E66">
        <w:rPr>
          <w:b/>
          <w:bCs/>
          <w:color w:val="auto"/>
        </w:rPr>
        <w:t>4</w:t>
      </w:r>
      <w:r w:rsidR="003B2932" w:rsidRPr="00B41E66">
        <w:rPr>
          <w:b/>
          <w:bCs/>
          <w:color w:val="auto"/>
        </w:rPr>
        <w:t xml:space="preserve">.3.1 </w:t>
      </w:r>
      <w:r w:rsidR="00F874E4" w:rsidRPr="00B41E66">
        <w:rPr>
          <w:b/>
          <w:bCs/>
          <w:color w:val="auto"/>
        </w:rPr>
        <w:t xml:space="preserve">Univariate </w:t>
      </w:r>
      <w:r w:rsidR="00A85B56" w:rsidRPr="00B41E66">
        <w:rPr>
          <w:b/>
          <w:bCs/>
          <w:color w:val="auto"/>
        </w:rPr>
        <w:t>A</w:t>
      </w:r>
      <w:r w:rsidR="00F874E4" w:rsidRPr="00B41E66">
        <w:rPr>
          <w:b/>
          <w:bCs/>
          <w:color w:val="auto"/>
        </w:rPr>
        <w:t>nalysis</w:t>
      </w:r>
    </w:p>
    <w:p w14:paraId="5BFA792C" w14:textId="77777777" w:rsidR="00E43132" w:rsidRPr="00B41E66" w:rsidRDefault="00F04BF5" w:rsidP="00EA42FF">
      <w:pPr>
        <w:spacing w:line="480" w:lineRule="auto"/>
        <w:jc w:val="both"/>
      </w:pPr>
      <w:r w:rsidRPr="00B41E66">
        <w:t xml:space="preserve">Table 5 presents </w:t>
      </w:r>
      <w:r w:rsidR="004A23ED" w:rsidRPr="00B41E66">
        <w:t xml:space="preserve">descriptive statistics for some </w:t>
      </w:r>
      <w:r w:rsidRPr="00B41E66">
        <w:t>capital market variable</w:t>
      </w:r>
      <w:r w:rsidRPr="00B41E66">
        <w:rPr>
          <w:lang w:bidi="he-IL"/>
        </w:rPr>
        <w:t>s</w:t>
      </w:r>
      <w:r w:rsidRPr="00B41E66">
        <w:t xml:space="preserve"> for the years </w:t>
      </w:r>
      <w:r w:rsidR="0085092F" w:rsidRPr="00B41E66">
        <w:t>following</w:t>
      </w:r>
      <w:r w:rsidRPr="00B41E66">
        <w:t xml:space="preserve"> the IPO. Panel </w:t>
      </w:r>
      <w:r w:rsidR="004A23ED" w:rsidRPr="00B41E66">
        <w:t>A</w:t>
      </w:r>
      <w:r w:rsidRPr="00B41E66">
        <w:t xml:space="preserve"> present</w:t>
      </w:r>
      <w:r w:rsidR="00405BF5" w:rsidRPr="00B41E66">
        <w:t xml:space="preserve">s the </w:t>
      </w:r>
      <w:r w:rsidRPr="00B41E66">
        <w:t>IPO year,</w:t>
      </w:r>
      <w:r w:rsidR="00405BF5" w:rsidRPr="00B41E66">
        <w:t xml:space="preserve"> panel B presents</w:t>
      </w:r>
      <w:r w:rsidRPr="00B41E66">
        <w:t xml:space="preserve"> IPO</w:t>
      </w:r>
      <w:r w:rsidR="0085092F" w:rsidRPr="00B41E66">
        <w:t xml:space="preserve"> </w:t>
      </w:r>
      <w:r w:rsidRPr="00B41E66">
        <w:t>year+1</w:t>
      </w:r>
      <w:r w:rsidR="00690101" w:rsidRPr="00B41E66">
        <w:t>,</w:t>
      </w:r>
      <w:r w:rsidRPr="00B41E66">
        <w:t xml:space="preserve"> panel C presents IPO</w:t>
      </w:r>
      <w:r w:rsidR="0085092F" w:rsidRPr="00B41E66">
        <w:t xml:space="preserve"> </w:t>
      </w:r>
      <w:r w:rsidRPr="00B41E66">
        <w:t>year+2</w:t>
      </w:r>
      <w:r w:rsidR="00405BF5" w:rsidRPr="00B41E66">
        <w:t xml:space="preserve"> and</w:t>
      </w:r>
      <w:r w:rsidR="00E84FF4" w:rsidRPr="00B41E66">
        <w:t xml:space="preserve"> </w:t>
      </w:r>
      <w:r w:rsidR="00C34CD5" w:rsidRPr="00B41E66">
        <w:t>Panel D presents absolute tweet</w:t>
      </w:r>
      <w:r w:rsidR="00ED7387" w:rsidRPr="00B41E66">
        <w:t>s</w:t>
      </w:r>
      <w:r w:rsidR="00C34CD5" w:rsidRPr="00B41E66">
        <w:t xml:space="preserve"> volume for small</w:t>
      </w:r>
      <w:r w:rsidR="00846335" w:rsidRPr="00B41E66">
        <w:t>-sized</w:t>
      </w:r>
      <w:r w:rsidR="00C34CD5" w:rsidRPr="00B41E66">
        <w:t xml:space="preserve"> and large</w:t>
      </w:r>
      <w:r w:rsidR="00846335" w:rsidRPr="00B41E66">
        <w:t>-sized</w:t>
      </w:r>
      <w:r w:rsidR="00C34CD5" w:rsidRPr="00B41E66">
        <w:t xml:space="preserve"> firms. </w:t>
      </w:r>
    </w:p>
    <w:p w14:paraId="5DCBEB63" w14:textId="19585DEC" w:rsidR="00E84FF4" w:rsidRPr="00B41E66" w:rsidRDefault="00E43132" w:rsidP="00E43132">
      <w:pPr>
        <w:spacing w:line="480" w:lineRule="auto"/>
        <w:jc w:val="both"/>
      </w:pPr>
      <w:r w:rsidRPr="00B41E66">
        <w:rPr>
          <w:color w:val="0000FF"/>
        </w:rPr>
        <w:t>The univariate analysis indicates that firms characterized by a high volume of tweets (HTV) are larger, with higher trading volumes, volatility, and stock returns</w:t>
      </w:r>
      <w:r w:rsidR="001119A2" w:rsidRPr="00B41E66">
        <w:t xml:space="preserve">. </w:t>
      </w:r>
      <w:r w:rsidR="00B55918" w:rsidRPr="00B41E66">
        <w:t>F</w:t>
      </w:r>
      <w:r w:rsidR="001119A2" w:rsidRPr="00B41E66">
        <w:t>or example</w:t>
      </w:r>
      <w:r w:rsidR="00203C56" w:rsidRPr="00B41E66">
        <w:t>,</w:t>
      </w:r>
      <w:r w:rsidR="001119A2" w:rsidRPr="00B41E66">
        <w:t xml:space="preserve"> </w:t>
      </w:r>
      <w:r w:rsidR="00B55918" w:rsidRPr="00B41E66">
        <w:t>differences in return</w:t>
      </w:r>
      <w:r w:rsidR="00203C56" w:rsidRPr="00B41E66">
        <w:t>s</w:t>
      </w:r>
      <w:r w:rsidR="00B55918" w:rsidRPr="00B41E66">
        <w:t xml:space="preserve"> reached</w:t>
      </w:r>
      <w:r w:rsidR="00203C56" w:rsidRPr="00B41E66">
        <w:t>:</w:t>
      </w:r>
      <w:r w:rsidR="00B55918" w:rsidRPr="00B41E66">
        <w:t xml:space="preserve"> 7% </w:t>
      </w:r>
      <w:r w:rsidR="003C3B07" w:rsidRPr="00B41E66">
        <w:rPr>
          <w:lang w:bidi="he-IL"/>
        </w:rPr>
        <w:t>(</w:t>
      </w:r>
      <w:r w:rsidR="00A85B56" w:rsidRPr="00B41E66">
        <w:rPr>
          <w:lang w:bidi="he-IL"/>
        </w:rPr>
        <w:t>p</w:t>
      </w:r>
      <w:r w:rsidR="003C3B07" w:rsidRPr="00B41E66">
        <w:rPr>
          <w:lang w:bidi="he-IL"/>
        </w:rPr>
        <w:t xml:space="preserve">-value = 0.08) </w:t>
      </w:r>
      <w:r w:rsidR="00B55918" w:rsidRPr="00B41E66">
        <w:t xml:space="preserve">in the IPO year, 51% </w:t>
      </w:r>
      <w:r w:rsidR="00203C56" w:rsidRPr="00B41E66">
        <w:t>(</w:t>
      </w:r>
      <w:r w:rsidR="003C3B07" w:rsidRPr="00B41E66">
        <w:t xml:space="preserve">p-value = 0.001) </w:t>
      </w:r>
      <w:r w:rsidR="00B55918" w:rsidRPr="00B41E66">
        <w:t xml:space="preserve">in the following year and 29% </w:t>
      </w:r>
      <w:r w:rsidR="003C3B07" w:rsidRPr="00B41E66">
        <w:t xml:space="preserve">(p-value = 0.04) </w:t>
      </w:r>
      <w:r w:rsidR="00B55918" w:rsidRPr="00B41E66">
        <w:t>in the IPO</w:t>
      </w:r>
      <w:r w:rsidR="007B23B4" w:rsidRPr="00B41E66">
        <w:t xml:space="preserve"> </w:t>
      </w:r>
      <w:r w:rsidR="00CC78D5" w:rsidRPr="00B41E66">
        <w:t>year</w:t>
      </w:r>
      <w:r w:rsidR="00B55918" w:rsidRPr="00B41E66">
        <w:t>+2</w:t>
      </w:r>
      <w:r w:rsidR="00203C56" w:rsidRPr="00B41E66">
        <w:t>.</w:t>
      </w:r>
      <w:r w:rsidR="00B55918" w:rsidRPr="00B41E66" w:rsidDel="001119A2">
        <w:t xml:space="preserve"> </w:t>
      </w:r>
      <w:r w:rsidR="00B55918" w:rsidRPr="00B41E66">
        <w:t xml:space="preserve">Trading </w:t>
      </w:r>
      <w:r w:rsidR="00A85B56" w:rsidRPr="00B41E66">
        <w:t>v</w:t>
      </w:r>
      <w:r w:rsidR="00B55918" w:rsidRPr="00B41E66">
        <w:t>olume</w:t>
      </w:r>
      <w:r w:rsidR="00161335" w:rsidRPr="00B41E66">
        <w:t>s</w:t>
      </w:r>
      <w:r w:rsidR="00B55918" w:rsidRPr="00B41E66">
        <w:t xml:space="preserve"> </w:t>
      </w:r>
      <w:r w:rsidR="00161335" w:rsidRPr="00B41E66">
        <w:t>for</w:t>
      </w:r>
      <w:r w:rsidR="00B55918" w:rsidRPr="00B41E66">
        <w:t xml:space="preserve"> the HTV firms were</w:t>
      </w:r>
      <w:r w:rsidR="00E830E8" w:rsidRPr="00B41E66">
        <w:t xml:space="preserve"> </w:t>
      </w:r>
      <w:r w:rsidR="00B55918" w:rsidRPr="00B41E66">
        <w:t>2.7</w:t>
      </w:r>
      <w:r w:rsidR="00A85B56" w:rsidRPr="00B41E66">
        <w:t>–</w:t>
      </w:r>
      <w:r w:rsidR="005C1F57" w:rsidRPr="00B41E66">
        <w:t>2.8 times</w:t>
      </w:r>
      <w:r w:rsidR="00A54944" w:rsidRPr="00B41E66">
        <w:t xml:space="preserve"> </w:t>
      </w:r>
      <w:r w:rsidR="00161335" w:rsidRPr="00B41E66">
        <w:rPr>
          <w:lang w:bidi="he-IL"/>
        </w:rPr>
        <w:t xml:space="preserve">higher </w:t>
      </w:r>
      <w:r w:rsidR="00070B44" w:rsidRPr="00B41E66">
        <w:t xml:space="preserve">than </w:t>
      </w:r>
      <w:r w:rsidR="00484834" w:rsidRPr="00B41E66">
        <w:t xml:space="preserve">for </w:t>
      </w:r>
      <w:r w:rsidR="00203C56" w:rsidRPr="00B41E66">
        <w:t xml:space="preserve">the </w:t>
      </w:r>
      <w:r w:rsidR="00A54944" w:rsidRPr="00B41E66">
        <w:t>LTV</w:t>
      </w:r>
      <w:r w:rsidR="00482788" w:rsidRPr="00B41E66">
        <w:t xml:space="preserve"> </w:t>
      </w:r>
      <w:r w:rsidR="00B55918" w:rsidRPr="00B41E66">
        <w:t xml:space="preserve">firms and </w:t>
      </w:r>
      <w:r w:rsidR="00A85B56" w:rsidRPr="00B41E66">
        <w:t>m</w:t>
      </w:r>
      <w:r w:rsidR="005C1F57" w:rsidRPr="00B41E66">
        <w:t xml:space="preserve">arket value </w:t>
      </w:r>
      <w:r w:rsidR="00A54944" w:rsidRPr="00B41E66">
        <w:t>wa</w:t>
      </w:r>
      <w:r w:rsidR="005C1F57" w:rsidRPr="00B41E66">
        <w:t xml:space="preserve">s </w:t>
      </w:r>
      <w:r w:rsidR="00484834" w:rsidRPr="00B41E66">
        <w:t>1.7</w:t>
      </w:r>
      <w:r w:rsidR="00A85B56" w:rsidRPr="00B41E66">
        <w:t>–</w:t>
      </w:r>
      <w:r w:rsidR="005C1F57" w:rsidRPr="00B41E66">
        <w:t xml:space="preserve">2 times higher </w:t>
      </w:r>
      <w:r w:rsidR="00B55918" w:rsidRPr="00B41E66">
        <w:t>for the HTV firms.</w:t>
      </w:r>
      <w:r w:rsidR="00A54944" w:rsidRPr="00B41E66">
        <w:t xml:space="preserve"> </w:t>
      </w:r>
      <w:r w:rsidR="00F74E08" w:rsidRPr="00B41E66">
        <w:t>As presented in Panel D, large</w:t>
      </w:r>
      <w:r w:rsidR="00D823B5" w:rsidRPr="00B41E66">
        <w:t>-</w:t>
      </w:r>
      <w:r w:rsidR="00F74E08" w:rsidRPr="00B41E66">
        <w:t xml:space="preserve">sized firms </w:t>
      </w:r>
      <w:r w:rsidR="00D823B5" w:rsidRPr="00B41E66">
        <w:t>were</w:t>
      </w:r>
      <w:r w:rsidR="00F74E08" w:rsidRPr="00B41E66">
        <w:t xml:space="preserve"> also characterized by a higher tweet</w:t>
      </w:r>
      <w:r w:rsidR="0055255C" w:rsidRPr="00B41E66">
        <w:t>s</w:t>
      </w:r>
      <w:r w:rsidR="00F74E08" w:rsidRPr="00B41E66">
        <w:t xml:space="preserve"> volume in the year before the IPO and in the IPO year</w:t>
      </w:r>
      <w:r w:rsidR="00D823B5" w:rsidRPr="00B41E66">
        <w:t>.</w:t>
      </w:r>
      <w:r w:rsidR="00F74E08" w:rsidRPr="00B41E66">
        <w:t xml:space="preserve"> </w:t>
      </w:r>
      <w:r w:rsidR="005C1F57" w:rsidRPr="00B41E66">
        <w:t>These results</w:t>
      </w:r>
      <w:r w:rsidR="00105DCC" w:rsidRPr="00B41E66">
        <w:t xml:space="preserve"> support our </w:t>
      </w:r>
      <w:r w:rsidR="002D5572" w:rsidRPr="00B41E66">
        <w:t>H</w:t>
      </w:r>
      <w:r w:rsidR="002710D0" w:rsidRPr="00B41E66">
        <w:t>4</w:t>
      </w:r>
      <w:r w:rsidR="002D5572" w:rsidRPr="00B41E66">
        <w:t xml:space="preserve"> </w:t>
      </w:r>
      <w:r w:rsidR="00105DCC" w:rsidRPr="00B41E66">
        <w:t>hypothesis.</w:t>
      </w:r>
    </w:p>
    <w:p w14:paraId="1B0D55A0" w14:textId="77777777" w:rsidR="00BD64AD" w:rsidRPr="00B41E66" w:rsidRDefault="00BD64AD" w:rsidP="00A85B56">
      <w:pPr>
        <w:spacing w:line="360" w:lineRule="auto"/>
        <w:rPr>
          <w:b/>
          <w:bCs/>
        </w:rPr>
      </w:pPr>
      <w:r w:rsidRPr="00B41E66">
        <w:rPr>
          <w:b/>
          <w:bCs/>
        </w:rPr>
        <w:t xml:space="preserve">Table 5: </w:t>
      </w:r>
      <w:r w:rsidRPr="00B41E66">
        <w:rPr>
          <w:b/>
          <w:bCs/>
          <w:lang w:bidi="he-IL"/>
        </w:rPr>
        <w:t xml:space="preserve">Capital </w:t>
      </w:r>
      <w:r w:rsidR="00A85B56" w:rsidRPr="00B41E66">
        <w:rPr>
          <w:b/>
          <w:bCs/>
          <w:lang w:bidi="he-IL"/>
        </w:rPr>
        <w:t>M</w:t>
      </w:r>
      <w:r w:rsidRPr="00B41E66">
        <w:rPr>
          <w:b/>
          <w:bCs/>
          <w:lang w:bidi="he-IL"/>
        </w:rPr>
        <w:t xml:space="preserve">arket </w:t>
      </w:r>
      <w:r w:rsidR="00A85B56" w:rsidRPr="00B41E66">
        <w:rPr>
          <w:b/>
          <w:bCs/>
          <w:lang w:bidi="he-IL"/>
        </w:rPr>
        <w:t>V</w:t>
      </w:r>
      <w:r w:rsidRPr="00B41E66">
        <w:rPr>
          <w:b/>
          <w:bCs/>
          <w:lang w:bidi="he-IL"/>
        </w:rPr>
        <w:t>ariables</w:t>
      </w:r>
      <w:r w:rsidR="00A85B56" w:rsidRPr="00B41E66">
        <w:rPr>
          <w:b/>
          <w:bCs/>
          <w:lang w:bidi="he-IL"/>
        </w:rPr>
        <w:t>: D</w:t>
      </w:r>
      <w:r w:rsidRPr="00B41E66">
        <w:rPr>
          <w:b/>
          <w:bCs/>
        </w:rPr>
        <w:t xml:space="preserve">escriptive </w:t>
      </w:r>
      <w:r w:rsidR="00A85B56" w:rsidRPr="00B41E66">
        <w:rPr>
          <w:b/>
          <w:bCs/>
        </w:rPr>
        <w:t>S</w:t>
      </w:r>
      <w:r w:rsidRPr="00B41E66">
        <w:rPr>
          <w:b/>
          <w:bCs/>
        </w:rPr>
        <w:t xml:space="preserve">tatistics </w:t>
      </w:r>
      <w:r w:rsidRPr="00B41E66">
        <w:rPr>
          <w:b/>
          <w:bCs/>
          <w:lang w:bidi="he-IL"/>
        </w:rPr>
        <w:t xml:space="preserve">for </w:t>
      </w:r>
      <w:r w:rsidRPr="00B41E66">
        <w:rPr>
          <w:b/>
          <w:bCs/>
        </w:rPr>
        <w:t xml:space="preserve">HTV and LTV </w:t>
      </w:r>
      <w:r w:rsidR="00A85B56" w:rsidRPr="00B41E66">
        <w:rPr>
          <w:b/>
          <w:bCs/>
        </w:rPr>
        <w:t>F</w:t>
      </w:r>
      <w:r w:rsidRPr="00B41E66">
        <w:rPr>
          <w:b/>
          <w:bCs/>
        </w:rPr>
        <w:t>irms</w:t>
      </w:r>
    </w:p>
    <w:p w14:paraId="699A9D49" w14:textId="77777777" w:rsidR="00BD64AD" w:rsidRPr="00B41E66" w:rsidRDefault="00BD64AD" w:rsidP="00BD64AD">
      <w:pPr>
        <w:pStyle w:val="Default"/>
        <w:spacing w:line="360" w:lineRule="auto"/>
        <w:jc w:val="both"/>
        <w:rPr>
          <w:b/>
          <w:bCs/>
          <w:color w:val="auto"/>
        </w:rPr>
      </w:pPr>
      <w:r w:rsidRPr="00B41E66">
        <w:rPr>
          <w:b/>
          <w:bCs/>
          <w:color w:val="auto"/>
        </w:rPr>
        <w:t>Panel A: IPO Year</w:t>
      </w:r>
    </w:p>
    <w:tbl>
      <w:tblPr>
        <w:tblW w:w="6368" w:type="dxa"/>
        <w:tblInd w:w="123" w:type="dxa"/>
        <w:tblLook w:val="04A0" w:firstRow="1" w:lastRow="0" w:firstColumn="1" w:lastColumn="0" w:noHBand="0" w:noVBand="1"/>
      </w:tblPr>
      <w:tblGrid>
        <w:gridCol w:w="2395"/>
        <w:gridCol w:w="876"/>
        <w:gridCol w:w="1436"/>
        <w:gridCol w:w="996"/>
        <w:gridCol w:w="968"/>
      </w:tblGrid>
      <w:tr w:rsidR="0057119D" w:rsidRPr="00B41E66" w14:paraId="59AAC987" w14:textId="77777777" w:rsidTr="0057119D">
        <w:trPr>
          <w:trHeight w:hRule="exact" w:val="345"/>
        </w:trPr>
        <w:tc>
          <w:tcPr>
            <w:tcW w:w="2395" w:type="dxa"/>
            <w:tcBorders>
              <w:top w:val="single" w:sz="12" w:space="0" w:color="auto"/>
              <w:left w:val="single" w:sz="12" w:space="0" w:color="auto"/>
              <w:bottom w:val="single" w:sz="8" w:space="0" w:color="auto"/>
              <w:right w:val="nil"/>
            </w:tcBorders>
            <w:shd w:val="clear" w:color="auto" w:fill="auto"/>
            <w:noWrap/>
            <w:vAlign w:val="center"/>
            <w:hideMark/>
          </w:tcPr>
          <w:p w14:paraId="754D8AD1" w14:textId="77777777" w:rsidR="0057119D" w:rsidRPr="00B41E66" w:rsidRDefault="0057119D">
            <w:pPr>
              <w:jc w:val="both"/>
              <w:rPr>
                <w:lang w:val="en-IL" w:eastAsia="en-IL" w:bidi="he-IL"/>
              </w:rPr>
            </w:pPr>
            <w:r w:rsidRPr="00B41E66">
              <w:t> </w:t>
            </w:r>
          </w:p>
        </w:tc>
        <w:tc>
          <w:tcPr>
            <w:tcW w:w="573" w:type="dxa"/>
            <w:tcBorders>
              <w:top w:val="single" w:sz="12" w:space="0" w:color="auto"/>
              <w:left w:val="single" w:sz="8" w:space="0" w:color="auto"/>
              <w:bottom w:val="single" w:sz="8" w:space="0" w:color="auto"/>
              <w:right w:val="nil"/>
            </w:tcBorders>
            <w:shd w:val="clear" w:color="auto" w:fill="auto"/>
            <w:noWrap/>
            <w:vAlign w:val="center"/>
            <w:hideMark/>
          </w:tcPr>
          <w:p w14:paraId="3AD37B2C" w14:textId="77777777" w:rsidR="0057119D" w:rsidRPr="00B41E66" w:rsidRDefault="0057119D">
            <w:pPr>
              <w:jc w:val="center"/>
              <w:rPr>
                <w:b/>
                <w:bCs/>
              </w:rPr>
            </w:pPr>
            <w:r w:rsidRPr="00B41E66">
              <w:rPr>
                <w:b/>
                <w:bCs/>
              </w:rPr>
              <w:t>LTV</w:t>
            </w:r>
          </w:p>
        </w:tc>
        <w:tc>
          <w:tcPr>
            <w:tcW w:w="1436" w:type="dxa"/>
            <w:tcBorders>
              <w:top w:val="single" w:sz="12" w:space="0" w:color="auto"/>
              <w:left w:val="nil"/>
              <w:bottom w:val="single" w:sz="8" w:space="0" w:color="auto"/>
              <w:right w:val="nil"/>
            </w:tcBorders>
            <w:shd w:val="clear" w:color="auto" w:fill="auto"/>
            <w:noWrap/>
            <w:vAlign w:val="center"/>
            <w:hideMark/>
          </w:tcPr>
          <w:p w14:paraId="5E291B94" w14:textId="77777777" w:rsidR="0057119D" w:rsidRPr="00B41E66" w:rsidRDefault="0057119D">
            <w:pPr>
              <w:jc w:val="center"/>
              <w:rPr>
                <w:b/>
                <w:bCs/>
              </w:rPr>
            </w:pPr>
            <w:r w:rsidRPr="00B41E66">
              <w:rPr>
                <w:b/>
                <w:bCs/>
              </w:rPr>
              <w:t>HTV</w:t>
            </w:r>
          </w:p>
        </w:tc>
        <w:tc>
          <w:tcPr>
            <w:tcW w:w="996" w:type="dxa"/>
            <w:tcBorders>
              <w:top w:val="single" w:sz="12" w:space="0" w:color="auto"/>
              <w:left w:val="nil"/>
              <w:bottom w:val="single" w:sz="8" w:space="0" w:color="auto"/>
              <w:right w:val="nil"/>
            </w:tcBorders>
            <w:shd w:val="clear" w:color="auto" w:fill="auto"/>
            <w:noWrap/>
            <w:vAlign w:val="center"/>
            <w:hideMark/>
          </w:tcPr>
          <w:p w14:paraId="6A13D960" w14:textId="77777777" w:rsidR="0057119D" w:rsidRPr="00B41E66" w:rsidRDefault="0057119D">
            <w:pPr>
              <w:jc w:val="center"/>
              <w:rPr>
                <w:b/>
                <w:bCs/>
              </w:rPr>
            </w:pPr>
            <w:r w:rsidRPr="00B41E66">
              <w:rPr>
                <w:b/>
                <w:bCs/>
              </w:rPr>
              <w:t>Diff</w:t>
            </w:r>
          </w:p>
        </w:tc>
        <w:tc>
          <w:tcPr>
            <w:tcW w:w="968" w:type="dxa"/>
            <w:tcBorders>
              <w:top w:val="single" w:sz="12" w:space="0" w:color="auto"/>
              <w:left w:val="nil"/>
              <w:bottom w:val="single" w:sz="8" w:space="0" w:color="auto"/>
              <w:right w:val="single" w:sz="12" w:space="0" w:color="auto"/>
            </w:tcBorders>
            <w:shd w:val="clear" w:color="auto" w:fill="auto"/>
            <w:noWrap/>
            <w:vAlign w:val="center"/>
            <w:hideMark/>
          </w:tcPr>
          <w:p w14:paraId="16872533" w14:textId="77777777" w:rsidR="0057119D" w:rsidRPr="00B41E66" w:rsidRDefault="0057119D">
            <w:pPr>
              <w:jc w:val="center"/>
              <w:rPr>
                <w:b/>
                <w:bCs/>
              </w:rPr>
            </w:pPr>
            <w:r w:rsidRPr="00B41E66">
              <w:rPr>
                <w:b/>
                <w:bCs/>
              </w:rPr>
              <w:t xml:space="preserve">P-Value </w:t>
            </w:r>
          </w:p>
        </w:tc>
      </w:tr>
      <w:tr w:rsidR="0057119D" w:rsidRPr="00B41E66" w14:paraId="47E7BA80" w14:textId="77777777" w:rsidTr="0057119D">
        <w:trPr>
          <w:trHeight w:hRule="exact" w:val="315"/>
        </w:trPr>
        <w:tc>
          <w:tcPr>
            <w:tcW w:w="2395" w:type="dxa"/>
            <w:tcBorders>
              <w:top w:val="nil"/>
              <w:left w:val="single" w:sz="12" w:space="0" w:color="auto"/>
              <w:bottom w:val="nil"/>
              <w:right w:val="nil"/>
            </w:tcBorders>
            <w:shd w:val="clear" w:color="auto" w:fill="auto"/>
            <w:vAlign w:val="center"/>
            <w:hideMark/>
          </w:tcPr>
          <w:p w14:paraId="08021C22" w14:textId="77777777" w:rsidR="0057119D" w:rsidRPr="00B41E66" w:rsidRDefault="0057119D">
            <w:pPr>
              <w:jc w:val="both"/>
            </w:pPr>
            <w:r w:rsidRPr="00B41E66">
              <w:t>Market Value ($M)</w:t>
            </w:r>
          </w:p>
        </w:tc>
        <w:tc>
          <w:tcPr>
            <w:tcW w:w="573" w:type="dxa"/>
            <w:tcBorders>
              <w:top w:val="nil"/>
              <w:left w:val="single" w:sz="8" w:space="0" w:color="auto"/>
              <w:bottom w:val="nil"/>
              <w:right w:val="nil"/>
            </w:tcBorders>
            <w:shd w:val="clear" w:color="auto" w:fill="auto"/>
            <w:noWrap/>
            <w:vAlign w:val="center"/>
            <w:hideMark/>
          </w:tcPr>
          <w:p w14:paraId="53FE00E5" w14:textId="77777777" w:rsidR="0057119D" w:rsidRPr="00B41E66" w:rsidRDefault="0057119D">
            <w:pPr>
              <w:jc w:val="center"/>
            </w:pPr>
            <w:r w:rsidRPr="00B41E66">
              <w:t>322.74</w:t>
            </w:r>
          </w:p>
        </w:tc>
        <w:tc>
          <w:tcPr>
            <w:tcW w:w="1436" w:type="dxa"/>
            <w:tcBorders>
              <w:top w:val="nil"/>
              <w:left w:val="nil"/>
              <w:bottom w:val="nil"/>
              <w:right w:val="nil"/>
            </w:tcBorders>
            <w:shd w:val="clear" w:color="auto" w:fill="auto"/>
            <w:noWrap/>
            <w:vAlign w:val="center"/>
            <w:hideMark/>
          </w:tcPr>
          <w:p w14:paraId="5275220A" w14:textId="77777777" w:rsidR="0057119D" w:rsidRPr="00B41E66" w:rsidRDefault="0057119D">
            <w:pPr>
              <w:jc w:val="center"/>
            </w:pPr>
            <w:r w:rsidRPr="00B41E66">
              <w:t>585.66</w:t>
            </w:r>
          </w:p>
        </w:tc>
        <w:tc>
          <w:tcPr>
            <w:tcW w:w="996" w:type="dxa"/>
            <w:tcBorders>
              <w:top w:val="nil"/>
              <w:left w:val="nil"/>
              <w:bottom w:val="nil"/>
              <w:right w:val="nil"/>
            </w:tcBorders>
            <w:shd w:val="clear" w:color="auto" w:fill="auto"/>
            <w:noWrap/>
            <w:vAlign w:val="center"/>
            <w:hideMark/>
          </w:tcPr>
          <w:p w14:paraId="72A7B318" w14:textId="77777777" w:rsidR="0057119D" w:rsidRPr="00B41E66" w:rsidRDefault="0057119D">
            <w:pPr>
              <w:jc w:val="center"/>
            </w:pPr>
            <w:r w:rsidRPr="00B41E66">
              <w:t>262.91</w:t>
            </w:r>
          </w:p>
        </w:tc>
        <w:tc>
          <w:tcPr>
            <w:tcW w:w="968" w:type="dxa"/>
            <w:tcBorders>
              <w:top w:val="nil"/>
              <w:left w:val="nil"/>
              <w:bottom w:val="nil"/>
              <w:right w:val="single" w:sz="12" w:space="0" w:color="auto"/>
            </w:tcBorders>
            <w:shd w:val="clear" w:color="auto" w:fill="auto"/>
            <w:noWrap/>
            <w:vAlign w:val="center"/>
            <w:hideMark/>
          </w:tcPr>
          <w:p w14:paraId="268E9B47" w14:textId="77777777" w:rsidR="0057119D" w:rsidRPr="00B41E66" w:rsidRDefault="0057119D">
            <w:pPr>
              <w:jc w:val="center"/>
            </w:pPr>
            <w:r w:rsidRPr="00B41E66">
              <w:t>0</w:t>
            </w:r>
          </w:p>
        </w:tc>
      </w:tr>
      <w:tr w:rsidR="0057119D" w:rsidRPr="00B41E66" w14:paraId="1648DE90" w14:textId="77777777" w:rsidTr="0057119D">
        <w:trPr>
          <w:trHeight w:hRule="exact" w:val="375"/>
        </w:trPr>
        <w:tc>
          <w:tcPr>
            <w:tcW w:w="2395" w:type="dxa"/>
            <w:tcBorders>
              <w:top w:val="nil"/>
              <w:left w:val="single" w:sz="12" w:space="0" w:color="auto"/>
              <w:bottom w:val="nil"/>
              <w:right w:val="nil"/>
            </w:tcBorders>
            <w:shd w:val="clear" w:color="auto" w:fill="auto"/>
            <w:vAlign w:val="center"/>
            <w:hideMark/>
          </w:tcPr>
          <w:p w14:paraId="1FEA93D3" w14:textId="77777777" w:rsidR="0057119D" w:rsidRPr="00B41E66" w:rsidRDefault="0057119D">
            <w:pPr>
              <w:jc w:val="both"/>
            </w:pPr>
            <w:r w:rsidRPr="00B41E66">
              <w:t>Return</w:t>
            </w:r>
          </w:p>
        </w:tc>
        <w:tc>
          <w:tcPr>
            <w:tcW w:w="573" w:type="dxa"/>
            <w:tcBorders>
              <w:top w:val="nil"/>
              <w:left w:val="single" w:sz="8" w:space="0" w:color="auto"/>
              <w:bottom w:val="nil"/>
              <w:right w:val="nil"/>
            </w:tcBorders>
            <w:shd w:val="clear" w:color="auto" w:fill="auto"/>
            <w:noWrap/>
            <w:vAlign w:val="center"/>
            <w:hideMark/>
          </w:tcPr>
          <w:p w14:paraId="0535B888" w14:textId="77777777" w:rsidR="0057119D" w:rsidRPr="00B41E66" w:rsidRDefault="0057119D">
            <w:pPr>
              <w:jc w:val="center"/>
            </w:pPr>
            <w:r w:rsidRPr="00B41E66">
              <w:t>0.05</w:t>
            </w:r>
          </w:p>
        </w:tc>
        <w:tc>
          <w:tcPr>
            <w:tcW w:w="1436" w:type="dxa"/>
            <w:tcBorders>
              <w:top w:val="nil"/>
              <w:left w:val="nil"/>
              <w:bottom w:val="nil"/>
              <w:right w:val="nil"/>
            </w:tcBorders>
            <w:shd w:val="clear" w:color="auto" w:fill="auto"/>
            <w:noWrap/>
            <w:vAlign w:val="center"/>
            <w:hideMark/>
          </w:tcPr>
          <w:p w14:paraId="78F4F9B1" w14:textId="77777777" w:rsidR="0057119D" w:rsidRPr="00B41E66" w:rsidRDefault="0057119D">
            <w:pPr>
              <w:jc w:val="center"/>
            </w:pPr>
            <w:r w:rsidRPr="00B41E66">
              <w:t>0.12</w:t>
            </w:r>
          </w:p>
        </w:tc>
        <w:tc>
          <w:tcPr>
            <w:tcW w:w="996" w:type="dxa"/>
            <w:tcBorders>
              <w:top w:val="nil"/>
              <w:left w:val="nil"/>
              <w:bottom w:val="nil"/>
              <w:right w:val="nil"/>
            </w:tcBorders>
            <w:shd w:val="clear" w:color="auto" w:fill="auto"/>
            <w:noWrap/>
            <w:vAlign w:val="center"/>
            <w:hideMark/>
          </w:tcPr>
          <w:p w14:paraId="691BF5A8" w14:textId="77777777" w:rsidR="0057119D" w:rsidRPr="00B41E66" w:rsidRDefault="0057119D">
            <w:pPr>
              <w:jc w:val="center"/>
            </w:pPr>
            <w:r w:rsidRPr="00B41E66">
              <w:t>0.07</w:t>
            </w:r>
          </w:p>
        </w:tc>
        <w:tc>
          <w:tcPr>
            <w:tcW w:w="968" w:type="dxa"/>
            <w:tcBorders>
              <w:top w:val="nil"/>
              <w:left w:val="nil"/>
              <w:bottom w:val="nil"/>
              <w:right w:val="single" w:sz="12" w:space="0" w:color="auto"/>
            </w:tcBorders>
            <w:shd w:val="clear" w:color="auto" w:fill="auto"/>
            <w:noWrap/>
            <w:vAlign w:val="center"/>
            <w:hideMark/>
          </w:tcPr>
          <w:p w14:paraId="70AC1FB2" w14:textId="77777777" w:rsidR="0057119D" w:rsidRPr="00B41E66" w:rsidRDefault="0057119D">
            <w:pPr>
              <w:jc w:val="center"/>
            </w:pPr>
            <w:r w:rsidRPr="00B41E66">
              <w:t>0.08</w:t>
            </w:r>
          </w:p>
        </w:tc>
      </w:tr>
      <w:tr w:rsidR="0057119D" w:rsidRPr="00B41E66" w14:paraId="00B9DB24" w14:textId="77777777" w:rsidTr="0057119D">
        <w:trPr>
          <w:trHeight w:hRule="exact" w:val="315"/>
        </w:trPr>
        <w:tc>
          <w:tcPr>
            <w:tcW w:w="2395" w:type="dxa"/>
            <w:tcBorders>
              <w:top w:val="nil"/>
              <w:left w:val="single" w:sz="12" w:space="0" w:color="auto"/>
              <w:bottom w:val="nil"/>
              <w:right w:val="nil"/>
            </w:tcBorders>
            <w:shd w:val="clear" w:color="auto" w:fill="auto"/>
            <w:vAlign w:val="center"/>
            <w:hideMark/>
          </w:tcPr>
          <w:p w14:paraId="048EE733" w14:textId="77777777" w:rsidR="0057119D" w:rsidRPr="00B41E66" w:rsidRDefault="0057119D">
            <w:pPr>
              <w:jc w:val="both"/>
            </w:pPr>
            <w:r w:rsidRPr="00B41E66">
              <w:t>Trading Volume</w:t>
            </w:r>
          </w:p>
        </w:tc>
        <w:tc>
          <w:tcPr>
            <w:tcW w:w="573" w:type="dxa"/>
            <w:tcBorders>
              <w:top w:val="nil"/>
              <w:left w:val="single" w:sz="8" w:space="0" w:color="auto"/>
              <w:bottom w:val="nil"/>
              <w:right w:val="nil"/>
            </w:tcBorders>
            <w:shd w:val="clear" w:color="auto" w:fill="auto"/>
            <w:noWrap/>
            <w:vAlign w:val="center"/>
            <w:hideMark/>
          </w:tcPr>
          <w:p w14:paraId="79483B6F" w14:textId="77777777" w:rsidR="0057119D" w:rsidRPr="00B41E66" w:rsidRDefault="0057119D">
            <w:pPr>
              <w:jc w:val="center"/>
            </w:pPr>
            <w:r w:rsidRPr="00B41E66">
              <w:t>94,321</w:t>
            </w:r>
          </w:p>
        </w:tc>
        <w:tc>
          <w:tcPr>
            <w:tcW w:w="1436" w:type="dxa"/>
            <w:tcBorders>
              <w:top w:val="nil"/>
              <w:left w:val="nil"/>
              <w:bottom w:val="nil"/>
              <w:right w:val="nil"/>
            </w:tcBorders>
            <w:shd w:val="clear" w:color="auto" w:fill="auto"/>
            <w:noWrap/>
            <w:vAlign w:val="center"/>
            <w:hideMark/>
          </w:tcPr>
          <w:p w14:paraId="631CFC18" w14:textId="77777777" w:rsidR="0057119D" w:rsidRPr="00B41E66" w:rsidRDefault="0057119D">
            <w:pPr>
              <w:jc w:val="center"/>
            </w:pPr>
            <w:r w:rsidRPr="00B41E66">
              <w:t>267,332</w:t>
            </w:r>
          </w:p>
        </w:tc>
        <w:tc>
          <w:tcPr>
            <w:tcW w:w="996" w:type="dxa"/>
            <w:tcBorders>
              <w:top w:val="nil"/>
              <w:left w:val="nil"/>
              <w:bottom w:val="nil"/>
              <w:right w:val="nil"/>
            </w:tcBorders>
            <w:shd w:val="clear" w:color="auto" w:fill="auto"/>
            <w:noWrap/>
            <w:vAlign w:val="center"/>
            <w:hideMark/>
          </w:tcPr>
          <w:p w14:paraId="6A001EC6" w14:textId="77777777" w:rsidR="0057119D" w:rsidRPr="00B41E66" w:rsidRDefault="0057119D">
            <w:pPr>
              <w:jc w:val="center"/>
            </w:pPr>
            <w:r w:rsidRPr="00B41E66">
              <w:t>173,011</w:t>
            </w:r>
          </w:p>
        </w:tc>
        <w:tc>
          <w:tcPr>
            <w:tcW w:w="968" w:type="dxa"/>
            <w:tcBorders>
              <w:top w:val="nil"/>
              <w:left w:val="nil"/>
              <w:bottom w:val="nil"/>
              <w:right w:val="single" w:sz="12" w:space="0" w:color="auto"/>
            </w:tcBorders>
            <w:shd w:val="clear" w:color="auto" w:fill="auto"/>
            <w:noWrap/>
            <w:vAlign w:val="center"/>
            <w:hideMark/>
          </w:tcPr>
          <w:p w14:paraId="21A98E03" w14:textId="77777777" w:rsidR="0057119D" w:rsidRPr="00B41E66" w:rsidRDefault="0057119D">
            <w:pPr>
              <w:jc w:val="center"/>
            </w:pPr>
            <w:r w:rsidRPr="00B41E66">
              <w:t>0</w:t>
            </w:r>
          </w:p>
        </w:tc>
      </w:tr>
      <w:tr w:rsidR="0057119D" w:rsidRPr="00B41E66" w14:paraId="52CDD0AB" w14:textId="77777777" w:rsidTr="0057119D">
        <w:trPr>
          <w:trHeight w:hRule="exact" w:val="315"/>
        </w:trPr>
        <w:tc>
          <w:tcPr>
            <w:tcW w:w="2395" w:type="dxa"/>
            <w:tcBorders>
              <w:top w:val="nil"/>
              <w:left w:val="single" w:sz="12" w:space="0" w:color="auto"/>
              <w:bottom w:val="nil"/>
              <w:right w:val="nil"/>
            </w:tcBorders>
            <w:shd w:val="clear" w:color="auto" w:fill="auto"/>
            <w:vAlign w:val="center"/>
            <w:hideMark/>
          </w:tcPr>
          <w:p w14:paraId="7518A394" w14:textId="77777777" w:rsidR="0057119D" w:rsidRPr="00B41E66" w:rsidRDefault="0057119D">
            <w:pPr>
              <w:jc w:val="both"/>
            </w:pPr>
            <w:r w:rsidRPr="00B41E66">
              <w:t>Return’s Volatility</w:t>
            </w:r>
          </w:p>
        </w:tc>
        <w:tc>
          <w:tcPr>
            <w:tcW w:w="573" w:type="dxa"/>
            <w:tcBorders>
              <w:top w:val="nil"/>
              <w:left w:val="single" w:sz="8" w:space="0" w:color="auto"/>
              <w:bottom w:val="nil"/>
              <w:right w:val="nil"/>
            </w:tcBorders>
            <w:shd w:val="clear" w:color="auto" w:fill="auto"/>
            <w:noWrap/>
            <w:vAlign w:val="center"/>
            <w:hideMark/>
          </w:tcPr>
          <w:p w14:paraId="4D486B1D" w14:textId="77777777" w:rsidR="0057119D" w:rsidRPr="00B41E66" w:rsidRDefault="0057119D">
            <w:pPr>
              <w:jc w:val="center"/>
            </w:pPr>
            <w:r w:rsidRPr="00B41E66">
              <w:t>0.05</w:t>
            </w:r>
          </w:p>
        </w:tc>
        <w:tc>
          <w:tcPr>
            <w:tcW w:w="1436" w:type="dxa"/>
            <w:tcBorders>
              <w:top w:val="nil"/>
              <w:left w:val="nil"/>
              <w:bottom w:val="nil"/>
              <w:right w:val="nil"/>
            </w:tcBorders>
            <w:shd w:val="clear" w:color="auto" w:fill="auto"/>
            <w:noWrap/>
            <w:vAlign w:val="center"/>
            <w:hideMark/>
          </w:tcPr>
          <w:p w14:paraId="6E4210C6" w14:textId="77777777" w:rsidR="0057119D" w:rsidRPr="00B41E66" w:rsidRDefault="0057119D">
            <w:pPr>
              <w:jc w:val="center"/>
            </w:pPr>
            <w:r w:rsidRPr="00B41E66">
              <w:t>0.12</w:t>
            </w:r>
          </w:p>
        </w:tc>
        <w:tc>
          <w:tcPr>
            <w:tcW w:w="996" w:type="dxa"/>
            <w:tcBorders>
              <w:top w:val="nil"/>
              <w:left w:val="nil"/>
              <w:bottom w:val="nil"/>
              <w:right w:val="nil"/>
            </w:tcBorders>
            <w:shd w:val="clear" w:color="auto" w:fill="auto"/>
            <w:noWrap/>
            <w:vAlign w:val="center"/>
            <w:hideMark/>
          </w:tcPr>
          <w:p w14:paraId="778A6294" w14:textId="77777777" w:rsidR="0057119D" w:rsidRPr="00B41E66" w:rsidRDefault="0057119D">
            <w:pPr>
              <w:jc w:val="center"/>
            </w:pPr>
            <w:r w:rsidRPr="00B41E66">
              <w:t>0.07</w:t>
            </w:r>
          </w:p>
        </w:tc>
        <w:tc>
          <w:tcPr>
            <w:tcW w:w="968" w:type="dxa"/>
            <w:tcBorders>
              <w:top w:val="nil"/>
              <w:left w:val="nil"/>
              <w:bottom w:val="nil"/>
              <w:right w:val="single" w:sz="12" w:space="0" w:color="auto"/>
            </w:tcBorders>
            <w:shd w:val="clear" w:color="auto" w:fill="auto"/>
            <w:noWrap/>
            <w:vAlign w:val="center"/>
            <w:hideMark/>
          </w:tcPr>
          <w:p w14:paraId="12F4C247" w14:textId="77777777" w:rsidR="0057119D" w:rsidRPr="00B41E66" w:rsidRDefault="0057119D">
            <w:pPr>
              <w:jc w:val="center"/>
            </w:pPr>
            <w:r w:rsidRPr="00B41E66">
              <w:t>0.14</w:t>
            </w:r>
          </w:p>
        </w:tc>
      </w:tr>
      <w:tr w:rsidR="0057119D" w:rsidRPr="00B41E66" w14:paraId="582786BF" w14:textId="77777777" w:rsidTr="0057119D">
        <w:trPr>
          <w:trHeight w:hRule="exact" w:val="315"/>
        </w:trPr>
        <w:tc>
          <w:tcPr>
            <w:tcW w:w="2395" w:type="dxa"/>
            <w:tcBorders>
              <w:top w:val="nil"/>
              <w:left w:val="single" w:sz="12" w:space="0" w:color="auto"/>
              <w:bottom w:val="nil"/>
              <w:right w:val="nil"/>
            </w:tcBorders>
            <w:shd w:val="clear" w:color="auto" w:fill="auto"/>
            <w:vAlign w:val="center"/>
            <w:hideMark/>
          </w:tcPr>
          <w:p w14:paraId="3CCB16C6" w14:textId="77777777" w:rsidR="0057119D" w:rsidRPr="00B41E66" w:rsidRDefault="0057119D">
            <w:pPr>
              <w:jc w:val="both"/>
            </w:pPr>
            <w:r w:rsidRPr="00B41E66">
              <w:t>Beta (50 Days)</w:t>
            </w:r>
          </w:p>
        </w:tc>
        <w:tc>
          <w:tcPr>
            <w:tcW w:w="573" w:type="dxa"/>
            <w:tcBorders>
              <w:top w:val="nil"/>
              <w:left w:val="single" w:sz="8" w:space="0" w:color="auto"/>
              <w:bottom w:val="nil"/>
              <w:right w:val="nil"/>
            </w:tcBorders>
            <w:shd w:val="clear" w:color="auto" w:fill="auto"/>
            <w:noWrap/>
            <w:vAlign w:val="center"/>
            <w:hideMark/>
          </w:tcPr>
          <w:p w14:paraId="56357DEC" w14:textId="77777777" w:rsidR="0057119D" w:rsidRPr="00B41E66" w:rsidRDefault="0057119D">
            <w:pPr>
              <w:jc w:val="center"/>
            </w:pPr>
            <w:r w:rsidRPr="00B41E66">
              <w:t>0.68</w:t>
            </w:r>
          </w:p>
        </w:tc>
        <w:tc>
          <w:tcPr>
            <w:tcW w:w="1436" w:type="dxa"/>
            <w:tcBorders>
              <w:top w:val="nil"/>
              <w:left w:val="nil"/>
              <w:bottom w:val="nil"/>
              <w:right w:val="nil"/>
            </w:tcBorders>
            <w:shd w:val="clear" w:color="auto" w:fill="auto"/>
            <w:noWrap/>
            <w:vAlign w:val="center"/>
            <w:hideMark/>
          </w:tcPr>
          <w:p w14:paraId="5D2CB853" w14:textId="77777777" w:rsidR="0057119D" w:rsidRPr="00B41E66" w:rsidRDefault="0057119D">
            <w:pPr>
              <w:jc w:val="center"/>
            </w:pPr>
            <w:r w:rsidRPr="00B41E66">
              <w:t>1</w:t>
            </w:r>
          </w:p>
        </w:tc>
        <w:tc>
          <w:tcPr>
            <w:tcW w:w="996" w:type="dxa"/>
            <w:tcBorders>
              <w:top w:val="nil"/>
              <w:left w:val="nil"/>
              <w:bottom w:val="nil"/>
              <w:right w:val="nil"/>
            </w:tcBorders>
            <w:shd w:val="clear" w:color="auto" w:fill="auto"/>
            <w:noWrap/>
            <w:vAlign w:val="center"/>
            <w:hideMark/>
          </w:tcPr>
          <w:p w14:paraId="17A83015" w14:textId="77777777" w:rsidR="0057119D" w:rsidRPr="00B41E66" w:rsidRDefault="0057119D">
            <w:pPr>
              <w:jc w:val="center"/>
            </w:pPr>
            <w:r w:rsidRPr="00B41E66">
              <w:t>0.31</w:t>
            </w:r>
          </w:p>
        </w:tc>
        <w:tc>
          <w:tcPr>
            <w:tcW w:w="968" w:type="dxa"/>
            <w:tcBorders>
              <w:top w:val="nil"/>
              <w:left w:val="nil"/>
              <w:bottom w:val="nil"/>
              <w:right w:val="single" w:sz="12" w:space="0" w:color="auto"/>
            </w:tcBorders>
            <w:shd w:val="clear" w:color="auto" w:fill="auto"/>
            <w:noWrap/>
            <w:vAlign w:val="center"/>
            <w:hideMark/>
          </w:tcPr>
          <w:p w14:paraId="2A4946A2" w14:textId="77777777" w:rsidR="0057119D" w:rsidRPr="00B41E66" w:rsidRDefault="0057119D">
            <w:pPr>
              <w:jc w:val="center"/>
            </w:pPr>
            <w:r w:rsidRPr="00B41E66">
              <w:t>0.03</w:t>
            </w:r>
          </w:p>
        </w:tc>
      </w:tr>
      <w:tr w:rsidR="0057119D" w:rsidRPr="00B41E66" w14:paraId="29BBC62C" w14:textId="77777777" w:rsidTr="0057119D">
        <w:trPr>
          <w:trHeight w:hRule="exact" w:val="330"/>
        </w:trPr>
        <w:tc>
          <w:tcPr>
            <w:tcW w:w="2395" w:type="dxa"/>
            <w:tcBorders>
              <w:top w:val="nil"/>
              <w:left w:val="single" w:sz="12" w:space="0" w:color="auto"/>
              <w:bottom w:val="single" w:sz="12" w:space="0" w:color="auto"/>
              <w:right w:val="nil"/>
            </w:tcBorders>
            <w:shd w:val="clear" w:color="auto" w:fill="auto"/>
            <w:vAlign w:val="center"/>
            <w:hideMark/>
          </w:tcPr>
          <w:p w14:paraId="7F693BAD" w14:textId="77777777" w:rsidR="0057119D" w:rsidRPr="00B41E66" w:rsidRDefault="0057119D">
            <w:pPr>
              <w:jc w:val="both"/>
            </w:pPr>
            <w:r w:rsidRPr="00B41E66">
              <w:t>Observations</w:t>
            </w:r>
          </w:p>
        </w:tc>
        <w:tc>
          <w:tcPr>
            <w:tcW w:w="573" w:type="dxa"/>
            <w:tcBorders>
              <w:top w:val="nil"/>
              <w:left w:val="single" w:sz="8" w:space="0" w:color="auto"/>
              <w:bottom w:val="single" w:sz="12" w:space="0" w:color="auto"/>
              <w:right w:val="nil"/>
            </w:tcBorders>
            <w:shd w:val="clear" w:color="auto" w:fill="auto"/>
            <w:noWrap/>
            <w:vAlign w:val="center"/>
            <w:hideMark/>
          </w:tcPr>
          <w:p w14:paraId="03236A71" w14:textId="77777777" w:rsidR="0057119D" w:rsidRPr="00B41E66" w:rsidRDefault="0057119D">
            <w:pPr>
              <w:jc w:val="center"/>
            </w:pPr>
            <w:r w:rsidRPr="00B41E66">
              <w:t>91</w:t>
            </w:r>
          </w:p>
        </w:tc>
        <w:tc>
          <w:tcPr>
            <w:tcW w:w="1436" w:type="dxa"/>
            <w:tcBorders>
              <w:top w:val="nil"/>
              <w:left w:val="nil"/>
              <w:bottom w:val="single" w:sz="12" w:space="0" w:color="auto"/>
              <w:right w:val="nil"/>
            </w:tcBorders>
            <w:shd w:val="clear" w:color="auto" w:fill="auto"/>
            <w:noWrap/>
            <w:vAlign w:val="center"/>
            <w:hideMark/>
          </w:tcPr>
          <w:p w14:paraId="00B717A5" w14:textId="77777777" w:rsidR="0057119D" w:rsidRPr="00B41E66" w:rsidRDefault="0057119D">
            <w:pPr>
              <w:jc w:val="center"/>
            </w:pPr>
            <w:r w:rsidRPr="00B41E66">
              <w:t>91</w:t>
            </w:r>
          </w:p>
        </w:tc>
        <w:tc>
          <w:tcPr>
            <w:tcW w:w="996" w:type="dxa"/>
            <w:tcBorders>
              <w:top w:val="nil"/>
              <w:left w:val="nil"/>
              <w:bottom w:val="single" w:sz="12" w:space="0" w:color="auto"/>
              <w:right w:val="nil"/>
            </w:tcBorders>
            <w:shd w:val="clear" w:color="auto" w:fill="auto"/>
            <w:noWrap/>
            <w:vAlign w:val="center"/>
            <w:hideMark/>
          </w:tcPr>
          <w:p w14:paraId="0B12B6F7" w14:textId="77777777" w:rsidR="0057119D" w:rsidRPr="00B41E66" w:rsidRDefault="0057119D">
            <w:pPr>
              <w:jc w:val="center"/>
            </w:pPr>
            <w:r w:rsidRPr="00B41E66">
              <w:t> </w:t>
            </w:r>
          </w:p>
        </w:tc>
        <w:tc>
          <w:tcPr>
            <w:tcW w:w="968" w:type="dxa"/>
            <w:tcBorders>
              <w:top w:val="nil"/>
              <w:left w:val="nil"/>
              <w:bottom w:val="single" w:sz="12" w:space="0" w:color="auto"/>
              <w:right w:val="single" w:sz="12" w:space="0" w:color="auto"/>
            </w:tcBorders>
            <w:shd w:val="clear" w:color="auto" w:fill="auto"/>
            <w:noWrap/>
            <w:vAlign w:val="center"/>
            <w:hideMark/>
          </w:tcPr>
          <w:p w14:paraId="6801D7AC" w14:textId="77777777" w:rsidR="0057119D" w:rsidRPr="00B41E66" w:rsidRDefault="0057119D">
            <w:pPr>
              <w:jc w:val="center"/>
            </w:pPr>
            <w:r w:rsidRPr="00B41E66">
              <w:t> </w:t>
            </w:r>
          </w:p>
        </w:tc>
      </w:tr>
    </w:tbl>
    <w:p w14:paraId="5B1B7A2F" w14:textId="77777777" w:rsidR="00BD64AD" w:rsidRPr="00B41E66" w:rsidRDefault="00BD64AD" w:rsidP="00BD64AD">
      <w:pPr>
        <w:pStyle w:val="Default"/>
        <w:spacing w:line="360" w:lineRule="auto"/>
        <w:jc w:val="both"/>
        <w:rPr>
          <w:color w:val="auto"/>
          <w:rtl/>
        </w:rPr>
      </w:pPr>
    </w:p>
    <w:p w14:paraId="482B374A" w14:textId="77777777" w:rsidR="00BD64AD" w:rsidRPr="00B41E66" w:rsidRDefault="00BD64AD" w:rsidP="0052722C">
      <w:pPr>
        <w:pStyle w:val="Default"/>
        <w:spacing w:line="360" w:lineRule="auto"/>
        <w:jc w:val="both"/>
        <w:rPr>
          <w:b/>
          <w:bCs/>
          <w:color w:val="auto"/>
          <w:rtl/>
        </w:rPr>
      </w:pPr>
      <w:r w:rsidRPr="00B41E66">
        <w:rPr>
          <w:b/>
          <w:bCs/>
          <w:color w:val="auto"/>
        </w:rPr>
        <w:t>Panel B: IPO Year+1</w:t>
      </w:r>
    </w:p>
    <w:tbl>
      <w:tblPr>
        <w:tblW w:w="6396" w:type="dxa"/>
        <w:tblInd w:w="123" w:type="dxa"/>
        <w:tblLook w:val="04A0" w:firstRow="1" w:lastRow="0" w:firstColumn="1" w:lastColumn="0" w:noHBand="0" w:noVBand="1"/>
      </w:tblPr>
      <w:tblGrid>
        <w:gridCol w:w="2395"/>
        <w:gridCol w:w="996"/>
        <w:gridCol w:w="1436"/>
        <w:gridCol w:w="996"/>
        <w:gridCol w:w="968"/>
      </w:tblGrid>
      <w:tr w:rsidR="0057119D" w:rsidRPr="00B41E66" w14:paraId="7367EC10" w14:textId="77777777" w:rsidTr="0057119D">
        <w:trPr>
          <w:trHeight w:hRule="exact" w:val="405"/>
        </w:trPr>
        <w:tc>
          <w:tcPr>
            <w:tcW w:w="2395" w:type="dxa"/>
            <w:tcBorders>
              <w:top w:val="single" w:sz="12" w:space="0" w:color="auto"/>
              <w:left w:val="single" w:sz="12" w:space="0" w:color="auto"/>
              <w:bottom w:val="single" w:sz="8" w:space="0" w:color="auto"/>
              <w:right w:val="nil"/>
            </w:tcBorders>
            <w:shd w:val="clear" w:color="auto" w:fill="auto"/>
            <w:noWrap/>
            <w:vAlign w:val="center"/>
            <w:hideMark/>
          </w:tcPr>
          <w:p w14:paraId="592C35B5" w14:textId="77777777" w:rsidR="0057119D" w:rsidRPr="00B41E66" w:rsidRDefault="0057119D">
            <w:pPr>
              <w:jc w:val="both"/>
              <w:rPr>
                <w:lang w:val="en-IL" w:eastAsia="en-IL" w:bidi="he-IL"/>
              </w:rPr>
            </w:pPr>
            <w:r w:rsidRPr="00B41E66">
              <w:t> </w:t>
            </w:r>
          </w:p>
        </w:tc>
        <w:tc>
          <w:tcPr>
            <w:tcW w:w="601" w:type="dxa"/>
            <w:tcBorders>
              <w:top w:val="single" w:sz="12" w:space="0" w:color="auto"/>
              <w:left w:val="single" w:sz="8" w:space="0" w:color="auto"/>
              <w:bottom w:val="single" w:sz="8" w:space="0" w:color="auto"/>
              <w:right w:val="nil"/>
            </w:tcBorders>
            <w:shd w:val="clear" w:color="auto" w:fill="auto"/>
            <w:noWrap/>
            <w:vAlign w:val="center"/>
            <w:hideMark/>
          </w:tcPr>
          <w:p w14:paraId="101549E2" w14:textId="77777777" w:rsidR="0057119D" w:rsidRPr="00B41E66" w:rsidRDefault="0057119D">
            <w:pPr>
              <w:jc w:val="center"/>
              <w:rPr>
                <w:b/>
                <w:bCs/>
              </w:rPr>
            </w:pPr>
            <w:r w:rsidRPr="00B41E66">
              <w:rPr>
                <w:b/>
                <w:bCs/>
              </w:rPr>
              <w:t>LTV</w:t>
            </w:r>
          </w:p>
        </w:tc>
        <w:tc>
          <w:tcPr>
            <w:tcW w:w="1436" w:type="dxa"/>
            <w:tcBorders>
              <w:top w:val="single" w:sz="12" w:space="0" w:color="auto"/>
              <w:left w:val="nil"/>
              <w:bottom w:val="single" w:sz="8" w:space="0" w:color="auto"/>
              <w:right w:val="nil"/>
            </w:tcBorders>
            <w:shd w:val="clear" w:color="auto" w:fill="auto"/>
            <w:noWrap/>
            <w:vAlign w:val="center"/>
            <w:hideMark/>
          </w:tcPr>
          <w:p w14:paraId="1BC01083" w14:textId="77777777" w:rsidR="0057119D" w:rsidRPr="00B41E66" w:rsidRDefault="0057119D">
            <w:pPr>
              <w:jc w:val="center"/>
              <w:rPr>
                <w:b/>
                <w:bCs/>
              </w:rPr>
            </w:pPr>
            <w:r w:rsidRPr="00B41E66">
              <w:rPr>
                <w:b/>
                <w:bCs/>
              </w:rPr>
              <w:t>HTV</w:t>
            </w:r>
          </w:p>
        </w:tc>
        <w:tc>
          <w:tcPr>
            <w:tcW w:w="996" w:type="dxa"/>
            <w:tcBorders>
              <w:top w:val="single" w:sz="12" w:space="0" w:color="auto"/>
              <w:left w:val="nil"/>
              <w:bottom w:val="single" w:sz="8" w:space="0" w:color="auto"/>
              <w:right w:val="nil"/>
            </w:tcBorders>
            <w:shd w:val="clear" w:color="auto" w:fill="auto"/>
            <w:noWrap/>
            <w:vAlign w:val="center"/>
            <w:hideMark/>
          </w:tcPr>
          <w:p w14:paraId="324627EA" w14:textId="77777777" w:rsidR="0057119D" w:rsidRPr="00B41E66" w:rsidRDefault="0057119D">
            <w:pPr>
              <w:jc w:val="center"/>
              <w:rPr>
                <w:b/>
                <w:bCs/>
              </w:rPr>
            </w:pPr>
            <w:r w:rsidRPr="00B41E66">
              <w:rPr>
                <w:b/>
                <w:bCs/>
              </w:rPr>
              <w:t>Diff.</w:t>
            </w:r>
          </w:p>
        </w:tc>
        <w:tc>
          <w:tcPr>
            <w:tcW w:w="968" w:type="dxa"/>
            <w:tcBorders>
              <w:top w:val="single" w:sz="12" w:space="0" w:color="auto"/>
              <w:left w:val="nil"/>
              <w:bottom w:val="single" w:sz="8" w:space="0" w:color="auto"/>
              <w:right w:val="single" w:sz="12" w:space="0" w:color="auto"/>
            </w:tcBorders>
            <w:shd w:val="clear" w:color="auto" w:fill="auto"/>
            <w:noWrap/>
            <w:vAlign w:val="center"/>
            <w:hideMark/>
          </w:tcPr>
          <w:p w14:paraId="487609EF" w14:textId="77777777" w:rsidR="0057119D" w:rsidRPr="00B41E66" w:rsidRDefault="0057119D">
            <w:pPr>
              <w:jc w:val="center"/>
              <w:rPr>
                <w:b/>
                <w:bCs/>
              </w:rPr>
            </w:pPr>
            <w:r w:rsidRPr="00B41E66">
              <w:rPr>
                <w:b/>
                <w:bCs/>
              </w:rPr>
              <w:t xml:space="preserve">P-Value </w:t>
            </w:r>
          </w:p>
        </w:tc>
      </w:tr>
      <w:tr w:rsidR="0057119D" w:rsidRPr="00B41E66" w14:paraId="5BAF8760" w14:textId="77777777" w:rsidTr="0057119D">
        <w:trPr>
          <w:trHeight w:hRule="exact" w:val="315"/>
        </w:trPr>
        <w:tc>
          <w:tcPr>
            <w:tcW w:w="2395" w:type="dxa"/>
            <w:tcBorders>
              <w:top w:val="nil"/>
              <w:left w:val="single" w:sz="12" w:space="0" w:color="auto"/>
              <w:bottom w:val="nil"/>
              <w:right w:val="nil"/>
            </w:tcBorders>
            <w:shd w:val="clear" w:color="auto" w:fill="auto"/>
            <w:vAlign w:val="center"/>
            <w:hideMark/>
          </w:tcPr>
          <w:p w14:paraId="74D824A2" w14:textId="77777777" w:rsidR="0057119D" w:rsidRPr="00B41E66" w:rsidRDefault="0057119D">
            <w:pPr>
              <w:jc w:val="both"/>
            </w:pPr>
            <w:r w:rsidRPr="00B41E66">
              <w:lastRenderedPageBreak/>
              <w:t>Market Value ($M)</w:t>
            </w:r>
          </w:p>
        </w:tc>
        <w:tc>
          <w:tcPr>
            <w:tcW w:w="601" w:type="dxa"/>
            <w:tcBorders>
              <w:top w:val="nil"/>
              <w:left w:val="single" w:sz="8" w:space="0" w:color="auto"/>
              <w:bottom w:val="nil"/>
              <w:right w:val="nil"/>
            </w:tcBorders>
            <w:shd w:val="clear" w:color="auto" w:fill="auto"/>
            <w:noWrap/>
            <w:vAlign w:val="center"/>
            <w:hideMark/>
          </w:tcPr>
          <w:p w14:paraId="230260C0" w14:textId="77777777" w:rsidR="0057119D" w:rsidRPr="00B41E66" w:rsidRDefault="0057119D">
            <w:pPr>
              <w:jc w:val="center"/>
            </w:pPr>
            <w:r w:rsidRPr="00B41E66">
              <w:t>418.17</w:t>
            </w:r>
          </w:p>
        </w:tc>
        <w:tc>
          <w:tcPr>
            <w:tcW w:w="1436" w:type="dxa"/>
            <w:tcBorders>
              <w:top w:val="nil"/>
              <w:left w:val="nil"/>
              <w:bottom w:val="nil"/>
              <w:right w:val="nil"/>
            </w:tcBorders>
            <w:shd w:val="clear" w:color="auto" w:fill="auto"/>
            <w:noWrap/>
            <w:vAlign w:val="center"/>
            <w:hideMark/>
          </w:tcPr>
          <w:p w14:paraId="2D467001" w14:textId="77777777" w:rsidR="0057119D" w:rsidRPr="00B41E66" w:rsidRDefault="0057119D">
            <w:pPr>
              <w:jc w:val="center"/>
            </w:pPr>
            <w:r w:rsidRPr="00B41E66">
              <w:t>844.56</w:t>
            </w:r>
          </w:p>
        </w:tc>
        <w:tc>
          <w:tcPr>
            <w:tcW w:w="996" w:type="dxa"/>
            <w:tcBorders>
              <w:top w:val="nil"/>
              <w:left w:val="nil"/>
              <w:bottom w:val="nil"/>
              <w:right w:val="nil"/>
            </w:tcBorders>
            <w:shd w:val="clear" w:color="auto" w:fill="auto"/>
            <w:noWrap/>
            <w:vAlign w:val="center"/>
            <w:hideMark/>
          </w:tcPr>
          <w:p w14:paraId="0243B06E" w14:textId="77777777" w:rsidR="0057119D" w:rsidRPr="00B41E66" w:rsidRDefault="0057119D">
            <w:pPr>
              <w:jc w:val="center"/>
            </w:pPr>
            <w:r w:rsidRPr="00B41E66">
              <w:t>426.38</w:t>
            </w:r>
          </w:p>
        </w:tc>
        <w:tc>
          <w:tcPr>
            <w:tcW w:w="968" w:type="dxa"/>
            <w:tcBorders>
              <w:top w:val="nil"/>
              <w:left w:val="nil"/>
              <w:bottom w:val="nil"/>
              <w:right w:val="single" w:sz="12" w:space="0" w:color="auto"/>
            </w:tcBorders>
            <w:shd w:val="clear" w:color="auto" w:fill="auto"/>
            <w:noWrap/>
            <w:vAlign w:val="center"/>
            <w:hideMark/>
          </w:tcPr>
          <w:p w14:paraId="79D42C2C" w14:textId="77777777" w:rsidR="0057119D" w:rsidRPr="00B41E66" w:rsidRDefault="0057119D">
            <w:pPr>
              <w:jc w:val="center"/>
            </w:pPr>
            <w:r w:rsidRPr="00B41E66">
              <w:t>0.001</w:t>
            </w:r>
          </w:p>
        </w:tc>
      </w:tr>
      <w:tr w:rsidR="0057119D" w:rsidRPr="00B41E66" w14:paraId="7014461C" w14:textId="77777777" w:rsidTr="0057119D">
        <w:trPr>
          <w:trHeight w:hRule="exact" w:val="315"/>
        </w:trPr>
        <w:tc>
          <w:tcPr>
            <w:tcW w:w="2395" w:type="dxa"/>
            <w:tcBorders>
              <w:top w:val="nil"/>
              <w:left w:val="single" w:sz="12" w:space="0" w:color="auto"/>
              <w:bottom w:val="nil"/>
              <w:right w:val="nil"/>
            </w:tcBorders>
            <w:shd w:val="clear" w:color="auto" w:fill="auto"/>
            <w:vAlign w:val="center"/>
            <w:hideMark/>
          </w:tcPr>
          <w:p w14:paraId="77E9544D" w14:textId="77777777" w:rsidR="0057119D" w:rsidRPr="00B41E66" w:rsidRDefault="0057119D">
            <w:pPr>
              <w:jc w:val="both"/>
            </w:pPr>
            <w:r w:rsidRPr="00B41E66">
              <w:t>Return</w:t>
            </w:r>
          </w:p>
        </w:tc>
        <w:tc>
          <w:tcPr>
            <w:tcW w:w="601" w:type="dxa"/>
            <w:tcBorders>
              <w:top w:val="nil"/>
              <w:left w:val="single" w:sz="8" w:space="0" w:color="auto"/>
              <w:bottom w:val="nil"/>
              <w:right w:val="nil"/>
            </w:tcBorders>
            <w:shd w:val="clear" w:color="auto" w:fill="auto"/>
            <w:noWrap/>
            <w:vAlign w:val="center"/>
            <w:hideMark/>
          </w:tcPr>
          <w:p w14:paraId="4D53F36D" w14:textId="77777777" w:rsidR="0057119D" w:rsidRPr="00B41E66" w:rsidRDefault="0057119D">
            <w:pPr>
              <w:jc w:val="center"/>
            </w:pPr>
            <w:r w:rsidRPr="00B41E66">
              <w:t>-0.15</w:t>
            </w:r>
          </w:p>
        </w:tc>
        <w:tc>
          <w:tcPr>
            <w:tcW w:w="1436" w:type="dxa"/>
            <w:tcBorders>
              <w:top w:val="nil"/>
              <w:left w:val="nil"/>
              <w:bottom w:val="nil"/>
              <w:right w:val="nil"/>
            </w:tcBorders>
            <w:shd w:val="clear" w:color="auto" w:fill="auto"/>
            <w:noWrap/>
            <w:vAlign w:val="center"/>
            <w:hideMark/>
          </w:tcPr>
          <w:p w14:paraId="28AE7457" w14:textId="77777777" w:rsidR="0057119D" w:rsidRPr="00B41E66" w:rsidRDefault="0057119D">
            <w:pPr>
              <w:jc w:val="center"/>
            </w:pPr>
            <w:r w:rsidRPr="00B41E66">
              <w:t>0.36</w:t>
            </w:r>
          </w:p>
        </w:tc>
        <w:tc>
          <w:tcPr>
            <w:tcW w:w="996" w:type="dxa"/>
            <w:tcBorders>
              <w:top w:val="nil"/>
              <w:left w:val="nil"/>
              <w:bottom w:val="nil"/>
              <w:right w:val="nil"/>
            </w:tcBorders>
            <w:shd w:val="clear" w:color="auto" w:fill="auto"/>
            <w:noWrap/>
            <w:vAlign w:val="center"/>
            <w:hideMark/>
          </w:tcPr>
          <w:p w14:paraId="47B1FBFB" w14:textId="77777777" w:rsidR="0057119D" w:rsidRPr="00B41E66" w:rsidRDefault="0057119D">
            <w:pPr>
              <w:jc w:val="center"/>
            </w:pPr>
            <w:r w:rsidRPr="00B41E66">
              <w:t>0.51</w:t>
            </w:r>
          </w:p>
        </w:tc>
        <w:tc>
          <w:tcPr>
            <w:tcW w:w="968" w:type="dxa"/>
            <w:tcBorders>
              <w:top w:val="nil"/>
              <w:left w:val="nil"/>
              <w:bottom w:val="nil"/>
              <w:right w:val="single" w:sz="12" w:space="0" w:color="auto"/>
            </w:tcBorders>
            <w:shd w:val="clear" w:color="auto" w:fill="auto"/>
            <w:noWrap/>
            <w:vAlign w:val="center"/>
            <w:hideMark/>
          </w:tcPr>
          <w:p w14:paraId="121CA5E0" w14:textId="77777777" w:rsidR="0057119D" w:rsidRPr="00B41E66" w:rsidRDefault="0057119D">
            <w:pPr>
              <w:jc w:val="center"/>
            </w:pPr>
            <w:r w:rsidRPr="00B41E66">
              <w:t>0.001</w:t>
            </w:r>
          </w:p>
        </w:tc>
      </w:tr>
      <w:tr w:rsidR="0057119D" w:rsidRPr="00B41E66" w14:paraId="1707236C" w14:textId="77777777" w:rsidTr="0057119D">
        <w:trPr>
          <w:trHeight w:hRule="exact" w:val="315"/>
        </w:trPr>
        <w:tc>
          <w:tcPr>
            <w:tcW w:w="2395" w:type="dxa"/>
            <w:tcBorders>
              <w:top w:val="nil"/>
              <w:left w:val="single" w:sz="12" w:space="0" w:color="auto"/>
              <w:bottom w:val="nil"/>
              <w:right w:val="nil"/>
            </w:tcBorders>
            <w:shd w:val="clear" w:color="auto" w:fill="auto"/>
            <w:vAlign w:val="center"/>
            <w:hideMark/>
          </w:tcPr>
          <w:p w14:paraId="54D281CD" w14:textId="77777777" w:rsidR="0057119D" w:rsidRPr="00B41E66" w:rsidRDefault="0057119D">
            <w:pPr>
              <w:jc w:val="both"/>
            </w:pPr>
            <w:r w:rsidRPr="00B41E66">
              <w:t>Trading Volume</w:t>
            </w:r>
          </w:p>
        </w:tc>
        <w:tc>
          <w:tcPr>
            <w:tcW w:w="601" w:type="dxa"/>
            <w:tcBorders>
              <w:top w:val="nil"/>
              <w:left w:val="single" w:sz="8" w:space="0" w:color="auto"/>
              <w:bottom w:val="nil"/>
              <w:right w:val="nil"/>
            </w:tcBorders>
            <w:shd w:val="clear" w:color="auto" w:fill="auto"/>
            <w:noWrap/>
            <w:vAlign w:val="center"/>
            <w:hideMark/>
          </w:tcPr>
          <w:p w14:paraId="2ACA8963" w14:textId="77777777" w:rsidR="0057119D" w:rsidRPr="00B41E66" w:rsidRDefault="0057119D">
            <w:pPr>
              <w:jc w:val="center"/>
            </w:pPr>
            <w:r w:rsidRPr="00B41E66">
              <w:t>162,046</w:t>
            </w:r>
          </w:p>
        </w:tc>
        <w:tc>
          <w:tcPr>
            <w:tcW w:w="1436" w:type="dxa"/>
            <w:tcBorders>
              <w:top w:val="nil"/>
              <w:left w:val="nil"/>
              <w:bottom w:val="nil"/>
              <w:right w:val="nil"/>
            </w:tcBorders>
            <w:shd w:val="clear" w:color="auto" w:fill="auto"/>
            <w:noWrap/>
            <w:vAlign w:val="center"/>
            <w:hideMark/>
          </w:tcPr>
          <w:p w14:paraId="370574BB" w14:textId="77777777" w:rsidR="0057119D" w:rsidRPr="00B41E66" w:rsidRDefault="0057119D">
            <w:pPr>
              <w:jc w:val="center"/>
            </w:pPr>
            <w:r w:rsidRPr="00B41E66">
              <w:t>441,602</w:t>
            </w:r>
          </w:p>
        </w:tc>
        <w:tc>
          <w:tcPr>
            <w:tcW w:w="996" w:type="dxa"/>
            <w:tcBorders>
              <w:top w:val="nil"/>
              <w:left w:val="nil"/>
              <w:bottom w:val="nil"/>
              <w:right w:val="nil"/>
            </w:tcBorders>
            <w:shd w:val="clear" w:color="auto" w:fill="auto"/>
            <w:noWrap/>
            <w:vAlign w:val="center"/>
            <w:hideMark/>
          </w:tcPr>
          <w:p w14:paraId="675BF4A3" w14:textId="77777777" w:rsidR="0057119D" w:rsidRPr="00B41E66" w:rsidRDefault="0057119D">
            <w:pPr>
              <w:jc w:val="center"/>
            </w:pPr>
            <w:r w:rsidRPr="00B41E66">
              <w:t>279,556</w:t>
            </w:r>
          </w:p>
        </w:tc>
        <w:tc>
          <w:tcPr>
            <w:tcW w:w="968" w:type="dxa"/>
            <w:tcBorders>
              <w:top w:val="nil"/>
              <w:left w:val="nil"/>
              <w:bottom w:val="nil"/>
              <w:right w:val="single" w:sz="12" w:space="0" w:color="auto"/>
            </w:tcBorders>
            <w:shd w:val="clear" w:color="auto" w:fill="auto"/>
            <w:noWrap/>
            <w:vAlign w:val="center"/>
            <w:hideMark/>
          </w:tcPr>
          <w:p w14:paraId="4DC4EEBA" w14:textId="77777777" w:rsidR="0057119D" w:rsidRPr="00B41E66" w:rsidRDefault="0057119D">
            <w:pPr>
              <w:jc w:val="center"/>
            </w:pPr>
            <w:r w:rsidRPr="00B41E66">
              <w:t>0</w:t>
            </w:r>
          </w:p>
        </w:tc>
      </w:tr>
      <w:tr w:rsidR="0057119D" w:rsidRPr="00B41E66" w14:paraId="22A0E0CA" w14:textId="77777777" w:rsidTr="0057119D">
        <w:trPr>
          <w:trHeight w:hRule="exact" w:val="315"/>
        </w:trPr>
        <w:tc>
          <w:tcPr>
            <w:tcW w:w="2395" w:type="dxa"/>
            <w:tcBorders>
              <w:top w:val="nil"/>
              <w:left w:val="single" w:sz="12" w:space="0" w:color="auto"/>
              <w:bottom w:val="nil"/>
              <w:right w:val="nil"/>
            </w:tcBorders>
            <w:shd w:val="clear" w:color="auto" w:fill="auto"/>
            <w:vAlign w:val="center"/>
            <w:hideMark/>
          </w:tcPr>
          <w:p w14:paraId="07E6B583" w14:textId="77777777" w:rsidR="0057119D" w:rsidRPr="00B41E66" w:rsidRDefault="0057119D">
            <w:pPr>
              <w:jc w:val="both"/>
            </w:pPr>
            <w:r w:rsidRPr="00B41E66">
              <w:t>Return’s Volatility</w:t>
            </w:r>
          </w:p>
        </w:tc>
        <w:tc>
          <w:tcPr>
            <w:tcW w:w="601" w:type="dxa"/>
            <w:tcBorders>
              <w:top w:val="nil"/>
              <w:left w:val="single" w:sz="8" w:space="0" w:color="auto"/>
              <w:bottom w:val="nil"/>
              <w:right w:val="nil"/>
            </w:tcBorders>
            <w:shd w:val="clear" w:color="auto" w:fill="auto"/>
            <w:noWrap/>
            <w:vAlign w:val="center"/>
            <w:hideMark/>
          </w:tcPr>
          <w:p w14:paraId="38CE1CCF" w14:textId="77777777" w:rsidR="0057119D" w:rsidRPr="00B41E66" w:rsidRDefault="0057119D">
            <w:pPr>
              <w:jc w:val="center"/>
            </w:pPr>
            <w:r w:rsidRPr="00B41E66">
              <w:t>0.044</w:t>
            </w:r>
          </w:p>
        </w:tc>
        <w:tc>
          <w:tcPr>
            <w:tcW w:w="1436" w:type="dxa"/>
            <w:tcBorders>
              <w:top w:val="nil"/>
              <w:left w:val="nil"/>
              <w:bottom w:val="nil"/>
              <w:right w:val="nil"/>
            </w:tcBorders>
            <w:shd w:val="clear" w:color="auto" w:fill="auto"/>
            <w:noWrap/>
            <w:vAlign w:val="center"/>
            <w:hideMark/>
          </w:tcPr>
          <w:p w14:paraId="56341035" w14:textId="77777777" w:rsidR="0057119D" w:rsidRPr="00B41E66" w:rsidRDefault="0057119D">
            <w:pPr>
              <w:jc w:val="center"/>
            </w:pPr>
            <w:r w:rsidRPr="00B41E66">
              <w:t>0.057</w:t>
            </w:r>
          </w:p>
        </w:tc>
        <w:tc>
          <w:tcPr>
            <w:tcW w:w="996" w:type="dxa"/>
            <w:tcBorders>
              <w:top w:val="nil"/>
              <w:left w:val="nil"/>
              <w:bottom w:val="nil"/>
              <w:right w:val="nil"/>
            </w:tcBorders>
            <w:shd w:val="clear" w:color="auto" w:fill="auto"/>
            <w:noWrap/>
            <w:vAlign w:val="center"/>
            <w:hideMark/>
          </w:tcPr>
          <w:p w14:paraId="265EA762" w14:textId="77777777" w:rsidR="0057119D" w:rsidRPr="00B41E66" w:rsidRDefault="0057119D">
            <w:pPr>
              <w:jc w:val="center"/>
            </w:pPr>
            <w:r w:rsidRPr="00B41E66">
              <w:t>0.013</w:t>
            </w:r>
          </w:p>
        </w:tc>
        <w:tc>
          <w:tcPr>
            <w:tcW w:w="968" w:type="dxa"/>
            <w:tcBorders>
              <w:top w:val="nil"/>
              <w:left w:val="nil"/>
              <w:bottom w:val="nil"/>
              <w:right w:val="single" w:sz="12" w:space="0" w:color="auto"/>
            </w:tcBorders>
            <w:shd w:val="clear" w:color="auto" w:fill="auto"/>
            <w:noWrap/>
            <w:vAlign w:val="center"/>
            <w:hideMark/>
          </w:tcPr>
          <w:p w14:paraId="1848242F" w14:textId="77777777" w:rsidR="0057119D" w:rsidRPr="00B41E66" w:rsidRDefault="0057119D">
            <w:pPr>
              <w:jc w:val="center"/>
            </w:pPr>
            <w:r w:rsidRPr="00B41E66">
              <w:t>0.001</w:t>
            </w:r>
          </w:p>
        </w:tc>
      </w:tr>
      <w:tr w:rsidR="0057119D" w:rsidRPr="00B41E66" w14:paraId="2DCE9925" w14:textId="77777777" w:rsidTr="0057119D">
        <w:trPr>
          <w:trHeight w:val="315"/>
        </w:trPr>
        <w:tc>
          <w:tcPr>
            <w:tcW w:w="2395" w:type="dxa"/>
            <w:tcBorders>
              <w:top w:val="nil"/>
              <w:left w:val="single" w:sz="12" w:space="0" w:color="auto"/>
              <w:bottom w:val="nil"/>
              <w:right w:val="nil"/>
            </w:tcBorders>
            <w:shd w:val="clear" w:color="auto" w:fill="auto"/>
            <w:vAlign w:val="center"/>
            <w:hideMark/>
          </w:tcPr>
          <w:p w14:paraId="10DC6453" w14:textId="77777777" w:rsidR="0057119D" w:rsidRPr="00B41E66" w:rsidRDefault="0057119D">
            <w:pPr>
              <w:jc w:val="both"/>
              <w:rPr>
                <w:color w:val="0000FF"/>
              </w:rPr>
            </w:pPr>
            <w:r w:rsidRPr="00B41E66">
              <w:rPr>
                <w:color w:val="0000FF"/>
              </w:rPr>
              <w:t>Beta (former year)</w:t>
            </w:r>
          </w:p>
        </w:tc>
        <w:tc>
          <w:tcPr>
            <w:tcW w:w="601" w:type="dxa"/>
            <w:tcBorders>
              <w:top w:val="nil"/>
              <w:left w:val="single" w:sz="8" w:space="0" w:color="auto"/>
              <w:bottom w:val="nil"/>
              <w:right w:val="nil"/>
            </w:tcBorders>
            <w:shd w:val="clear" w:color="auto" w:fill="auto"/>
            <w:noWrap/>
            <w:vAlign w:val="center"/>
            <w:hideMark/>
          </w:tcPr>
          <w:p w14:paraId="72018DCE" w14:textId="3E13A312" w:rsidR="0057119D" w:rsidRPr="00B41E66" w:rsidRDefault="0057119D">
            <w:pPr>
              <w:jc w:val="center"/>
              <w:rPr>
                <w:color w:val="0000FF"/>
              </w:rPr>
            </w:pPr>
            <w:r w:rsidRPr="00B41E66">
              <w:rPr>
                <w:color w:val="0000FF"/>
              </w:rPr>
              <w:t>0.65</w:t>
            </w:r>
          </w:p>
        </w:tc>
        <w:tc>
          <w:tcPr>
            <w:tcW w:w="1436" w:type="dxa"/>
            <w:tcBorders>
              <w:top w:val="nil"/>
              <w:left w:val="nil"/>
              <w:bottom w:val="nil"/>
              <w:right w:val="nil"/>
            </w:tcBorders>
            <w:shd w:val="clear" w:color="auto" w:fill="auto"/>
            <w:noWrap/>
            <w:vAlign w:val="center"/>
            <w:hideMark/>
          </w:tcPr>
          <w:p w14:paraId="40AA06E1" w14:textId="2A90D95C" w:rsidR="0057119D" w:rsidRPr="00B41E66" w:rsidRDefault="0057119D">
            <w:pPr>
              <w:jc w:val="center"/>
              <w:rPr>
                <w:color w:val="0000FF"/>
              </w:rPr>
            </w:pPr>
            <w:r w:rsidRPr="00B41E66">
              <w:rPr>
                <w:color w:val="0000FF"/>
              </w:rPr>
              <w:t>0.87</w:t>
            </w:r>
          </w:p>
        </w:tc>
        <w:tc>
          <w:tcPr>
            <w:tcW w:w="996" w:type="dxa"/>
            <w:tcBorders>
              <w:top w:val="nil"/>
              <w:left w:val="nil"/>
              <w:bottom w:val="nil"/>
              <w:right w:val="nil"/>
            </w:tcBorders>
            <w:shd w:val="clear" w:color="auto" w:fill="auto"/>
            <w:noWrap/>
            <w:vAlign w:val="bottom"/>
            <w:hideMark/>
          </w:tcPr>
          <w:p w14:paraId="55D6C712" w14:textId="183432F3" w:rsidR="0057119D" w:rsidRPr="00B41E66" w:rsidRDefault="0057119D">
            <w:pPr>
              <w:jc w:val="center"/>
              <w:rPr>
                <w:color w:val="0000FF"/>
              </w:rPr>
            </w:pPr>
            <w:r w:rsidRPr="00B41E66">
              <w:rPr>
                <w:color w:val="0000FF"/>
              </w:rPr>
              <w:t>0.22</w:t>
            </w:r>
          </w:p>
        </w:tc>
        <w:tc>
          <w:tcPr>
            <w:tcW w:w="968" w:type="dxa"/>
            <w:tcBorders>
              <w:top w:val="nil"/>
              <w:left w:val="nil"/>
              <w:bottom w:val="nil"/>
              <w:right w:val="single" w:sz="12" w:space="0" w:color="auto"/>
            </w:tcBorders>
            <w:shd w:val="clear" w:color="auto" w:fill="auto"/>
            <w:noWrap/>
            <w:vAlign w:val="center"/>
            <w:hideMark/>
          </w:tcPr>
          <w:p w14:paraId="2B9FD582" w14:textId="5DBEB59A" w:rsidR="0057119D" w:rsidRPr="00B41E66" w:rsidRDefault="0057119D">
            <w:pPr>
              <w:jc w:val="center"/>
              <w:rPr>
                <w:color w:val="0000FF"/>
              </w:rPr>
            </w:pPr>
            <w:r w:rsidRPr="00B41E66">
              <w:rPr>
                <w:color w:val="0000FF"/>
              </w:rPr>
              <w:t>0.07</w:t>
            </w:r>
          </w:p>
        </w:tc>
      </w:tr>
      <w:tr w:rsidR="0057119D" w:rsidRPr="00B41E66" w14:paraId="267BE44A" w14:textId="77777777" w:rsidTr="0057119D">
        <w:trPr>
          <w:trHeight w:hRule="exact" w:val="330"/>
        </w:trPr>
        <w:tc>
          <w:tcPr>
            <w:tcW w:w="2395" w:type="dxa"/>
            <w:tcBorders>
              <w:top w:val="nil"/>
              <w:left w:val="single" w:sz="12" w:space="0" w:color="auto"/>
              <w:bottom w:val="single" w:sz="12" w:space="0" w:color="auto"/>
              <w:right w:val="nil"/>
            </w:tcBorders>
            <w:shd w:val="clear" w:color="auto" w:fill="auto"/>
            <w:vAlign w:val="center"/>
            <w:hideMark/>
          </w:tcPr>
          <w:p w14:paraId="69D5EDC4" w14:textId="77777777" w:rsidR="0057119D" w:rsidRPr="00B41E66" w:rsidRDefault="0057119D">
            <w:pPr>
              <w:jc w:val="both"/>
            </w:pPr>
            <w:r w:rsidRPr="00B41E66">
              <w:t>Observations</w:t>
            </w:r>
          </w:p>
        </w:tc>
        <w:tc>
          <w:tcPr>
            <w:tcW w:w="601" w:type="dxa"/>
            <w:tcBorders>
              <w:top w:val="nil"/>
              <w:left w:val="single" w:sz="8" w:space="0" w:color="auto"/>
              <w:bottom w:val="single" w:sz="12" w:space="0" w:color="auto"/>
              <w:right w:val="nil"/>
            </w:tcBorders>
            <w:shd w:val="clear" w:color="auto" w:fill="auto"/>
            <w:noWrap/>
            <w:vAlign w:val="center"/>
            <w:hideMark/>
          </w:tcPr>
          <w:p w14:paraId="4F0F636D" w14:textId="77777777" w:rsidR="0057119D" w:rsidRPr="00B41E66" w:rsidRDefault="0057119D">
            <w:pPr>
              <w:jc w:val="center"/>
            </w:pPr>
            <w:r w:rsidRPr="00B41E66">
              <w:t>89</w:t>
            </w:r>
          </w:p>
        </w:tc>
        <w:tc>
          <w:tcPr>
            <w:tcW w:w="1436" w:type="dxa"/>
            <w:tcBorders>
              <w:top w:val="nil"/>
              <w:left w:val="nil"/>
              <w:bottom w:val="single" w:sz="12" w:space="0" w:color="auto"/>
              <w:right w:val="nil"/>
            </w:tcBorders>
            <w:shd w:val="clear" w:color="auto" w:fill="auto"/>
            <w:noWrap/>
            <w:vAlign w:val="center"/>
            <w:hideMark/>
          </w:tcPr>
          <w:p w14:paraId="1C6623AB" w14:textId="77777777" w:rsidR="0057119D" w:rsidRPr="00B41E66" w:rsidRDefault="0057119D">
            <w:pPr>
              <w:jc w:val="center"/>
            </w:pPr>
            <w:r w:rsidRPr="00B41E66">
              <w:t>89</w:t>
            </w:r>
          </w:p>
        </w:tc>
        <w:tc>
          <w:tcPr>
            <w:tcW w:w="996" w:type="dxa"/>
            <w:tcBorders>
              <w:top w:val="nil"/>
              <w:left w:val="nil"/>
              <w:bottom w:val="single" w:sz="12" w:space="0" w:color="auto"/>
              <w:right w:val="nil"/>
            </w:tcBorders>
            <w:shd w:val="clear" w:color="auto" w:fill="auto"/>
            <w:noWrap/>
            <w:vAlign w:val="center"/>
            <w:hideMark/>
          </w:tcPr>
          <w:p w14:paraId="15730D26" w14:textId="77777777" w:rsidR="0057119D" w:rsidRPr="00B41E66" w:rsidRDefault="0057119D">
            <w:pPr>
              <w:jc w:val="center"/>
            </w:pPr>
            <w:r w:rsidRPr="00B41E66">
              <w:t> </w:t>
            </w:r>
          </w:p>
        </w:tc>
        <w:tc>
          <w:tcPr>
            <w:tcW w:w="968" w:type="dxa"/>
            <w:tcBorders>
              <w:top w:val="nil"/>
              <w:left w:val="nil"/>
              <w:bottom w:val="single" w:sz="12" w:space="0" w:color="auto"/>
              <w:right w:val="single" w:sz="12" w:space="0" w:color="auto"/>
            </w:tcBorders>
            <w:shd w:val="clear" w:color="auto" w:fill="auto"/>
            <w:noWrap/>
            <w:vAlign w:val="center"/>
            <w:hideMark/>
          </w:tcPr>
          <w:p w14:paraId="79CC1CDB" w14:textId="77777777" w:rsidR="0057119D" w:rsidRPr="00B41E66" w:rsidRDefault="0057119D">
            <w:pPr>
              <w:jc w:val="center"/>
            </w:pPr>
            <w:r w:rsidRPr="00B41E66">
              <w:t> </w:t>
            </w:r>
          </w:p>
        </w:tc>
      </w:tr>
    </w:tbl>
    <w:p w14:paraId="68D53D27" w14:textId="77777777" w:rsidR="00BD64AD" w:rsidRPr="00B41E66" w:rsidRDefault="00BD64AD" w:rsidP="00BD64AD">
      <w:pPr>
        <w:pStyle w:val="Default"/>
        <w:spacing w:line="360" w:lineRule="auto"/>
        <w:jc w:val="both"/>
        <w:rPr>
          <w:color w:val="auto"/>
        </w:rPr>
      </w:pPr>
    </w:p>
    <w:p w14:paraId="5797E96E" w14:textId="77777777" w:rsidR="00BD64AD" w:rsidRPr="00B41E66" w:rsidRDefault="00BD64AD" w:rsidP="0052722C">
      <w:pPr>
        <w:pStyle w:val="Default"/>
        <w:spacing w:line="360" w:lineRule="auto"/>
        <w:jc w:val="both"/>
        <w:rPr>
          <w:b/>
          <w:bCs/>
          <w:color w:val="auto"/>
          <w:rtl/>
        </w:rPr>
      </w:pPr>
      <w:r w:rsidRPr="00B41E66">
        <w:rPr>
          <w:b/>
          <w:bCs/>
          <w:color w:val="auto"/>
        </w:rPr>
        <w:t>Panel C: IPO Year+2</w:t>
      </w:r>
    </w:p>
    <w:tbl>
      <w:tblPr>
        <w:tblW w:w="7268" w:type="dxa"/>
        <w:tblInd w:w="123" w:type="dxa"/>
        <w:tblLook w:val="04A0" w:firstRow="1" w:lastRow="0" w:firstColumn="1" w:lastColumn="0" w:noHBand="0" w:noVBand="1"/>
      </w:tblPr>
      <w:tblGrid>
        <w:gridCol w:w="3080"/>
        <w:gridCol w:w="996"/>
        <w:gridCol w:w="996"/>
        <w:gridCol w:w="996"/>
        <w:gridCol w:w="1268"/>
      </w:tblGrid>
      <w:tr w:rsidR="00ED7387" w:rsidRPr="00B41E66" w14:paraId="21219AD5" w14:textId="77777777" w:rsidTr="00ED7387">
        <w:trPr>
          <w:trHeight w:hRule="exact" w:val="345"/>
        </w:trPr>
        <w:tc>
          <w:tcPr>
            <w:tcW w:w="3080" w:type="dxa"/>
            <w:tcBorders>
              <w:top w:val="single" w:sz="12" w:space="0" w:color="auto"/>
              <w:left w:val="single" w:sz="12" w:space="0" w:color="auto"/>
              <w:bottom w:val="single" w:sz="8" w:space="0" w:color="auto"/>
              <w:right w:val="nil"/>
            </w:tcBorders>
            <w:shd w:val="clear" w:color="auto" w:fill="auto"/>
            <w:noWrap/>
            <w:vAlign w:val="center"/>
            <w:hideMark/>
          </w:tcPr>
          <w:p w14:paraId="556FBC83" w14:textId="77777777" w:rsidR="00ED7387" w:rsidRPr="00B41E66" w:rsidRDefault="00ED7387">
            <w:pPr>
              <w:jc w:val="both"/>
              <w:rPr>
                <w:lang w:val="en-IL" w:eastAsia="en-IL" w:bidi="he-IL"/>
              </w:rPr>
            </w:pPr>
            <w:r w:rsidRPr="00B41E66">
              <w:t> </w:t>
            </w:r>
          </w:p>
        </w:tc>
        <w:tc>
          <w:tcPr>
            <w:tcW w:w="968" w:type="dxa"/>
            <w:tcBorders>
              <w:top w:val="single" w:sz="12" w:space="0" w:color="auto"/>
              <w:left w:val="single" w:sz="8" w:space="0" w:color="auto"/>
              <w:bottom w:val="single" w:sz="8" w:space="0" w:color="auto"/>
              <w:right w:val="nil"/>
            </w:tcBorders>
            <w:shd w:val="clear" w:color="auto" w:fill="auto"/>
            <w:noWrap/>
            <w:vAlign w:val="center"/>
            <w:hideMark/>
          </w:tcPr>
          <w:p w14:paraId="3A9FCFD2" w14:textId="77777777" w:rsidR="00ED7387" w:rsidRPr="00B41E66" w:rsidRDefault="00ED7387">
            <w:pPr>
              <w:jc w:val="center"/>
              <w:rPr>
                <w:b/>
                <w:bCs/>
              </w:rPr>
            </w:pPr>
            <w:r w:rsidRPr="00B41E66">
              <w:rPr>
                <w:b/>
                <w:bCs/>
              </w:rPr>
              <w:t>LTV</w:t>
            </w:r>
          </w:p>
        </w:tc>
        <w:tc>
          <w:tcPr>
            <w:tcW w:w="976" w:type="dxa"/>
            <w:tcBorders>
              <w:top w:val="single" w:sz="12" w:space="0" w:color="auto"/>
              <w:left w:val="nil"/>
              <w:bottom w:val="single" w:sz="8" w:space="0" w:color="auto"/>
              <w:right w:val="nil"/>
            </w:tcBorders>
            <w:shd w:val="clear" w:color="auto" w:fill="auto"/>
            <w:noWrap/>
            <w:vAlign w:val="center"/>
            <w:hideMark/>
          </w:tcPr>
          <w:p w14:paraId="1FF48A27" w14:textId="77777777" w:rsidR="00ED7387" w:rsidRPr="00B41E66" w:rsidRDefault="00ED7387">
            <w:pPr>
              <w:jc w:val="center"/>
              <w:rPr>
                <w:b/>
                <w:bCs/>
              </w:rPr>
            </w:pPr>
            <w:r w:rsidRPr="00B41E66">
              <w:rPr>
                <w:b/>
                <w:bCs/>
              </w:rPr>
              <w:t>HTV</w:t>
            </w:r>
          </w:p>
        </w:tc>
        <w:tc>
          <w:tcPr>
            <w:tcW w:w="976" w:type="dxa"/>
            <w:tcBorders>
              <w:top w:val="single" w:sz="12" w:space="0" w:color="auto"/>
              <w:left w:val="nil"/>
              <w:bottom w:val="single" w:sz="8" w:space="0" w:color="auto"/>
              <w:right w:val="nil"/>
            </w:tcBorders>
            <w:shd w:val="clear" w:color="auto" w:fill="auto"/>
            <w:noWrap/>
            <w:vAlign w:val="center"/>
            <w:hideMark/>
          </w:tcPr>
          <w:p w14:paraId="0364AC00" w14:textId="77777777" w:rsidR="00ED7387" w:rsidRPr="00B41E66" w:rsidRDefault="00ED7387">
            <w:pPr>
              <w:jc w:val="center"/>
              <w:rPr>
                <w:b/>
                <w:bCs/>
              </w:rPr>
            </w:pPr>
            <w:r w:rsidRPr="00B41E66">
              <w:rPr>
                <w:b/>
                <w:bCs/>
              </w:rPr>
              <w:t>Diff.</w:t>
            </w:r>
          </w:p>
        </w:tc>
        <w:tc>
          <w:tcPr>
            <w:tcW w:w="1268" w:type="dxa"/>
            <w:tcBorders>
              <w:top w:val="single" w:sz="12" w:space="0" w:color="auto"/>
              <w:left w:val="nil"/>
              <w:bottom w:val="single" w:sz="8" w:space="0" w:color="auto"/>
              <w:right w:val="single" w:sz="12" w:space="0" w:color="auto"/>
            </w:tcBorders>
            <w:shd w:val="clear" w:color="auto" w:fill="auto"/>
            <w:noWrap/>
            <w:vAlign w:val="center"/>
            <w:hideMark/>
          </w:tcPr>
          <w:p w14:paraId="48272775" w14:textId="77777777" w:rsidR="00ED7387" w:rsidRPr="00B41E66" w:rsidRDefault="00ED7387">
            <w:pPr>
              <w:jc w:val="center"/>
              <w:rPr>
                <w:b/>
                <w:bCs/>
              </w:rPr>
            </w:pPr>
            <w:r w:rsidRPr="00B41E66">
              <w:rPr>
                <w:b/>
                <w:bCs/>
              </w:rPr>
              <w:t xml:space="preserve">P-Value </w:t>
            </w:r>
          </w:p>
        </w:tc>
      </w:tr>
      <w:tr w:rsidR="00ED7387" w:rsidRPr="00B41E66" w14:paraId="444071CB" w14:textId="77777777" w:rsidTr="00ED7387">
        <w:trPr>
          <w:trHeight w:hRule="exact" w:val="315"/>
        </w:trPr>
        <w:tc>
          <w:tcPr>
            <w:tcW w:w="3080" w:type="dxa"/>
            <w:tcBorders>
              <w:top w:val="nil"/>
              <w:left w:val="single" w:sz="12" w:space="0" w:color="auto"/>
              <w:bottom w:val="nil"/>
              <w:right w:val="nil"/>
            </w:tcBorders>
            <w:shd w:val="clear" w:color="auto" w:fill="auto"/>
            <w:vAlign w:val="center"/>
            <w:hideMark/>
          </w:tcPr>
          <w:p w14:paraId="213DA35D" w14:textId="77777777" w:rsidR="00ED7387" w:rsidRPr="00B41E66" w:rsidRDefault="00ED7387">
            <w:pPr>
              <w:jc w:val="both"/>
            </w:pPr>
            <w:r w:rsidRPr="00B41E66">
              <w:t>Market Value ($M)</w:t>
            </w:r>
          </w:p>
        </w:tc>
        <w:tc>
          <w:tcPr>
            <w:tcW w:w="968" w:type="dxa"/>
            <w:tcBorders>
              <w:top w:val="nil"/>
              <w:left w:val="single" w:sz="8" w:space="0" w:color="auto"/>
              <w:bottom w:val="nil"/>
              <w:right w:val="nil"/>
            </w:tcBorders>
            <w:shd w:val="clear" w:color="auto" w:fill="auto"/>
            <w:noWrap/>
            <w:vAlign w:val="center"/>
            <w:hideMark/>
          </w:tcPr>
          <w:p w14:paraId="54B0F349" w14:textId="77777777" w:rsidR="00ED7387" w:rsidRPr="00B41E66" w:rsidRDefault="00ED7387">
            <w:pPr>
              <w:jc w:val="center"/>
            </w:pPr>
            <w:r w:rsidRPr="00B41E66">
              <w:t>493.44</w:t>
            </w:r>
          </w:p>
        </w:tc>
        <w:tc>
          <w:tcPr>
            <w:tcW w:w="976" w:type="dxa"/>
            <w:tcBorders>
              <w:top w:val="nil"/>
              <w:left w:val="nil"/>
              <w:bottom w:val="nil"/>
              <w:right w:val="nil"/>
            </w:tcBorders>
            <w:shd w:val="clear" w:color="auto" w:fill="auto"/>
            <w:noWrap/>
            <w:vAlign w:val="center"/>
            <w:hideMark/>
          </w:tcPr>
          <w:p w14:paraId="237222D2" w14:textId="77777777" w:rsidR="00ED7387" w:rsidRPr="00B41E66" w:rsidRDefault="00ED7387">
            <w:pPr>
              <w:jc w:val="center"/>
            </w:pPr>
            <w:r w:rsidRPr="00B41E66">
              <w:t>841.79</w:t>
            </w:r>
          </w:p>
        </w:tc>
        <w:tc>
          <w:tcPr>
            <w:tcW w:w="976" w:type="dxa"/>
            <w:tcBorders>
              <w:top w:val="nil"/>
              <w:left w:val="nil"/>
              <w:bottom w:val="nil"/>
              <w:right w:val="nil"/>
            </w:tcBorders>
            <w:shd w:val="clear" w:color="auto" w:fill="auto"/>
            <w:noWrap/>
            <w:vAlign w:val="center"/>
            <w:hideMark/>
          </w:tcPr>
          <w:p w14:paraId="6CAE89F5" w14:textId="77777777" w:rsidR="00ED7387" w:rsidRPr="00B41E66" w:rsidRDefault="00ED7387">
            <w:pPr>
              <w:jc w:val="center"/>
            </w:pPr>
            <w:r w:rsidRPr="00B41E66">
              <w:t>348.35</w:t>
            </w:r>
          </w:p>
        </w:tc>
        <w:tc>
          <w:tcPr>
            <w:tcW w:w="1268" w:type="dxa"/>
            <w:tcBorders>
              <w:top w:val="nil"/>
              <w:left w:val="nil"/>
              <w:bottom w:val="nil"/>
              <w:right w:val="single" w:sz="12" w:space="0" w:color="auto"/>
            </w:tcBorders>
            <w:shd w:val="clear" w:color="auto" w:fill="auto"/>
            <w:noWrap/>
            <w:vAlign w:val="center"/>
            <w:hideMark/>
          </w:tcPr>
          <w:p w14:paraId="7EEF7AA1" w14:textId="77777777" w:rsidR="00ED7387" w:rsidRPr="00B41E66" w:rsidRDefault="00ED7387">
            <w:pPr>
              <w:jc w:val="center"/>
            </w:pPr>
            <w:r w:rsidRPr="00B41E66">
              <w:t>0.017</w:t>
            </w:r>
          </w:p>
        </w:tc>
      </w:tr>
      <w:tr w:rsidR="00ED7387" w:rsidRPr="00B41E66" w14:paraId="5F48ECFD" w14:textId="77777777" w:rsidTr="00ED7387">
        <w:trPr>
          <w:trHeight w:hRule="exact" w:val="330"/>
        </w:trPr>
        <w:tc>
          <w:tcPr>
            <w:tcW w:w="3080" w:type="dxa"/>
            <w:tcBorders>
              <w:top w:val="nil"/>
              <w:left w:val="single" w:sz="12" w:space="0" w:color="auto"/>
              <w:bottom w:val="nil"/>
              <w:right w:val="nil"/>
            </w:tcBorders>
            <w:shd w:val="clear" w:color="auto" w:fill="auto"/>
            <w:vAlign w:val="center"/>
            <w:hideMark/>
          </w:tcPr>
          <w:p w14:paraId="775A4399" w14:textId="77777777" w:rsidR="00ED7387" w:rsidRPr="00B41E66" w:rsidRDefault="00ED7387">
            <w:pPr>
              <w:jc w:val="both"/>
            </w:pPr>
            <w:r w:rsidRPr="00B41E66">
              <w:t>Return</w:t>
            </w:r>
          </w:p>
        </w:tc>
        <w:tc>
          <w:tcPr>
            <w:tcW w:w="968" w:type="dxa"/>
            <w:tcBorders>
              <w:top w:val="nil"/>
              <w:left w:val="single" w:sz="8" w:space="0" w:color="auto"/>
              <w:bottom w:val="nil"/>
              <w:right w:val="nil"/>
            </w:tcBorders>
            <w:shd w:val="clear" w:color="auto" w:fill="auto"/>
            <w:noWrap/>
            <w:vAlign w:val="center"/>
            <w:hideMark/>
          </w:tcPr>
          <w:p w14:paraId="5CE03007" w14:textId="77777777" w:rsidR="00ED7387" w:rsidRPr="00B41E66" w:rsidRDefault="00ED7387">
            <w:pPr>
              <w:jc w:val="center"/>
            </w:pPr>
            <w:r w:rsidRPr="00B41E66">
              <w:t>0</w:t>
            </w:r>
          </w:p>
        </w:tc>
        <w:tc>
          <w:tcPr>
            <w:tcW w:w="976" w:type="dxa"/>
            <w:tcBorders>
              <w:top w:val="nil"/>
              <w:left w:val="nil"/>
              <w:bottom w:val="nil"/>
              <w:right w:val="nil"/>
            </w:tcBorders>
            <w:shd w:val="clear" w:color="auto" w:fill="auto"/>
            <w:noWrap/>
            <w:vAlign w:val="center"/>
            <w:hideMark/>
          </w:tcPr>
          <w:p w14:paraId="1F9F68AB" w14:textId="77777777" w:rsidR="00ED7387" w:rsidRPr="00B41E66" w:rsidRDefault="00ED7387">
            <w:pPr>
              <w:jc w:val="center"/>
            </w:pPr>
            <w:r w:rsidRPr="00B41E66">
              <w:t>0.29</w:t>
            </w:r>
          </w:p>
        </w:tc>
        <w:tc>
          <w:tcPr>
            <w:tcW w:w="976" w:type="dxa"/>
            <w:tcBorders>
              <w:top w:val="nil"/>
              <w:left w:val="nil"/>
              <w:bottom w:val="nil"/>
              <w:right w:val="nil"/>
            </w:tcBorders>
            <w:shd w:val="clear" w:color="auto" w:fill="auto"/>
            <w:noWrap/>
            <w:vAlign w:val="center"/>
            <w:hideMark/>
          </w:tcPr>
          <w:p w14:paraId="417F1FB8" w14:textId="77777777" w:rsidR="00ED7387" w:rsidRPr="00B41E66" w:rsidRDefault="00ED7387">
            <w:pPr>
              <w:jc w:val="center"/>
            </w:pPr>
            <w:r w:rsidRPr="00B41E66">
              <w:t>0.29</w:t>
            </w:r>
          </w:p>
        </w:tc>
        <w:tc>
          <w:tcPr>
            <w:tcW w:w="1268" w:type="dxa"/>
            <w:tcBorders>
              <w:top w:val="nil"/>
              <w:left w:val="nil"/>
              <w:bottom w:val="nil"/>
              <w:right w:val="single" w:sz="12" w:space="0" w:color="auto"/>
            </w:tcBorders>
            <w:shd w:val="clear" w:color="auto" w:fill="auto"/>
            <w:noWrap/>
            <w:vAlign w:val="center"/>
            <w:hideMark/>
          </w:tcPr>
          <w:p w14:paraId="44F0A724" w14:textId="77777777" w:rsidR="00ED7387" w:rsidRPr="00B41E66" w:rsidRDefault="00ED7387">
            <w:pPr>
              <w:jc w:val="center"/>
            </w:pPr>
            <w:r w:rsidRPr="00B41E66">
              <w:t>0.043</w:t>
            </w:r>
          </w:p>
        </w:tc>
      </w:tr>
      <w:tr w:rsidR="00ED7387" w:rsidRPr="00B41E66" w14:paraId="396AA208" w14:textId="77777777" w:rsidTr="00ED7387">
        <w:trPr>
          <w:trHeight w:hRule="exact" w:val="330"/>
        </w:trPr>
        <w:tc>
          <w:tcPr>
            <w:tcW w:w="3080" w:type="dxa"/>
            <w:tcBorders>
              <w:top w:val="nil"/>
              <w:left w:val="single" w:sz="12" w:space="0" w:color="auto"/>
              <w:bottom w:val="nil"/>
              <w:right w:val="nil"/>
            </w:tcBorders>
            <w:shd w:val="clear" w:color="auto" w:fill="auto"/>
            <w:vAlign w:val="center"/>
            <w:hideMark/>
          </w:tcPr>
          <w:p w14:paraId="0BB888BE" w14:textId="77777777" w:rsidR="00ED7387" w:rsidRPr="00B41E66" w:rsidRDefault="00ED7387">
            <w:pPr>
              <w:jc w:val="both"/>
            </w:pPr>
            <w:r w:rsidRPr="00B41E66">
              <w:t>Trading Volume</w:t>
            </w:r>
          </w:p>
        </w:tc>
        <w:tc>
          <w:tcPr>
            <w:tcW w:w="968" w:type="dxa"/>
            <w:tcBorders>
              <w:top w:val="nil"/>
              <w:left w:val="single" w:sz="8" w:space="0" w:color="auto"/>
              <w:bottom w:val="nil"/>
              <w:right w:val="nil"/>
            </w:tcBorders>
            <w:shd w:val="clear" w:color="auto" w:fill="auto"/>
            <w:noWrap/>
            <w:vAlign w:val="center"/>
            <w:hideMark/>
          </w:tcPr>
          <w:p w14:paraId="4162AAE7" w14:textId="77777777" w:rsidR="00ED7387" w:rsidRPr="00B41E66" w:rsidRDefault="00ED7387">
            <w:pPr>
              <w:jc w:val="center"/>
            </w:pPr>
            <w:r w:rsidRPr="00B41E66">
              <w:t>244,890</w:t>
            </w:r>
          </w:p>
        </w:tc>
        <w:tc>
          <w:tcPr>
            <w:tcW w:w="976" w:type="dxa"/>
            <w:tcBorders>
              <w:top w:val="nil"/>
              <w:left w:val="nil"/>
              <w:bottom w:val="nil"/>
              <w:right w:val="nil"/>
            </w:tcBorders>
            <w:shd w:val="clear" w:color="auto" w:fill="auto"/>
            <w:noWrap/>
            <w:vAlign w:val="center"/>
            <w:hideMark/>
          </w:tcPr>
          <w:p w14:paraId="01433D82" w14:textId="77777777" w:rsidR="00ED7387" w:rsidRPr="00B41E66" w:rsidRDefault="00ED7387">
            <w:pPr>
              <w:jc w:val="center"/>
            </w:pPr>
            <w:r w:rsidRPr="00B41E66">
              <w:t>660,862</w:t>
            </w:r>
          </w:p>
        </w:tc>
        <w:tc>
          <w:tcPr>
            <w:tcW w:w="976" w:type="dxa"/>
            <w:tcBorders>
              <w:top w:val="nil"/>
              <w:left w:val="nil"/>
              <w:bottom w:val="nil"/>
              <w:right w:val="nil"/>
            </w:tcBorders>
            <w:shd w:val="clear" w:color="auto" w:fill="auto"/>
            <w:noWrap/>
            <w:vAlign w:val="center"/>
            <w:hideMark/>
          </w:tcPr>
          <w:p w14:paraId="0B9B52B0" w14:textId="77777777" w:rsidR="00ED7387" w:rsidRPr="00B41E66" w:rsidRDefault="00ED7387">
            <w:pPr>
              <w:jc w:val="center"/>
            </w:pPr>
            <w:r w:rsidRPr="00B41E66">
              <w:t>415,973</w:t>
            </w:r>
          </w:p>
        </w:tc>
        <w:tc>
          <w:tcPr>
            <w:tcW w:w="1268" w:type="dxa"/>
            <w:tcBorders>
              <w:top w:val="nil"/>
              <w:left w:val="nil"/>
              <w:bottom w:val="nil"/>
              <w:right w:val="single" w:sz="12" w:space="0" w:color="auto"/>
            </w:tcBorders>
            <w:shd w:val="clear" w:color="auto" w:fill="auto"/>
            <w:noWrap/>
            <w:vAlign w:val="center"/>
            <w:hideMark/>
          </w:tcPr>
          <w:p w14:paraId="60BFCEBA" w14:textId="77777777" w:rsidR="00ED7387" w:rsidRPr="00B41E66" w:rsidRDefault="00ED7387">
            <w:pPr>
              <w:jc w:val="center"/>
            </w:pPr>
            <w:r w:rsidRPr="00B41E66">
              <w:t>0</w:t>
            </w:r>
          </w:p>
        </w:tc>
      </w:tr>
      <w:tr w:rsidR="00ED7387" w:rsidRPr="00B41E66" w14:paraId="5EBEBE6D" w14:textId="77777777" w:rsidTr="00ED7387">
        <w:trPr>
          <w:trHeight w:hRule="exact" w:val="315"/>
        </w:trPr>
        <w:tc>
          <w:tcPr>
            <w:tcW w:w="3080" w:type="dxa"/>
            <w:tcBorders>
              <w:top w:val="nil"/>
              <w:left w:val="single" w:sz="12" w:space="0" w:color="auto"/>
              <w:bottom w:val="nil"/>
              <w:right w:val="nil"/>
            </w:tcBorders>
            <w:shd w:val="clear" w:color="auto" w:fill="auto"/>
            <w:vAlign w:val="center"/>
            <w:hideMark/>
          </w:tcPr>
          <w:p w14:paraId="4AD6D0A4" w14:textId="77777777" w:rsidR="00ED7387" w:rsidRPr="00B41E66" w:rsidRDefault="00ED7387">
            <w:pPr>
              <w:jc w:val="both"/>
            </w:pPr>
            <w:r w:rsidRPr="00B41E66">
              <w:t>Return’s Volatility</w:t>
            </w:r>
          </w:p>
        </w:tc>
        <w:tc>
          <w:tcPr>
            <w:tcW w:w="968" w:type="dxa"/>
            <w:tcBorders>
              <w:top w:val="nil"/>
              <w:left w:val="single" w:sz="8" w:space="0" w:color="auto"/>
              <w:bottom w:val="nil"/>
              <w:right w:val="nil"/>
            </w:tcBorders>
            <w:shd w:val="clear" w:color="auto" w:fill="auto"/>
            <w:noWrap/>
            <w:vAlign w:val="center"/>
            <w:hideMark/>
          </w:tcPr>
          <w:p w14:paraId="2E0F0536" w14:textId="77777777" w:rsidR="00ED7387" w:rsidRPr="00B41E66" w:rsidRDefault="00ED7387">
            <w:pPr>
              <w:jc w:val="center"/>
            </w:pPr>
            <w:r w:rsidRPr="00B41E66">
              <w:t>0.04</w:t>
            </w:r>
          </w:p>
        </w:tc>
        <w:tc>
          <w:tcPr>
            <w:tcW w:w="976" w:type="dxa"/>
            <w:tcBorders>
              <w:top w:val="nil"/>
              <w:left w:val="nil"/>
              <w:bottom w:val="nil"/>
              <w:right w:val="nil"/>
            </w:tcBorders>
            <w:shd w:val="clear" w:color="auto" w:fill="auto"/>
            <w:noWrap/>
            <w:vAlign w:val="center"/>
            <w:hideMark/>
          </w:tcPr>
          <w:p w14:paraId="1147B619" w14:textId="77777777" w:rsidR="00ED7387" w:rsidRPr="00B41E66" w:rsidRDefault="00ED7387">
            <w:pPr>
              <w:jc w:val="center"/>
            </w:pPr>
            <w:r w:rsidRPr="00B41E66">
              <w:t>0.06</w:t>
            </w:r>
          </w:p>
        </w:tc>
        <w:tc>
          <w:tcPr>
            <w:tcW w:w="976" w:type="dxa"/>
            <w:tcBorders>
              <w:top w:val="nil"/>
              <w:left w:val="nil"/>
              <w:bottom w:val="nil"/>
              <w:right w:val="nil"/>
            </w:tcBorders>
            <w:shd w:val="clear" w:color="auto" w:fill="auto"/>
            <w:noWrap/>
            <w:vAlign w:val="center"/>
            <w:hideMark/>
          </w:tcPr>
          <w:p w14:paraId="07218985" w14:textId="77777777" w:rsidR="00ED7387" w:rsidRPr="00B41E66" w:rsidRDefault="00ED7387">
            <w:pPr>
              <w:jc w:val="center"/>
            </w:pPr>
            <w:r w:rsidRPr="00B41E66">
              <w:t>0.01</w:t>
            </w:r>
          </w:p>
        </w:tc>
        <w:tc>
          <w:tcPr>
            <w:tcW w:w="1268" w:type="dxa"/>
            <w:tcBorders>
              <w:top w:val="nil"/>
              <w:left w:val="nil"/>
              <w:bottom w:val="nil"/>
              <w:right w:val="single" w:sz="12" w:space="0" w:color="auto"/>
            </w:tcBorders>
            <w:shd w:val="clear" w:color="auto" w:fill="auto"/>
            <w:noWrap/>
            <w:vAlign w:val="center"/>
            <w:hideMark/>
          </w:tcPr>
          <w:p w14:paraId="2CA55BC7" w14:textId="77777777" w:rsidR="00ED7387" w:rsidRPr="00B41E66" w:rsidRDefault="00ED7387">
            <w:pPr>
              <w:jc w:val="center"/>
            </w:pPr>
            <w:r w:rsidRPr="00B41E66">
              <w:t>0</w:t>
            </w:r>
          </w:p>
        </w:tc>
      </w:tr>
      <w:tr w:rsidR="00ED7387" w:rsidRPr="00B41E66" w14:paraId="5CB9F55D" w14:textId="77777777" w:rsidTr="00ED7387">
        <w:trPr>
          <w:trHeight w:val="375"/>
        </w:trPr>
        <w:tc>
          <w:tcPr>
            <w:tcW w:w="3080" w:type="dxa"/>
            <w:tcBorders>
              <w:top w:val="nil"/>
              <w:left w:val="single" w:sz="12" w:space="0" w:color="auto"/>
              <w:bottom w:val="nil"/>
              <w:right w:val="nil"/>
            </w:tcBorders>
            <w:shd w:val="clear" w:color="auto" w:fill="auto"/>
            <w:vAlign w:val="center"/>
            <w:hideMark/>
          </w:tcPr>
          <w:p w14:paraId="569C5355" w14:textId="77777777" w:rsidR="00ED7387" w:rsidRPr="00B41E66" w:rsidRDefault="00ED7387">
            <w:pPr>
              <w:jc w:val="both"/>
              <w:rPr>
                <w:color w:val="0000FF"/>
              </w:rPr>
            </w:pPr>
            <w:r w:rsidRPr="00B41E66">
              <w:rPr>
                <w:color w:val="0000FF"/>
              </w:rPr>
              <w:t>Beta (former year)</w:t>
            </w:r>
          </w:p>
        </w:tc>
        <w:tc>
          <w:tcPr>
            <w:tcW w:w="968" w:type="dxa"/>
            <w:tcBorders>
              <w:top w:val="nil"/>
              <w:left w:val="single" w:sz="8" w:space="0" w:color="auto"/>
              <w:bottom w:val="nil"/>
              <w:right w:val="nil"/>
            </w:tcBorders>
            <w:shd w:val="clear" w:color="auto" w:fill="auto"/>
            <w:noWrap/>
            <w:vAlign w:val="bottom"/>
            <w:hideMark/>
          </w:tcPr>
          <w:p w14:paraId="4635C7C2" w14:textId="77777777" w:rsidR="00ED7387" w:rsidRPr="00B41E66" w:rsidRDefault="00ED7387">
            <w:pPr>
              <w:jc w:val="center"/>
              <w:rPr>
                <w:color w:val="0000FF"/>
              </w:rPr>
            </w:pPr>
            <w:r w:rsidRPr="00B41E66">
              <w:rPr>
                <w:color w:val="0000FF"/>
              </w:rPr>
              <w:t>0.83</w:t>
            </w:r>
          </w:p>
        </w:tc>
        <w:tc>
          <w:tcPr>
            <w:tcW w:w="976" w:type="dxa"/>
            <w:tcBorders>
              <w:top w:val="nil"/>
              <w:left w:val="nil"/>
              <w:bottom w:val="nil"/>
              <w:right w:val="nil"/>
            </w:tcBorders>
            <w:shd w:val="clear" w:color="auto" w:fill="auto"/>
            <w:noWrap/>
            <w:vAlign w:val="bottom"/>
            <w:hideMark/>
          </w:tcPr>
          <w:p w14:paraId="183D3C30" w14:textId="77777777" w:rsidR="00ED7387" w:rsidRPr="00B41E66" w:rsidRDefault="00ED7387">
            <w:pPr>
              <w:jc w:val="center"/>
              <w:rPr>
                <w:color w:val="0000FF"/>
              </w:rPr>
            </w:pPr>
            <w:r w:rsidRPr="00B41E66">
              <w:rPr>
                <w:color w:val="0000FF"/>
              </w:rPr>
              <w:t>1.26</w:t>
            </w:r>
          </w:p>
        </w:tc>
        <w:tc>
          <w:tcPr>
            <w:tcW w:w="976" w:type="dxa"/>
            <w:tcBorders>
              <w:top w:val="nil"/>
              <w:left w:val="nil"/>
              <w:bottom w:val="nil"/>
              <w:right w:val="nil"/>
            </w:tcBorders>
            <w:shd w:val="clear" w:color="auto" w:fill="auto"/>
            <w:noWrap/>
            <w:vAlign w:val="bottom"/>
            <w:hideMark/>
          </w:tcPr>
          <w:p w14:paraId="003AC7B2" w14:textId="77777777" w:rsidR="00ED7387" w:rsidRPr="00B41E66" w:rsidRDefault="00ED7387">
            <w:pPr>
              <w:jc w:val="center"/>
              <w:rPr>
                <w:color w:val="0000FF"/>
              </w:rPr>
            </w:pPr>
            <w:r w:rsidRPr="00B41E66">
              <w:rPr>
                <w:color w:val="0000FF"/>
              </w:rPr>
              <w:t>0.43</w:t>
            </w:r>
          </w:p>
        </w:tc>
        <w:tc>
          <w:tcPr>
            <w:tcW w:w="1268" w:type="dxa"/>
            <w:tcBorders>
              <w:top w:val="nil"/>
              <w:left w:val="nil"/>
              <w:bottom w:val="nil"/>
              <w:right w:val="single" w:sz="12" w:space="0" w:color="auto"/>
            </w:tcBorders>
            <w:shd w:val="clear" w:color="auto" w:fill="auto"/>
            <w:noWrap/>
            <w:vAlign w:val="bottom"/>
            <w:hideMark/>
          </w:tcPr>
          <w:p w14:paraId="6A0BAB5D" w14:textId="77777777" w:rsidR="00ED7387" w:rsidRPr="00B41E66" w:rsidRDefault="00ED7387">
            <w:pPr>
              <w:jc w:val="center"/>
              <w:rPr>
                <w:color w:val="0000FF"/>
              </w:rPr>
            </w:pPr>
            <w:r w:rsidRPr="00B41E66">
              <w:rPr>
                <w:color w:val="0000FF"/>
              </w:rPr>
              <w:t>0.00</w:t>
            </w:r>
          </w:p>
        </w:tc>
      </w:tr>
      <w:tr w:rsidR="00ED7387" w:rsidRPr="00B41E66" w14:paraId="2A96882B" w14:textId="77777777" w:rsidTr="00ED7387">
        <w:trPr>
          <w:trHeight w:hRule="exact" w:val="390"/>
        </w:trPr>
        <w:tc>
          <w:tcPr>
            <w:tcW w:w="3080" w:type="dxa"/>
            <w:tcBorders>
              <w:top w:val="nil"/>
              <w:left w:val="single" w:sz="12" w:space="0" w:color="auto"/>
              <w:bottom w:val="single" w:sz="12" w:space="0" w:color="auto"/>
              <w:right w:val="nil"/>
            </w:tcBorders>
            <w:shd w:val="clear" w:color="auto" w:fill="auto"/>
            <w:vAlign w:val="center"/>
            <w:hideMark/>
          </w:tcPr>
          <w:p w14:paraId="6506CC32" w14:textId="77777777" w:rsidR="00ED7387" w:rsidRPr="00B41E66" w:rsidRDefault="00ED7387">
            <w:pPr>
              <w:jc w:val="both"/>
            </w:pPr>
            <w:r w:rsidRPr="00B41E66">
              <w:t>Observations.</w:t>
            </w:r>
          </w:p>
        </w:tc>
        <w:tc>
          <w:tcPr>
            <w:tcW w:w="968" w:type="dxa"/>
            <w:tcBorders>
              <w:top w:val="nil"/>
              <w:left w:val="single" w:sz="8" w:space="0" w:color="auto"/>
              <w:bottom w:val="single" w:sz="12" w:space="0" w:color="auto"/>
              <w:right w:val="nil"/>
            </w:tcBorders>
            <w:shd w:val="clear" w:color="auto" w:fill="auto"/>
            <w:noWrap/>
            <w:vAlign w:val="center"/>
            <w:hideMark/>
          </w:tcPr>
          <w:p w14:paraId="50D48B15" w14:textId="77777777" w:rsidR="00ED7387" w:rsidRPr="00B41E66" w:rsidRDefault="00ED7387">
            <w:pPr>
              <w:jc w:val="center"/>
            </w:pPr>
            <w:r w:rsidRPr="00B41E66">
              <w:t>75</w:t>
            </w:r>
          </w:p>
        </w:tc>
        <w:tc>
          <w:tcPr>
            <w:tcW w:w="976" w:type="dxa"/>
            <w:tcBorders>
              <w:top w:val="nil"/>
              <w:left w:val="nil"/>
              <w:bottom w:val="single" w:sz="12" w:space="0" w:color="auto"/>
              <w:right w:val="nil"/>
            </w:tcBorders>
            <w:shd w:val="clear" w:color="auto" w:fill="auto"/>
            <w:noWrap/>
            <w:vAlign w:val="center"/>
            <w:hideMark/>
          </w:tcPr>
          <w:p w14:paraId="04E87435" w14:textId="77777777" w:rsidR="00ED7387" w:rsidRPr="00B41E66" w:rsidRDefault="00ED7387">
            <w:pPr>
              <w:jc w:val="center"/>
            </w:pPr>
            <w:r w:rsidRPr="00B41E66">
              <w:t>72</w:t>
            </w:r>
          </w:p>
        </w:tc>
        <w:tc>
          <w:tcPr>
            <w:tcW w:w="976" w:type="dxa"/>
            <w:tcBorders>
              <w:top w:val="nil"/>
              <w:left w:val="nil"/>
              <w:bottom w:val="single" w:sz="12" w:space="0" w:color="auto"/>
              <w:right w:val="nil"/>
            </w:tcBorders>
            <w:shd w:val="clear" w:color="auto" w:fill="auto"/>
            <w:noWrap/>
            <w:vAlign w:val="center"/>
            <w:hideMark/>
          </w:tcPr>
          <w:p w14:paraId="64BEC4FB" w14:textId="77777777" w:rsidR="00ED7387" w:rsidRPr="00B41E66" w:rsidRDefault="00ED7387">
            <w:pPr>
              <w:jc w:val="center"/>
            </w:pPr>
            <w:r w:rsidRPr="00B41E66">
              <w:t> </w:t>
            </w:r>
          </w:p>
        </w:tc>
        <w:tc>
          <w:tcPr>
            <w:tcW w:w="1268" w:type="dxa"/>
            <w:tcBorders>
              <w:top w:val="nil"/>
              <w:left w:val="nil"/>
              <w:bottom w:val="single" w:sz="12" w:space="0" w:color="auto"/>
              <w:right w:val="single" w:sz="12" w:space="0" w:color="auto"/>
            </w:tcBorders>
            <w:shd w:val="clear" w:color="auto" w:fill="auto"/>
            <w:noWrap/>
            <w:vAlign w:val="center"/>
            <w:hideMark/>
          </w:tcPr>
          <w:p w14:paraId="0597C613" w14:textId="77777777" w:rsidR="00ED7387" w:rsidRPr="00B41E66" w:rsidRDefault="00ED7387">
            <w:pPr>
              <w:jc w:val="center"/>
            </w:pPr>
            <w:r w:rsidRPr="00B41E66">
              <w:t> </w:t>
            </w:r>
          </w:p>
        </w:tc>
      </w:tr>
    </w:tbl>
    <w:p w14:paraId="1A4E98CF" w14:textId="77777777" w:rsidR="00BD64AD" w:rsidRPr="00B41E66" w:rsidRDefault="00BD64AD" w:rsidP="00BD64AD">
      <w:pPr>
        <w:pStyle w:val="Default"/>
        <w:spacing w:line="360" w:lineRule="auto"/>
        <w:jc w:val="both"/>
        <w:rPr>
          <w:color w:val="auto"/>
        </w:rPr>
      </w:pPr>
    </w:p>
    <w:p w14:paraId="5448F4F2" w14:textId="77777777" w:rsidR="00BD64AD" w:rsidRPr="00B41E66" w:rsidRDefault="00BD64AD" w:rsidP="00570947">
      <w:pPr>
        <w:spacing w:after="200"/>
        <w:jc w:val="both"/>
        <w:rPr>
          <w:b/>
          <w:bCs/>
        </w:rPr>
      </w:pPr>
      <w:r w:rsidRPr="00B41E66">
        <w:rPr>
          <w:b/>
          <w:bCs/>
        </w:rPr>
        <w:t xml:space="preserve">Panel D: Absolute </w:t>
      </w:r>
      <w:r w:rsidR="00D14107" w:rsidRPr="00B41E66">
        <w:rPr>
          <w:b/>
          <w:bCs/>
        </w:rPr>
        <w:t>Tweet V</w:t>
      </w:r>
      <w:r w:rsidRPr="00B41E66">
        <w:rPr>
          <w:b/>
          <w:bCs/>
        </w:rPr>
        <w:t xml:space="preserve">olume per </w:t>
      </w:r>
      <w:r w:rsidR="00D14107" w:rsidRPr="00B41E66">
        <w:rPr>
          <w:b/>
          <w:bCs/>
        </w:rPr>
        <w:t>F</w:t>
      </w:r>
      <w:r w:rsidRPr="00B41E66">
        <w:rPr>
          <w:b/>
          <w:bCs/>
        </w:rPr>
        <w:t xml:space="preserve">irm </w:t>
      </w:r>
      <w:r w:rsidR="00D14107" w:rsidRPr="00B41E66">
        <w:rPr>
          <w:b/>
          <w:bCs/>
        </w:rPr>
        <w:t>S</w:t>
      </w:r>
      <w:r w:rsidRPr="00B41E66">
        <w:rPr>
          <w:b/>
          <w:bCs/>
        </w:rPr>
        <w:t>ize</w:t>
      </w:r>
    </w:p>
    <w:tbl>
      <w:tblPr>
        <w:tblW w:w="6203" w:type="dxa"/>
        <w:tblLook w:val="04A0" w:firstRow="1" w:lastRow="0" w:firstColumn="1" w:lastColumn="0" w:noHBand="0" w:noVBand="1"/>
      </w:tblPr>
      <w:tblGrid>
        <w:gridCol w:w="2933"/>
        <w:gridCol w:w="803"/>
        <w:gridCol w:w="1080"/>
        <w:gridCol w:w="1944"/>
      </w:tblGrid>
      <w:tr w:rsidR="00BD64AD" w:rsidRPr="00B41E66" w14:paraId="16FCB6D6" w14:textId="77777777" w:rsidTr="00D0463C">
        <w:trPr>
          <w:trHeight w:hRule="exact" w:val="312"/>
        </w:trPr>
        <w:tc>
          <w:tcPr>
            <w:tcW w:w="2933" w:type="dxa"/>
            <w:tcBorders>
              <w:top w:val="single" w:sz="12" w:space="0" w:color="auto"/>
              <w:left w:val="single" w:sz="12" w:space="0" w:color="auto"/>
              <w:bottom w:val="single" w:sz="4" w:space="0" w:color="auto"/>
              <w:right w:val="single" w:sz="4" w:space="0" w:color="auto"/>
            </w:tcBorders>
            <w:shd w:val="clear" w:color="auto" w:fill="auto"/>
            <w:vAlign w:val="bottom"/>
            <w:hideMark/>
          </w:tcPr>
          <w:p w14:paraId="0DE9C727" w14:textId="77777777" w:rsidR="00BD64AD" w:rsidRPr="00B41E66" w:rsidRDefault="00BD64AD" w:rsidP="00072BD4">
            <w:pPr>
              <w:jc w:val="center"/>
              <w:rPr>
                <w:b/>
                <w:bCs/>
                <w:color w:val="000000"/>
                <w:lang w:bidi="he-IL"/>
              </w:rPr>
            </w:pPr>
            <w:r w:rsidRPr="00B41E66">
              <w:rPr>
                <w:b/>
                <w:bCs/>
                <w:color w:val="000000"/>
              </w:rPr>
              <w:t xml:space="preserve">Absolute Tweet </w:t>
            </w:r>
            <w:r w:rsidR="00D14107" w:rsidRPr="00B41E66">
              <w:rPr>
                <w:b/>
                <w:bCs/>
                <w:color w:val="000000"/>
              </w:rPr>
              <w:t>V</w:t>
            </w:r>
            <w:r w:rsidRPr="00B41E66">
              <w:rPr>
                <w:b/>
                <w:bCs/>
                <w:color w:val="000000"/>
              </w:rPr>
              <w:t>olume</w:t>
            </w:r>
          </w:p>
        </w:tc>
        <w:tc>
          <w:tcPr>
            <w:tcW w:w="246" w:type="dxa"/>
            <w:tcBorders>
              <w:top w:val="single" w:sz="12" w:space="0" w:color="auto"/>
              <w:left w:val="nil"/>
              <w:bottom w:val="single" w:sz="4" w:space="0" w:color="auto"/>
              <w:right w:val="single" w:sz="4" w:space="0" w:color="auto"/>
            </w:tcBorders>
            <w:shd w:val="clear" w:color="auto" w:fill="auto"/>
            <w:vAlign w:val="bottom"/>
            <w:hideMark/>
          </w:tcPr>
          <w:p w14:paraId="5C89D179" w14:textId="77777777" w:rsidR="00BD64AD" w:rsidRPr="00B41E66" w:rsidRDefault="00BD64AD" w:rsidP="00C06F20">
            <w:pPr>
              <w:jc w:val="center"/>
              <w:rPr>
                <w:b/>
                <w:bCs/>
                <w:color w:val="000000"/>
              </w:rPr>
            </w:pPr>
            <w:r w:rsidRPr="00B41E66">
              <w:rPr>
                <w:b/>
                <w:bCs/>
                <w:color w:val="000000"/>
              </w:rPr>
              <w:t xml:space="preserve">Small </w:t>
            </w:r>
          </w:p>
        </w:tc>
        <w:tc>
          <w:tcPr>
            <w:tcW w:w="1080" w:type="dxa"/>
            <w:tcBorders>
              <w:top w:val="single" w:sz="12" w:space="0" w:color="auto"/>
              <w:left w:val="nil"/>
              <w:bottom w:val="single" w:sz="4" w:space="0" w:color="auto"/>
              <w:right w:val="single" w:sz="4" w:space="0" w:color="auto"/>
            </w:tcBorders>
            <w:shd w:val="clear" w:color="auto" w:fill="auto"/>
            <w:vAlign w:val="bottom"/>
            <w:hideMark/>
          </w:tcPr>
          <w:p w14:paraId="2E35F28A" w14:textId="77777777" w:rsidR="00BD64AD" w:rsidRPr="00B41E66" w:rsidRDefault="00BD64AD" w:rsidP="00C06F20">
            <w:pPr>
              <w:jc w:val="center"/>
              <w:rPr>
                <w:b/>
                <w:bCs/>
                <w:color w:val="000000"/>
              </w:rPr>
            </w:pPr>
            <w:r w:rsidRPr="00B41E66">
              <w:rPr>
                <w:b/>
                <w:bCs/>
                <w:color w:val="000000"/>
              </w:rPr>
              <w:t xml:space="preserve">Large </w:t>
            </w:r>
          </w:p>
        </w:tc>
        <w:tc>
          <w:tcPr>
            <w:tcW w:w="1944" w:type="dxa"/>
            <w:tcBorders>
              <w:top w:val="single" w:sz="12" w:space="0" w:color="auto"/>
              <w:left w:val="nil"/>
              <w:bottom w:val="single" w:sz="4" w:space="0" w:color="auto"/>
              <w:right w:val="single" w:sz="12" w:space="0" w:color="auto"/>
            </w:tcBorders>
            <w:shd w:val="clear" w:color="auto" w:fill="auto"/>
            <w:vAlign w:val="bottom"/>
            <w:hideMark/>
          </w:tcPr>
          <w:p w14:paraId="66A65AF8" w14:textId="77777777" w:rsidR="00BD64AD" w:rsidRPr="00B41E66" w:rsidRDefault="00BD64AD" w:rsidP="00D14107">
            <w:pPr>
              <w:jc w:val="center"/>
              <w:rPr>
                <w:b/>
                <w:bCs/>
                <w:color w:val="000000"/>
              </w:rPr>
            </w:pPr>
            <w:r w:rsidRPr="00B41E66">
              <w:rPr>
                <w:b/>
                <w:bCs/>
                <w:color w:val="000000"/>
              </w:rPr>
              <w:t>P</w:t>
            </w:r>
            <w:r w:rsidR="00D14107" w:rsidRPr="00B41E66">
              <w:rPr>
                <w:b/>
                <w:bCs/>
                <w:color w:val="000000"/>
              </w:rPr>
              <w:t>-</w:t>
            </w:r>
            <w:r w:rsidRPr="00B41E66">
              <w:rPr>
                <w:b/>
                <w:bCs/>
                <w:color w:val="000000"/>
              </w:rPr>
              <w:t xml:space="preserve">value </w:t>
            </w:r>
          </w:p>
        </w:tc>
      </w:tr>
      <w:tr w:rsidR="00BD64AD" w:rsidRPr="00B41E66" w14:paraId="656F7408" w14:textId="77777777" w:rsidTr="00D0463C">
        <w:trPr>
          <w:trHeight w:hRule="exact" w:val="312"/>
        </w:trPr>
        <w:tc>
          <w:tcPr>
            <w:tcW w:w="2933" w:type="dxa"/>
            <w:tcBorders>
              <w:top w:val="nil"/>
              <w:left w:val="single" w:sz="12" w:space="0" w:color="auto"/>
              <w:bottom w:val="single" w:sz="4" w:space="0" w:color="auto"/>
              <w:right w:val="single" w:sz="4" w:space="0" w:color="auto"/>
            </w:tcBorders>
            <w:shd w:val="clear" w:color="auto" w:fill="auto"/>
            <w:noWrap/>
            <w:vAlign w:val="bottom"/>
            <w:hideMark/>
          </w:tcPr>
          <w:p w14:paraId="77FEE1F1" w14:textId="77777777" w:rsidR="00BD64AD" w:rsidRPr="00B41E66" w:rsidRDefault="00BD64AD" w:rsidP="00C06F20">
            <w:pPr>
              <w:rPr>
                <w:color w:val="000000"/>
              </w:rPr>
            </w:pPr>
            <w:r w:rsidRPr="00B41E66">
              <w:rPr>
                <w:color w:val="000000"/>
              </w:rPr>
              <w:t>IPO Year -1</w:t>
            </w:r>
          </w:p>
        </w:tc>
        <w:tc>
          <w:tcPr>
            <w:tcW w:w="246" w:type="dxa"/>
            <w:tcBorders>
              <w:top w:val="nil"/>
              <w:left w:val="nil"/>
              <w:bottom w:val="single" w:sz="4" w:space="0" w:color="auto"/>
              <w:right w:val="single" w:sz="4" w:space="0" w:color="auto"/>
            </w:tcBorders>
            <w:shd w:val="clear" w:color="auto" w:fill="auto"/>
            <w:noWrap/>
            <w:vAlign w:val="bottom"/>
            <w:hideMark/>
          </w:tcPr>
          <w:p w14:paraId="082ECF38" w14:textId="77777777" w:rsidR="00BD64AD" w:rsidRPr="00B41E66" w:rsidRDefault="00BD64AD" w:rsidP="00C06F20">
            <w:pPr>
              <w:jc w:val="center"/>
              <w:rPr>
                <w:color w:val="000000"/>
              </w:rPr>
            </w:pPr>
            <w:r w:rsidRPr="00B41E66">
              <w:rPr>
                <w:color w:val="000000"/>
              </w:rPr>
              <w:t>310</w:t>
            </w:r>
          </w:p>
        </w:tc>
        <w:tc>
          <w:tcPr>
            <w:tcW w:w="1080" w:type="dxa"/>
            <w:tcBorders>
              <w:top w:val="nil"/>
              <w:left w:val="nil"/>
              <w:bottom w:val="single" w:sz="4" w:space="0" w:color="auto"/>
              <w:right w:val="single" w:sz="4" w:space="0" w:color="auto"/>
            </w:tcBorders>
            <w:shd w:val="clear" w:color="auto" w:fill="auto"/>
            <w:noWrap/>
            <w:vAlign w:val="bottom"/>
            <w:hideMark/>
          </w:tcPr>
          <w:p w14:paraId="06D043C8" w14:textId="77777777" w:rsidR="00BD64AD" w:rsidRPr="00B41E66" w:rsidRDefault="00BD64AD" w:rsidP="00C06F20">
            <w:pPr>
              <w:jc w:val="center"/>
              <w:rPr>
                <w:color w:val="000000"/>
              </w:rPr>
            </w:pPr>
            <w:r w:rsidRPr="00B41E66">
              <w:rPr>
                <w:color w:val="000000"/>
              </w:rPr>
              <w:t>474</w:t>
            </w:r>
          </w:p>
        </w:tc>
        <w:tc>
          <w:tcPr>
            <w:tcW w:w="1944" w:type="dxa"/>
            <w:tcBorders>
              <w:top w:val="nil"/>
              <w:left w:val="nil"/>
              <w:bottom w:val="single" w:sz="4" w:space="0" w:color="auto"/>
              <w:right w:val="single" w:sz="12" w:space="0" w:color="auto"/>
            </w:tcBorders>
            <w:shd w:val="clear" w:color="auto" w:fill="auto"/>
            <w:noWrap/>
            <w:vAlign w:val="bottom"/>
            <w:hideMark/>
          </w:tcPr>
          <w:p w14:paraId="7EC4F81D" w14:textId="77777777" w:rsidR="00BD64AD" w:rsidRPr="00B41E66" w:rsidRDefault="00BD64AD" w:rsidP="00C06F20">
            <w:pPr>
              <w:jc w:val="center"/>
              <w:rPr>
                <w:color w:val="000000"/>
              </w:rPr>
            </w:pPr>
            <w:r w:rsidRPr="00B41E66">
              <w:rPr>
                <w:color w:val="000000"/>
              </w:rPr>
              <w:t>0.01</w:t>
            </w:r>
          </w:p>
        </w:tc>
      </w:tr>
      <w:tr w:rsidR="00BD64AD" w:rsidRPr="00B41E66" w14:paraId="0E896204" w14:textId="77777777" w:rsidTr="00D0463C">
        <w:trPr>
          <w:trHeight w:hRule="exact" w:val="312"/>
        </w:trPr>
        <w:tc>
          <w:tcPr>
            <w:tcW w:w="2933" w:type="dxa"/>
            <w:tcBorders>
              <w:top w:val="nil"/>
              <w:left w:val="single" w:sz="12" w:space="0" w:color="auto"/>
              <w:bottom w:val="single" w:sz="4" w:space="0" w:color="auto"/>
              <w:right w:val="single" w:sz="4" w:space="0" w:color="auto"/>
            </w:tcBorders>
            <w:shd w:val="clear" w:color="auto" w:fill="auto"/>
            <w:noWrap/>
            <w:vAlign w:val="bottom"/>
            <w:hideMark/>
          </w:tcPr>
          <w:p w14:paraId="7FC34EB7" w14:textId="77777777" w:rsidR="00BD64AD" w:rsidRPr="00B41E66" w:rsidRDefault="00BD64AD" w:rsidP="00D14107">
            <w:pPr>
              <w:rPr>
                <w:color w:val="000000"/>
              </w:rPr>
            </w:pPr>
            <w:r w:rsidRPr="00B41E66">
              <w:rPr>
                <w:color w:val="000000"/>
              </w:rPr>
              <w:t xml:space="preserve">IPO </w:t>
            </w:r>
            <w:r w:rsidR="00D14107" w:rsidRPr="00B41E66">
              <w:rPr>
                <w:color w:val="000000"/>
              </w:rPr>
              <w:t>Y</w:t>
            </w:r>
            <w:r w:rsidRPr="00B41E66">
              <w:rPr>
                <w:color w:val="000000"/>
              </w:rPr>
              <w:t>ear</w:t>
            </w:r>
          </w:p>
        </w:tc>
        <w:tc>
          <w:tcPr>
            <w:tcW w:w="246" w:type="dxa"/>
            <w:tcBorders>
              <w:top w:val="nil"/>
              <w:left w:val="nil"/>
              <w:bottom w:val="single" w:sz="4" w:space="0" w:color="auto"/>
              <w:right w:val="single" w:sz="4" w:space="0" w:color="auto"/>
            </w:tcBorders>
            <w:shd w:val="clear" w:color="auto" w:fill="auto"/>
            <w:noWrap/>
            <w:vAlign w:val="bottom"/>
            <w:hideMark/>
          </w:tcPr>
          <w:p w14:paraId="02AFAD55" w14:textId="77777777" w:rsidR="00BD64AD" w:rsidRPr="00B41E66" w:rsidRDefault="00BD64AD" w:rsidP="00C06F20">
            <w:pPr>
              <w:jc w:val="center"/>
              <w:rPr>
                <w:color w:val="000000"/>
              </w:rPr>
            </w:pPr>
            <w:r w:rsidRPr="00B41E66">
              <w:rPr>
                <w:color w:val="000000"/>
              </w:rPr>
              <w:t>2,068</w:t>
            </w:r>
          </w:p>
        </w:tc>
        <w:tc>
          <w:tcPr>
            <w:tcW w:w="1080" w:type="dxa"/>
            <w:tcBorders>
              <w:top w:val="nil"/>
              <w:left w:val="nil"/>
              <w:bottom w:val="single" w:sz="4" w:space="0" w:color="auto"/>
              <w:right w:val="single" w:sz="4" w:space="0" w:color="auto"/>
            </w:tcBorders>
            <w:shd w:val="clear" w:color="auto" w:fill="auto"/>
            <w:noWrap/>
            <w:vAlign w:val="bottom"/>
            <w:hideMark/>
          </w:tcPr>
          <w:p w14:paraId="28994A41" w14:textId="77777777" w:rsidR="00BD64AD" w:rsidRPr="00B41E66" w:rsidRDefault="00BD64AD" w:rsidP="00C06F20">
            <w:pPr>
              <w:jc w:val="center"/>
              <w:rPr>
                <w:color w:val="000000"/>
              </w:rPr>
            </w:pPr>
            <w:r w:rsidRPr="00B41E66">
              <w:rPr>
                <w:color w:val="000000"/>
              </w:rPr>
              <w:t>2,636</w:t>
            </w:r>
          </w:p>
        </w:tc>
        <w:tc>
          <w:tcPr>
            <w:tcW w:w="1944" w:type="dxa"/>
            <w:tcBorders>
              <w:top w:val="nil"/>
              <w:left w:val="nil"/>
              <w:bottom w:val="single" w:sz="4" w:space="0" w:color="auto"/>
              <w:right w:val="single" w:sz="12" w:space="0" w:color="auto"/>
            </w:tcBorders>
            <w:shd w:val="clear" w:color="auto" w:fill="auto"/>
            <w:noWrap/>
            <w:vAlign w:val="bottom"/>
            <w:hideMark/>
          </w:tcPr>
          <w:p w14:paraId="1BC2782F" w14:textId="77777777" w:rsidR="00BD64AD" w:rsidRPr="00B41E66" w:rsidRDefault="00BD64AD" w:rsidP="00C06F20">
            <w:pPr>
              <w:jc w:val="center"/>
              <w:rPr>
                <w:color w:val="000000"/>
              </w:rPr>
            </w:pPr>
            <w:r w:rsidRPr="00B41E66">
              <w:rPr>
                <w:color w:val="000000"/>
              </w:rPr>
              <w:t>0.07</w:t>
            </w:r>
          </w:p>
        </w:tc>
      </w:tr>
      <w:tr w:rsidR="00BD64AD" w:rsidRPr="00B41E66" w14:paraId="14049E3A" w14:textId="77777777" w:rsidTr="00D0463C">
        <w:trPr>
          <w:trHeight w:hRule="exact" w:val="312"/>
        </w:trPr>
        <w:tc>
          <w:tcPr>
            <w:tcW w:w="2933" w:type="dxa"/>
            <w:tcBorders>
              <w:top w:val="nil"/>
              <w:left w:val="single" w:sz="12" w:space="0" w:color="auto"/>
              <w:bottom w:val="single" w:sz="4" w:space="0" w:color="auto"/>
              <w:right w:val="single" w:sz="4" w:space="0" w:color="auto"/>
            </w:tcBorders>
            <w:shd w:val="clear" w:color="auto" w:fill="auto"/>
            <w:noWrap/>
            <w:vAlign w:val="bottom"/>
            <w:hideMark/>
          </w:tcPr>
          <w:p w14:paraId="4781FD1C" w14:textId="77777777" w:rsidR="00BD64AD" w:rsidRPr="00B41E66" w:rsidRDefault="00BD64AD" w:rsidP="0052722C">
            <w:pPr>
              <w:rPr>
                <w:color w:val="000000"/>
              </w:rPr>
            </w:pPr>
            <w:r w:rsidRPr="00B41E66">
              <w:rPr>
                <w:color w:val="000000"/>
              </w:rPr>
              <w:t xml:space="preserve">IPO </w:t>
            </w:r>
            <w:r w:rsidR="00D14107" w:rsidRPr="00B41E66">
              <w:rPr>
                <w:color w:val="000000"/>
              </w:rPr>
              <w:t>Y</w:t>
            </w:r>
            <w:r w:rsidRPr="00B41E66">
              <w:rPr>
                <w:color w:val="000000"/>
              </w:rPr>
              <w:t>ear+1</w:t>
            </w:r>
          </w:p>
        </w:tc>
        <w:tc>
          <w:tcPr>
            <w:tcW w:w="246" w:type="dxa"/>
            <w:tcBorders>
              <w:top w:val="nil"/>
              <w:left w:val="nil"/>
              <w:bottom w:val="single" w:sz="4" w:space="0" w:color="auto"/>
              <w:right w:val="single" w:sz="4" w:space="0" w:color="auto"/>
            </w:tcBorders>
            <w:shd w:val="clear" w:color="auto" w:fill="auto"/>
            <w:noWrap/>
            <w:vAlign w:val="bottom"/>
            <w:hideMark/>
          </w:tcPr>
          <w:p w14:paraId="60D7E3DA" w14:textId="77777777" w:rsidR="00BD64AD" w:rsidRPr="00B41E66" w:rsidRDefault="00BD64AD" w:rsidP="00C06F20">
            <w:pPr>
              <w:jc w:val="center"/>
              <w:rPr>
                <w:color w:val="000000"/>
              </w:rPr>
            </w:pPr>
            <w:r w:rsidRPr="00B41E66">
              <w:rPr>
                <w:color w:val="000000"/>
              </w:rPr>
              <w:t>3,063</w:t>
            </w:r>
          </w:p>
        </w:tc>
        <w:tc>
          <w:tcPr>
            <w:tcW w:w="1080" w:type="dxa"/>
            <w:tcBorders>
              <w:top w:val="nil"/>
              <w:left w:val="nil"/>
              <w:bottom w:val="single" w:sz="4" w:space="0" w:color="auto"/>
              <w:right w:val="single" w:sz="4" w:space="0" w:color="auto"/>
            </w:tcBorders>
            <w:shd w:val="clear" w:color="auto" w:fill="auto"/>
            <w:noWrap/>
            <w:vAlign w:val="bottom"/>
            <w:hideMark/>
          </w:tcPr>
          <w:p w14:paraId="554D0360" w14:textId="77777777" w:rsidR="00BD64AD" w:rsidRPr="00B41E66" w:rsidRDefault="00BD64AD" w:rsidP="00C06F20">
            <w:pPr>
              <w:jc w:val="center"/>
              <w:rPr>
                <w:color w:val="000000"/>
              </w:rPr>
            </w:pPr>
            <w:r w:rsidRPr="00B41E66">
              <w:rPr>
                <w:color w:val="000000"/>
              </w:rPr>
              <w:t>3,135</w:t>
            </w:r>
          </w:p>
        </w:tc>
        <w:tc>
          <w:tcPr>
            <w:tcW w:w="1944" w:type="dxa"/>
            <w:tcBorders>
              <w:top w:val="nil"/>
              <w:left w:val="nil"/>
              <w:bottom w:val="single" w:sz="4" w:space="0" w:color="auto"/>
              <w:right w:val="single" w:sz="12" w:space="0" w:color="auto"/>
            </w:tcBorders>
            <w:shd w:val="clear" w:color="auto" w:fill="auto"/>
            <w:noWrap/>
            <w:vAlign w:val="bottom"/>
            <w:hideMark/>
          </w:tcPr>
          <w:p w14:paraId="06876A45" w14:textId="77777777" w:rsidR="00BD64AD" w:rsidRPr="00B41E66" w:rsidRDefault="00BD64AD" w:rsidP="00C06F20">
            <w:pPr>
              <w:jc w:val="center"/>
              <w:rPr>
                <w:color w:val="000000"/>
              </w:rPr>
            </w:pPr>
            <w:r w:rsidRPr="00B41E66">
              <w:rPr>
                <w:color w:val="000000"/>
              </w:rPr>
              <w:t>0.43</w:t>
            </w:r>
          </w:p>
        </w:tc>
      </w:tr>
      <w:tr w:rsidR="00BD64AD" w:rsidRPr="00B41E66" w14:paraId="4C87D39C" w14:textId="77777777" w:rsidTr="00D0463C">
        <w:trPr>
          <w:trHeight w:hRule="exact" w:val="312"/>
        </w:trPr>
        <w:tc>
          <w:tcPr>
            <w:tcW w:w="2933" w:type="dxa"/>
            <w:tcBorders>
              <w:top w:val="nil"/>
              <w:left w:val="single" w:sz="12" w:space="0" w:color="auto"/>
              <w:bottom w:val="single" w:sz="12" w:space="0" w:color="auto"/>
              <w:right w:val="single" w:sz="4" w:space="0" w:color="auto"/>
            </w:tcBorders>
            <w:shd w:val="clear" w:color="auto" w:fill="auto"/>
            <w:noWrap/>
            <w:vAlign w:val="bottom"/>
            <w:hideMark/>
          </w:tcPr>
          <w:p w14:paraId="1036E3A6" w14:textId="77777777" w:rsidR="00BD64AD" w:rsidRPr="00B41E66" w:rsidRDefault="00BD64AD" w:rsidP="0052722C">
            <w:pPr>
              <w:rPr>
                <w:color w:val="000000"/>
              </w:rPr>
            </w:pPr>
            <w:r w:rsidRPr="00B41E66">
              <w:rPr>
                <w:color w:val="000000"/>
              </w:rPr>
              <w:t xml:space="preserve">IPO </w:t>
            </w:r>
            <w:r w:rsidR="00D14107" w:rsidRPr="00B41E66">
              <w:rPr>
                <w:color w:val="000000"/>
              </w:rPr>
              <w:t>Y</w:t>
            </w:r>
            <w:r w:rsidRPr="00B41E66">
              <w:rPr>
                <w:color w:val="000000"/>
              </w:rPr>
              <w:t>ear+2</w:t>
            </w:r>
          </w:p>
        </w:tc>
        <w:tc>
          <w:tcPr>
            <w:tcW w:w="246" w:type="dxa"/>
            <w:tcBorders>
              <w:top w:val="nil"/>
              <w:left w:val="nil"/>
              <w:bottom w:val="single" w:sz="12" w:space="0" w:color="auto"/>
              <w:right w:val="single" w:sz="4" w:space="0" w:color="auto"/>
            </w:tcBorders>
            <w:shd w:val="clear" w:color="auto" w:fill="auto"/>
            <w:noWrap/>
            <w:vAlign w:val="bottom"/>
            <w:hideMark/>
          </w:tcPr>
          <w:p w14:paraId="24C82336" w14:textId="77777777" w:rsidR="00BD64AD" w:rsidRPr="00B41E66" w:rsidRDefault="00BD64AD" w:rsidP="00C06F20">
            <w:pPr>
              <w:jc w:val="center"/>
              <w:rPr>
                <w:color w:val="000000"/>
              </w:rPr>
            </w:pPr>
            <w:r w:rsidRPr="00B41E66">
              <w:rPr>
                <w:color w:val="000000"/>
              </w:rPr>
              <w:t>3,404</w:t>
            </w:r>
          </w:p>
        </w:tc>
        <w:tc>
          <w:tcPr>
            <w:tcW w:w="1080" w:type="dxa"/>
            <w:tcBorders>
              <w:top w:val="nil"/>
              <w:left w:val="nil"/>
              <w:bottom w:val="single" w:sz="12" w:space="0" w:color="auto"/>
              <w:right w:val="single" w:sz="4" w:space="0" w:color="auto"/>
            </w:tcBorders>
            <w:shd w:val="clear" w:color="auto" w:fill="auto"/>
            <w:noWrap/>
            <w:vAlign w:val="bottom"/>
            <w:hideMark/>
          </w:tcPr>
          <w:p w14:paraId="2CFB822B" w14:textId="77777777" w:rsidR="00BD64AD" w:rsidRPr="00B41E66" w:rsidRDefault="00BD64AD" w:rsidP="00C06F20">
            <w:pPr>
              <w:jc w:val="center"/>
              <w:rPr>
                <w:color w:val="000000"/>
              </w:rPr>
            </w:pPr>
            <w:r w:rsidRPr="00B41E66">
              <w:rPr>
                <w:color w:val="000000"/>
              </w:rPr>
              <w:t>4,001</w:t>
            </w:r>
          </w:p>
        </w:tc>
        <w:tc>
          <w:tcPr>
            <w:tcW w:w="1944" w:type="dxa"/>
            <w:tcBorders>
              <w:top w:val="nil"/>
              <w:left w:val="nil"/>
              <w:bottom w:val="single" w:sz="12" w:space="0" w:color="auto"/>
              <w:right w:val="single" w:sz="12" w:space="0" w:color="auto"/>
            </w:tcBorders>
            <w:shd w:val="clear" w:color="auto" w:fill="auto"/>
            <w:noWrap/>
            <w:vAlign w:val="bottom"/>
            <w:hideMark/>
          </w:tcPr>
          <w:p w14:paraId="47BD8443" w14:textId="77777777" w:rsidR="00BD64AD" w:rsidRPr="00B41E66" w:rsidRDefault="00BD64AD" w:rsidP="00C06F20">
            <w:pPr>
              <w:jc w:val="center"/>
              <w:rPr>
                <w:color w:val="000000"/>
              </w:rPr>
            </w:pPr>
            <w:r w:rsidRPr="00B41E66">
              <w:rPr>
                <w:color w:val="000000"/>
              </w:rPr>
              <w:t>0.20</w:t>
            </w:r>
          </w:p>
        </w:tc>
      </w:tr>
    </w:tbl>
    <w:p w14:paraId="20A203AA" w14:textId="12E2A505" w:rsidR="00BD64AD" w:rsidRPr="00B41E66" w:rsidRDefault="00BD64AD" w:rsidP="00570947">
      <w:pPr>
        <w:jc w:val="both"/>
      </w:pPr>
      <w:r w:rsidRPr="00B41E66">
        <w:t xml:space="preserve">Note: Panels A to C present </w:t>
      </w:r>
      <w:r w:rsidR="00203C56" w:rsidRPr="00B41E66">
        <w:t xml:space="preserve">descriptive statistics of </w:t>
      </w:r>
      <w:r w:rsidRPr="00B41E66">
        <w:t>market variables for the sample firms divided</w:t>
      </w:r>
      <w:r w:rsidR="00D14107" w:rsidRPr="00B41E66">
        <w:t xml:space="preserve"> in</w:t>
      </w:r>
      <w:r w:rsidRPr="00B41E66">
        <w:t xml:space="preserve">to LTV and HTV firms. </w:t>
      </w:r>
      <w:r w:rsidR="00570947" w:rsidRPr="00B41E66">
        <w:rPr>
          <w:color w:val="0000FF"/>
        </w:rPr>
        <w:t>The beta displays in this table estimated using the sector index.</w:t>
      </w:r>
      <w:r w:rsidR="00570947" w:rsidRPr="00B41E66">
        <w:t xml:space="preserve"> </w:t>
      </w:r>
      <w:r w:rsidRPr="00B41E66">
        <w:t xml:space="preserve">Panel D presents absolute annual tweet volume from </w:t>
      </w:r>
      <w:r w:rsidR="00D14107" w:rsidRPr="00B41E66">
        <w:t>one</w:t>
      </w:r>
      <w:r w:rsidRPr="00B41E66">
        <w:t xml:space="preserve"> year before the IPO </w:t>
      </w:r>
      <w:r w:rsidR="00D14107" w:rsidRPr="00B41E66">
        <w:t>through</w:t>
      </w:r>
      <w:r w:rsidRPr="00B41E66">
        <w:t xml:space="preserve"> </w:t>
      </w:r>
      <w:r w:rsidR="0068307D" w:rsidRPr="00B41E66">
        <w:t>three</w:t>
      </w:r>
      <w:r w:rsidRPr="00B41E66">
        <w:t xml:space="preserve"> years after the IPO.</w:t>
      </w:r>
    </w:p>
    <w:p w14:paraId="02734822" w14:textId="77777777" w:rsidR="00074776" w:rsidRPr="00B41E66" w:rsidRDefault="00074776" w:rsidP="00EA42FF">
      <w:pPr>
        <w:spacing w:line="480" w:lineRule="auto"/>
      </w:pPr>
    </w:p>
    <w:p w14:paraId="1BA2FCBF" w14:textId="77777777" w:rsidR="003B2932" w:rsidRPr="00B41E66" w:rsidRDefault="00087F6D" w:rsidP="00EA42FF">
      <w:pPr>
        <w:pStyle w:val="Default"/>
        <w:spacing w:line="480" w:lineRule="auto"/>
        <w:jc w:val="both"/>
        <w:rPr>
          <w:b/>
          <w:bCs/>
          <w:color w:val="auto"/>
          <w:rtl/>
        </w:rPr>
      </w:pPr>
      <w:r w:rsidRPr="00B41E66">
        <w:rPr>
          <w:b/>
          <w:bCs/>
          <w:color w:val="auto"/>
        </w:rPr>
        <w:t>4</w:t>
      </w:r>
      <w:r w:rsidR="003B2932" w:rsidRPr="00B41E66">
        <w:rPr>
          <w:b/>
          <w:bCs/>
          <w:color w:val="auto"/>
        </w:rPr>
        <w:t xml:space="preserve">.3.2 Multivariate </w:t>
      </w:r>
      <w:r w:rsidR="00D14107" w:rsidRPr="00B41E66">
        <w:rPr>
          <w:b/>
          <w:bCs/>
          <w:color w:val="auto"/>
        </w:rPr>
        <w:t>A</w:t>
      </w:r>
      <w:r w:rsidR="003B2932" w:rsidRPr="00B41E66">
        <w:rPr>
          <w:b/>
          <w:bCs/>
          <w:color w:val="auto"/>
        </w:rPr>
        <w:t>nalysis</w:t>
      </w:r>
    </w:p>
    <w:p w14:paraId="56C6EE4D" w14:textId="29F43221" w:rsidR="00F874E4" w:rsidRPr="00B41E66" w:rsidRDefault="00C46741" w:rsidP="00C363E1">
      <w:pPr>
        <w:spacing w:line="480" w:lineRule="auto"/>
      </w:pPr>
      <w:r w:rsidRPr="00B41E66">
        <w:rPr>
          <w:lang w:bidi="he-IL"/>
        </w:rPr>
        <w:t>Considering</w:t>
      </w:r>
      <w:r w:rsidR="00CE6F73" w:rsidRPr="00B41E66">
        <w:rPr>
          <w:lang w:bidi="he-IL"/>
        </w:rPr>
        <w:t xml:space="preserve"> the positive </w:t>
      </w:r>
      <w:r w:rsidR="00D14107" w:rsidRPr="00B41E66">
        <w:rPr>
          <w:lang w:bidi="he-IL"/>
        </w:rPr>
        <w:t>corr</w:t>
      </w:r>
      <w:r w:rsidR="00CE6F73" w:rsidRPr="00B41E66">
        <w:rPr>
          <w:lang w:bidi="he-IL"/>
        </w:rPr>
        <w:t>elation found between annual tweet</w:t>
      </w:r>
      <w:r w:rsidR="006F40F0" w:rsidRPr="00B41E66">
        <w:rPr>
          <w:lang w:bidi="he-IL"/>
        </w:rPr>
        <w:t>s</w:t>
      </w:r>
      <w:r w:rsidR="00CE6F73" w:rsidRPr="00B41E66">
        <w:rPr>
          <w:lang w:bidi="he-IL"/>
        </w:rPr>
        <w:t xml:space="preserve"> volume and </w:t>
      </w:r>
      <w:r w:rsidR="006F40F0" w:rsidRPr="00B41E66">
        <w:rPr>
          <w:lang w:bidi="he-IL"/>
        </w:rPr>
        <w:t>stocks</w:t>
      </w:r>
      <w:r w:rsidR="00FA4EDF" w:rsidRPr="00B41E66">
        <w:rPr>
          <w:lang w:bidi="he-IL"/>
        </w:rPr>
        <w:t xml:space="preserve"> </w:t>
      </w:r>
      <w:r w:rsidR="00CE6F73" w:rsidRPr="00B41E66">
        <w:rPr>
          <w:lang w:bidi="he-IL"/>
        </w:rPr>
        <w:t>return</w:t>
      </w:r>
      <w:r w:rsidR="007E5EED" w:rsidRPr="00B41E66">
        <w:rPr>
          <w:lang w:bidi="he-IL"/>
        </w:rPr>
        <w:t xml:space="preserve"> </w:t>
      </w:r>
      <w:r w:rsidR="007E5EED" w:rsidRPr="00B41E66">
        <w:rPr>
          <w:color w:val="0000FF"/>
          <w:lang w:bidi="he-IL"/>
        </w:rPr>
        <w:t>in the univariate analysis</w:t>
      </w:r>
      <w:r w:rsidR="00CE6F73" w:rsidRPr="00B41E66">
        <w:rPr>
          <w:lang w:bidi="he-IL"/>
        </w:rPr>
        <w:t>, we conduct</w:t>
      </w:r>
      <w:r w:rsidR="00C80A25" w:rsidRPr="00B41E66">
        <w:rPr>
          <w:lang w:bidi="he-IL"/>
        </w:rPr>
        <w:t>ed</w:t>
      </w:r>
      <w:r w:rsidR="00CE6F73" w:rsidRPr="00B41E66">
        <w:rPr>
          <w:lang w:bidi="he-IL"/>
        </w:rPr>
        <w:t xml:space="preserve"> t</w:t>
      </w:r>
      <w:r w:rsidR="00C80A25" w:rsidRPr="00B41E66">
        <w:rPr>
          <w:lang w:bidi="he-IL"/>
        </w:rPr>
        <w:t xml:space="preserve">he </w:t>
      </w:r>
      <w:r w:rsidR="00CE6F73" w:rsidRPr="00B41E66">
        <w:rPr>
          <w:lang w:bidi="he-IL"/>
        </w:rPr>
        <w:t>r</w:t>
      </w:r>
      <w:r w:rsidR="00C80A25" w:rsidRPr="00B41E66">
        <w:rPr>
          <w:lang w:bidi="he-IL"/>
        </w:rPr>
        <w:t>e</w:t>
      </w:r>
      <w:r w:rsidR="00CE6F73" w:rsidRPr="00B41E66">
        <w:rPr>
          <w:lang w:bidi="he-IL"/>
        </w:rPr>
        <w:t>gress</w:t>
      </w:r>
      <w:r w:rsidR="00C80A25" w:rsidRPr="00B41E66">
        <w:rPr>
          <w:lang w:bidi="he-IL"/>
        </w:rPr>
        <w:t>i</w:t>
      </w:r>
      <w:r w:rsidR="00CE6F73" w:rsidRPr="00B41E66">
        <w:rPr>
          <w:lang w:bidi="he-IL"/>
        </w:rPr>
        <w:t xml:space="preserve">on </w:t>
      </w:r>
      <w:r w:rsidR="00FA4EDF" w:rsidRPr="00B41E66">
        <w:rPr>
          <w:lang w:bidi="he-IL"/>
        </w:rPr>
        <w:t>analysis as set forth</w:t>
      </w:r>
      <w:r w:rsidR="00CE6F73" w:rsidRPr="00B41E66">
        <w:rPr>
          <w:lang w:bidi="he-IL"/>
        </w:rPr>
        <w:t xml:space="preserve"> in equations 1 and 2. </w:t>
      </w:r>
      <w:r w:rsidR="00FA4EDF" w:rsidRPr="00B41E66">
        <w:rPr>
          <w:color w:val="0000FF"/>
          <w:lang w:bidi="he-IL"/>
        </w:rPr>
        <w:t>The r</w:t>
      </w:r>
      <w:r w:rsidR="00833E6A" w:rsidRPr="00B41E66">
        <w:rPr>
          <w:color w:val="0000FF"/>
          <w:lang w:bidi="he-IL"/>
        </w:rPr>
        <w:t xml:space="preserve">egression </w:t>
      </w:r>
      <w:r w:rsidR="00C80A25" w:rsidRPr="00B41E66">
        <w:rPr>
          <w:color w:val="0000FF"/>
          <w:lang w:bidi="he-IL"/>
        </w:rPr>
        <w:t>results are displayed in Table</w:t>
      </w:r>
      <w:r w:rsidR="00C60EF5" w:rsidRPr="00B41E66">
        <w:rPr>
          <w:color w:val="0000FF"/>
          <w:lang w:bidi="he-IL"/>
        </w:rPr>
        <w:t xml:space="preserve"> 6</w:t>
      </w:r>
      <w:r w:rsidR="003B2932" w:rsidRPr="00B41E66">
        <w:rPr>
          <w:color w:val="0000FF"/>
          <w:lang w:bidi="he-IL"/>
        </w:rPr>
        <w:t xml:space="preserve">. </w:t>
      </w:r>
      <w:r w:rsidR="00C363E1" w:rsidRPr="00B41E66">
        <w:rPr>
          <w:color w:val="0000FF"/>
          <w:lang w:bidi="he-IL"/>
        </w:rPr>
        <w:t>Panel A (B)</w:t>
      </w:r>
      <w:r w:rsidR="00C60EF5" w:rsidRPr="00B41E66">
        <w:rPr>
          <w:color w:val="0000FF"/>
          <w:lang w:bidi="he-IL"/>
        </w:rPr>
        <w:t xml:space="preserve"> display</w:t>
      </w:r>
      <w:r w:rsidR="00C363E1" w:rsidRPr="00B41E66">
        <w:rPr>
          <w:color w:val="0000FF"/>
          <w:lang w:bidi="he-IL"/>
        </w:rPr>
        <w:t>s</w:t>
      </w:r>
      <w:r w:rsidR="00C60EF5" w:rsidRPr="00B41E66">
        <w:rPr>
          <w:color w:val="0000FF"/>
          <w:lang w:bidi="he-IL"/>
        </w:rPr>
        <w:t xml:space="preserve"> the results for the </w:t>
      </w:r>
      <w:r w:rsidR="000D1208" w:rsidRPr="00B41E66">
        <w:rPr>
          <w:color w:val="0000FF"/>
          <w:lang w:bidi="he-IL"/>
        </w:rPr>
        <w:t xml:space="preserve">return (Abnormal Return) as the dependent variable. </w:t>
      </w:r>
      <w:r w:rsidR="00C363E1" w:rsidRPr="00B41E66">
        <w:rPr>
          <w:color w:val="0000FF"/>
          <w:lang w:bidi="he-IL"/>
        </w:rPr>
        <w:t>Due to high correlation</w:t>
      </w:r>
      <w:r w:rsidR="006F40F0" w:rsidRPr="00B41E66">
        <w:rPr>
          <w:color w:val="0000FF"/>
          <w:lang w:bidi="he-IL"/>
        </w:rPr>
        <w:t xml:space="preserve"> coefficient </w:t>
      </w:r>
      <w:r w:rsidR="00C363E1" w:rsidRPr="00B41E66">
        <w:rPr>
          <w:color w:val="0000FF"/>
          <w:lang w:bidi="he-IL"/>
        </w:rPr>
        <w:t xml:space="preserve">of 0.27 between </w:t>
      </w:r>
      <w:r w:rsidR="006F40F0" w:rsidRPr="00B41E66">
        <w:rPr>
          <w:color w:val="0000FF"/>
          <w:lang w:bidi="he-IL"/>
        </w:rPr>
        <w:t>t</w:t>
      </w:r>
      <w:r w:rsidR="00C363E1" w:rsidRPr="00B41E66">
        <w:rPr>
          <w:color w:val="0000FF"/>
          <w:lang w:bidi="he-IL"/>
        </w:rPr>
        <w:t>w</w:t>
      </w:r>
      <w:r w:rsidR="006F40F0" w:rsidRPr="00B41E66">
        <w:rPr>
          <w:color w:val="0000FF"/>
          <w:lang w:bidi="he-IL"/>
        </w:rPr>
        <w:t>eets</w:t>
      </w:r>
      <w:r w:rsidR="00C363E1" w:rsidRPr="00B41E66">
        <w:rPr>
          <w:color w:val="0000FF"/>
          <w:lang w:bidi="he-IL"/>
        </w:rPr>
        <w:t xml:space="preserve"> </w:t>
      </w:r>
      <w:r w:rsidR="006F40F0" w:rsidRPr="00B41E66">
        <w:rPr>
          <w:color w:val="0000FF"/>
          <w:lang w:bidi="he-IL"/>
        </w:rPr>
        <w:t>v</w:t>
      </w:r>
      <w:r w:rsidR="00C363E1" w:rsidRPr="00B41E66">
        <w:rPr>
          <w:color w:val="0000FF"/>
          <w:lang w:bidi="he-IL"/>
        </w:rPr>
        <w:t xml:space="preserve">olume and </w:t>
      </w:r>
      <w:r w:rsidR="0039258D" w:rsidRPr="00B41E66">
        <w:rPr>
          <w:color w:val="0000FF"/>
          <w:lang w:bidi="he-IL"/>
        </w:rPr>
        <w:t xml:space="preserve">the control variable </w:t>
      </w:r>
      <w:r w:rsidR="006F40F0" w:rsidRPr="00B41E66">
        <w:rPr>
          <w:color w:val="0000FF"/>
          <w:lang w:bidi="he-IL"/>
        </w:rPr>
        <w:t>n</w:t>
      </w:r>
      <w:r w:rsidR="00C363E1" w:rsidRPr="00B41E66">
        <w:rPr>
          <w:color w:val="0000FF"/>
          <w:lang w:bidi="he-IL"/>
        </w:rPr>
        <w:t xml:space="preserve">ormalized </w:t>
      </w:r>
      <w:r w:rsidR="006F40F0" w:rsidRPr="00B41E66">
        <w:rPr>
          <w:color w:val="0000FF"/>
          <w:lang w:bidi="he-IL"/>
        </w:rPr>
        <w:t>m</w:t>
      </w:r>
      <w:r w:rsidR="00C363E1" w:rsidRPr="00B41E66">
        <w:rPr>
          <w:color w:val="0000FF"/>
          <w:lang w:bidi="he-IL"/>
        </w:rPr>
        <w:t xml:space="preserve">arket </w:t>
      </w:r>
      <w:r w:rsidR="006F40F0" w:rsidRPr="00B41E66">
        <w:rPr>
          <w:color w:val="0000FF"/>
          <w:lang w:bidi="he-IL"/>
        </w:rPr>
        <w:t>v</w:t>
      </w:r>
      <w:r w:rsidR="00C363E1" w:rsidRPr="00B41E66">
        <w:rPr>
          <w:color w:val="0000FF"/>
          <w:lang w:bidi="he-IL"/>
        </w:rPr>
        <w:t xml:space="preserve">alue, we repeated the regressions </w:t>
      </w:r>
      <w:r w:rsidR="00C363E1" w:rsidRPr="00B41E66">
        <w:rPr>
          <w:color w:val="0000FF"/>
          <w:lang w:bidi="he-IL"/>
        </w:rPr>
        <w:lastRenderedPageBreak/>
        <w:t>without NMV as an explanatory variable (model 2)</w:t>
      </w:r>
      <w:r w:rsidR="008A5398" w:rsidRPr="00B41E66">
        <w:rPr>
          <w:rStyle w:val="FootnoteReference"/>
          <w:color w:val="0000FF"/>
          <w:lang w:bidi="he-IL"/>
        </w:rPr>
        <w:footnoteReference w:id="10"/>
      </w:r>
      <w:r w:rsidR="00C363E1" w:rsidRPr="00B41E66">
        <w:rPr>
          <w:color w:val="0000FF"/>
          <w:lang w:bidi="he-IL"/>
        </w:rPr>
        <w:t xml:space="preserve">. </w:t>
      </w:r>
      <w:r w:rsidR="00F874E4" w:rsidRPr="00B41E66">
        <w:t xml:space="preserve"> </w:t>
      </w:r>
      <w:r w:rsidR="008866DA" w:rsidRPr="00B41E66">
        <w:t xml:space="preserve">The </w:t>
      </w:r>
      <w:r w:rsidR="00C60EF5" w:rsidRPr="00B41E66">
        <w:t>regression</w:t>
      </w:r>
      <w:r w:rsidR="00C87A61" w:rsidRPr="00B41E66">
        <w:t>s</w:t>
      </w:r>
      <w:r w:rsidR="00C60EF5" w:rsidRPr="00B41E66">
        <w:t xml:space="preserve"> result</w:t>
      </w:r>
      <w:r w:rsidR="00FA4EDF" w:rsidRPr="00B41E66">
        <w:t>s</w:t>
      </w:r>
      <w:r w:rsidR="00C60EF5" w:rsidRPr="00B41E66">
        <w:t xml:space="preserve"> </w:t>
      </w:r>
      <w:r w:rsidR="006F40F0" w:rsidRPr="00B41E66">
        <w:t xml:space="preserve">are presented </w:t>
      </w:r>
      <w:r w:rsidR="00C60EF5" w:rsidRPr="00B41E66">
        <w:t xml:space="preserve">relative to the sector index </w:t>
      </w:r>
      <w:r w:rsidR="008866DA" w:rsidRPr="00B41E66">
        <w:t xml:space="preserve">only </w:t>
      </w:r>
      <w:r w:rsidR="00C60EF5" w:rsidRPr="00B41E66">
        <w:t>due to similarit</w:t>
      </w:r>
      <w:r w:rsidR="00FA4EDF" w:rsidRPr="00B41E66">
        <w:t>ies</w:t>
      </w:r>
      <w:r w:rsidR="00C60EF5" w:rsidRPr="00B41E66">
        <w:t xml:space="preserve"> between </w:t>
      </w:r>
      <w:r w:rsidR="00003EE2" w:rsidRPr="00B41E66">
        <w:t xml:space="preserve">results using </w:t>
      </w:r>
      <w:r w:rsidR="00C60EF5" w:rsidRPr="00B41E66">
        <w:t xml:space="preserve">the two selected benchmarks. </w:t>
      </w:r>
    </w:p>
    <w:p w14:paraId="6810F03F" w14:textId="77777777" w:rsidR="0055255C" w:rsidRPr="00B41E66" w:rsidRDefault="0055255C" w:rsidP="00A311B9">
      <w:pPr>
        <w:spacing w:line="360" w:lineRule="auto"/>
        <w:rPr>
          <w:b/>
          <w:bCs/>
          <w:color w:val="0000FF"/>
        </w:rPr>
      </w:pPr>
    </w:p>
    <w:p w14:paraId="22AA9CBD" w14:textId="0FF5E9A4" w:rsidR="000C16E6" w:rsidRPr="00B41E66" w:rsidRDefault="006A64F0" w:rsidP="00A311B9">
      <w:pPr>
        <w:spacing w:line="360" w:lineRule="auto"/>
        <w:rPr>
          <w:b/>
          <w:bCs/>
          <w:color w:val="0000FF"/>
        </w:rPr>
      </w:pPr>
      <w:r w:rsidRPr="00B41E66">
        <w:rPr>
          <w:b/>
          <w:bCs/>
          <w:color w:val="0000FF"/>
        </w:rPr>
        <w:t xml:space="preserve">Table 6: The </w:t>
      </w:r>
      <w:r w:rsidR="00A900DE" w:rsidRPr="00B41E66">
        <w:rPr>
          <w:b/>
          <w:bCs/>
          <w:color w:val="0000FF"/>
        </w:rPr>
        <w:t>Effects of Tweet Volume on Returns and Abnormal Returns (AR)</w:t>
      </w:r>
      <w:r w:rsidR="00FA4EDF" w:rsidRPr="00B41E66">
        <w:rPr>
          <w:b/>
          <w:bCs/>
          <w:color w:val="0000FF"/>
          <w:lang w:bidi="he-IL"/>
        </w:rPr>
        <w:t>: R</w:t>
      </w:r>
      <w:r w:rsidRPr="00B41E66">
        <w:rPr>
          <w:b/>
          <w:bCs/>
          <w:color w:val="0000FF"/>
        </w:rPr>
        <w:t xml:space="preserve">egression </w:t>
      </w:r>
    </w:p>
    <w:p w14:paraId="064BD210" w14:textId="77777777" w:rsidR="006A64F0" w:rsidRPr="00B41E66" w:rsidRDefault="00FA4EDF" w:rsidP="00072BD4">
      <w:pPr>
        <w:spacing w:line="360" w:lineRule="auto"/>
        <w:rPr>
          <w:b/>
          <w:bCs/>
          <w:color w:val="0000FF"/>
          <w:lang w:bidi="he-IL"/>
        </w:rPr>
      </w:pPr>
      <w:r w:rsidRPr="00B41E66">
        <w:rPr>
          <w:b/>
          <w:bCs/>
          <w:color w:val="0000FF"/>
        </w:rPr>
        <w:t>R</w:t>
      </w:r>
      <w:r w:rsidR="006A64F0" w:rsidRPr="00B41E66">
        <w:rPr>
          <w:b/>
          <w:bCs/>
          <w:color w:val="0000FF"/>
        </w:rPr>
        <w:t xml:space="preserve">esults </w:t>
      </w:r>
    </w:p>
    <w:p w14:paraId="36054A7A" w14:textId="77777777" w:rsidR="003201C7" w:rsidRPr="00B41E66" w:rsidRDefault="003201C7" w:rsidP="00FA4EDF">
      <w:pPr>
        <w:spacing w:line="360" w:lineRule="auto"/>
        <w:rPr>
          <w:b/>
          <w:bCs/>
          <w:color w:val="0000FF"/>
        </w:rPr>
      </w:pPr>
    </w:p>
    <w:p w14:paraId="25C65A4C" w14:textId="2867ED3F" w:rsidR="006A64F0" w:rsidRPr="00B41E66" w:rsidRDefault="006A64F0" w:rsidP="00FA4EDF">
      <w:pPr>
        <w:spacing w:line="360" w:lineRule="auto"/>
        <w:rPr>
          <w:b/>
          <w:bCs/>
          <w:color w:val="0000FF"/>
          <w:lang w:bidi="he-IL"/>
        </w:rPr>
      </w:pPr>
      <w:r w:rsidRPr="00B41E66">
        <w:rPr>
          <w:b/>
          <w:bCs/>
          <w:color w:val="0000FF"/>
        </w:rPr>
        <w:t>P</w:t>
      </w:r>
      <w:r w:rsidRPr="00B41E66">
        <w:rPr>
          <w:b/>
          <w:bCs/>
          <w:color w:val="0000FF"/>
          <w:lang w:bidi="he-IL"/>
        </w:rPr>
        <w:t>anel A</w:t>
      </w:r>
      <w:r w:rsidR="005E1D66" w:rsidRPr="00B41E66">
        <w:rPr>
          <w:b/>
          <w:bCs/>
          <w:color w:val="0000FF"/>
          <w:lang w:bidi="he-IL"/>
        </w:rPr>
        <w:t>: Explaining Returns</w:t>
      </w:r>
    </w:p>
    <w:tbl>
      <w:tblPr>
        <w:tblW w:w="9341" w:type="dxa"/>
        <w:tblInd w:w="123" w:type="dxa"/>
        <w:tblLook w:val="04A0" w:firstRow="1" w:lastRow="0" w:firstColumn="1" w:lastColumn="0" w:noHBand="0" w:noVBand="1"/>
      </w:tblPr>
      <w:tblGrid>
        <w:gridCol w:w="1420"/>
        <w:gridCol w:w="1170"/>
        <w:gridCol w:w="89"/>
        <w:gridCol w:w="1275"/>
        <w:gridCol w:w="1134"/>
        <w:gridCol w:w="142"/>
        <w:gridCol w:w="1276"/>
        <w:gridCol w:w="1134"/>
        <w:gridCol w:w="142"/>
        <w:gridCol w:w="1559"/>
      </w:tblGrid>
      <w:tr w:rsidR="008560E6" w:rsidRPr="00B41E66" w14:paraId="5D4CDBBD" w14:textId="77777777" w:rsidTr="005E1D66">
        <w:trPr>
          <w:trHeight w:val="330"/>
        </w:trPr>
        <w:tc>
          <w:tcPr>
            <w:tcW w:w="1420" w:type="dxa"/>
            <w:tcBorders>
              <w:top w:val="single" w:sz="12" w:space="0" w:color="auto"/>
              <w:left w:val="single" w:sz="12" w:space="0" w:color="auto"/>
              <w:bottom w:val="nil"/>
              <w:right w:val="nil"/>
            </w:tcBorders>
            <w:shd w:val="clear" w:color="auto" w:fill="auto"/>
            <w:noWrap/>
            <w:vAlign w:val="center"/>
            <w:hideMark/>
          </w:tcPr>
          <w:p w14:paraId="4582EF13" w14:textId="77777777" w:rsidR="005E1D66" w:rsidRPr="00B41E66" w:rsidRDefault="005E1D66">
            <w:pPr>
              <w:jc w:val="center"/>
              <w:rPr>
                <w:color w:val="0000FF"/>
                <w:lang w:val="en-IL" w:eastAsia="en-IL" w:bidi="he-IL"/>
              </w:rPr>
            </w:pPr>
            <w:r w:rsidRPr="00B41E66">
              <w:rPr>
                <w:color w:val="0000FF"/>
              </w:rPr>
              <w:t> </w:t>
            </w:r>
          </w:p>
        </w:tc>
        <w:tc>
          <w:tcPr>
            <w:tcW w:w="2534" w:type="dxa"/>
            <w:gridSpan w:val="3"/>
            <w:tcBorders>
              <w:top w:val="single" w:sz="12" w:space="0" w:color="auto"/>
              <w:left w:val="single" w:sz="12" w:space="0" w:color="auto"/>
              <w:bottom w:val="nil"/>
              <w:right w:val="single" w:sz="12" w:space="0" w:color="000000"/>
            </w:tcBorders>
            <w:shd w:val="clear" w:color="auto" w:fill="auto"/>
            <w:noWrap/>
            <w:vAlign w:val="bottom"/>
            <w:hideMark/>
          </w:tcPr>
          <w:p w14:paraId="4B1A8118" w14:textId="77777777" w:rsidR="005E1D66" w:rsidRPr="00B41E66" w:rsidRDefault="005E1D66">
            <w:pPr>
              <w:jc w:val="center"/>
              <w:rPr>
                <w:b/>
                <w:bCs/>
                <w:color w:val="0000FF"/>
              </w:rPr>
            </w:pPr>
            <w:r w:rsidRPr="00B41E66">
              <w:rPr>
                <w:b/>
                <w:bCs/>
                <w:color w:val="0000FF"/>
              </w:rPr>
              <w:t>IPO Year</w:t>
            </w:r>
          </w:p>
        </w:tc>
        <w:tc>
          <w:tcPr>
            <w:tcW w:w="2552" w:type="dxa"/>
            <w:gridSpan w:val="3"/>
            <w:tcBorders>
              <w:top w:val="single" w:sz="12" w:space="0" w:color="auto"/>
              <w:left w:val="nil"/>
              <w:bottom w:val="nil"/>
              <w:right w:val="single" w:sz="12" w:space="0" w:color="000000"/>
            </w:tcBorders>
            <w:shd w:val="clear" w:color="000000" w:fill="FFFFFF"/>
            <w:noWrap/>
            <w:vAlign w:val="center"/>
            <w:hideMark/>
          </w:tcPr>
          <w:p w14:paraId="52D763B6" w14:textId="77777777" w:rsidR="005E1D66" w:rsidRPr="00B41E66" w:rsidRDefault="005E1D66">
            <w:pPr>
              <w:jc w:val="center"/>
              <w:rPr>
                <w:b/>
                <w:bCs/>
                <w:color w:val="0000FF"/>
              </w:rPr>
            </w:pPr>
            <w:r w:rsidRPr="00B41E66">
              <w:rPr>
                <w:b/>
                <w:bCs/>
                <w:color w:val="0000FF"/>
              </w:rPr>
              <w:t>IPO Year +1</w:t>
            </w:r>
          </w:p>
        </w:tc>
        <w:tc>
          <w:tcPr>
            <w:tcW w:w="2835" w:type="dxa"/>
            <w:gridSpan w:val="3"/>
            <w:tcBorders>
              <w:top w:val="single" w:sz="12" w:space="0" w:color="auto"/>
              <w:left w:val="nil"/>
              <w:bottom w:val="nil"/>
              <w:right w:val="single" w:sz="12" w:space="0" w:color="000000"/>
            </w:tcBorders>
            <w:shd w:val="clear" w:color="000000" w:fill="FFFFFF"/>
            <w:noWrap/>
            <w:vAlign w:val="center"/>
            <w:hideMark/>
          </w:tcPr>
          <w:p w14:paraId="2C192FD5" w14:textId="77777777" w:rsidR="005E1D66" w:rsidRPr="00B41E66" w:rsidRDefault="005E1D66">
            <w:pPr>
              <w:jc w:val="center"/>
              <w:rPr>
                <w:b/>
                <w:bCs/>
                <w:color w:val="0000FF"/>
              </w:rPr>
            </w:pPr>
            <w:r w:rsidRPr="00B41E66">
              <w:rPr>
                <w:b/>
                <w:bCs/>
                <w:color w:val="0000FF"/>
              </w:rPr>
              <w:t>IPO Year +2</w:t>
            </w:r>
          </w:p>
        </w:tc>
      </w:tr>
      <w:tr w:rsidR="008560E6" w:rsidRPr="00B41E66" w14:paraId="64F50782" w14:textId="77777777" w:rsidTr="005E1D66">
        <w:trPr>
          <w:trHeight w:val="315"/>
        </w:trPr>
        <w:tc>
          <w:tcPr>
            <w:tcW w:w="1420" w:type="dxa"/>
            <w:tcBorders>
              <w:top w:val="nil"/>
              <w:left w:val="single" w:sz="12" w:space="0" w:color="auto"/>
              <w:bottom w:val="single" w:sz="12" w:space="0" w:color="auto"/>
              <w:right w:val="nil"/>
            </w:tcBorders>
            <w:shd w:val="clear" w:color="auto" w:fill="auto"/>
            <w:noWrap/>
            <w:vAlign w:val="center"/>
            <w:hideMark/>
          </w:tcPr>
          <w:p w14:paraId="6896C7EF" w14:textId="77777777" w:rsidR="005E1D66" w:rsidRPr="00B41E66" w:rsidRDefault="005E1D66">
            <w:pPr>
              <w:jc w:val="center"/>
              <w:rPr>
                <w:color w:val="0000FF"/>
              </w:rPr>
            </w:pPr>
            <w:r w:rsidRPr="00B41E66">
              <w:rPr>
                <w:color w:val="0000FF"/>
              </w:rPr>
              <w:t> </w:t>
            </w:r>
          </w:p>
        </w:tc>
        <w:tc>
          <w:tcPr>
            <w:tcW w:w="1170" w:type="dxa"/>
            <w:tcBorders>
              <w:top w:val="nil"/>
              <w:left w:val="single" w:sz="12" w:space="0" w:color="auto"/>
              <w:bottom w:val="single" w:sz="12" w:space="0" w:color="auto"/>
              <w:right w:val="nil"/>
            </w:tcBorders>
            <w:shd w:val="clear" w:color="auto" w:fill="auto"/>
            <w:noWrap/>
            <w:vAlign w:val="center"/>
            <w:hideMark/>
          </w:tcPr>
          <w:p w14:paraId="7B8119B3" w14:textId="77777777" w:rsidR="005E1D66" w:rsidRPr="00B41E66" w:rsidRDefault="005E1D66">
            <w:pPr>
              <w:jc w:val="center"/>
              <w:rPr>
                <w:b/>
                <w:bCs/>
                <w:color w:val="0000FF"/>
              </w:rPr>
            </w:pPr>
            <w:r w:rsidRPr="00B41E66">
              <w:rPr>
                <w:b/>
                <w:bCs/>
                <w:color w:val="0000FF"/>
              </w:rPr>
              <w:t>Model 1</w:t>
            </w:r>
          </w:p>
        </w:tc>
        <w:tc>
          <w:tcPr>
            <w:tcW w:w="1364" w:type="dxa"/>
            <w:gridSpan w:val="2"/>
            <w:tcBorders>
              <w:top w:val="nil"/>
              <w:left w:val="nil"/>
              <w:bottom w:val="single" w:sz="12" w:space="0" w:color="auto"/>
              <w:right w:val="single" w:sz="12" w:space="0" w:color="auto"/>
            </w:tcBorders>
            <w:shd w:val="clear" w:color="auto" w:fill="auto"/>
            <w:noWrap/>
            <w:vAlign w:val="center"/>
            <w:hideMark/>
          </w:tcPr>
          <w:p w14:paraId="22C3EE3A" w14:textId="7ACC97CE" w:rsidR="005E1D66" w:rsidRPr="00B41E66" w:rsidRDefault="005D35FB">
            <w:pPr>
              <w:jc w:val="center"/>
              <w:rPr>
                <w:b/>
                <w:bCs/>
                <w:color w:val="0000FF"/>
              </w:rPr>
            </w:pPr>
            <w:r w:rsidRPr="00B41E66">
              <w:rPr>
                <w:b/>
                <w:bCs/>
                <w:color w:val="0000FF"/>
              </w:rPr>
              <w:t>*</w:t>
            </w:r>
            <w:r w:rsidR="005E1D66" w:rsidRPr="00B41E66">
              <w:rPr>
                <w:b/>
                <w:bCs/>
                <w:color w:val="0000FF"/>
              </w:rPr>
              <w:t>Model 2</w:t>
            </w:r>
          </w:p>
        </w:tc>
        <w:tc>
          <w:tcPr>
            <w:tcW w:w="1134" w:type="dxa"/>
            <w:tcBorders>
              <w:top w:val="nil"/>
              <w:left w:val="nil"/>
              <w:bottom w:val="single" w:sz="12" w:space="0" w:color="auto"/>
              <w:right w:val="nil"/>
            </w:tcBorders>
            <w:shd w:val="clear" w:color="auto" w:fill="auto"/>
            <w:noWrap/>
            <w:vAlign w:val="center"/>
            <w:hideMark/>
          </w:tcPr>
          <w:p w14:paraId="5196E6D5" w14:textId="77777777" w:rsidR="005E1D66" w:rsidRPr="00B41E66" w:rsidRDefault="005E1D66">
            <w:pPr>
              <w:jc w:val="center"/>
              <w:rPr>
                <w:b/>
                <w:bCs/>
                <w:color w:val="0000FF"/>
              </w:rPr>
            </w:pPr>
            <w:r w:rsidRPr="00B41E66">
              <w:rPr>
                <w:b/>
                <w:bCs/>
                <w:color w:val="0000FF"/>
              </w:rPr>
              <w:t>Model 1</w:t>
            </w:r>
          </w:p>
        </w:tc>
        <w:tc>
          <w:tcPr>
            <w:tcW w:w="1418" w:type="dxa"/>
            <w:gridSpan w:val="2"/>
            <w:tcBorders>
              <w:top w:val="nil"/>
              <w:left w:val="nil"/>
              <w:bottom w:val="single" w:sz="12" w:space="0" w:color="auto"/>
              <w:right w:val="nil"/>
            </w:tcBorders>
            <w:shd w:val="clear" w:color="auto" w:fill="auto"/>
            <w:noWrap/>
            <w:vAlign w:val="center"/>
            <w:hideMark/>
          </w:tcPr>
          <w:p w14:paraId="25226953" w14:textId="77777777" w:rsidR="005E1D66" w:rsidRPr="00B41E66" w:rsidRDefault="005E1D66">
            <w:pPr>
              <w:jc w:val="center"/>
              <w:rPr>
                <w:b/>
                <w:bCs/>
                <w:color w:val="0000FF"/>
              </w:rPr>
            </w:pPr>
            <w:r w:rsidRPr="00B41E66">
              <w:rPr>
                <w:b/>
                <w:bCs/>
                <w:color w:val="0000FF"/>
              </w:rPr>
              <w:t>Model 2</w:t>
            </w:r>
          </w:p>
        </w:tc>
        <w:tc>
          <w:tcPr>
            <w:tcW w:w="1134" w:type="dxa"/>
            <w:tcBorders>
              <w:top w:val="nil"/>
              <w:left w:val="single" w:sz="12" w:space="0" w:color="auto"/>
              <w:bottom w:val="single" w:sz="12" w:space="0" w:color="auto"/>
              <w:right w:val="nil"/>
            </w:tcBorders>
            <w:shd w:val="clear" w:color="auto" w:fill="auto"/>
            <w:noWrap/>
            <w:vAlign w:val="center"/>
            <w:hideMark/>
          </w:tcPr>
          <w:p w14:paraId="342F56DE" w14:textId="77777777" w:rsidR="005E1D66" w:rsidRPr="00B41E66" w:rsidRDefault="005E1D66">
            <w:pPr>
              <w:jc w:val="center"/>
              <w:rPr>
                <w:b/>
                <w:bCs/>
                <w:color w:val="0000FF"/>
              </w:rPr>
            </w:pPr>
            <w:r w:rsidRPr="00B41E66">
              <w:rPr>
                <w:b/>
                <w:bCs/>
                <w:color w:val="0000FF"/>
              </w:rPr>
              <w:t>Model 1</w:t>
            </w:r>
          </w:p>
        </w:tc>
        <w:tc>
          <w:tcPr>
            <w:tcW w:w="1701" w:type="dxa"/>
            <w:gridSpan w:val="2"/>
            <w:tcBorders>
              <w:top w:val="nil"/>
              <w:left w:val="nil"/>
              <w:bottom w:val="single" w:sz="12" w:space="0" w:color="auto"/>
              <w:right w:val="single" w:sz="12" w:space="0" w:color="auto"/>
            </w:tcBorders>
            <w:shd w:val="clear" w:color="auto" w:fill="auto"/>
            <w:noWrap/>
            <w:vAlign w:val="center"/>
            <w:hideMark/>
          </w:tcPr>
          <w:p w14:paraId="17244197" w14:textId="77777777" w:rsidR="005E1D66" w:rsidRPr="00B41E66" w:rsidRDefault="005E1D66">
            <w:pPr>
              <w:jc w:val="center"/>
              <w:rPr>
                <w:b/>
                <w:bCs/>
                <w:color w:val="0000FF"/>
              </w:rPr>
            </w:pPr>
            <w:r w:rsidRPr="00B41E66">
              <w:rPr>
                <w:b/>
                <w:bCs/>
                <w:color w:val="0000FF"/>
              </w:rPr>
              <w:t>Model 2</w:t>
            </w:r>
          </w:p>
        </w:tc>
      </w:tr>
      <w:tr w:rsidR="008560E6" w:rsidRPr="00B41E66" w14:paraId="74ACF709" w14:textId="77777777" w:rsidTr="005E1D66">
        <w:trPr>
          <w:trHeight w:val="315"/>
        </w:trPr>
        <w:tc>
          <w:tcPr>
            <w:tcW w:w="1420" w:type="dxa"/>
            <w:tcBorders>
              <w:top w:val="nil"/>
              <w:left w:val="single" w:sz="12" w:space="0" w:color="auto"/>
              <w:bottom w:val="nil"/>
              <w:right w:val="nil"/>
            </w:tcBorders>
            <w:shd w:val="clear" w:color="auto" w:fill="auto"/>
            <w:noWrap/>
            <w:vAlign w:val="center"/>
            <w:hideMark/>
          </w:tcPr>
          <w:p w14:paraId="272DF546" w14:textId="77777777" w:rsidR="005E1D66" w:rsidRPr="00B41E66" w:rsidRDefault="005E1D66" w:rsidP="005E1D66">
            <w:pPr>
              <w:jc w:val="center"/>
              <w:rPr>
                <w:color w:val="0000FF"/>
              </w:rPr>
            </w:pPr>
            <w:r w:rsidRPr="00B41E66">
              <w:rPr>
                <w:color w:val="0000FF"/>
              </w:rPr>
              <w:t>Intercept</w:t>
            </w:r>
          </w:p>
        </w:tc>
        <w:tc>
          <w:tcPr>
            <w:tcW w:w="1259" w:type="dxa"/>
            <w:gridSpan w:val="2"/>
            <w:tcBorders>
              <w:top w:val="nil"/>
              <w:left w:val="single" w:sz="12" w:space="0" w:color="auto"/>
              <w:bottom w:val="nil"/>
              <w:right w:val="nil"/>
            </w:tcBorders>
            <w:shd w:val="clear" w:color="auto" w:fill="auto"/>
            <w:noWrap/>
            <w:vAlign w:val="center"/>
            <w:hideMark/>
          </w:tcPr>
          <w:p w14:paraId="29273940" w14:textId="0139546D" w:rsidR="005E1D66" w:rsidRPr="00B41E66" w:rsidRDefault="005E1D66" w:rsidP="005E1D66">
            <w:pPr>
              <w:jc w:val="center"/>
              <w:rPr>
                <w:color w:val="0000FF"/>
              </w:rPr>
            </w:pPr>
            <w:r w:rsidRPr="00B41E66">
              <w:rPr>
                <w:color w:val="0000FF"/>
              </w:rPr>
              <w:t>1.</w:t>
            </w:r>
            <w:r w:rsidR="003201C7" w:rsidRPr="00B41E66">
              <w:rPr>
                <w:color w:val="0000FF"/>
              </w:rPr>
              <w:t>09</w:t>
            </w:r>
            <w:r w:rsidRPr="00B41E66">
              <w:rPr>
                <w:color w:val="0000FF"/>
              </w:rPr>
              <w:t xml:space="preserve"> (0.0</w:t>
            </w:r>
            <w:r w:rsidR="003201C7" w:rsidRPr="00B41E66">
              <w:rPr>
                <w:color w:val="0000FF"/>
              </w:rPr>
              <w:t>7</w:t>
            </w:r>
            <w:r w:rsidRPr="00B41E66">
              <w:rPr>
                <w:color w:val="0000FF"/>
              </w:rPr>
              <w:t>)</w:t>
            </w:r>
          </w:p>
        </w:tc>
        <w:tc>
          <w:tcPr>
            <w:tcW w:w="1275" w:type="dxa"/>
            <w:tcBorders>
              <w:top w:val="nil"/>
              <w:left w:val="nil"/>
              <w:bottom w:val="nil"/>
              <w:right w:val="single" w:sz="12" w:space="0" w:color="auto"/>
            </w:tcBorders>
            <w:shd w:val="clear" w:color="auto" w:fill="auto"/>
            <w:noWrap/>
            <w:vAlign w:val="center"/>
            <w:hideMark/>
          </w:tcPr>
          <w:p w14:paraId="60CC1647" w14:textId="14494A11" w:rsidR="005E1D66" w:rsidRPr="00B41E66" w:rsidRDefault="005E1D66" w:rsidP="005E1D66">
            <w:pPr>
              <w:jc w:val="center"/>
              <w:rPr>
                <w:color w:val="0000FF"/>
              </w:rPr>
            </w:pPr>
            <w:r w:rsidRPr="00B41E66">
              <w:rPr>
                <w:color w:val="0000FF"/>
              </w:rPr>
              <w:t>1.</w:t>
            </w:r>
            <w:r w:rsidR="00CB2E34" w:rsidRPr="00B41E66">
              <w:rPr>
                <w:color w:val="0000FF"/>
              </w:rPr>
              <w:t>21</w:t>
            </w:r>
            <w:r w:rsidRPr="00B41E66">
              <w:rPr>
                <w:color w:val="0000FF"/>
              </w:rPr>
              <w:t xml:space="preserve"> (0.0</w:t>
            </w:r>
            <w:r w:rsidR="00CB2E34" w:rsidRPr="00B41E66">
              <w:rPr>
                <w:color w:val="0000FF"/>
              </w:rPr>
              <w:t>5</w:t>
            </w:r>
            <w:r w:rsidRPr="00B41E66">
              <w:rPr>
                <w:color w:val="0000FF"/>
              </w:rPr>
              <w:t>)</w:t>
            </w:r>
          </w:p>
        </w:tc>
        <w:tc>
          <w:tcPr>
            <w:tcW w:w="1276" w:type="dxa"/>
            <w:gridSpan w:val="2"/>
            <w:tcBorders>
              <w:top w:val="nil"/>
              <w:left w:val="nil"/>
              <w:bottom w:val="nil"/>
              <w:right w:val="nil"/>
            </w:tcBorders>
            <w:shd w:val="clear" w:color="auto" w:fill="auto"/>
            <w:noWrap/>
            <w:vAlign w:val="center"/>
            <w:hideMark/>
          </w:tcPr>
          <w:p w14:paraId="107F8D51" w14:textId="3D884038" w:rsidR="005E1D66" w:rsidRPr="00B41E66" w:rsidRDefault="00475ECC" w:rsidP="005E1D66">
            <w:pPr>
              <w:jc w:val="center"/>
              <w:rPr>
                <w:color w:val="0000FF"/>
              </w:rPr>
            </w:pPr>
            <w:r w:rsidRPr="00B41E66">
              <w:rPr>
                <w:color w:val="0000FF"/>
              </w:rPr>
              <w:t>-</w:t>
            </w:r>
            <w:r w:rsidR="005E1D66" w:rsidRPr="00B41E66">
              <w:rPr>
                <w:color w:val="0000FF"/>
              </w:rPr>
              <w:t>0.</w:t>
            </w:r>
            <w:r w:rsidRPr="00B41E66">
              <w:rPr>
                <w:color w:val="0000FF"/>
              </w:rPr>
              <w:t>14</w:t>
            </w:r>
            <w:r w:rsidR="005E1D66" w:rsidRPr="00B41E66">
              <w:rPr>
                <w:color w:val="0000FF"/>
              </w:rPr>
              <w:t xml:space="preserve"> (0.</w:t>
            </w:r>
            <w:r w:rsidRPr="00B41E66">
              <w:rPr>
                <w:color w:val="0000FF"/>
              </w:rPr>
              <w:t>44</w:t>
            </w:r>
            <w:r w:rsidR="005E1D66" w:rsidRPr="00B41E66">
              <w:rPr>
                <w:color w:val="0000FF"/>
              </w:rPr>
              <w:t>)</w:t>
            </w:r>
          </w:p>
        </w:tc>
        <w:tc>
          <w:tcPr>
            <w:tcW w:w="1276" w:type="dxa"/>
            <w:tcBorders>
              <w:top w:val="nil"/>
              <w:left w:val="nil"/>
              <w:bottom w:val="nil"/>
              <w:right w:val="single" w:sz="12" w:space="0" w:color="auto"/>
            </w:tcBorders>
            <w:shd w:val="clear" w:color="auto" w:fill="auto"/>
            <w:noWrap/>
            <w:vAlign w:val="bottom"/>
            <w:hideMark/>
          </w:tcPr>
          <w:p w14:paraId="085D2902" w14:textId="05AEFC07" w:rsidR="005E1D66" w:rsidRPr="00B41E66" w:rsidRDefault="00475ECC" w:rsidP="005E1D66">
            <w:pPr>
              <w:jc w:val="center"/>
              <w:rPr>
                <w:color w:val="0000FF"/>
              </w:rPr>
            </w:pPr>
            <w:r w:rsidRPr="00B41E66">
              <w:rPr>
                <w:color w:val="0000FF"/>
              </w:rPr>
              <w:t>-</w:t>
            </w:r>
            <w:r w:rsidR="005E1D66" w:rsidRPr="00B41E66">
              <w:rPr>
                <w:color w:val="0000FF"/>
              </w:rPr>
              <w:t>0.</w:t>
            </w:r>
            <w:r w:rsidRPr="00B41E66">
              <w:rPr>
                <w:color w:val="0000FF"/>
              </w:rPr>
              <w:t>21</w:t>
            </w:r>
            <w:r w:rsidR="005E1D66" w:rsidRPr="00B41E66">
              <w:rPr>
                <w:color w:val="0000FF"/>
              </w:rPr>
              <w:t xml:space="preserve"> (0.</w:t>
            </w:r>
            <w:r w:rsidRPr="00B41E66">
              <w:rPr>
                <w:color w:val="0000FF"/>
              </w:rPr>
              <w:t>26</w:t>
            </w:r>
            <w:r w:rsidR="005E1D66" w:rsidRPr="00B41E66">
              <w:rPr>
                <w:color w:val="0000FF"/>
              </w:rPr>
              <w:t>)</w:t>
            </w:r>
          </w:p>
        </w:tc>
        <w:tc>
          <w:tcPr>
            <w:tcW w:w="1276" w:type="dxa"/>
            <w:gridSpan w:val="2"/>
            <w:tcBorders>
              <w:top w:val="nil"/>
              <w:left w:val="nil"/>
              <w:bottom w:val="nil"/>
              <w:right w:val="nil"/>
            </w:tcBorders>
            <w:shd w:val="clear" w:color="auto" w:fill="auto"/>
            <w:noWrap/>
            <w:vAlign w:val="center"/>
            <w:hideMark/>
          </w:tcPr>
          <w:p w14:paraId="78FAD743" w14:textId="4198E8EB" w:rsidR="005E1D66" w:rsidRPr="00B41E66" w:rsidRDefault="00853140" w:rsidP="005E1D66">
            <w:pPr>
              <w:jc w:val="center"/>
              <w:rPr>
                <w:color w:val="0000FF"/>
              </w:rPr>
            </w:pPr>
            <w:r w:rsidRPr="00B41E66">
              <w:rPr>
                <w:color w:val="0000FF"/>
              </w:rPr>
              <w:t>-</w:t>
            </w:r>
            <w:r w:rsidR="005E1D66" w:rsidRPr="00B41E66">
              <w:rPr>
                <w:color w:val="0000FF"/>
              </w:rPr>
              <w:t>0.0</w:t>
            </w:r>
            <w:r w:rsidRPr="00B41E66">
              <w:rPr>
                <w:color w:val="0000FF"/>
              </w:rPr>
              <w:t>5</w:t>
            </w:r>
            <w:r w:rsidR="005E1D66" w:rsidRPr="00B41E66">
              <w:rPr>
                <w:color w:val="0000FF"/>
              </w:rPr>
              <w:t xml:space="preserve"> (0.</w:t>
            </w:r>
            <w:r w:rsidRPr="00B41E66">
              <w:rPr>
                <w:color w:val="0000FF"/>
              </w:rPr>
              <w:t>80</w:t>
            </w:r>
            <w:r w:rsidR="005E1D66" w:rsidRPr="00B41E66">
              <w:rPr>
                <w:color w:val="0000FF"/>
              </w:rPr>
              <w:t>)</w:t>
            </w:r>
          </w:p>
        </w:tc>
        <w:tc>
          <w:tcPr>
            <w:tcW w:w="1559" w:type="dxa"/>
            <w:tcBorders>
              <w:top w:val="nil"/>
              <w:left w:val="nil"/>
              <w:bottom w:val="nil"/>
              <w:right w:val="single" w:sz="12" w:space="0" w:color="auto"/>
            </w:tcBorders>
            <w:shd w:val="clear" w:color="auto" w:fill="auto"/>
            <w:noWrap/>
            <w:vAlign w:val="center"/>
            <w:hideMark/>
          </w:tcPr>
          <w:p w14:paraId="4A21259E" w14:textId="32D9174A" w:rsidR="005E1D66" w:rsidRPr="00B41E66" w:rsidRDefault="00C3695E" w:rsidP="005E1D66">
            <w:pPr>
              <w:jc w:val="center"/>
              <w:rPr>
                <w:color w:val="0000FF"/>
              </w:rPr>
            </w:pPr>
            <w:r w:rsidRPr="00B41E66">
              <w:rPr>
                <w:color w:val="0000FF"/>
              </w:rPr>
              <w:t>-</w:t>
            </w:r>
            <w:r w:rsidR="005E1D66" w:rsidRPr="00B41E66">
              <w:rPr>
                <w:color w:val="0000FF"/>
              </w:rPr>
              <w:t>0.0</w:t>
            </w:r>
            <w:r w:rsidRPr="00B41E66">
              <w:rPr>
                <w:color w:val="0000FF"/>
              </w:rPr>
              <w:t>5</w:t>
            </w:r>
            <w:r w:rsidR="005E1D66" w:rsidRPr="00B41E66">
              <w:rPr>
                <w:color w:val="0000FF"/>
              </w:rPr>
              <w:t xml:space="preserve"> (0.</w:t>
            </w:r>
            <w:r w:rsidRPr="00B41E66">
              <w:rPr>
                <w:color w:val="0000FF"/>
              </w:rPr>
              <w:t>79</w:t>
            </w:r>
            <w:r w:rsidR="005E1D66" w:rsidRPr="00B41E66">
              <w:rPr>
                <w:color w:val="0000FF"/>
              </w:rPr>
              <w:t>)</w:t>
            </w:r>
          </w:p>
        </w:tc>
      </w:tr>
      <w:tr w:rsidR="008560E6" w:rsidRPr="00B41E66" w14:paraId="48EBC79A" w14:textId="77777777" w:rsidTr="005E1D66">
        <w:trPr>
          <w:trHeight w:val="300"/>
        </w:trPr>
        <w:tc>
          <w:tcPr>
            <w:tcW w:w="1420" w:type="dxa"/>
            <w:tcBorders>
              <w:top w:val="nil"/>
              <w:left w:val="single" w:sz="12" w:space="0" w:color="auto"/>
              <w:bottom w:val="nil"/>
              <w:right w:val="nil"/>
            </w:tcBorders>
            <w:shd w:val="clear" w:color="auto" w:fill="auto"/>
            <w:noWrap/>
            <w:vAlign w:val="center"/>
            <w:hideMark/>
          </w:tcPr>
          <w:p w14:paraId="2A8E0FE7" w14:textId="77777777" w:rsidR="005E1D66" w:rsidRPr="00B41E66" w:rsidRDefault="005E1D66" w:rsidP="005E1D66">
            <w:pPr>
              <w:jc w:val="center"/>
              <w:rPr>
                <w:color w:val="0000FF"/>
              </w:rPr>
            </w:pPr>
            <w:r w:rsidRPr="00B41E66">
              <w:rPr>
                <w:color w:val="0000FF"/>
              </w:rPr>
              <w:t>Year 2013</w:t>
            </w:r>
          </w:p>
        </w:tc>
        <w:tc>
          <w:tcPr>
            <w:tcW w:w="1259" w:type="dxa"/>
            <w:gridSpan w:val="2"/>
            <w:tcBorders>
              <w:top w:val="nil"/>
              <w:left w:val="single" w:sz="12" w:space="0" w:color="auto"/>
              <w:bottom w:val="nil"/>
              <w:right w:val="nil"/>
            </w:tcBorders>
            <w:shd w:val="clear" w:color="auto" w:fill="auto"/>
            <w:noWrap/>
            <w:vAlign w:val="center"/>
            <w:hideMark/>
          </w:tcPr>
          <w:p w14:paraId="2704DFAB" w14:textId="0CCF6D5F" w:rsidR="005E1D66" w:rsidRPr="00B41E66" w:rsidRDefault="005E1D66" w:rsidP="005E1D66">
            <w:pPr>
              <w:jc w:val="center"/>
              <w:rPr>
                <w:color w:val="0000FF"/>
              </w:rPr>
            </w:pPr>
            <w:r w:rsidRPr="00B41E66">
              <w:rPr>
                <w:color w:val="0000FF"/>
              </w:rPr>
              <w:t>-1.</w:t>
            </w:r>
            <w:r w:rsidR="003201C7" w:rsidRPr="00B41E66">
              <w:rPr>
                <w:color w:val="0000FF"/>
              </w:rPr>
              <w:t>06</w:t>
            </w:r>
            <w:r w:rsidRPr="00B41E66">
              <w:rPr>
                <w:color w:val="0000FF"/>
              </w:rPr>
              <w:t xml:space="preserve"> (0.0</w:t>
            </w:r>
            <w:r w:rsidR="003201C7" w:rsidRPr="00B41E66">
              <w:rPr>
                <w:color w:val="0000FF"/>
              </w:rPr>
              <w:t>5</w:t>
            </w:r>
            <w:r w:rsidRPr="00B41E66">
              <w:rPr>
                <w:color w:val="0000FF"/>
              </w:rPr>
              <w:t>)</w:t>
            </w:r>
          </w:p>
        </w:tc>
        <w:tc>
          <w:tcPr>
            <w:tcW w:w="1275" w:type="dxa"/>
            <w:tcBorders>
              <w:top w:val="nil"/>
              <w:left w:val="nil"/>
              <w:bottom w:val="nil"/>
              <w:right w:val="single" w:sz="12" w:space="0" w:color="auto"/>
            </w:tcBorders>
            <w:shd w:val="clear" w:color="auto" w:fill="auto"/>
            <w:noWrap/>
            <w:vAlign w:val="center"/>
            <w:hideMark/>
          </w:tcPr>
          <w:p w14:paraId="0105794B" w14:textId="16A7416D" w:rsidR="005E1D66" w:rsidRPr="00B41E66" w:rsidRDefault="005E1D66" w:rsidP="005E1D66">
            <w:pPr>
              <w:jc w:val="center"/>
              <w:rPr>
                <w:color w:val="0000FF"/>
              </w:rPr>
            </w:pPr>
            <w:r w:rsidRPr="00B41E66">
              <w:rPr>
                <w:color w:val="0000FF"/>
              </w:rPr>
              <w:t>-1.2</w:t>
            </w:r>
            <w:r w:rsidR="00CB2E34" w:rsidRPr="00B41E66">
              <w:rPr>
                <w:color w:val="0000FF"/>
              </w:rPr>
              <w:t>3</w:t>
            </w:r>
            <w:r w:rsidRPr="00B41E66">
              <w:rPr>
                <w:color w:val="0000FF"/>
              </w:rPr>
              <w:t xml:space="preserve"> (0.0</w:t>
            </w:r>
            <w:r w:rsidR="00CB2E34" w:rsidRPr="00B41E66">
              <w:rPr>
                <w:color w:val="0000FF"/>
              </w:rPr>
              <w:t>3</w:t>
            </w:r>
            <w:r w:rsidRPr="00B41E66">
              <w:rPr>
                <w:color w:val="0000FF"/>
              </w:rPr>
              <w:t>)</w:t>
            </w:r>
          </w:p>
        </w:tc>
        <w:tc>
          <w:tcPr>
            <w:tcW w:w="1276" w:type="dxa"/>
            <w:gridSpan w:val="2"/>
            <w:tcBorders>
              <w:top w:val="nil"/>
              <w:left w:val="nil"/>
              <w:bottom w:val="nil"/>
              <w:right w:val="nil"/>
            </w:tcBorders>
            <w:shd w:val="clear" w:color="auto" w:fill="auto"/>
            <w:noWrap/>
            <w:vAlign w:val="center"/>
            <w:hideMark/>
          </w:tcPr>
          <w:p w14:paraId="4A0AE160" w14:textId="71036667" w:rsidR="005E1D66" w:rsidRPr="00B41E66" w:rsidRDefault="005E1D66" w:rsidP="005E1D66">
            <w:pPr>
              <w:jc w:val="center"/>
              <w:rPr>
                <w:color w:val="0000FF"/>
              </w:rPr>
            </w:pPr>
            <w:r w:rsidRPr="00B41E66">
              <w:rPr>
                <w:color w:val="0000FF"/>
              </w:rPr>
              <w:t>0.0</w:t>
            </w:r>
            <w:r w:rsidR="00475ECC" w:rsidRPr="00B41E66">
              <w:rPr>
                <w:color w:val="0000FF"/>
              </w:rPr>
              <w:t>0</w:t>
            </w:r>
            <w:r w:rsidRPr="00B41E66">
              <w:rPr>
                <w:color w:val="0000FF"/>
              </w:rPr>
              <w:t xml:space="preserve"> (0.</w:t>
            </w:r>
            <w:r w:rsidR="00475ECC" w:rsidRPr="00B41E66">
              <w:rPr>
                <w:color w:val="0000FF"/>
              </w:rPr>
              <w:t>98</w:t>
            </w:r>
            <w:r w:rsidRPr="00B41E66">
              <w:rPr>
                <w:color w:val="0000FF"/>
              </w:rPr>
              <w:t>)</w:t>
            </w:r>
          </w:p>
        </w:tc>
        <w:tc>
          <w:tcPr>
            <w:tcW w:w="1276" w:type="dxa"/>
            <w:tcBorders>
              <w:top w:val="nil"/>
              <w:left w:val="nil"/>
              <w:bottom w:val="nil"/>
              <w:right w:val="single" w:sz="12" w:space="0" w:color="auto"/>
            </w:tcBorders>
            <w:shd w:val="clear" w:color="auto" w:fill="auto"/>
            <w:noWrap/>
            <w:vAlign w:val="bottom"/>
            <w:hideMark/>
          </w:tcPr>
          <w:p w14:paraId="1E750362" w14:textId="665244FC" w:rsidR="005E1D66" w:rsidRPr="00B41E66" w:rsidRDefault="005E1D66" w:rsidP="005E1D66">
            <w:pPr>
              <w:jc w:val="center"/>
              <w:rPr>
                <w:color w:val="0000FF"/>
              </w:rPr>
            </w:pPr>
            <w:r w:rsidRPr="00B41E66">
              <w:rPr>
                <w:color w:val="0000FF"/>
              </w:rPr>
              <w:t>0.</w:t>
            </w:r>
            <w:r w:rsidR="00853140" w:rsidRPr="00B41E66">
              <w:rPr>
                <w:color w:val="0000FF"/>
              </w:rPr>
              <w:t>00</w:t>
            </w:r>
            <w:r w:rsidRPr="00B41E66">
              <w:rPr>
                <w:color w:val="0000FF"/>
              </w:rPr>
              <w:t xml:space="preserve"> (0.</w:t>
            </w:r>
            <w:r w:rsidR="00853140" w:rsidRPr="00B41E66">
              <w:rPr>
                <w:color w:val="0000FF"/>
              </w:rPr>
              <w:t>99</w:t>
            </w:r>
            <w:r w:rsidRPr="00B41E66">
              <w:rPr>
                <w:color w:val="0000FF"/>
              </w:rPr>
              <w:t>)</w:t>
            </w:r>
          </w:p>
        </w:tc>
        <w:tc>
          <w:tcPr>
            <w:tcW w:w="1276" w:type="dxa"/>
            <w:gridSpan w:val="2"/>
            <w:tcBorders>
              <w:top w:val="nil"/>
              <w:left w:val="nil"/>
              <w:bottom w:val="nil"/>
              <w:right w:val="nil"/>
            </w:tcBorders>
            <w:shd w:val="clear" w:color="auto" w:fill="auto"/>
            <w:noWrap/>
            <w:vAlign w:val="center"/>
            <w:hideMark/>
          </w:tcPr>
          <w:p w14:paraId="0A0F8DF0" w14:textId="276934B5" w:rsidR="005E1D66" w:rsidRPr="00B41E66" w:rsidRDefault="005E1D66" w:rsidP="005E1D66">
            <w:pPr>
              <w:jc w:val="center"/>
              <w:rPr>
                <w:color w:val="0000FF"/>
              </w:rPr>
            </w:pPr>
            <w:r w:rsidRPr="00B41E66">
              <w:rPr>
                <w:color w:val="0000FF"/>
              </w:rPr>
              <w:t>-0.</w:t>
            </w:r>
            <w:r w:rsidR="00853140" w:rsidRPr="00B41E66">
              <w:rPr>
                <w:color w:val="0000FF"/>
              </w:rPr>
              <w:t>55</w:t>
            </w:r>
            <w:r w:rsidRPr="00B41E66">
              <w:rPr>
                <w:color w:val="0000FF"/>
              </w:rPr>
              <w:t xml:space="preserve"> (0.0</w:t>
            </w:r>
            <w:r w:rsidR="00853140" w:rsidRPr="00B41E66">
              <w:rPr>
                <w:color w:val="0000FF"/>
              </w:rPr>
              <w:t>8</w:t>
            </w:r>
            <w:r w:rsidRPr="00B41E66">
              <w:rPr>
                <w:color w:val="0000FF"/>
              </w:rPr>
              <w:t>)</w:t>
            </w:r>
          </w:p>
        </w:tc>
        <w:tc>
          <w:tcPr>
            <w:tcW w:w="1559" w:type="dxa"/>
            <w:tcBorders>
              <w:top w:val="nil"/>
              <w:left w:val="nil"/>
              <w:bottom w:val="nil"/>
              <w:right w:val="single" w:sz="12" w:space="0" w:color="auto"/>
            </w:tcBorders>
            <w:shd w:val="clear" w:color="auto" w:fill="auto"/>
            <w:noWrap/>
            <w:vAlign w:val="center"/>
            <w:hideMark/>
          </w:tcPr>
          <w:p w14:paraId="11C4E0AB" w14:textId="0D1DB809" w:rsidR="005E1D66" w:rsidRPr="00B41E66" w:rsidRDefault="005E1D66" w:rsidP="005E1D66">
            <w:pPr>
              <w:jc w:val="center"/>
              <w:rPr>
                <w:color w:val="0000FF"/>
              </w:rPr>
            </w:pPr>
            <w:r w:rsidRPr="00B41E66">
              <w:rPr>
                <w:color w:val="0000FF"/>
              </w:rPr>
              <w:t>-0.</w:t>
            </w:r>
            <w:r w:rsidR="00C3695E" w:rsidRPr="00B41E66">
              <w:rPr>
                <w:color w:val="0000FF"/>
              </w:rPr>
              <w:t>5</w:t>
            </w:r>
            <w:r w:rsidRPr="00B41E66">
              <w:rPr>
                <w:color w:val="0000FF"/>
              </w:rPr>
              <w:t>4 (0.0</w:t>
            </w:r>
            <w:r w:rsidR="00C3695E" w:rsidRPr="00B41E66">
              <w:rPr>
                <w:color w:val="0000FF"/>
              </w:rPr>
              <w:t>8</w:t>
            </w:r>
            <w:r w:rsidRPr="00B41E66">
              <w:rPr>
                <w:color w:val="0000FF"/>
              </w:rPr>
              <w:t>)</w:t>
            </w:r>
          </w:p>
        </w:tc>
      </w:tr>
      <w:tr w:rsidR="008560E6" w:rsidRPr="00B41E66" w14:paraId="782AE58E" w14:textId="77777777" w:rsidTr="005E1D66">
        <w:trPr>
          <w:trHeight w:val="300"/>
        </w:trPr>
        <w:tc>
          <w:tcPr>
            <w:tcW w:w="1420" w:type="dxa"/>
            <w:tcBorders>
              <w:top w:val="nil"/>
              <w:left w:val="single" w:sz="12" w:space="0" w:color="auto"/>
              <w:bottom w:val="nil"/>
              <w:right w:val="nil"/>
            </w:tcBorders>
            <w:shd w:val="clear" w:color="auto" w:fill="auto"/>
            <w:noWrap/>
            <w:vAlign w:val="center"/>
            <w:hideMark/>
          </w:tcPr>
          <w:p w14:paraId="185543BA" w14:textId="77777777" w:rsidR="005E1D66" w:rsidRPr="00B41E66" w:rsidRDefault="005E1D66" w:rsidP="005E1D66">
            <w:pPr>
              <w:jc w:val="center"/>
              <w:rPr>
                <w:color w:val="0000FF"/>
              </w:rPr>
            </w:pPr>
            <w:r w:rsidRPr="00B41E66">
              <w:rPr>
                <w:color w:val="0000FF"/>
              </w:rPr>
              <w:t>Year 2014</w:t>
            </w:r>
          </w:p>
        </w:tc>
        <w:tc>
          <w:tcPr>
            <w:tcW w:w="1259" w:type="dxa"/>
            <w:gridSpan w:val="2"/>
            <w:tcBorders>
              <w:top w:val="nil"/>
              <w:left w:val="single" w:sz="12" w:space="0" w:color="auto"/>
              <w:bottom w:val="nil"/>
              <w:right w:val="nil"/>
            </w:tcBorders>
            <w:shd w:val="clear" w:color="auto" w:fill="auto"/>
            <w:noWrap/>
            <w:vAlign w:val="center"/>
            <w:hideMark/>
          </w:tcPr>
          <w:p w14:paraId="1A13F5D0" w14:textId="5D9DC76C" w:rsidR="005E1D66" w:rsidRPr="00B41E66" w:rsidRDefault="005E1D66" w:rsidP="005E1D66">
            <w:pPr>
              <w:jc w:val="center"/>
              <w:rPr>
                <w:color w:val="0000FF"/>
              </w:rPr>
            </w:pPr>
            <w:r w:rsidRPr="00B41E66">
              <w:rPr>
                <w:color w:val="0000FF"/>
              </w:rPr>
              <w:t>-1.</w:t>
            </w:r>
            <w:r w:rsidR="003201C7" w:rsidRPr="00B41E66">
              <w:rPr>
                <w:color w:val="0000FF"/>
              </w:rPr>
              <w:t>03</w:t>
            </w:r>
            <w:r w:rsidRPr="00B41E66">
              <w:rPr>
                <w:color w:val="0000FF"/>
              </w:rPr>
              <w:t xml:space="preserve"> (0.0</w:t>
            </w:r>
            <w:r w:rsidR="003201C7" w:rsidRPr="00B41E66">
              <w:rPr>
                <w:color w:val="0000FF"/>
              </w:rPr>
              <w:t>5</w:t>
            </w:r>
            <w:r w:rsidRPr="00B41E66">
              <w:rPr>
                <w:color w:val="0000FF"/>
              </w:rPr>
              <w:t>)</w:t>
            </w:r>
          </w:p>
        </w:tc>
        <w:tc>
          <w:tcPr>
            <w:tcW w:w="1275" w:type="dxa"/>
            <w:tcBorders>
              <w:top w:val="nil"/>
              <w:left w:val="nil"/>
              <w:bottom w:val="nil"/>
              <w:right w:val="single" w:sz="12" w:space="0" w:color="auto"/>
            </w:tcBorders>
            <w:shd w:val="clear" w:color="auto" w:fill="auto"/>
            <w:noWrap/>
            <w:vAlign w:val="center"/>
            <w:hideMark/>
          </w:tcPr>
          <w:p w14:paraId="0AC9EBBB" w14:textId="0B180C59" w:rsidR="005E1D66" w:rsidRPr="00B41E66" w:rsidRDefault="005E1D66" w:rsidP="005E1D66">
            <w:pPr>
              <w:jc w:val="center"/>
              <w:rPr>
                <w:color w:val="0000FF"/>
              </w:rPr>
            </w:pPr>
            <w:r w:rsidRPr="00B41E66">
              <w:rPr>
                <w:color w:val="0000FF"/>
              </w:rPr>
              <w:t>-1.</w:t>
            </w:r>
            <w:r w:rsidR="00CB2E34" w:rsidRPr="00B41E66">
              <w:rPr>
                <w:color w:val="0000FF"/>
              </w:rPr>
              <w:t>23</w:t>
            </w:r>
            <w:r w:rsidRPr="00B41E66">
              <w:rPr>
                <w:color w:val="0000FF"/>
              </w:rPr>
              <w:t xml:space="preserve"> (0.0</w:t>
            </w:r>
            <w:r w:rsidR="00CB2E34" w:rsidRPr="00B41E66">
              <w:rPr>
                <w:color w:val="0000FF"/>
              </w:rPr>
              <w:t>3</w:t>
            </w:r>
            <w:r w:rsidRPr="00B41E66">
              <w:rPr>
                <w:color w:val="0000FF"/>
              </w:rPr>
              <w:t>)</w:t>
            </w:r>
          </w:p>
        </w:tc>
        <w:tc>
          <w:tcPr>
            <w:tcW w:w="1276" w:type="dxa"/>
            <w:gridSpan w:val="2"/>
            <w:tcBorders>
              <w:top w:val="nil"/>
              <w:left w:val="nil"/>
              <w:bottom w:val="nil"/>
              <w:right w:val="nil"/>
            </w:tcBorders>
            <w:shd w:val="clear" w:color="auto" w:fill="auto"/>
            <w:noWrap/>
            <w:vAlign w:val="center"/>
            <w:hideMark/>
          </w:tcPr>
          <w:p w14:paraId="7F651D20" w14:textId="53635110" w:rsidR="005E1D66" w:rsidRPr="00B41E66" w:rsidRDefault="005E1D66" w:rsidP="005E1D66">
            <w:pPr>
              <w:jc w:val="center"/>
              <w:rPr>
                <w:color w:val="0000FF"/>
              </w:rPr>
            </w:pPr>
            <w:r w:rsidRPr="00B41E66">
              <w:rPr>
                <w:color w:val="0000FF"/>
              </w:rPr>
              <w:t>-0.</w:t>
            </w:r>
            <w:r w:rsidR="00475ECC" w:rsidRPr="00B41E66">
              <w:rPr>
                <w:color w:val="0000FF"/>
              </w:rPr>
              <w:t>12</w:t>
            </w:r>
            <w:r w:rsidRPr="00B41E66">
              <w:rPr>
                <w:color w:val="0000FF"/>
              </w:rPr>
              <w:t xml:space="preserve"> (0.</w:t>
            </w:r>
            <w:r w:rsidR="00475ECC" w:rsidRPr="00B41E66">
              <w:rPr>
                <w:color w:val="0000FF"/>
              </w:rPr>
              <w:t>61</w:t>
            </w:r>
            <w:r w:rsidRPr="00B41E66">
              <w:rPr>
                <w:color w:val="0000FF"/>
              </w:rPr>
              <w:t>)</w:t>
            </w:r>
          </w:p>
        </w:tc>
        <w:tc>
          <w:tcPr>
            <w:tcW w:w="1276" w:type="dxa"/>
            <w:tcBorders>
              <w:top w:val="nil"/>
              <w:left w:val="nil"/>
              <w:bottom w:val="nil"/>
              <w:right w:val="nil"/>
            </w:tcBorders>
            <w:shd w:val="clear" w:color="auto" w:fill="auto"/>
            <w:noWrap/>
            <w:vAlign w:val="bottom"/>
            <w:hideMark/>
          </w:tcPr>
          <w:p w14:paraId="651B5DAB" w14:textId="15077B26" w:rsidR="005E1D66" w:rsidRPr="00B41E66" w:rsidRDefault="005E1D66" w:rsidP="005E1D66">
            <w:pPr>
              <w:jc w:val="center"/>
              <w:rPr>
                <w:color w:val="0000FF"/>
              </w:rPr>
            </w:pPr>
            <w:r w:rsidRPr="00B41E66">
              <w:rPr>
                <w:color w:val="0000FF"/>
              </w:rPr>
              <w:t>-0.</w:t>
            </w:r>
            <w:r w:rsidR="00853140" w:rsidRPr="00B41E66">
              <w:rPr>
                <w:color w:val="0000FF"/>
              </w:rPr>
              <w:t>08</w:t>
            </w:r>
            <w:r w:rsidRPr="00B41E66">
              <w:rPr>
                <w:color w:val="0000FF"/>
              </w:rPr>
              <w:t xml:space="preserve"> (0.</w:t>
            </w:r>
            <w:r w:rsidR="00853140" w:rsidRPr="00B41E66">
              <w:rPr>
                <w:color w:val="0000FF"/>
              </w:rPr>
              <w:t>75</w:t>
            </w:r>
            <w:r w:rsidRPr="00B41E66">
              <w:rPr>
                <w:color w:val="0000FF"/>
              </w:rPr>
              <w:t>)</w:t>
            </w:r>
          </w:p>
        </w:tc>
        <w:tc>
          <w:tcPr>
            <w:tcW w:w="1276" w:type="dxa"/>
            <w:gridSpan w:val="2"/>
            <w:tcBorders>
              <w:top w:val="nil"/>
              <w:left w:val="single" w:sz="12" w:space="0" w:color="auto"/>
              <w:bottom w:val="nil"/>
              <w:right w:val="nil"/>
            </w:tcBorders>
            <w:shd w:val="clear" w:color="auto" w:fill="auto"/>
            <w:noWrap/>
            <w:vAlign w:val="center"/>
            <w:hideMark/>
          </w:tcPr>
          <w:p w14:paraId="65E54B80" w14:textId="1BF273A2" w:rsidR="005E1D66" w:rsidRPr="00B41E66" w:rsidRDefault="005E1D66" w:rsidP="005E1D66">
            <w:pPr>
              <w:jc w:val="center"/>
              <w:rPr>
                <w:color w:val="0000FF"/>
              </w:rPr>
            </w:pPr>
            <w:r w:rsidRPr="00B41E66">
              <w:rPr>
                <w:color w:val="0000FF"/>
              </w:rPr>
              <w:t>-0.0</w:t>
            </w:r>
            <w:r w:rsidR="00C3695E" w:rsidRPr="00B41E66">
              <w:rPr>
                <w:color w:val="0000FF"/>
              </w:rPr>
              <w:t>3</w:t>
            </w:r>
            <w:r w:rsidRPr="00B41E66">
              <w:rPr>
                <w:color w:val="0000FF"/>
              </w:rPr>
              <w:t xml:space="preserve"> (0.8</w:t>
            </w:r>
            <w:r w:rsidR="00C3695E" w:rsidRPr="00B41E66">
              <w:rPr>
                <w:color w:val="0000FF"/>
              </w:rPr>
              <w:t>8</w:t>
            </w:r>
            <w:r w:rsidRPr="00B41E66">
              <w:rPr>
                <w:color w:val="0000FF"/>
              </w:rPr>
              <w:t>)</w:t>
            </w:r>
          </w:p>
        </w:tc>
        <w:tc>
          <w:tcPr>
            <w:tcW w:w="1559" w:type="dxa"/>
            <w:tcBorders>
              <w:top w:val="nil"/>
              <w:left w:val="nil"/>
              <w:bottom w:val="nil"/>
              <w:right w:val="single" w:sz="12" w:space="0" w:color="auto"/>
            </w:tcBorders>
            <w:shd w:val="clear" w:color="auto" w:fill="auto"/>
            <w:noWrap/>
            <w:vAlign w:val="center"/>
            <w:hideMark/>
          </w:tcPr>
          <w:p w14:paraId="288E5A4C" w14:textId="6EC5F7D5" w:rsidR="005E1D66" w:rsidRPr="00B41E66" w:rsidRDefault="005E1D66" w:rsidP="005E1D66">
            <w:pPr>
              <w:jc w:val="center"/>
              <w:rPr>
                <w:color w:val="0000FF"/>
              </w:rPr>
            </w:pPr>
            <w:r w:rsidRPr="00B41E66">
              <w:rPr>
                <w:color w:val="0000FF"/>
              </w:rPr>
              <w:t>-0.0</w:t>
            </w:r>
            <w:r w:rsidR="00C3695E" w:rsidRPr="00B41E66">
              <w:rPr>
                <w:color w:val="0000FF"/>
              </w:rPr>
              <w:t>4</w:t>
            </w:r>
            <w:r w:rsidRPr="00B41E66">
              <w:rPr>
                <w:color w:val="0000FF"/>
              </w:rPr>
              <w:t xml:space="preserve"> (0.</w:t>
            </w:r>
            <w:r w:rsidR="00C3695E" w:rsidRPr="00B41E66">
              <w:rPr>
                <w:color w:val="0000FF"/>
              </w:rPr>
              <w:t>85</w:t>
            </w:r>
            <w:r w:rsidRPr="00B41E66">
              <w:rPr>
                <w:color w:val="0000FF"/>
              </w:rPr>
              <w:t>)</w:t>
            </w:r>
          </w:p>
        </w:tc>
      </w:tr>
      <w:tr w:rsidR="008560E6" w:rsidRPr="00B41E66" w14:paraId="5A94157B" w14:textId="77777777" w:rsidTr="005E1D66">
        <w:trPr>
          <w:trHeight w:val="300"/>
        </w:trPr>
        <w:tc>
          <w:tcPr>
            <w:tcW w:w="1420" w:type="dxa"/>
            <w:tcBorders>
              <w:top w:val="nil"/>
              <w:left w:val="single" w:sz="12" w:space="0" w:color="auto"/>
              <w:bottom w:val="nil"/>
              <w:right w:val="nil"/>
            </w:tcBorders>
            <w:shd w:val="clear" w:color="auto" w:fill="auto"/>
            <w:noWrap/>
            <w:vAlign w:val="center"/>
            <w:hideMark/>
          </w:tcPr>
          <w:p w14:paraId="20B57186" w14:textId="77777777" w:rsidR="005E1D66" w:rsidRPr="00B41E66" w:rsidRDefault="005E1D66" w:rsidP="005E1D66">
            <w:pPr>
              <w:jc w:val="center"/>
              <w:rPr>
                <w:color w:val="0000FF"/>
              </w:rPr>
            </w:pPr>
            <w:r w:rsidRPr="00B41E66">
              <w:rPr>
                <w:color w:val="0000FF"/>
              </w:rPr>
              <w:t>Year 2015</w:t>
            </w:r>
          </w:p>
        </w:tc>
        <w:tc>
          <w:tcPr>
            <w:tcW w:w="1259" w:type="dxa"/>
            <w:gridSpan w:val="2"/>
            <w:tcBorders>
              <w:top w:val="nil"/>
              <w:left w:val="single" w:sz="12" w:space="0" w:color="auto"/>
              <w:bottom w:val="nil"/>
              <w:right w:val="nil"/>
            </w:tcBorders>
            <w:shd w:val="clear" w:color="auto" w:fill="auto"/>
            <w:noWrap/>
            <w:vAlign w:val="center"/>
            <w:hideMark/>
          </w:tcPr>
          <w:p w14:paraId="6BD0DBBF" w14:textId="46B7214E" w:rsidR="005E1D66" w:rsidRPr="00B41E66" w:rsidRDefault="005E1D66" w:rsidP="005E1D66">
            <w:pPr>
              <w:jc w:val="center"/>
              <w:rPr>
                <w:color w:val="0000FF"/>
              </w:rPr>
            </w:pPr>
            <w:r w:rsidRPr="00B41E66">
              <w:rPr>
                <w:color w:val="0000FF"/>
              </w:rPr>
              <w:t>-1.</w:t>
            </w:r>
            <w:r w:rsidR="003201C7" w:rsidRPr="00B41E66">
              <w:rPr>
                <w:color w:val="0000FF"/>
              </w:rPr>
              <w:t>45</w:t>
            </w:r>
            <w:r w:rsidRPr="00B41E66">
              <w:rPr>
                <w:color w:val="0000FF"/>
              </w:rPr>
              <w:t xml:space="preserve"> (0.0</w:t>
            </w:r>
            <w:r w:rsidR="003201C7" w:rsidRPr="00B41E66">
              <w:rPr>
                <w:color w:val="0000FF"/>
              </w:rPr>
              <w:t>2</w:t>
            </w:r>
            <w:r w:rsidRPr="00B41E66">
              <w:rPr>
                <w:color w:val="0000FF"/>
              </w:rPr>
              <w:t>)</w:t>
            </w:r>
          </w:p>
        </w:tc>
        <w:tc>
          <w:tcPr>
            <w:tcW w:w="1275" w:type="dxa"/>
            <w:tcBorders>
              <w:top w:val="nil"/>
              <w:left w:val="nil"/>
              <w:bottom w:val="nil"/>
              <w:right w:val="single" w:sz="12" w:space="0" w:color="auto"/>
            </w:tcBorders>
            <w:shd w:val="clear" w:color="auto" w:fill="auto"/>
            <w:noWrap/>
            <w:vAlign w:val="center"/>
            <w:hideMark/>
          </w:tcPr>
          <w:p w14:paraId="468B25D3" w14:textId="64EE3D3B" w:rsidR="005E1D66" w:rsidRPr="00B41E66" w:rsidRDefault="005E1D66" w:rsidP="005E1D66">
            <w:pPr>
              <w:jc w:val="center"/>
              <w:rPr>
                <w:color w:val="0000FF"/>
              </w:rPr>
            </w:pPr>
            <w:r w:rsidRPr="00B41E66">
              <w:rPr>
                <w:color w:val="0000FF"/>
              </w:rPr>
              <w:t>-</w:t>
            </w:r>
            <w:r w:rsidR="00CB2E34" w:rsidRPr="00B41E66">
              <w:rPr>
                <w:color w:val="0000FF"/>
              </w:rPr>
              <w:t>1</w:t>
            </w:r>
            <w:r w:rsidRPr="00B41E66">
              <w:rPr>
                <w:color w:val="0000FF"/>
              </w:rPr>
              <w:t>.</w:t>
            </w:r>
            <w:r w:rsidR="00CB2E34" w:rsidRPr="00B41E66">
              <w:rPr>
                <w:color w:val="0000FF"/>
              </w:rPr>
              <w:t>61</w:t>
            </w:r>
            <w:r w:rsidRPr="00B41E66">
              <w:rPr>
                <w:color w:val="0000FF"/>
              </w:rPr>
              <w:t xml:space="preserve"> (0.0</w:t>
            </w:r>
            <w:r w:rsidR="00CB2E34" w:rsidRPr="00B41E66">
              <w:rPr>
                <w:color w:val="0000FF"/>
              </w:rPr>
              <w:t>1</w:t>
            </w:r>
            <w:r w:rsidRPr="00B41E66">
              <w:rPr>
                <w:color w:val="0000FF"/>
              </w:rPr>
              <w:t>)</w:t>
            </w:r>
          </w:p>
        </w:tc>
        <w:tc>
          <w:tcPr>
            <w:tcW w:w="1276" w:type="dxa"/>
            <w:gridSpan w:val="2"/>
            <w:tcBorders>
              <w:top w:val="nil"/>
              <w:left w:val="nil"/>
              <w:bottom w:val="nil"/>
              <w:right w:val="nil"/>
            </w:tcBorders>
            <w:shd w:val="clear" w:color="auto" w:fill="auto"/>
            <w:noWrap/>
            <w:vAlign w:val="center"/>
            <w:hideMark/>
          </w:tcPr>
          <w:p w14:paraId="6336D7CE" w14:textId="7E93DA3A" w:rsidR="005E1D66" w:rsidRPr="00B41E66" w:rsidRDefault="005E1D66" w:rsidP="005E1D66">
            <w:pPr>
              <w:jc w:val="center"/>
              <w:rPr>
                <w:color w:val="0000FF"/>
              </w:rPr>
            </w:pPr>
            <w:r w:rsidRPr="00B41E66">
              <w:rPr>
                <w:color w:val="0000FF"/>
              </w:rPr>
              <w:t>0.0</w:t>
            </w:r>
            <w:r w:rsidR="00475ECC" w:rsidRPr="00B41E66">
              <w:rPr>
                <w:color w:val="0000FF"/>
              </w:rPr>
              <w:t>3</w:t>
            </w:r>
            <w:r w:rsidRPr="00B41E66">
              <w:rPr>
                <w:color w:val="0000FF"/>
              </w:rPr>
              <w:t xml:space="preserve"> (0.</w:t>
            </w:r>
            <w:r w:rsidR="00475ECC" w:rsidRPr="00B41E66">
              <w:rPr>
                <w:color w:val="0000FF"/>
              </w:rPr>
              <w:t>88</w:t>
            </w:r>
            <w:r w:rsidRPr="00B41E66">
              <w:rPr>
                <w:color w:val="0000FF"/>
              </w:rPr>
              <w:t>)</w:t>
            </w:r>
          </w:p>
        </w:tc>
        <w:tc>
          <w:tcPr>
            <w:tcW w:w="1276" w:type="dxa"/>
            <w:tcBorders>
              <w:top w:val="nil"/>
              <w:left w:val="nil"/>
              <w:bottom w:val="nil"/>
              <w:right w:val="nil"/>
            </w:tcBorders>
            <w:shd w:val="clear" w:color="auto" w:fill="auto"/>
            <w:noWrap/>
            <w:vAlign w:val="bottom"/>
            <w:hideMark/>
          </w:tcPr>
          <w:p w14:paraId="4A01F6F7" w14:textId="6ED29CEB" w:rsidR="005E1D66" w:rsidRPr="00B41E66" w:rsidRDefault="005E1D66" w:rsidP="005E1D66">
            <w:pPr>
              <w:jc w:val="center"/>
              <w:rPr>
                <w:color w:val="0000FF"/>
              </w:rPr>
            </w:pPr>
            <w:r w:rsidRPr="00B41E66">
              <w:rPr>
                <w:color w:val="0000FF"/>
              </w:rPr>
              <w:t>-0.0</w:t>
            </w:r>
            <w:r w:rsidR="00853140" w:rsidRPr="00B41E66">
              <w:rPr>
                <w:color w:val="0000FF"/>
              </w:rPr>
              <w:t>7</w:t>
            </w:r>
            <w:r w:rsidRPr="00B41E66">
              <w:rPr>
                <w:color w:val="0000FF"/>
              </w:rPr>
              <w:t xml:space="preserve"> (0.</w:t>
            </w:r>
            <w:r w:rsidR="00853140" w:rsidRPr="00B41E66">
              <w:rPr>
                <w:color w:val="0000FF"/>
              </w:rPr>
              <w:t>71</w:t>
            </w:r>
            <w:r w:rsidRPr="00B41E66">
              <w:rPr>
                <w:color w:val="0000FF"/>
              </w:rPr>
              <w:t>)</w:t>
            </w:r>
          </w:p>
        </w:tc>
        <w:tc>
          <w:tcPr>
            <w:tcW w:w="1276" w:type="dxa"/>
            <w:gridSpan w:val="2"/>
            <w:tcBorders>
              <w:top w:val="nil"/>
              <w:left w:val="single" w:sz="12" w:space="0" w:color="auto"/>
              <w:bottom w:val="nil"/>
              <w:right w:val="nil"/>
            </w:tcBorders>
            <w:shd w:val="clear" w:color="auto" w:fill="auto"/>
            <w:noWrap/>
            <w:vAlign w:val="center"/>
            <w:hideMark/>
          </w:tcPr>
          <w:p w14:paraId="486C489B" w14:textId="77777777" w:rsidR="005E1D66" w:rsidRPr="00B41E66" w:rsidRDefault="005E1D66" w:rsidP="005E1D66">
            <w:pPr>
              <w:jc w:val="center"/>
              <w:rPr>
                <w:color w:val="0000FF"/>
              </w:rPr>
            </w:pPr>
          </w:p>
        </w:tc>
        <w:tc>
          <w:tcPr>
            <w:tcW w:w="1559" w:type="dxa"/>
            <w:tcBorders>
              <w:top w:val="nil"/>
              <w:left w:val="nil"/>
              <w:bottom w:val="nil"/>
              <w:right w:val="single" w:sz="12" w:space="0" w:color="auto"/>
            </w:tcBorders>
            <w:shd w:val="clear" w:color="auto" w:fill="auto"/>
            <w:noWrap/>
            <w:vAlign w:val="center"/>
            <w:hideMark/>
          </w:tcPr>
          <w:p w14:paraId="7D2A4B34" w14:textId="77777777" w:rsidR="005E1D66" w:rsidRPr="00B41E66" w:rsidRDefault="005E1D66" w:rsidP="005E1D66">
            <w:pPr>
              <w:jc w:val="center"/>
              <w:rPr>
                <w:color w:val="0000FF"/>
              </w:rPr>
            </w:pPr>
          </w:p>
        </w:tc>
      </w:tr>
      <w:tr w:rsidR="008560E6" w:rsidRPr="00B41E66" w14:paraId="0B060187" w14:textId="77777777" w:rsidTr="005E1D66">
        <w:trPr>
          <w:trHeight w:val="300"/>
        </w:trPr>
        <w:tc>
          <w:tcPr>
            <w:tcW w:w="1420" w:type="dxa"/>
            <w:tcBorders>
              <w:top w:val="nil"/>
              <w:left w:val="single" w:sz="12" w:space="0" w:color="auto"/>
              <w:bottom w:val="nil"/>
              <w:right w:val="nil"/>
            </w:tcBorders>
            <w:shd w:val="clear" w:color="auto" w:fill="auto"/>
            <w:noWrap/>
            <w:vAlign w:val="center"/>
            <w:hideMark/>
          </w:tcPr>
          <w:p w14:paraId="7E08F8CE" w14:textId="77777777" w:rsidR="005E1D66" w:rsidRPr="00B41E66" w:rsidRDefault="005E1D66" w:rsidP="005E1D66">
            <w:pPr>
              <w:jc w:val="center"/>
              <w:rPr>
                <w:color w:val="0000FF"/>
              </w:rPr>
            </w:pPr>
            <w:r w:rsidRPr="00B41E66">
              <w:rPr>
                <w:color w:val="0000FF"/>
              </w:rPr>
              <w:t>Year 2016</w:t>
            </w:r>
          </w:p>
        </w:tc>
        <w:tc>
          <w:tcPr>
            <w:tcW w:w="1259" w:type="dxa"/>
            <w:gridSpan w:val="2"/>
            <w:tcBorders>
              <w:top w:val="nil"/>
              <w:left w:val="single" w:sz="12" w:space="0" w:color="auto"/>
              <w:bottom w:val="nil"/>
              <w:right w:val="nil"/>
            </w:tcBorders>
            <w:shd w:val="clear" w:color="auto" w:fill="auto"/>
            <w:noWrap/>
            <w:vAlign w:val="center"/>
            <w:hideMark/>
          </w:tcPr>
          <w:p w14:paraId="393DF0F8" w14:textId="5F81E091" w:rsidR="005E1D66" w:rsidRPr="00B41E66" w:rsidRDefault="005E1D66" w:rsidP="005E1D66">
            <w:pPr>
              <w:jc w:val="center"/>
              <w:rPr>
                <w:color w:val="0000FF"/>
              </w:rPr>
            </w:pPr>
            <w:r w:rsidRPr="00B41E66">
              <w:rPr>
                <w:color w:val="0000FF"/>
              </w:rPr>
              <w:t>-1.</w:t>
            </w:r>
            <w:r w:rsidR="003201C7" w:rsidRPr="00B41E66">
              <w:rPr>
                <w:color w:val="0000FF"/>
              </w:rPr>
              <w:t>28</w:t>
            </w:r>
            <w:r w:rsidRPr="00B41E66">
              <w:rPr>
                <w:color w:val="0000FF"/>
              </w:rPr>
              <w:t xml:space="preserve"> (0.0</w:t>
            </w:r>
            <w:r w:rsidR="003201C7" w:rsidRPr="00B41E66">
              <w:rPr>
                <w:color w:val="0000FF"/>
              </w:rPr>
              <w:t>2</w:t>
            </w:r>
            <w:r w:rsidRPr="00B41E66">
              <w:rPr>
                <w:color w:val="0000FF"/>
              </w:rPr>
              <w:t>)</w:t>
            </w:r>
          </w:p>
        </w:tc>
        <w:tc>
          <w:tcPr>
            <w:tcW w:w="1275" w:type="dxa"/>
            <w:tcBorders>
              <w:top w:val="nil"/>
              <w:left w:val="nil"/>
              <w:bottom w:val="nil"/>
              <w:right w:val="single" w:sz="12" w:space="0" w:color="auto"/>
            </w:tcBorders>
            <w:shd w:val="clear" w:color="auto" w:fill="auto"/>
            <w:noWrap/>
            <w:vAlign w:val="center"/>
            <w:hideMark/>
          </w:tcPr>
          <w:p w14:paraId="185236EF" w14:textId="60F314E5" w:rsidR="005E1D66" w:rsidRPr="00B41E66" w:rsidRDefault="005E1D66" w:rsidP="005E1D66">
            <w:pPr>
              <w:jc w:val="center"/>
              <w:rPr>
                <w:color w:val="0000FF"/>
              </w:rPr>
            </w:pPr>
            <w:r w:rsidRPr="00B41E66">
              <w:rPr>
                <w:color w:val="0000FF"/>
              </w:rPr>
              <w:t>-1.</w:t>
            </w:r>
            <w:r w:rsidR="00475ECC" w:rsidRPr="00B41E66">
              <w:rPr>
                <w:color w:val="0000FF"/>
              </w:rPr>
              <w:t>49</w:t>
            </w:r>
            <w:r w:rsidRPr="00B41E66">
              <w:rPr>
                <w:color w:val="0000FF"/>
              </w:rPr>
              <w:t xml:space="preserve"> (0.0</w:t>
            </w:r>
            <w:r w:rsidR="00475ECC" w:rsidRPr="00B41E66">
              <w:rPr>
                <w:color w:val="0000FF"/>
              </w:rPr>
              <w:t>1</w:t>
            </w:r>
            <w:r w:rsidRPr="00B41E66">
              <w:rPr>
                <w:color w:val="0000FF"/>
              </w:rPr>
              <w:t>)</w:t>
            </w:r>
          </w:p>
        </w:tc>
        <w:tc>
          <w:tcPr>
            <w:tcW w:w="1276" w:type="dxa"/>
            <w:gridSpan w:val="2"/>
            <w:tcBorders>
              <w:top w:val="nil"/>
              <w:left w:val="nil"/>
              <w:bottom w:val="nil"/>
              <w:right w:val="nil"/>
            </w:tcBorders>
            <w:shd w:val="clear" w:color="auto" w:fill="auto"/>
            <w:noWrap/>
            <w:vAlign w:val="bottom"/>
            <w:hideMark/>
          </w:tcPr>
          <w:p w14:paraId="25122453" w14:textId="77777777" w:rsidR="005E1D66" w:rsidRPr="00B41E66" w:rsidRDefault="005E1D66" w:rsidP="005E1D66">
            <w:pPr>
              <w:jc w:val="center"/>
              <w:rPr>
                <w:color w:val="0000FF"/>
              </w:rPr>
            </w:pPr>
          </w:p>
        </w:tc>
        <w:tc>
          <w:tcPr>
            <w:tcW w:w="1276" w:type="dxa"/>
            <w:tcBorders>
              <w:top w:val="nil"/>
              <w:left w:val="nil"/>
              <w:bottom w:val="nil"/>
              <w:right w:val="nil"/>
            </w:tcBorders>
            <w:shd w:val="clear" w:color="auto" w:fill="auto"/>
            <w:noWrap/>
            <w:vAlign w:val="center"/>
            <w:hideMark/>
          </w:tcPr>
          <w:p w14:paraId="44085227" w14:textId="77777777" w:rsidR="005E1D66" w:rsidRPr="00B41E66" w:rsidRDefault="005E1D66" w:rsidP="005E1D66">
            <w:pPr>
              <w:jc w:val="center"/>
              <w:rPr>
                <w:color w:val="0000FF"/>
              </w:rPr>
            </w:pPr>
          </w:p>
        </w:tc>
        <w:tc>
          <w:tcPr>
            <w:tcW w:w="1276" w:type="dxa"/>
            <w:gridSpan w:val="2"/>
            <w:tcBorders>
              <w:top w:val="nil"/>
              <w:left w:val="single" w:sz="12" w:space="0" w:color="auto"/>
              <w:bottom w:val="nil"/>
              <w:right w:val="nil"/>
            </w:tcBorders>
            <w:shd w:val="clear" w:color="auto" w:fill="auto"/>
            <w:noWrap/>
            <w:vAlign w:val="center"/>
            <w:hideMark/>
          </w:tcPr>
          <w:p w14:paraId="0E447F62" w14:textId="77777777" w:rsidR="005E1D66" w:rsidRPr="00B41E66" w:rsidRDefault="005E1D66" w:rsidP="005E1D66">
            <w:pPr>
              <w:jc w:val="center"/>
              <w:rPr>
                <w:color w:val="0000FF"/>
              </w:rPr>
            </w:pPr>
          </w:p>
        </w:tc>
        <w:tc>
          <w:tcPr>
            <w:tcW w:w="1559" w:type="dxa"/>
            <w:tcBorders>
              <w:top w:val="nil"/>
              <w:left w:val="nil"/>
              <w:bottom w:val="nil"/>
              <w:right w:val="single" w:sz="12" w:space="0" w:color="auto"/>
            </w:tcBorders>
            <w:shd w:val="clear" w:color="auto" w:fill="auto"/>
            <w:noWrap/>
            <w:vAlign w:val="center"/>
            <w:hideMark/>
          </w:tcPr>
          <w:p w14:paraId="74D78493" w14:textId="77777777" w:rsidR="005E1D66" w:rsidRPr="00B41E66" w:rsidRDefault="005E1D66" w:rsidP="005E1D66">
            <w:pPr>
              <w:jc w:val="center"/>
              <w:rPr>
                <w:color w:val="0000FF"/>
              </w:rPr>
            </w:pPr>
          </w:p>
        </w:tc>
      </w:tr>
      <w:tr w:rsidR="008560E6" w:rsidRPr="00B41E66" w14:paraId="799107D1" w14:textId="77777777" w:rsidTr="005E1D66">
        <w:trPr>
          <w:trHeight w:val="300"/>
        </w:trPr>
        <w:tc>
          <w:tcPr>
            <w:tcW w:w="1420" w:type="dxa"/>
            <w:tcBorders>
              <w:top w:val="nil"/>
              <w:left w:val="single" w:sz="12" w:space="0" w:color="auto"/>
              <w:bottom w:val="nil"/>
              <w:right w:val="nil"/>
            </w:tcBorders>
            <w:shd w:val="clear" w:color="auto" w:fill="auto"/>
            <w:noWrap/>
            <w:vAlign w:val="center"/>
            <w:hideMark/>
          </w:tcPr>
          <w:p w14:paraId="007550EB" w14:textId="061793AF" w:rsidR="005E1D66" w:rsidRPr="00B41E66" w:rsidRDefault="003201C7" w:rsidP="005E1D66">
            <w:pPr>
              <w:jc w:val="center"/>
              <w:rPr>
                <w:color w:val="0000FF"/>
              </w:rPr>
            </w:pPr>
            <w:r w:rsidRPr="00B41E66">
              <w:rPr>
                <w:color w:val="0000FF"/>
              </w:rPr>
              <w:t>Rm</w:t>
            </w:r>
            <w:r w:rsidR="007C44B2" w:rsidRPr="00B41E66">
              <w:rPr>
                <w:color w:val="0000FF"/>
              </w:rPr>
              <w:t>_sector</w:t>
            </w:r>
          </w:p>
        </w:tc>
        <w:tc>
          <w:tcPr>
            <w:tcW w:w="1259" w:type="dxa"/>
            <w:gridSpan w:val="2"/>
            <w:tcBorders>
              <w:top w:val="nil"/>
              <w:left w:val="single" w:sz="12" w:space="0" w:color="auto"/>
              <w:bottom w:val="nil"/>
              <w:right w:val="nil"/>
            </w:tcBorders>
            <w:shd w:val="clear" w:color="auto" w:fill="auto"/>
            <w:noWrap/>
            <w:vAlign w:val="center"/>
            <w:hideMark/>
          </w:tcPr>
          <w:p w14:paraId="2FADF5AE" w14:textId="0A0C8B3D" w:rsidR="005E1D66" w:rsidRPr="00B41E66" w:rsidRDefault="003201C7" w:rsidP="005E1D66">
            <w:pPr>
              <w:jc w:val="center"/>
              <w:rPr>
                <w:color w:val="0000FF"/>
              </w:rPr>
            </w:pPr>
            <w:r w:rsidRPr="00B41E66">
              <w:rPr>
                <w:color w:val="0000FF"/>
              </w:rPr>
              <w:t>1.60</w:t>
            </w:r>
            <w:r w:rsidR="005E1D66" w:rsidRPr="00B41E66">
              <w:rPr>
                <w:color w:val="0000FF"/>
              </w:rPr>
              <w:t xml:space="preserve"> (0.</w:t>
            </w:r>
            <w:r w:rsidRPr="00B41E66">
              <w:rPr>
                <w:color w:val="0000FF"/>
              </w:rPr>
              <w:t>20</w:t>
            </w:r>
            <w:r w:rsidR="005E1D66" w:rsidRPr="00B41E66">
              <w:rPr>
                <w:color w:val="0000FF"/>
              </w:rPr>
              <w:t>)</w:t>
            </w:r>
          </w:p>
        </w:tc>
        <w:tc>
          <w:tcPr>
            <w:tcW w:w="1275" w:type="dxa"/>
            <w:tcBorders>
              <w:top w:val="nil"/>
              <w:left w:val="nil"/>
              <w:bottom w:val="nil"/>
              <w:right w:val="single" w:sz="12" w:space="0" w:color="auto"/>
            </w:tcBorders>
            <w:shd w:val="clear" w:color="auto" w:fill="auto"/>
            <w:noWrap/>
            <w:vAlign w:val="center"/>
            <w:hideMark/>
          </w:tcPr>
          <w:p w14:paraId="3FB6D16E" w14:textId="44520616" w:rsidR="005E1D66" w:rsidRPr="00B41E66" w:rsidRDefault="00CB2E34" w:rsidP="005E1D66">
            <w:pPr>
              <w:jc w:val="center"/>
              <w:rPr>
                <w:color w:val="0000FF"/>
              </w:rPr>
            </w:pPr>
            <w:r w:rsidRPr="00B41E66">
              <w:rPr>
                <w:color w:val="0000FF"/>
              </w:rPr>
              <w:t>1.64</w:t>
            </w:r>
            <w:r w:rsidR="005E1D66" w:rsidRPr="00B41E66">
              <w:rPr>
                <w:color w:val="0000FF"/>
              </w:rPr>
              <w:t xml:space="preserve"> (0.</w:t>
            </w:r>
            <w:r w:rsidRPr="00B41E66">
              <w:rPr>
                <w:color w:val="0000FF"/>
              </w:rPr>
              <w:t>20</w:t>
            </w:r>
            <w:r w:rsidR="005E1D66" w:rsidRPr="00B41E66">
              <w:rPr>
                <w:color w:val="0000FF"/>
              </w:rPr>
              <w:t>)</w:t>
            </w:r>
          </w:p>
        </w:tc>
        <w:tc>
          <w:tcPr>
            <w:tcW w:w="1276" w:type="dxa"/>
            <w:gridSpan w:val="2"/>
            <w:tcBorders>
              <w:top w:val="nil"/>
              <w:left w:val="nil"/>
              <w:bottom w:val="nil"/>
              <w:right w:val="nil"/>
            </w:tcBorders>
            <w:shd w:val="clear" w:color="auto" w:fill="auto"/>
            <w:noWrap/>
            <w:vAlign w:val="center"/>
            <w:hideMark/>
          </w:tcPr>
          <w:p w14:paraId="638D374C" w14:textId="2B57DDE4" w:rsidR="005E1D66" w:rsidRPr="00B41E66" w:rsidRDefault="00475ECC" w:rsidP="005E1D66">
            <w:pPr>
              <w:jc w:val="center"/>
              <w:rPr>
                <w:color w:val="0000FF"/>
              </w:rPr>
            </w:pPr>
            <w:r w:rsidRPr="00B41E66">
              <w:rPr>
                <w:color w:val="0000FF"/>
              </w:rPr>
              <w:t>2</w:t>
            </w:r>
            <w:r w:rsidR="005E1D66" w:rsidRPr="00B41E66">
              <w:rPr>
                <w:color w:val="0000FF"/>
              </w:rPr>
              <w:t>.</w:t>
            </w:r>
            <w:r w:rsidRPr="00B41E66">
              <w:rPr>
                <w:color w:val="0000FF"/>
              </w:rPr>
              <w:t>13</w:t>
            </w:r>
            <w:r w:rsidR="005E1D66" w:rsidRPr="00B41E66">
              <w:rPr>
                <w:color w:val="0000FF"/>
              </w:rPr>
              <w:t xml:space="preserve"> (0.</w:t>
            </w:r>
            <w:r w:rsidRPr="00B41E66">
              <w:rPr>
                <w:color w:val="0000FF"/>
              </w:rPr>
              <w:t>05</w:t>
            </w:r>
            <w:r w:rsidR="005E1D66" w:rsidRPr="00B41E66">
              <w:rPr>
                <w:color w:val="0000FF"/>
              </w:rPr>
              <w:t>)</w:t>
            </w:r>
          </w:p>
        </w:tc>
        <w:tc>
          <w:tcPr>
            <w:tcW w:w="1276" w:type="dxa"/>
            <w:tcBorders>
              <w:top w:val="nil"/>
              <w:left w:val="nil"/>
              <w:bottom w:val="nil"/>
              <w:right w:val="nil"/>
            </w:tcBorders>
            <w:shd w:val="clear" w:color="auto" w:fill="auto"/>
            <w:noWrap/>
            <w:vAlign w:val="bottom"/>
            <w:hideMark/>
          </w:tcPr>
          <w:p w14:paraId="3B8F47F6" w14:textId="4C35F81C" w:rsidR="005E1D66" w:rsidRPr="00B41E66" w:rsidRDefault="00853140" w:rsidP="005E1D66">
            <w:pPr>
              <w:jc w:val="center"/>
              <w:rPr>
                <w:color w:val="0000FF"/>
              </w:rPr>
            </w:pPr>
            <w:r w:rsidRPr="00B41E66">
              <w:rPr>
                <w:color w:val="0000FF"/>
              </w:rPr>
              <w:t>2</w:t>
            </w:r>
            <w:r w:rsidR="005E1D66" w:rsidRPr="00B41E66">
              <w:rPr>
                <w:color w:val="0000FF"/>
              </w:rPr>
              <w:t>.</w:t>
            </w:r>
            <w:r w:rsidRPr="00B41E66">
              <w:rPr>
                <w:color w:val="0000FF"/>
              </w:rPr>
              <w:t>69</w:t>
            </w:r>
            <w:r w:rsidR="005E1D66" w:rsidRPr="00B41E66">
              <w:rPr>
                <w:color w:val="0000FF"/>
              </w:rPr>
              <w:t xml:space="preserve"> (0.</w:t>
            </w:r>
            <w:r w:rsidRPr="00B41E66">
              <w:rPr>
                <w:color w:val="0000FF"/>
              </w:rPr>
              <w:t>02</w:t>
            </w:r>
            <w:r w:rsidR="005E1D66" w:rsidRPr="00B41E66">
              <w:rPr>
                <w:color w:val="0000FF"/>
              </w:rPr>
              <w:t>)</w:t>
            </w:r>
          </w:p>
        </w:tc>
        <w:tc>
          <w:tcPr>
            <w:tcW w:w="1276" w:type="dxa"/>
            <w:gridSpan w:val="2"/>
            <w:tcBorders>
              <w:top w:val="nil"/>
              <w:left w:val="single" w:sz="12" w:space="0" w:color="auto"/>
              <w:bottom w:val="nil"/>
              <w:right w:val="nil"/>
            </w:tcBorders>
            <w:shd w:val="clear" w:color="auto" w:fill="auto"/>
            <w:noWrap/>
            <w:vAlign w:val="center"/>
            <w:hideMark/>
          </w:tcPr>
          <w:p w14:paraId="02C86AAF" w14:textId="56488582" w:rsidR="005E1D66" w:rsidRPr="00B41E66" w:rsidRDefault="00853140" w:rsidP="005E1D66">
            <w:pPr>
              <w:jc w:val="center"/>
              <w:rPr>
                <w:color w:val="0000FF"/>
              </w:rPr>
            </w:pPr>
            <w:r w:rsidRPr="00B41E66">
              <w:rPr>
                <w:color w:val="0000FF"/>
              </w:rPr>
              <w:t>1</w:t>
            </w:r>
            <w:r w:rsidR="005E1D66" w:rsidRPr="00B41E66">
              <w:rPr>
                <w:color w:val="0000FF"/>
              </w:rPr>
              <w:t>.</w:t>
            </w:r>
            <w:r w:rsidRPr="00B41E66">
              <w:rPr>
                <w:color w:val="0000FF"/>
              </w:rPr>
              <w:t>2</w:t>
            </w:r>
            <w:r w:rsidR="005E1D66" w:rsidRPr="00B41E66">
              <w:rPr>
                <w:color w:val="0000FF"/>
              </w:rPr>
              <w:t xml:space="preserve"> (0.</w:t>
            </w:r>
            <w:r w:rsidRPr="00B41E66">
              <w:rPr>
                <w:color w:val="0000FF"/>
              </w:rPr>
              <w:t>3</w:t>
            </w:r>
            <w:r w:rsidR="005E1D66" w:rsidRPr="00B41E66">
              <w:rPr>
                <w:color w:val="0000FF"/>
              </w:rPr>
              <w:t>7)</w:t>
            </w:r>
          </w:p>
        </w:tc>
        <w:tc>
          <w:tcPr>
            <w:tcW w:w="1559" w:type="dxa"/>
            <w:tcBorders>
              <w:top w:val="nil"/>
              <w:left w:val="nil"/>
              <w:bottom w:val="nil"/>
              <w:right w:val="single" w:sz="12" w:space="0" w:color="auto"/>
            </w:tcBorders>
            <w:shd w:val="clear" w:color="auto" w:fill="auto"/>
            <w:noWrap/>
            <w:vAlign w:val="center"/>
            <w:hideMark/>
          </w:tcPr>
          <w:p w14:paraId="5DB16588" w14:textId="5581EFBC" w:rsidR="005E1D66" w:rsidRPr="00B41E66" w:rsidRDefault="00C3695E" w:rsidP="005E1D66">
            <w:pPr>
              <w:jc w:val="center"/>
              <w:rPr>
                <w:color w:val="0000FF"/>
              </w:rPr>
            </w:pPr>
            <w:r w:rsidRPr="00B41E66">
              <w:rPr>
                <w:color w:val="0000FF"/>
              </w:rPr>
              <w:t>1</w:t>
            </w:r>
            <w:r w:rsidR="005E1D66" w:rsidRPr="00B41E66">
              <w:rPr>
                <w:color w:val="0000FF"/>
              </w:rPr>
              <w:t>.</w:t>
            </w:r>
            <w:r w:rsidRPr="00B41E66">
              <w:rPr>
                <w:color w:val="0000FF"/>
              </w:rPr>
              <w:t>2</w:t>
            </w:r>
            <w:r w:rsidR="005E1D66" w:rsidRPr="00B41E66">
              <w:rPr>
                <w:color w:val="0000FF"/>
              </w:rPr>
              <w:t xml:space="preserve"> (0.</w:t>
            </w:r>
            <w:r w:rsidRPr="00B41E66">
              <w:rPr>
                <w:color w:val="0000FF"/>
              </w:rPr>
              <w:t>36</w:t>
            </w:r>
            <w:r w:rsidR="005E1D66" w:rsidRPr="00B41E66">
              <w:rPr>
                <w:color w:val="0000FF"/>
              </w:rPr>
              <w:t>)</w:t>
            </w:r>
          </w:p>
        </w:tc>
      </w:tr>
      <w:tr w:rsidR="008560E6" w:rsidRPr="00B41E66" w14:paraId="70D9D510" w14:textId="77777777" w:rsidTr="005E1D66">
        <w:trPr>
          <w:trHeight w:val="300"/>
        </w:trPr>
        <w:tc>
          <w:tcPr>
            <w:tcW w:w="1420" w:type="dxa"/>
            <w:tcBorders>
              <w:top w:val="nil"/>
              <w:left w:val="single" w:sz="12" w:space="0" w:color="auto"/>
              <w:bottom w:val="nil"/>
              <w:right w:val="nil"/>
            </w:tcBorders>
            <w:shd w:val="clear" w:color="auto" w:fill="auto"/>
            <w:vAlign w:val="center"/>
            <w:hideMark/>
          </w:tcPr>
          <w:p w14:paraId="4BE5E5F8" w14:textId="77777777" w:rsidR="005E1D66" w:rsidRPr="00B41E66" w:rsidRDefault="005E1D66" w:rsidP="005E1D66">
            <w:pPr>
              <w:jc w:val="center"/>
              <w:rPr>
                <w:color w:val="0000FF"/>
              </w:rPr>
            </w:pPr>
            <w:r w:rsidRPr="00B41E66">
              <w:rPr>
                <w:color w:val="0000FF"/>
              </w:rPr>
              <w:t>NMV</w:t>
            </w:r>
          </w:p>
        </w:tc>
        <w:tc>
          <w:tcPr>
            <w:tcW w:w="1259" w:type="dxa"/>
            <w:gridSpan w:val="2"/>
            <w:tcBorders>
              <w:top w:val="nil"/>
              <w:left w:val="single" w:sz="12" w:space="0" w:color="auto"/>
              <w:bottom w:val="nil"/>
              <w:right w:val="nil"/>
            </w:tcBorders>
            <w:shd w:val="clear" w:color="auto" w:fill="auto"/>
            <w:noWrap/>
            <w:vAlign w:val="center"/>
            <w:hideMark/>
          </w:tcPr>
          <w:p w14:paraId="4DB43D79" w14:textId="77777777" w:rsidR="005E1D66" w:rsidRPr="00B41E66" w:rsidRDefault="005E1D66" w:rsidP="005E1D66">
            <w:pPr>
              <w:jc w:val="center"/>
              <w:rPr>
                <w:color w:val="0000FF"/>
              </w:rPr>
            </w:pPr>
            <w:r w:rsidRPr="00B41E66">
              <w:rPr>
                <w:color w:val="0000FF"/>
              </w:rPr>
              <w:t>0.22 (0.00)</w:t>
            </w:r>
          </w:p>
        </w:tc>
        <w:tc>
          <w:tcPr>
            <w:tcW w:w="1275" w:type="dxa"/>
            <w:tcBorders>
              <w:top w:val="nil"/>
              <w:left w:val="nil"/>
              <w:bottom w:val="nil"/>
              <w:right w:val="single" w:sz="12" w:space="0" w:color="auto"/>
            </w:tcBorders>
            <w:shd w:val="clear" w:color="auto" w:fill="auto"/>
            <w:noWrap/>
            <w:vAlign w:val="center"/>
            <w:hideMark/>
          </w:tcPr>
          <w:p w14:paraId="16A737C1" w14:textId="77777777" w:rsidR="005E1D66" w:rsidRPr="00B41E66" w:rsidRDefault="005E1D66" w:rsidP="005E1D66">
            <w:pPr>
              <w:jc w:val="center"/>
              <w:rPr>
                <w:color w:val="0000FF"/>
              </w:rPr>
            </w:pPr>
          </w:p>
        </w:tc>
        <w:tc>
          <w:tcPr>
            <w:tcW w:w="1276" w:type="dxa"/>
            <w:gridSpan w:val="2"/>
            <w:tcBorders>
              <w:top w:val="nil"/>
              <w:left w:val="nil"/>
              <w:bottom w:val="nil"/>
              <w:right w:val="nil"/>
            </w:tcBorders>
            <w:shd w:val="clear" w:color="000000" w:fill="FFFFFF"/>
            <w:noWrap/>
            <w:vAlign w:val="center"/>
            <w:hideMark/>
          </w:tcPr>
          <w:p w14:paraId="2812B710" w14:textId="5C7FEC92" w:rsidR="005E1D66" w:rsidRPr="00B41E66" w:rsidRDefault="005E1D66" w:rsidP="005E1D66">
            <w:pPr>
              <w:jc w:val="center"/>
              <w:rPr>
                <w:color w:val="0000FF"/>
              </w:rPr>
            </w:pPr>
            <w:r w:rsidRPr="00B41E66">
              <w:rPr>
                <w:color w:val="0000FF"/>
              </w:rPr>
              <w:t>0.2</w:t>
            </w:r>
            <w:r w:rsidR="00475ECC" w:rsidRPr="00B41E66">
              <w:rPr>
                <w:color w:val="0000FF"/>
              </w:rPr>
              <w:t>6</w:t>
            </w:r>
            <w:r w:rsidRPr="00B41E66">
              <w:rPr>
                <w:color w:val="0000FF"/>
              </w:rPr>
              <w:t xml:space="preserve"> (0.00)</w:t>
            </w:r>
          </w:p>
        </w:tc>
        <w:tc>
          <w:tcPr>
            <w:tcW w:w="1276" w:type="dxa"/>
            <w:tcBorders>
              <w:top w:val="nil"/>
              <w:left w:val="nil"/>
              <w:bottom w:val="nil"/>
              <w:right w:val="nil"/>
            </w:tcBorders>
            <w:shd w:val="clear" w:color="auto" w:fill="auto"/>
            <w:noWrap/>
            <w:vAlign w:val="center"/>
            <w:hideMark/>
          </w:tcPr>
          <w:p w14:paraId="7105B361" w14:textId="77777777" w:rsidR="005E1D66" w:rsidRPr="00B41E66" w:rsidRDefault="005E1D66" w:rsidP="005E1D66">
            <w:pPr>
              <w:jc w:val="center"/>
              <w:rPr>
                <w:color w:val="0000FF"/>
              </w:rPr>
            </w:pPr>
          </w:p>
        </w:tc>
        <w:tc>
          <w:tcPr>
            <w:tcW w:w="1276" w:type="dxa"/>
            <w:gridSpan w:val="2"/>
            <w:tcBorders>
              <w:top w:val="nil"/>
              <w:left w:val="single" w:sz="12" w:space="0" w:color="auto"/>
              <w:bottom w:val="nil"/>
              <w:right w:val="nil"/>
            </w:tcBorders>
            <w:shd w:val="clear" w:color="auto" w:fill="auto"/>
            <w:noWrap/>
            <w:vAlign w:val="center"/>
            <w:hideMark/>
          </w:tcPr>
          <w:p w14:paraId="02BF96E3" w14:textId="0594555C" w:rsidR="005E1D66" w:rsidRPr="00B41E66" w:rsidRDefault="005E1D66" w:rsidP="005E1D66">
            <w:pPr>
              <w:jc w:val="center"/>
              <w:rPr>
                <w:color w:val="0000FF"/>
              </w:rPr>
            </w:pPr>
            <w:r w:rsidRPr="00B41E66">
              <w:rPr>
                <w:color w:val="0000FF"/>
              </w:rPr>
              <w:t>0.0</w:t>
            </w:r>
            <w:r w:rsidR="00C3695E" w:rsidRPr="00B41E66">
              <w:rPr>
                <w:color w:val="0000FF"/>
              </w:rPr>
              <w:t>3</w:t>
            </w:r>
            <w:r w:rsidRPr="00B41E66">
              <w:rPr>
                <w:color w:val="0000FF"/>
              </w:rPr>
              <w:t xml:space="preserve"> (0.7</w:t>
            </w:r>
            <w:r w:rsidR="00C3695E" w:rsidRPr="00B41E66">
              <w:rPr>
                <w:color w:val="0000FF"/>
              </w:rPr>
              <w:t>4</w:t>
            </w:r>
            <w:r w:rsidRPr="00B41E66">
              <w:rPr>
                <w:color w:val="0000FF"/>
              </w:rPr>
              <w:t>)</w:t>
            </w:r>
          </w:p>
        </w:tc>
        <w:tc>
          <w:tcPr>
            <w:tcW w:w="1559" w:type="dxa"/>
            <w:tcBorders>
              <w:top w:val="nil"/>
              <w:left w:val="nil"/>
              <w:bottom w:val="nil"/>
              <w:right w:val="single" w:sz="12" w:space="0" w:color="auto"/>
            </w:tcBorders>
            <w:shd w:val="clear" w:color="auto" w:fill="auto"/>
            <w:noWrap/>
            <w:vAlign w:val="center"/>
            <w:hideMark/>
          </w:tcPr>
          <w:p w14:paraId="0B0C45AE" w14:textId="77777777" w:rsidR="005E1D66" w:rsidRPr="00B41E66" w:rsidRDefault="005E1D66" w:rsidP="005E1D66">
            <w:pPr>
              <w:jc w:val="center"/>
              <w:rPr>
                <w:color w:val="0000FF"/>
              </w:rPr>
            </w:pPr>
          </w:p>
        </w:tc>
      </w:tr>
      <w:tr w:rsidR="008560E6" w:rsidRPr="00B41E66" w14:paraId="0DEF8488" w14:textId="77777777" w:rsidTr="005E1D66">
        <w:trPr>
          <w:trHeight w:val="300"/>
        </w:trPr>
        <w:tc>
          <w:tcPr>
            <w:tcW w:w="1420" w:type="dxa"/>
            <w:tcBorders>
              <w:top w:val="nil"/>
              <w:left w:val="single" w:sz="12" w:space="0" w:color="auto"/>
              <w:bottom w:val="nil"/>
              <w:right w:val="nil"/>
            </w:tcBorders>
            <w:shd w:val="clear" w:color="auto" w:fill="auto"/>
            <w:vAlign w:val="center"/>
            <w:hideMark/>
          </w:tcPr>
          <w:p w14:paraId="6FCFC820" w14:textId="77777777" w:rsidR="005E1D66" w:rsidRPr="00B41E66" w:rsidRDefault="005E1D66" w:rsidP="005E1D66">
            <w:pPr>
              <w:jc w:val="center"/>
              <w:rPr>
                <w:color w:val="0000FF"/>
              </w:rPr>
            </w:pPr>
            <w:r w:rsidRPr="00B41E66">
              <w:rPr>
                <w:color w:val="0000FF"/>
              </w:rPr>
              <w:t>HTV</w:t>
            </w:r>
          </w:p>
        </w:tc>
        <w:tc>
          <w:tcPr>
            <w:tcW w:w="1259" w:type="dxa"/>
            <w:gridSpan w:val="2"/>
            <w:tcBorders>
              <w:top w:val="nil"/>
              <w:left w:val="single" w:sz="12" w:space="0" w:color="auto"/>
              <w:bottom w:val="nil"/>
              <w:right w:val="nil"/>
            </w:tcBorders>
            <w:shd w:val="clear" w:color="auto" w:fill="auto"/>
            <w:noWrap/>
            <w:vAlign w:val="center"/>
            <w:hideMark/>
          </w:tcPr>
          <w:p w14:paraId="113D7854" w14:textId="1BE3D0E1" w:rsidR="005E1D66" w:rsidRPr="00B41E66" w:rsidRDefault="005E1D66" w:rsidP="005E1D66">
            <w:pPr>
              <w:jc w:val="center"/>
              <w:rPr>
                <w:color w:val="0000FF"/>
              </w:rPr>
            </w:pPr>
            <w:r w:rsidRPr="00B41E66">
              <w:rPr>
                <w:color w:val="0000FF"/>
              </w:rPr>
              <w:t>0.18 (0.2</w:t>
            </w:r>
            <w:r w:rsidR="003201C7" w:rsidRPr="00B41E66">
              <w:rPr>
                <w:color w:val="0000FF"/>
              </w:rPr>
              <w:t>1</w:t>
            </w:r>
            <w:r w:rsidRPr="00B41E66">
              <w:rPr>
                <w:color w:val="0000FF"/>
              </w:rPr>
              <w:t>)</w:t>
            </w:r>
          </w:p>
        </w:tc>
        <w:tc>
          <w:tcPr>
            <w:tcW w:w="1275" w:type="dxa"/>
            <w:tcBorders>
              <w:top w:val="nil"/>
              <w:left w:val="nil"/>
              <w:bottom w:val="nil"/>
              <w:right w:val="single" w:sz="12" w:space="0" w:color="auto"/>
            </w:tcBorders>
            <w:shd w:val="clear" w:color="auto" w:fill="auto"/>
            <w:noWrap/>
            <w:vAlign w:val="center"/>
            <w:hideMark/>
          </w:tcPr>
          <w:p w14:paraId="7E3DD600" w14:textId="009DE4A1" w:rsidR="005E1D66" w:rsidRPr="00B41E66" w:rsidRDefault="005E1D66" w:rsidP="005E1D66">
            <w:pPr>
              <w:jc w:val="center"/>
              <w:rPr>
                <w:color w:val="0000FF"/>
              </w:rPr>
            </w:pPr>
            <w:r w:rsidRPr="00B41E66">
              <w:rPr>
                <w:color w:val="0000FF"/>
              </w:rPr>
              <w:t>0.30 (0.0</w:t>
            </w:r>
            <w:r w:rsidR="00475ECC" w:rsidRPr="00B41E66">
              <w:rPr>
                <w:color w:val="0000FF"/>
              </w:rPr>
              <w:t>4</w:t>
            </w:r>
            <w:r w:rsidRPr="00B41E66">
              <w:rPr>
                <w:color w:val="0000FF"/>
              </w:rPr>
              <w:t>)</w:t>
            </w:r>
          </w:p>
        </w:tc>
        <w:tc>
          <w:tcPr>
            <w:tcW w:w="1276" w:type="dxa"/>
            <w:gridSpan w:val="2"/>
            <w:tcBorders>
              <w:top w:val="nil"/>
              <w:left w:val="nil"/>
              <w:bottom w:val="nil"/>
              <w:right w:val="nil"/>
            </w:tcBorders>
            <w:shd w:val="clear" w:color="000000" w:fill="FFFFFF"/>
            <w:noWrap/>
            <w:vAlign w:val="center"/>
            <w:hideMark/>
          </w:tcPr>
          <w:p w14:paraId="2547B3A4" w14:textId="677D5BA7" w:rsidR="005E1D66" w:rsidRPr="00B41E66" w:rsidRDefault="005E1D66" w:rsidP="005E1D66">
            <w:pPr>
              <w:jc w:val="center"/>
              <w:rPr>
                <w:color w:val="0000FF"/>
              </w:rPr>
            </w:pPr>
            <w:r w:rsidRPr="00B41E66">
              <w:rPr>
                <w:color w:val="0000FF"/>
              </w:rPr>
              <w:t>0.3</w:t>
            </w:r>
            <w:r w:rsidR="00475ECC" w:rsidRPr="00B41E66">
              <w:rPr>
                <w:color w:val="0000FF"/>
              </w:rPr>
              <w:t>6</w:t>
            </w:r>
            <w:r w:rsidRPr="00B41E66">
              <w:rPr>
                <w:color w:val="0000FF"/>
              </w:rPr>
              <w:t xml:space="preserve"> (0.0</w:t>
            </w:r>
            <w:r w:rsidR="00475ECC" w:rsidRPr="00B41E66">
              <w:rPr>
                <w:color w:val="0000FF"/>
              </w:rPr>
              <w:t>1</w:t>
            </w:r>
            <w:r w:rsidRPr="00B41E66">
              <w:rPr>
                <w:color w:val="0000FF"/>
              </w:rPr>
              <w:t>)</w:t>
            </w:r>
          </w:p>
        </w:tc>
        <w:tc>
          <w:tcPr>
            <w:tcW w:w="1276" w:type="dxa"/>
            <w:tcBorders>
              <w:top w:val="nil"/>
              <w:left w:val="nil"/>
              <w:bottom w:val="nil"/>
              <w:right w:val="nil"/>
            </w:tcBorders>
            <w:shd w:val="clear" w:color="auto" w:fill="auto"/>
            <w:noWrap/>
            <w:vAlign w:val="bottom"/>
            <w:hideMark/>
          </w:tcPr>
          <w:p w14:paraId="4AC354F2" w14:textId="3A17AB7A" w:rsidR="005E1D66" w:rsidRPr="00B41E66" w:rsidRDefault="005E1D66" w:rsidP="005E1D66">
            <w:pPr>
              <w:jc w:val="center"/>
              <w:rPr>
                <w:color w:val="0000FF"/>
              </w:rPr>
            </w:pPr>
            <w:r w:rsidRPr="00B41E66">
              <w:rPr>
                <w:color w:val="0000FF"/>
              </w:rPr>
              <w:t>0.</w:t>
            </w:r>
            <w:r w:rsidR="00853140" w:rsidRPr="00B41E66">
              <w:rPr>
                <w:color w:val="0000FF"/>
              </w:rPr>
              <w:t>47</w:t>
            </w:r>
            <w:r w:rsidRPr="00B41E66">
              <w:rPr>
                <w:color w:val="0000FF"/>
              </w:rPr>
              <w:t xml:space="preserve"> (0.00)</w:t>
            </w:r>
          </w:p>
        </w:tc>
        <w:tc>
          <w:tcPr>
            <w:tcW w:w="1276" w:type="dxa"/>
            <w:gridSpan w:val="2"/>
            <w:tcBorders>
              <w:top w:val="nil"/>
              <w:left w:val="single" w:sz="12" w:space="0" w:color="auto"/>
              <w:bottom w:val="nil"/>
              <w:right w:val="nil"/>
            </w:tcBorders>
            <w:shd w:val="clear" w:color="auto" w:fill="auto"/>
            <w:noWrap/>
            <w:vAlign w:val="center"/>
            <w:hideMark/>
          </w:tcPr>
          <w:p w14:paraId="429EB4DC" w14:textId="32DB21CE" w:rsidR="005E1D66" w:rsidRPr="00B41E66" w:rsidRDefault="005E1D66" w:rsidP="005E1D66">
            <w:pPr>
              <w:jc w:val="center"/>
              <w:rPr>
                <w:color w:val="0000FF"/>
              </w:rPr>
            </w:pPr>
            <w:r w:rsidRPr="00B41E66">
              <w:rPr>
                <w:color w:val="0000FF"/>
              </w:rPr>
              <w:t>0.4</w:t>
            </w:r>
            <w:r w:rsidR="00C3695E" w:rsidRPr="00B41E66">
              <w:rPr>
                <w:color w:val="0000FF"/>
              </w:rPr>
              <w:t>6</w:t>
            </w:r>
            <w:r w:rsidRPr="00B41E66">
              <w:rPr>
                <w:color w:val="0000FF"/>
              </w:rPr>
              <w:t xml:space="preserve"> (0.01)</w:t>
            </w:r>
          </w:p>
        </w:tc>
        <w:tc>
          <w:tcPr>
            <w:tcW w:w="1559" w:type="dxa"/>
            <w:tcBorders>
              <w:top w:val="nil"/>
              <w:left w:val="nil"/>
              <w:bottom w:val="nil"/>
              <w:right w:val="single" w:sz="12" w:space="0" w:color="auto"/>
            </w:tcBorders>
            <w:shd w:val="clear" w:color="auto" w:fill="auto"/>
            <w:noWrap/>
            <w:vAlign w:val="center"/>
            <w:hideMark/>
          </w:tcPr>
          <w:p w14:paraId="5D8D39CE" w14:textId="0CF2CCF8" w:rsidR="005E1D66" w:rsidRPr="00B41E66" w:rsidRDefault="005E1D66" w:rsidP="005E1D66">
            <w:pPr>
              <w:jc w:val="center"/>
              <w:rPr>
                <w:color w:val="0000FF"/>
              </w:rPr>
            </w:pPr>
            <w:r w:rsidRPr="00B41E66">
              <w:rPr>
                <w:color w:val="0000FF"/>
              </w:rPr>
              <w:t>0.4</w:t>
            </w:r>
            <w:r w:rsidR="00C3695E" w:rsidRPr="00B41E66">
              <w:rPr>
                <w:color w:val="0000FF"/>
              </w:rPr>
              <w:t>7</w:t>
            </w:r>
            <w:r w:rsidRPr="00B41E66">
              <w:rPr>
                <w:color w:val="0000FF"/>
              </w:rPr>
              <w:t xml:space="preserve"> (0.01)</w:t>
            </w:r>
          </w:p>
        </w:tc>
      </w:tr>
      <w:tr w:rsidR="008560E6" w:rsidRPr="00B41E66" w14:paraId="3F41E874" w14:textId="77777777" w:rsidTr="005E1D66">
        <w:trPr>
          <w:trHeight w:val="300"/>
        </w:trPr>
        <w:tc>
          <w:tcPr>
            <w:tcW w:w="1420" w:type="dxa"/>
            <w:tcBorders>
              <w:top w:val="nil"/>
              <w:left w:val="single" w:sz="12" w:space="0" w:color="auto"/>
              <w:bottom w:val="nil"/>
              <w:right w:val="nil"/>
            </w:tcBorders>
            <w:shd w:val="clear" w:color="auto" w:fill="auto"/>
            <w:noWrap/>
            <w:vAlign w:val="center"/>
            <w:hideMark/>
          </w:tcPr>
          <w:p w14:paraId="38BC1013" w14:textId="77777777" w:rsidR="005E1D66" w:rsidRPr="00B41E66" w:rsidRDefault="005E1D66" w:rsidP="005E1D66">
            <w:pPr>
              <w:jc w:val="center"/>
              <w:rPr>
                <w:color w:val="0000FF"/>
              </w:rPr>
            </w:pPr>
          </w:p>
        </w:tc>
        <w:tc>
          <w:tcPr>
            <w:tcW w:w="1259" w:type="dxa"/>
            <w:gridSpan w:val="2"/>
            <w:tcBorders>
              <w:top w:val="nil"/>
              <w:left w:val="single" w:sz="12" w:space="0" w:color="auto"/>
              <w:bottom w:val="nil"/>
              <w:right w:val="nil"/>
            </w:tcBorders>
            <w:shd w:val="clear" w:color="auto" w:fill="auto"/>
            <w:noWrap/>
            <w:vAlign w:val="center"/>
            <w:hideMark/>
          </w:tcPr>
          <w:p w14:paraId="21C18B5C" w14:textId="77777777" w:rsidR="005E1D66" w:rsidRPr="00B41E66" w:rsidRDefault="005E1D66" w:rsidP="005E1D66">
            <w:pPr>
              <w:jc w:val="center"/>
              <w:rPr>
                <w:color w:val="0000FF"/>
              </w:rPr>
            </w:pPr>
          </w:p>
        </w:tc>
        <w:tc>
          <w:tcPr>
            <w:tcW w:w="1275" w:type="dxa"/>
            <w:tcBorders>
              <w:top w:val="nil"/>
              <w:left w:val="nil"/>
              <w:bottom w:val="nil"/>
              <w:right w:val="single" w:sz="12" w:space="0" w:color="auto"/>
            </w:tcBorders>
            <w:shd w:val="clear" w:color="auto" w:fill="auto"/>
            <w:noWrap/>
            <w:vAlign w:val="center"/>
            <w:hideMark/>
          </w:tcPr>
          <w:p w14:paraId="190C15D3" w14:textId="77777777" w:rsidR="005E1D66" w:rsidRPr="00B41E66" w:rsidRDefault="005E1D66" w:rsidP="005E1D66">
            <w:pPr>
              <w:jc w:val="center"/>
              <w:rPr>
                <w:color w:val="0000FF"/>
              </w:rPr>
            </w:pPr>
          </w:p>
        </w:tc>
        <w:tc>
          <w:tcPr>
            <w:tcW w:w="1276" w:type="dxa"/>
            <w:gridSpan w:val="2"/>
            <w:tcBorders>
              <w:top w:val="nil"/>
              <w:left w:val="nil"/>
              <w:bottom w:val="nil"/>
              <w:right w:val="nil"/>
            </w:tcBorders>
            <w:shd w:val="clear" w:color="auto" w:fill="auto"/>
            <w:noWrap/>
            <w:vAlign w:val="bottom"/>
            <w:hideMark/>
          </w:tcPr>
          <w:p w14:paraId="7FAE0B7A" w14:textId="77777777" w:rsidR="005E1D66" w:rsidRPr="00B41E66" w:rsidRDefault="005E1D66" w:rsidP="005E1D66">
            <w:pPr>
              <w:jc w:val="center"/>
              <w:rPr>
                <w:color w:val="0000FF"/>
              </w:rPr>
            </w:pPr>
          </w:p>
        </w:tc>
        <w:tc>
          <w:tcPr>
            <w:tcW w:w="1276" w:type="dxa"/>
            <w:tcBorders>
              <w:top w:val="nil"/>
              <w:left w:val="nil"/>
              <w:bottom w:val="nil"/>
              <w:right w:val="nil"/>
            </w:tcBorders>
            <w:shd w:val="clear" w:color="auto" w:fill="auto"/>
            <w:noWrap/>
            <w:vAlign w:val="bottom"/>
            <w:hideMark/>
          </w:tcPr>
          <w:p w14:paraId="52FB40A1" w14:textId="77777777" w:rsidR="005E1D66" w:rsidRPr="00B41E66" w:rsidRDefault="005E1D66" w:rsidP="005E1D66">
            <w:pPr>
              <w:jc w:val="center"/>
              <w:rPr>
                <w:color w:val="0000FF"/>
              </w:rPr>
            </w:pPr>
          </w:p>
        </w:tc>
        <w:tc>
          <w:tcPr>
            <w:tcW w:w="1276" w:type="dxa"/>
            <w:gridSpan w:val="2"/>
            <w:tcBorders>
              <w:top w:val="nil"/>
              <w:left w:val="single" w:sz="12" w:space="0" w:color="auto"/>
              <w:bottom w:val="nil"/>
              <w:right w:val="nil"/>
            </w:tcBorders>
            <w:shd w:val="clear" w:color="auto" w:fill="auto"/>
            <w:noWrap/>
            <w:vAlign w:val="center"/>
            <w:hideMark/>
          </w:tcPr>
          <w:p w14:paraId="0BEB3D54" w14:textId="77777777" w:rsidR="005E1D66" w:rsidRPr="00B41E66" w:rsidRDefault="005E1D66" w:rsidP="005E1D66">
            <w:pPr>
              <w:jc w:val="center"/>
              <w:rPr>
                <w:color w:val="0000FF"/>
              </w:rPr>
            </w:pPr>
          </w:p>
        </w:tc>
        <w:tc>
          <w:tcPr>
            <w:tcW w:w="1559" w:type="dxa"/>
            <w:tcBorders>
              <w:top w:val="nil"/>
              <w:left w:val="nil"/>
              <w:bottom w:val="nil"/>
              <w:right w:val="single" w:sz="12" w:space="0" w:color="auto"/>
            </w:tcBorders>
            <w:shd w:val="clear" w:color="auto" w:fill="auto"/>
            <w:noWrap/>
            <w:vAlign w:val="center"/>
            <w:hideMark/>
          </w:tcPr>
          <w:p w14:paraId="5A9C7503" w14:textId="77777777" w:rsidR="005E1D66" w:rsidRPr="00B41E66" w:rsidRDefault="005E1D66" w:rsidP="005E1D66">
            <w:pPr>
              <w:jc w:val="center"/>
              <w:rPr>
                <w:color w:val="0000FF"/>
              </w:rPr>
            </w:pPr>
          </w:p>
        </w:tc>
      </w:tr>
      <w:tr w:rsidR="008560E6" w:rsidRPr="00B41E66" w14:paraId="47F495A1" w14:textId="77777777" w:rsidTr="005E1D66">
        <w:trPr>
          <w:trHeight w:val="375"/>
        </w:trPr>
        <w:tc>
          <w:tcPr>
            <w:tcW w:w="1420" w:type="dxa"/>
            <w:tcBorders>
              <w:top w:val="nil"/>
              <w:left w:val="single" w:sz="12" w:space="0" w:color="auto"/>
              <w:bottom w:val="nil"/>
              <w:right w:val="nil"/>
            </w:tcBorders>
            <w:shd w:val="clear" w:color="auto" w:fill="auto"/>
            <w:noWrap/>
            <w:vAlign w:val="center"/>
            <w:hideMark/>
          </w:tcPr>
          <w:p w14:paraId="5E7F875A" w14:textId="77777777" w:rsidR="005E1D66" w:rsidRPr="00B41E66" w:rsidRDefault="005E1D66" w:rsidP="005E1D66">
            <w:pPr>
              <w:jc w:val="center"/>
              <w:rPr>
                <w:color w:val="0000FF"/>
              </w:rPr>
            </w:pPr>
            <w:r w:rsidRPr="00B41E66">
              <w:rPr>
                <w:color w:val="0000FF"/>
              </w:rPr>
              <w:t>Adjusted R</w:t>
            </w:r>
            <w:r w:rsidRPr="00B41E66">
              <w:rPr>
                <w:color w:val="0000FF"/>
                <w:vertAlign w:val="superscript"/>
              </w:rPr>
              <w:t>2</w:t>
            </w:r>
          </w:p>
        </w:tc>
        <w:tc>
          <w:tcPr>
            <w:tcW w:w="1259" w:type="dxa"/>
            <w:gridSpan w:val="2"/>
            <w:tcBorders>
              <w:top w:val="nil"/>
              <w:left w:val="single" w:sz="12" w:space="0" w:color="auto"/>
              <w:bottom w:val="nil"/>
              <w:right w:val="nil"/>
            </w:tcBorders>
            <w:shd w:val="clear" w:color="auto" w:fill="auto"/>
            <w:noWrap/>
            <w:vAlign w:val="center"/>
            <w:hideMark/>
          </w:tcPr>
          <w:p w14:paraId="5D786009" w14:textId="64F02022" w:rsidR="005E1D66" w:rsidRPr="00B41E66" w:rsidRDefault="005E1D66" w:rsidP="005E1D66">
            <w:pPr>
              <w:jc w:val="center"/>
              <w:rPr>
                <w:color w:val="0000FF"/>
              </w:rPr>
            </w:pPr>
            <w:r w:rsidRPr="00B41E66">
              <w:rPr>
                <w:color w:val="0000FF"/>
              </w:rPr>
              <w:t>0.</w:t>
            </w:r>
            <w:r w:rsidR="003201C7" w:rsidRPr="00B41E66">
              <w:rPr>
                <w:color w:val="0000FF"/>
              </w:rPr>
              <w:t>19</w:t>
            </w:r>
          </w:p>
        </w:tc>
        <w:tc>
          <w:tcPr>
            <w:tcW w:w="1275" w:type="dxa"/>
            <w:tcBorders>
              <w:top w:val="nil"/>
              <w:left w:val="nil"/>
              <w:bottom w:val="nil"/>
              <w:right w:val="single" w:sz="12" w:space="0" w:color="auto"/>
            </w:tcBorders>
            <w:shd w:val="clear" w:color="auto" w:fill="auto"/>
            <w:noWrap/>
            <w:vAlign w:val="center"/>
            <w:hideMark/>
          </w:tcPr>
          <w:p w14:paraId="6E091907" w14:textId="164216A7" w:rsidR="005E1D66" w:rsidRPr="00B41E66" w:rsidRDefault="005E1D66" w:rsidP="005E1D66">
            <w:pPr>
              <w:jc w:val="center"/>
              <w:rPr>
                <w:color w:val="0000FF"/>
              </w:rPr>
            </w:pPr>
            <w:r w:rsidRPr="00B41E66">
              <w:rPr>
                <w:color w:val="0000FF"/>
              </w:rPr>
              <w:t>0.1</w:t>
            </w:r>
            <w:r w:rsidR="00475ECC" w:rsidRPr="00B41E66">
              <w:rPr>
                <w:color w:val="0000FF"/>
              </w:rPr>
              <w:t>5</w:t>
            </w:r>
          </w:p>
        </w:tc>
        <w:tc>
          <w:tcPr>
            <w:tcW w:w="1276" w:type="dxa"/>
            <w:gridSpan w:val="2"/>
            <w:tcBorders>
              <w:top w:val="nil"/>
              <w:left w:val="nil"/>
              <w:bottom w:val="nil"/>
              <w:right w:val="nil"/>
            </w:tcBorders>
            <w:shd w:val="clear" w:color="000000" w:fill="FFFFFF"/>
            <w:noWrap/>
            <w:vAlign w:val="center"/>
            <w:hideMark/>
          </w:tcPr>
          <w:p w14:paraId="6E1200A0" w14:textId="78232C56" w:rsidR="005E1D66" w:rsidRPr="00B41E66" w:rsidRDefault="005E1D66" w:rsidP="005E1D66">
            <w:pPr>
              <w:jc w:val="center"/>
              <w:rPr>
                <w:color w:val="0000FF"/>
              </w:rPr>
            </w:pPr>
            <w:r w:rsidRPr="00B41E66">
              <w:rPr>
                <w:color w:val="0000FF"/>
              </w:rPr>
              <w:t>0.</w:t>
            </w:r>
            <w:r w:rsidR="00475ECC" w:rsidRPr="00B41E66">
              <w:rPr>
                <w:color w:val="0000FF"/>
              </w:rPr>
              <w:t>23</w:t>
            </w:r>
          </w:p>
        </w:tc>
        <w:tc>
          <w:tcPr>
            <w:tcW w:w="1276" w:type="dxa"/>
            <w:tcBorders>
              <w:top w:val="nil"/>
              <w:left w:val="nil"/>
              <w:bottom w:val="nil"/>
              <w:right w:val="nil"/>
            </w:tcBorders>
            <w:shd w:val="clear" w:color="auto" w:fill="auto"/>
            <w:noWrap/>
            <w:vAlign w:val="bottom"/>
            <w:hideMark/>
          </w:tcPr>
          <w:p w14:paraId="43AEE74C" w14:textId="3C3A767C" w:rsidR="005E1D66" w:rsidRPr="00B41E66" w:rsidRDefault="005E1D66" w:rsidP="005E1D66">
            <w:pPr>
              <w:jc w:val="center"/>
              <w:rPr>
                <w:color w:val="0000FF"/>
              </w:rPr>
            </w:pPr>
            <w:r w:rsidRPr="00B41E66">
              <w:rPr>
                <w:color w:val="0000FF"/>
              </w:rPr>
              <w:t>0.1</w:t>
            </w:r>
            <w:r w:rsidR="00853140" w:rsidRPr="00B41E66">
              <w:rPr>
                <w:color w:val="0000FF"/>
              </w:rPr>
              <w:t>6</w:t>
            </w:r>
          </w:p>
        </w:tc>
        <w:tc>
          <w:tcPr>
            <w:tcW w:w="1276" w:type="dxa"/>
            <w:gridSpan w:val="2"/>
            <w:tcBorders>
              <w:top w:val="nil"/>
              <w:left w:val="single" w:sz="12" w:space="0" w:color="auto"/>
              <w:bottom w:val="nil"/>
              <w:right w:val="nil"/>
            </w:tcBorders>
            <w:shd w:val="clear" w:color="auto" w:fill="auto"/>
            <w:noWrap/>
            <w:vAlign w:val="center"/>
            <w:hideMark/>
          </w:tcPr>
          <w:p w14:paraId="27EC1B1D" w14:textId="47FF8AD8" w:rsidR="005E1D66" w:rsidRPr="00B41E66" w:rsidRDefault="005E1D66" w:rsidP="005E1D66">
            <w:pPr>
              <w:jc w:val="center"/>
              <w:rPr>
                <w:color w:val="0000FF"/>
              </w:rPr>
            </w:pPr>
            <w:r w:rsidRPr="00B41E66">
              <w:rPr>
                <w:color w:val="0000FF"/>
              </w:rPr>
              <w:t>0.0</w:t>
            </w:r>
            <w:r w:rsidR="00C3695E" w:rsidRPr="00B41E66">
              <w:rPr>
                <w:color w:val="0000FF"/>
              </w:rPr>
              <w:t>6</w:t>
            </w:r>
          </w:p>
        </w:tc>
        <w:tc>
          <w:tcPr>
            <w:tcW w:w="1559" w:type="dxa"/>
            <w:tcBorders>
              <w:top w:val="nil"/>
              <w:left w:val="nil"/>
              <w:bottom w:val="nil"/>
              <w:right w:val="single" w:sz="12" w:space="0" w:color="auto"/>
            </w:tcBorders>
            <w:shd w:val="clear" w:color="auto" w:fill="auto"/>
            <w:noWrap/>
            <w:vAlign w:val="center"/>
            <w:hideMark/>
          </w:tcPr>
          <w:p w14:paraId="27D8EC79" w14:textId="50F6D774" w:rsidR="005E1D66" w:rsidRPr="00B41E66" w:rsidRDefault="005E1D66" w:rsidP="005E1D66">
            <w:pPr>
              <w:jc w:val="center"/>
              <w:rPr>
                <w:color w:val="0000FF"/>
              </w:rPr>
            </w:pPr>
            <w:r w:rsidRPr="00B41E66">
              <w:rPr>
                <w:color w:val="0000FF"/>
              </w:rPr>
              <w:t>0.0</w:t>
            </w:r>
            <w:r w:rsidR="000D6FA1" w:rsidRPr="00B41E66">
              <w:rPr>
                <w:color w:val="0000FF"/>
              </w:rPr>
              <w:t>7</w:t>
            </w:r>
          </w:p>
        </w:tc>
      </w:tr>
      <w:tr w:rsidR="008560E6" w:rsidRPr="00B41E66" w14:paraId="5E7C07C8" w14:textId="77777777" w:rsidTr="005E1D66">
        <w:trPr>
          <w:trHeight w:val="300"/>
        </w:trPr>
        <w:tc>
          <w:tcPr>
            <w:tcW w:w="1420" w:type="dxa"/>
            <w:tcBorders>
              <w:top w:val="nil"/>
              <w:left w:val="single" w:sz="12" w:space="0" w:color="auto"/>
              <w:bottom w:val="nil"/>
              <w:right w:val="nil"/>
            </w:tcBorders>
            <w:shd w:val="clear" w:color="auto" w:fill="auto"/>
            <w:noWrap/>
            <w:vAlign w:val="center"/>
            <w:hideMark/>
          </w:tcPr>
          <w:p w14:paraId="0D1D19C2" w14:textId="77777777" w:rsidR="005E1D66" w:rsidRPr="00B41E66" w:rsidRDefault="005E1D66" w:rsidP="005E1D66">
            <w:pPr>
              <w:jc w:val="center"/>
              <w:rPr>
                <w:color w:val="0000FF"/>
              </w:rPr>
            </w:pPr>
            <w:r w:rsidRPr="00B41E66">
              <w:rPr>
                <w:color w:val="0000FF"/>
              </w:rPr>
              <w:t>F stat (p-value)</w:t>
            </w:r>
          </w:p>
        </w:tc>
        <w:tc>
          <w:tcPr>
            <w:tcW w:w="1259" w:type="dxa"/>
            <w:gridSpan w:val="2"/>
            <w:tcBorders>
              <w:top w:val="nil"/>
              <w:left w:val="single" w:sz="12" w:space="0" w:color="auto"/>
              <w:bottom w:val="nil"/>
              <w:right w:val="nil"/>
            </w:tcBorders>
            <w:shd w:val="clear" w:color="auto" w:fill="auto"/>
            <w:noWrap/>
            <w:vAlign w:val="center"/>
            <w:hideMark/>
          </w:tcPr>
          <w:p w14:paraId="3071D9E8" w14:textId="1E78AFB4" w:rsidR="005E1D66" w:rsidRPr="00B41E66" w:rsidRDefault="005E1D66" w:rsidP="005E1D66">
            <w:pPr>
              <w:jc w:val="center"/>
              <w:rPr>
                <w:color w:val="0000FF"/>
              </w:rPr>
            </w:pPr>
            <w:r w:rsidRPr="00B41E66">
              <w:rPr>
                <w:color w:val="0000FF"/>
              </w:rPr>
              <w:t>7.</w:t>
            </w:r>
            <w:r w:rsidR="003201C7" w:rsidRPr="00B41E66">
              <w:rPr>
                <w:color w:val="0000FF"/>
              </w:rPr>
              <w:t>08</w:t>
            </w:r>
            <w:r w:rsidRPr="00B41E66">
              <w:rPr>
                <w:color w:val="0000FF"/>
              </w:rPr>
              <w:t xml:space="preserve"> (0.00)</w:t>
            </w:r>
          </w:p>
        </w:tc>
        <w:tc>
          <w:tcPr>
            <w:tcW w:w="1275" w:type="dxa"/>
            <w:tcBorders>
              <w:top w:val="nil"/>
              <w:left w:val="nil"/>
              <w:bottom w:val="nil"/>
              <w:right w:val="single" w:sz="12" w:space="0" w:color="auto"/>
            </w:tcBorders>
            <w:shd w:val="clear" w:color="auto" w:fill="auto"/>
            <w:noWrap/>
            <w:vAlign w:val="bottom"/>
            <w:hideMark/>
          </w:tcPr>
          <w:p w14:paraId="1AC15620" w14:textId="1AA30391" w:rsidR="005E1D66" w:rsidRPr="00B41E66" w:rsidRDefault="005E1D66" w:rsidP="005E1D66">
            <w:pPr>
              <w:jc w:val="center"/>
              <w:rPr>
                <w:color w:val="0000FF"/>
              </w:rPr>
            </w:pPr>
            <w:r w:rsidRPr="00B41E66">
              <w:rPr>
                <w:color w:val="0000FF"/>
              </w:rPr>
              <w:t>6.</w:t>
            </w:r>
            <w:r w:rsidR="00475ECC" w:rsidRPr="00B41E66">
              <w:rPr>
                <w:color w:val="0000FF"/>
              </w:rPr>
              <w:t>1</w:t>
            </w:r>
            <w:r w:rsidR="005D35FB" w:rsidRPr="00B41E66">
              <w:rPr>
                <w:color w:val="0000FF"/>
              </w:rPr>
              <w:t>8</w:t>
            </w:r>
            <w:r w:rsidRPr="00B41E66">
              <w:rPr>
                <w:color w:val="0000FF"/>
              </w:rPr>
              <w:t xml:space="preserve"> (0.00)</w:t>
            </w:r>
          </w:p>
        </w:tc>
        <w:tc>
          <w:tcPr>
            <w:tcW w:w="1276" w:type="dxa"/>
            <w:gridSpan w:val="2"/>
            <w:tcBorders>
              <w:top w:val="nil"/>
              <w:left w:val="nil"/>
              <w:bottom w:val="nil"/>
              <w:right w:val="nil"/>
            </w:tcBorders>
            <w:shd w:val="clear" w:color="000000" w:fill="FFFFFF"/>
            <w:noWrap/>
            <w:vAlign w:val="bottom"/>
            <w:hideMark/>
          </w:tcPr>
          <w:p w14:paraId="0611CFFD" w14:textId="2F291C3D" w:rsidR="005E1D66" w:rsidRPr="00B41E66" w:rsidRDefault="005E1D66" w:rsidP="005E1D66">
            <w:pPr>
              <w:jc w:val="center"/>
              <w:rPr>
                <w:color w:val="0000FF"/>
              </w:rPr>
            </w:pPr>
            <w:r w:rsidRPr="00B41E66">
              <w:rPr>
                <w:color w:val="0000FF"/>
              </w:rPr>
              <w:t>9.</w:t>
            </w:r>
            <w:r w:rsidR="00475ECC" w:rsidRPr="00B41E66">
              <w:rPr>
                <w:color w:val="0000FF"/>
              </w:rPr>
              <w:t>86</w:t>
            </w:r>
            <w:r w:rsidRPr="00B41E66">
              <w:rPr>
                <w:color w:val="0000FF"/>
              </w:rPr>
              <w:t xml:space="preserve"> (0.00)</w:t>
            </w:r>
          </w:p>
        </w:tc>
        <w:tc>
          <w:tcPr>
            <w:tcW w:w="1276" w:type="dxa"/>
            <w:tcBorders>
              <w:top w:val="nil"/>
              <w:left w:val="nil"/>
              <w:bottom w:val="nil"/>
              <w:right w:val="nil"/>
            </w:tcBorders>
            <w:shd w:val="clear" w:color="auto" w:fill="auto"/>
            <w:noWrap/>
            <w:vAlign w:val="bottom"/>
            <w:hideMark/>
          </w:tcPr>
          <w:p w14:paraId="7464BF86" w14:textId="4ABF0B8C" w:rsidR="005E1D66" w:rsidRPr="00B41E66" w:rsidRDefault="00853140" w:rsidP="005E1D66">
            <w:pPr>
              <w:jc w:val="center"/>
              <w:rPr>
                <w:color w:val="0000FF"/>
              </w:rPr>
            </w:pPr>
            <w:r w:rsidRPr="00B41E66">
              <w:rPr>
                <w:color w:val="0000FF"/>
              </w:rPr>
              <w:t>7</w:t>
            </w:r>
            <w:r w:rsidR="005E1D66" w:rsidRPr="00B41E66">
              <w:rPr>
                <w:color w:val="0000FF"/>
              </w:rPr>
              <w:t>.</w:t>
            </w:r>
            <w:r w:rsidRPr="00B41E66">
              <w:rPr>
                <w:color w:val="0000FF"/>
              </w:rPr>
              <w:t>68</w:t>
            </w:r>
            <w:r w:rsidR="005E1D66" w:rsidRPr="00B41E66">
              <w:rPr>
                <w:color w:val="0000FF"/>
              </w:rPr>
              <w:t xml:space="preserve"> (0.00)</w:t>
            </w:r>
          </w:p>
        </w:tc>
        <w:tc>
          <w:tcPr>
            <w:tcW w:w="1276" w:type="dxa"/>
            <w:gridSpan w:val="2"/>
            <w:tcBorders>
              <w:top w:val="nil"/>
              <w:left w:val="single" w:sz="12" w:space="0" w:color="auto"/>
              <w:bottom w:val="nil"/>
              <w:right w:val="nil"/>
            </w:tcBorders>
            <w:shd w:val="clear" w:color="auto" w:fill="auto"/>
            <w:noWrap/>
            <w:vAlign w:val="center"/>
            <w:hideMark/>
          </w:tcPr>
          <w:p w14:paraId="581474BC" w14:textId="5735FC0D" w:rsidR="005E1D66" w:rsidRPr="00B41E66" w:rsidRDefault="005E1D66" w:rsidP="005E1D66">
            <w:pPr>
              <w:jc w:val="center"/>
              <w:rPr>
                <w:color w:val="0000FF"/>
              </w:rPr>
            </w:pPr>
            <w:r w:rsidRPr="00B41E66">
              <w:rPr>
                <w:color w:val="0000FF"/>
              </w:rPr>
              <w:t>2.9</w:t>
            </w:r>
            <w:r w:rsidR="00C3695E" w:rsidRPr="00B41E66">
              <w:rPr>
                <w:color w:val="0000FF"/>
              </w:rPr>
              <w:t>6</w:t>
            </w:r>
            <w:r w:rsidRPr="00B41E66">
              <w:rPr>
                <w:color w:val="0000FF"/>
              </w:rPr>
              <w:t xml:space="preserve"> (0.01)</w:t>
            </w:r>
          </w:p>
        </w:tc>
        <w:tc>
          <w:tcPr>
            <w:tcW w:w="1559" w:type="dxa"/>
            <w:tcBorders>
              <w:top w:val="nil"/>
              <w:left w:val="nil"/>
              <w:bottom w:val="nil"/>
              <w:right w:val="single" w:sz="12" w:space="0" w:color="auto"/>
            </w:tcBorders>
            <w:shd w:val="clear" w:color="auto" w:fill="auto"/>
            <w:noWrap/>
            <w:vAlign w:val="center"/>
            <w:hideMark/>
          </w:tcPr>
          <w:p w14:paraId="23CF3048" w14:textId="4760FFFF" w:rsidR="005E1D66" w:rsidRPr="00B41E66" w:rsidRDefault="005E1D66" w:rsidP="005E1D66">
            <w:pPr>
              <w:jc w:val="center"/>
              <w:rPr>
                <w:color w:val="0000FF"/>
              </w:rPr>
            </w:pPr>
            <w:r w:rsidRPr="00B41E66">
              <w:rPr>
                <w:color w:val="0000FF"/>
              </w:rPr>
              <w:t>3.6</w:t>
            </w:r>
            <w:r w:rsidR="00C3695E" w:rsidRPr="00B41E66">
              <w:rPr>
                <w:color w:val="0000FF"/>
              </w:rPr>
              <w:t>9</w:t>
            </w:r>
            <w:r w:rsidRPr="00B41E66">
              <w:rPr>
                <w:color w:val="0000FF"/>
              </w:rPr>
              <w:t xml:space="preserve"> (0.0</w:t>
            </w:r>
            <w:r w:rsidR="00C3695E" w:rsidRPr="00B41E66">
              <w:rPr>
                <w:color w:val="0000FF"/>
              </w:rPr>
              <w:t>0</w:t>
            </w:r>
            <w:r w:rsidRPr="00B41E66">
              <w:rPr>
                <w:color w:val="0000FF"/>
              </w:rPr>
              <w:t>)</w:t>
            </w:r>
          </w:p>
        </w:tc>
      </w:tr>
      <w:tr w:rsidR="008560E6" w:rsidRPr="00B41E66" w14:paraId="5C732ED3" w14:textId="77777777" w:rsidTr="005E1D66">
        <w:trPr>
          <w:trHeight w:val="315"/>
        </w:trPr>
        <w:tc>
          <w:tcPr>
            <w:tcW w:w="1420" w:type="dxa"/>
            <w:tcBorders>
              <w:top w:val="nil"/>
              <w:left w:val="single" w:sz="12" w:space="0" w:color="auto"/>
              <w:bottom w:val="single" w:sz="12" w:space="0" w:color="auto"/>
              <w:right w:val="nil"/>
            </w:tcBorders>
            <w:shd w:val="clear" w:color="auto" w:fill="auto"/>
            <w:noWrap/>
            <w:vAlign w:val="center"/>
            <w:hideMark/>
          </w:tcPr>
          <w:p w14:paraId="57436463" w14:textId="77777777" w:rsidR="005E1D66" w:rsidRPr="00B41E66" w:rsidRDefault="005E1D66" w:rsidP="005E1D66">
            <w:pPr>
              <w:jc w:val="center"/>
              <w:rPr>
                <w:color w:val="0000FF"/>
              </w:rPr>
            </w:pPr>
            <w:r w:rsidRPr="00B41E66">
              <w:rPr>
                <w:color w:val="0000FF"/>
              </w:rPr>
              <w:t>Obs.</w:t>
            </w:r>
          </w:p>
        </w:tc>
        <w:tc>
          <w:tcPr>
            <w:tcW w:w="1259" w:type="dxa"/>
            <w:gridSpan w:val="2"/>
            <w:tcBorders>
              <w:top w:val="nil"/>
              <w:left w:val="single" w:sz="12" w:space="0" w:color="auto"/>
              <w:bottom w:val="single" w:sz="12" w:space="0" w:color="auto"/>
              <w:right w:val="nil"/>
            </w:tcBorders>
            <w:shd w:val="clear" w:color="auto" w:fill="auto"/>
            <w:noWrap/>
            <w:vAlign w:val="center"/>
            <w:hideMark/>
          </w:tcPr>
          <w:p w14:paraId="4F6F16E9" w14:textId="77777777" w:rsidR="005E1D66" w:rsidRPr="00B41E66" w:rsidRDefault="005E1D66" w:rsidP="005E1D66">
            <w:pPr>
              <w:jc w:val="center"/>
              <w:rPr>
                <w:color w:val="0000FF"/>
              </w:rPr>
            </w:pPr>
            <w:r w:rsidRPr="00B41E66">
              <w:rPr>
                <w:color w:val="0000FF"/>
              </w:rPr>
              <w:t>182</w:t>
            </w:r>
          </w:p>
        </w:tc>
        <w:tc>
          <w:tcPr>
            <w:tcW w:w="1275" w:type="dxa"/>
            <w:tcBorders>
              <w:top w:val="nil"/>
              <w:left w:val="nil"/>
              <w:bottom w:val="single" w:sz="12" w:space="0" w:color="auto"/>
              <w:right w:val="single" w:sz="12" w:space="0" w:color="auto"/>
            </w:tcBorders>
            <w:shd w:val="clear" w:color="auto" w:fill="auto"/>
            <w:noWrap/>
            <w:vAlign w:val="center"/>
            <w:hideMark/>
          </w:tcPr>
          <w:p w14:paraId="73CEC687" w14:textId="77777777" w:rsidR="005E1D66" w:rsidRPr="00B41E66" w:rsidRDefault="005E1D66" w:rsidP="005E1D66">
            <w:pPr>
              <w:jc w:val="center"/>
              <w:rPr>
                <w:color w:val="0000FF"/>
              </w:rPr>
            </w:pPr>
            <w:r w:rsidRPr="00B41E66">
              <w:rPr>
                <w:color w:val="0000FF"/>
              </w:rPr>
              <w:t>182</w:t>
            </w:r>
          </w:p>
        </w:tc>
        <w:tc>
          <w:tcPr>
            <w:tcW w:w="1276" w:type="dxa"/>
            <w:gridSpan w:val="2"/>
            <w:tcBorders>
              <w:top w:val="nil"/>
              <w:left w:val="nil"/>
              <w:bottom w:val="single" w:sz="12" w:space="0" w:color="auto"/>
              <w:right w:val="nil"/>
            </w:tcBorders>
            <w:shd w:val="clear" w:color="000000" w:fill="FFFFFF"/>
            <w:noWrap/>
            <w:vAlign w:val="center"/>
            <w:hideMark/>
          </w:tcPr>
          <w:p w14:paraId="5EA319BC" w14:textId="77777777" w:rsidR="005E1D66" w:rsidRPr="00B41E66" w:rsidRDefault="005E1D66" w:rsidP="005E1D66">
            <w:pPr>
              <w:jc w:val="center"/>
              <w:rPr>
                <w:color w:val="0000FF"/>
              </w:rPr>
            </w:pPr>
            <w:r w:rsidRPr="00B41E66">
              <w:rPr>
                <w:color w:val="0000FF"/>
              </w:rPr>
              <w:t>178</w:t>
            </w:r>
          </w:p>
        </w:tc>
        <w:tc>
          <w:tcPr>
            <w:tcW w:w="1276" w:type="dxa"/>
            <w:tcBorders>
              <w:top w:val="nil"/>
              <w:left w:val="nil"/>
              <w:bottom w:val="single" w:sz="12" w:space="0" w:color="auto"/>
              <w:right w:val="single" w:sz="12" w:space="0" w:color="auto"/>
            </w:tcBorders>
            <w:shd w:val="clear" w:color="auto" w:fill="auto"/>
            <w:noWrap/>
            <w:vAlign w:val="center"/>
            <w:hideMark/>
          </w:tcPr>
          <w:p w14:paraId="321F2255" w14:textId="77777777" w:rsidR="005E1D66" w:rsidRPr="00B41E66" w:rsidRDefault="005E1D66" w:rsidP="005E1D66">
            <w:pPr>
              <w:jc w:val="center"/>
              <w:rPr>
                <w:color w:val="0000FF"/>
              </w:rPr>
            </w:pPr>
            <w:r w:rsidRPr="00B41E66">
              <w:rPr>
                <w:color w:val="0000FF"/>
              </w:rPr>
              <w:t>178</w:t>
            </w:r>
          </w:p>
        </w:tc>
        <w:tc>
          <w:tcPr>
            <w:tcW w:w="1276" w:type="dxa"/>
            <w:gridSpan w:val="2"/>
            <w:tcBorders>
              <w:top w:val="nil"/>
              <w:left w:val="nil"/>
              <w:bottom w:val="single" w:sz="12" w:space="0" w:color="auto"/>
              <w:right w:val="nil"/>
            </w:tcBorders>
            <w:shd w:val="clear" w:color="auto" w:fill="auto"/>
            <w:noWrap/>
            <w:vAlign w:val="center"/>
            <w:hideMark/>
          </w:tcPr>
          <w:p w14:paraId="6F74D2F8" w14:textId="77777777" w:rsidR="005E1D66" w:rsidRPr="00B41E66" w:rsidRDefault="005E1D66" w:rsidP="005E1D66">
            <w:pPr>
              <w:jc w:val="center"/>
              <w:rPr>
                <w:color w:val="0000FF"/>
              </w:rPr>
            </w:pPr>
            <w:r w:rsidRPr="00B41E66">
              <w:rPr>
                <w:color w:val="0000FF"/>
              </w:rPr>
              <w:t>147</w:t>
            </w:r>
          </w:p>
        </w:tc>
        <w:tc>
          <w:tcPr>
            <w:tcW w:w="1559" w:type="dxa"/>
            <w:tcBorders>
              <w:top w:val="nil"/>
              <w:left w:val="nil"/>
              <w:bottom w:val="single" w:sz="12" w:space="0" w:color="auto"/>
              <w:right w:val="single" w:sz="12" w:space="0" w:color="auto"/>
            </w:tcBorders>
            <w:shd w:val="clear" w:color="auto" w:fill="auto"/>
            <w:noWrap/>
            <w:vAlign w:val="center"/>
            <w:hideMark/>
          </w:tcPr>
          <w:p w14:paraId="6FCE67DB" w14:textId="77777777" w:rsidR="005E1D66" w:rsidRPr="00B41E66" w:rsidRDefault="005E1D66" w:rsidP="005E1D66">
            <w:pPr>
              <w:jc w:val="center"/>
              <w:rPr>
                <w:color w:val="0000FF"/>
              </w:rPr>
            </w:pPr>
            <w:r w:rsidRPr="00B41E66">
              <w:rPr>
                <w:color w:val="0000FF"/>
              </w:rPr>
              <w:t>147</w:t>
            </w:r>
          </w:p>
        </w:tc>
      </w:tr>
    </w:tbl>
    <w:p w14:paraId="49D82EA4" w14:textId="77777777" w:rsidR="006A64F0" w:rsidRPr="00B41E66" w:rsidRDefault="006A64F0" w:rsidP="006A64F0">
      <w:pPr>
        <w:spacing w:line="360" w:lineRule="auto"/>
        <w:rPr>
          <w:b/>
          <w:bCs/>
          <w:color w:val="0000FF"/>
        </w:rPr>
      </w:pPr>
    </w:p>
    <w:p w14:paraId="05822931" w14:textId="77777777" w:rsidR="006A64F0" w:rsidRPr="00B41E66" w:rsidRDefault="006A64F0" w:rsidP="0052722C">
      <w:pPr>
        <w:spacing w:line="360" w:lineRule="auto"/>
        <w:rPr>
          <w:b/>
          <w:bCs/>
          <w:color w:val="0000FF"/>
        </w:rPr>
      </w:pPr>
      <w:r w:rsidRPr="00B41E66">
        <w:rPr>
          <w:b/>
          <w:bCs/>
          <w:color w:val="0000FF"/>
        </w:rPr>
        <w:t xml:space="preserve">Panel B: </w:t>
      </w:r>
      <w:r w:rsidR="005E1D66" w:rsidRPr="00B41E66">
        <w:rPr>
          <w:b/>
          <w:bCs/>
          <w:color w:val="0000FF"/>
        </w:rPr>
        <w:t>Explaining AR to Sector</w:t>
      </w:r>
      <w:r w:rsidRPr="00B41E66">
        <w:rPr>
          <w:b/>
          <w:bCs/>
          <w:color w:val="0000FF"/>
        </w:rPr>
        <w:t xml:space="preserve"> </w:t>
      </w:r>
    </w:p>
    <w:tbl>
      <w:tblPr>
        <w:tblW w:w="9341" w:type="dxa"/>
        <w:tblInd w:w="123" w:type="dxa"/>
        <w:tblLook w:val="04A0" w:firstRow="1" w:lastRow="0" w:firstColumn="1" w:lastColumn="0" w:noHBand="0" w:noVBand="1"/>
      </w:tblPr>
      <w:tblGrid>
        <w:gridCol w:w="1403"/>
        <w:gridCol w:w="1276"/>
        <w:gridCol w:w="1275"/>
        <w:gridCol w:w="1276"/>
        <w:gridCol w:w="1276"/>
        <w:gridCol w:w="1134"/>
        <w:gridCol w:w="142"/>
        <w:gridCol w:w="1559"/>
      </w:tblGrid>
      <w:tr w:rsidR="008560E6" w:rsidRPr="00B41E66" w14:paraId="69E52682" w14:textId="77777777" w:rsidTr="001F5873">
        <w:trPr>
          <w:trHeight w:val="330"/>
        </w:trPr>
        <w:tc>
          <w:tcPr>
            <w:tcW w:w="1403" w:type="dxa"/>
            <w:tcBorders>
              <w:top w:val="single" w:sz="12" w:space="0" w:color="auto"/>
              <w:left w:val="single" w:sz="12" w:space="0" w:color="auto"/>
              <w:bottom w:val="nil"/>
              <w:right w:val="nil"/>
            </w:tcBorders>
            <w:shd w:val="clear" w:color="auto" w:fill="auto"/>
            <w:noWrap/>
            <w:vAlign w:val="center"/>
            <w:hideMark/>
          </w:tcPr>
          <w:p w14:paraId="6D72E795" w14:textId="77777777" w:rsidR="001F6409" w:rsidRPr="00B41E66" w:rsidRDefault="001F6409">
            <w:pPr>
              <w:jc w:val="center"/>
              <w:rPr>
                <w:color w:val="0000FF"/>
                <w:lang w:val="en-IL" w:eastAsia="en-IL" w:bidi="he-IL"/>
              </w:rPr>
            </w:pPr>
            <w:r w:rsidRPr="00B41E66">
              <w:rPr>
                <w:color w:val="0000FF"/>
              </w:rPr>
              <w:t> </w:t>
            </w:r>
          </w:p>
        </w:tc>
        <w:tc>
          <w:tcPr>
            <w:tcW w:w="2551" w:type="dxa"/>
            <w:gridSpan w:val="2"/>
            <w:tcBorders>
              <w:top w:val="single" w:sz="12" w:space="0" w:color="auto"/>
              <w:left w:val="single" w:sz="12" w:space="0" w:color="auto"/>
              <w:bottom w:val="nil"/>
              <w:right w:val="single" w:sz="12" w:space="0" w:color="000000"/>
            </w:tcBorders>
            <w:shd w:val="clear" w:color="auto" w:fill="auto"/>
            <w:noWrap/>
            <w:vAlign w:val="bottom"/>
            <w:hideMark/>
          </w:tcPr>
          <w:p w14:paraId="6C2B3477" w14:textId="77777777" w:rsidR="001F6409" w:rsidRPr="00B41E66" w:rsidRDefault="001F6409">
            <w:pPr>
              <w:jc w:val="center"/>
              <w:rPr>
                <w:b/>
                <w:bCs/>
                <w:color w:val="0000FF"/>
              </w:rPr>
            </w:pPr>
            <w:r w:rsidRPr="00B41E66">
              <w:rPr>
                <w:b/>
                <w:bCs/>
                <w:color w:val="0000FF"/>
              </w:rPr>
              <w:t>IPO Year</w:t>
            </w:r>
          </w:p>
        </w:tc>
        <w:tc>
          <w:tcPr>
            <w:tcW w:w="2552" w:type="dxa"/>
            <w:gridSpan w:val="2"/>
            <w:tcBorders>
              <w:top w:val="single" w:sz="12" w:space="0" w:color="auto"/>
              <w:left w:val="nil"/>
              <w:bottom w:val="nil"/>
              <w:right w:val="nil"/>
            </w:tcBorders>
            <w:shd w:val="clear" w:color="000000" w:fill="FFFFFF"/>
            <w:noWrap/>
            <w:vAlign w:val="center"/>
            <w:hideMark/>
          </w:tcPr>
          <w:p w14:paraId="5088A474" w14:textId="77777777" w:rsidR="001F6409" w:rsidRPr="00B41E66" w:rsidRDefault="001F6409">
            <w:pPr>
              <w:jc w:val="center"/>
              <w:rPr>
                <w:b/>
                <w:bCs/>
                <w:color w:val="0000FF"/>
              </w:rPr>
            </w:pPr>
            <w:r w:rsidRPr="00B41E66">
              <w:rPr>
                <w:b/>
                <w:bCs/>
                <w:color w:val="0000FF"/>
              </w:rPr>
              <w:t>IPO Year +1</w:t>
            </w:r>
          </w:p>
        </w:tc>
        <w:tc>
          <w:tcPr>
            <w:tcW w:w="2835" w:type="dxa"/>
            <w:gridSpan w:val="3"/>
            <w:tcBorders>
              <w:top w:val="single" w:sz="12" w:space="0" w:color="auto"/>
              <w:left w:val="single" w:sz="12" w:space="0" w:color="auto"/>
              <w:bottom w:val="nil"/>
              <w:right w:val="single" w:sz="12" w:space="0" w:color="000000"/>
            </w:tcBorders>
            <w:shd w:val="clear" w:color="000000" w:fill="FFFFFF"/>
            <w:noWrap/>
            <w:vAlign w:val="center"/>
            <w:hideMark/>
          </w:tcPr>
          <w:p w14:paraId="2519CD49" w14:textId="77777777" w:rsidR="001F6409" w:rsidRPr="00B41E66" w:rsidRDefault="001F6409">
            <w:pPr>
              <w:jc w:val="center"/>
              <w:rPr>
                <w:b/>
                <w:bCs/>
                <w:color w:val="0000FF"/>
              </w:rPr>
            </w:pPr>
            <w:r w:rsidRPr="00B41E66">
              <w:rPr>
                <w:b/>
                <w:bCs/>
                <w:color w:val="0000FF"/>
              </w:rPr>
              <w:t>IPO Year +2</w:t>
            </w:r>
          </w:p>
        </w:tc>
      </w:tr>
      <w:tr w:rsidR="008560E6" w:rsidRPr="00B41E66" w14:paraId="69F7007D" w14:textId="77777777" w:rsidTr="00C363E1">
        <w:trPr>
          <w:trHeight w:val="315"/>
        </w:trPr>
        <w:tc>
          <w:tcPr>
            <w:tcW w:w="1403" w:type="dxa"/>
            <w:tcBorders>
              <w:top w:val="nil"/>
              <w:left w:val="single" w:sz="12" w:space="0" w:color="auto"/>
              <w:bottom w:val="single" w:sz="12" w:space="0" w:color="auto"/>
              <w:right w:val="nil"/>
            </w:tcBorders>
            <w:shd w:val="clear" w:color="auto" w:fill="auto"/>
            <w:noWrap/>
            <w:vAlign w:val="center"/>
            <w:hideMark/>
          </w:tcPr>
          <w:p w14:paraId="170343E3" w14:textId="77777777" w:rsidR="001F6409" w:rsidRPr="00B41E66" w:rsidRDefault="001F6409">
            <w:pPr>
              <w:jc w:val="center"/>
              <w:rPr>
                <w:color w:val="0000FF"/>
              </w:rPr>
            </w:pPr>
            <w:r w:rsidRPr="00B41E66">
              <w:rPr>
                <w:color w:val="0000FF"/>
              </w:rPr>
              <w:t> </w:t>
            </w:r>
          </w:p>
        </w:tc>
        <w:tc>
          <w:tcPr>
            <w:tcW w:w="1276" w:type="dxa"/>
            <w:tcBorders>
              <w:top w:val="nil"/>
              <w:left w:val="single" w:sz="12" w:space="0" w:color="auto"/>
              <w:bottom w:val="single" w:sz="12" w:space="0" w:color="auto"/>
              <w:right w:val="nil"/>
            </w:tcBorders>
            <w:shd w:val="clear" w:color="auto" w:fill="auto"/>
            <w:noWrap/>
            <w:vAlign w:val="center"/>
            <w:hideMark/>
          </w:tcPr>
          <w:p w14:paraId="73501C33" w14:textId="77777777" w:rsidR="001F6409" w:rsidRPr="00B41E66" w:rsidRDefault="001F6409">
            <w:pPr>
              <w:jc w:val="center"/>
              <w:rPr>
                <w:b/>
                <w:bCs/>
                <w:color w:val="0000FF"/>
              </w:rPr>
            </w:pPr>
            <w:r w:rsidRPr="00B41E66">
              <w:rPr>
                <w:b/>
                <w:bCs/>
                <w:color w:val="0000FF"/>
              </w:rPr>
              <w:t>Model 1</w:t>
            </w:r>
          </w:p>
        </w:tc>
        <w:tc>
          <w:tcPr>
            <w:tcW w:w="1275" w:type="dxa"/>
            <w:tcBorders>
              <w:top w:val="nil"/>
              <w:left w:val="nil"/>
              <w:bottom w:val="single" w:sz="12" w:space="0" w:color="auto"/>
              <w:right w:val="single" w:sz="12" w:space="0" w:color="auto"/>
            </w:tcBorders>
            <w:shd w:val="clear" w:color="auto" w:fill="auto"/>
            <w:noWrap/>
            <w:vAlign w:val="center"/>
            <w:hideMark/>
          </w:tcPr>
          <w:p w14:paraId="6356CE55" w14:textId="77777777" w:rsidR="001F6409" w:rsidRPr="00B41E66" w:rsidRDefault="001F6409">
            <w:pPr>
              <w:jc w:val="center"/>
              <w:rPr>
                <w:b/>
                <w:bCs/>
                <w:color w:val="0000FF"/>
              </w:rPr>
            </w:pPr>
            <w:r w:rsidRPr="00B41E66">
              <w:rPr>
                <w:b/>
                <w:bCs/>
                <w:color w:val="0000FF"/>
              </w:rPr>
              <w:t>Model 2</w:t>
            </w:r>
          </w:p>
        </w:tc>
        <w:tc>
          <w:tcPr>
            <w:tcW w:w="1276" w:type="dxa"/>
            <w:tcBorders>
              <w:top w:val="nil"/>
              <w:left w:val="nil"/>
              <w:bottom w:val="single" w:sz="12" w:space="0" w:color="auto"/>
              <w:right w:val="nil"/>
            </w:tcBorders>
            <w:shd w:val="clear" w:color="auto" w:fill="auto"/>
            <w:noWrap/>
            <w:vAlign w:val="center"/>
            <w:hideMark/>
          </w:tcPr>
          <w:p w14:paraId="14366BD2" w14:textId="77777777" w:rsidR="001F6409" w:rsidRPr="00B41E66" w:rsidRDefault="001F6409">
            <w:pPr>
              <w:jc w:val="center"/>
              <w:rPr>
                <w:b/>
                <w:bCs/>
                <w:color w:val="0000FF"/>
              </w:rPr>
            </w:pPr>
            <w:r w:rsidRPr="00B41E66">
              <w:rPr>
                <w:b/>
                <w:bCs/>
                <w:color w:val="0000FF"/>
              </w:rPr>
              <w:t>Model 1</w:t>
            </w:r>
          </w:p>
        </w:tc>
        <w:tc>
          <w:tcPr>
            <w:tcW w:w="1276" w:type="dxa"/>
            <w:tcBorders>
              <w:top w:val="nil"/>
              <w:left w:val="nil"/>
              <w:bottom w:val="single" w:sz="12" w:space="0" w:color="auto"/>
              <w:right w:val="nil"/>
            </w:tcBorders>
            <w:shd w:val="clear" w:color="auto" w:fill="auto"/>
            <w:noWrap/>
            <w:vAlign w:val="center"/>
            <w:hideMark/>
          </w:tcPr>
          <w:p w14:paraId="06D32212" w14:textId="77777777" w:rsidR="001F6409" w:rsidRPr="00B41E66" w:rsidRDefault="001F6409">
            <w:pPr>
              <w:jc w:val="center"/>
              <w:rPr>
                <w:b/>
                <w:bCs/>
                <w:color w:val="0000FF"/>
              </w:rPr>
            </w:pPr>
            <w:r w:rsidRPr="00B41E66">
              <w:rPr>
                <w:b/>
                <w:bCs/>
                <w:color w:val="0000FF"/>
              </w:rPr>
              <w:t>Model 2</w:t>
            </w:r>
          </w:p>
        </w:tc>
        <w:tc>
          <w:tcPr>
            <w:tcW w:w="1134" w:type="dxa"/>
            <w:tcBorders>
              <w:top w:val="nil"/>
              <w:left w:val="single" w:sz="12" w:space="0" w:color="auto"/>
              <w:bottom w:val="single" w:sz="12" w:space="0" w:color="auto"/>
              <w:right w:val="nil"/>
            </w:tcBorders>
            <w:shd w:val="clear" w:color="auto" w:fill="auto"/>
            <w:noWrap/>
            <w:vAlign w:val="center"/>
            <w:hideMark/>
          </w:tcPr>
          <w:p w14:paraId="6CCECAA7" w14:textId="77777777" w:rsidR="001F6409" w:rsidRPr="00B41E66" w:rsidRDefault="001F6409">
            <w:pPr>
              <w:jc w:val="center"/>
              <w:rPr>
                <w:b/>
                <w:bCs/>
                <w:color w:val="0000FF"/>
              </w:rPr>
            </w:pPr>
            <w:r w:rsidRPr="00B41E66">
              <w:rPr>
                <w:b/>
                <w:bCs/>
                <w:color w:val="0000FF"/>
              </w:rPr>
              <w:t>Model 1</w:t>
            </w:r>
          </w:p>
        </w:tc>
        <w:tc>
          <w:tcPr>
            <w:tcW w:w="1701" w:type="dxa"/>
            <w:gridSpan w:val="2"/>
            <w:tcBorders>
              <w:top w:val="nil"/>
              <w:left w:val="nil"/>
              <w:bottom w:val="single" w:sz="12" w:space="0" w:color="auto"/>
              <w:right w:val="single" w:sz="12" w:space="0" w:color="auto"/>
            </w:tcBorders>
            <w:shd w:val="clear" w:color="auto" w:fill="auto"/>
            <w:noWrap/>
            <w:vAlign w:val="center"/>
            <w:hideMark/>
          </w:tcPr>
          <w:p w14:paraId="544158C3" w14:textId="77777777" w:rsidR="001F6409" w:rsidRPr="00B41E66" w:rsidRDefault="001F6409">
            <w:pPr>
              <w:jc w:val="center"/>
              <w:rPr>
                <w:b/>
                <w:bCs/>
                <w:color w:val="0000FF"/>
              </w:rPr>
            </w:pPr>
            <w:r w:rsidRPr="00B41E66">
              <w:rPr>
                <w:b/>
                <w:bCs/>
                <w:color w:val="0000FF"/>
              </w:rPr>
              <w:t>Model 2</w:t>
            </w:r>
          </w:p>
        </w:tc>
      </w:tr>
      <w:tr w:rsidR="008560E6" w:rsidRPr="00B41E66" w14:paraId="371C0B22" w14:textId="77777777" w:rsidTr="001F5873">
        <w:trPr>
          <w:trHeight w:val="315"/>
        </w:trPr>
        <w:tc>
          <w:tcPr>
            <w:tcW w:w="1403" w:type="dxa"/>
            <w:tcBorders>
              <w:top w:val="nil"/>
              <w:left w:val="single" w:sz="12" w:space="0" w:color="auto"/>
              <w:bottom w:val="nil"/>
              <w:right w:val="nil"/>
            </w:tcBorders>
            <w:shd w:val="clear" w:color="auto" w:fill="auto"/>
            <w:noWrap/>
            <w:vAlign w:val="center"/>
            <w:hideMark/>
          </w:tcPr>
          <w:p w14:paraId="43DA9879" w14:textId="77777777" w:rsidR="001F6409" w:rsidRPr="00B41E66" w:rsidRDefault="001F6409" w:rsidP="001F5873">
            <w:pPr>
              <w:jc w:val="center"/>
              <w:rPr>
                <w:color w:val="0000FF"/>
              </w:rPr>
            </w:pPr>
            <w:r w:rsidRPr="00B41E66">
              <w:rPr>
                <w:color w:val="0000FF"/>
              </w:rPr>
              <w:t>Intercept</w:t>
            </w:r>
          </w:p>
        </w:tc>
        <w:tc>
          <w:tcPr>
            <w:tcW w:w="1276" w:type="dxa"/>
            <w:tcBorders>
              <w:top w:val="nil"/>
              <w:left w:val="single" w:sz="12" w:space="0" w:color="auto"/>
              <w:bottom w:val="nil"/>
              <w:right w:val="nil"/>
            </w:tcBorders>
            <w:shd w:val="clear" w:color="auto" w:fill="auto"/>
            <w:noWrap/>
            <w:vAlign w:val="center"/>
            <w:hideMark/>
          </w:tcPr>
          <w:p w14:paraId="3418245D" w14:textId="318EC8A2" w:rsidR="001F6409" w:rsidRPr="00B41E66" w:rsidRDefault="006765DC" w:rsidP="001F5873">
            <w:pPr>
              <w:jc w:val="center"/>
              <w:rPr>
                <w:color w:val="0000FF"/>
              </w:rPr>
            </w:pPr>
            <w:r w:rsidRPr="00B41E66">
              <w:rPr>
                <w:color w:val="0000FF"/>
              </w:rPr>
              <w:t>0</w:t>
            </w:r>
            <w:r w:rsidR="001F6409" w:rsidRPr="00B41E66">
              <w:rPr>
                <w:color w:val="0000FF"/>
              </w:rPr>
              <w:t>.</w:t>
            </w:r>
            <w:r w:rsidRPr="00B41E66">
              <w:rPr>
                <w:color w:val="0000FF"/>
              </w:rPr>
              <w:t xml:space="preserve">20 </w:t>
            </w:r>
            <w:r w:rsidR="001F6409" w:rsidRPr="00B41E66">
              <w:rPr>
                <w:color w:val="0000FF"/>
              </w:rPr>
              <w:t>(0.</w:t>
            </w:r>
            <w:r w:rsidRPr="00B41E66">
              <w:rPr>
                <w:color w:val="0000FF"/>
              </w:rPr>
              <w:t>59</w:t>
            </w:r>
            <w:r w:rsidR="001F6409" w:rsidRPr="00B41E66">
              <w:rPr>
                <w:color w:val="0000FF"/>
              </w:rPr>
              <w:t>)</w:t>
            </w:r>
          </w:p>
        </w:tc>
        <w:tc>
          <w:tcPr>
            <w:tcW w:w="1275" w:type="dxa"/>
            <w:tcBorders>
              <w:top w:val="nil"/>
              <w:left w:val="nil"/>
              <w:bottom w:val="nil"/>
              <w:right w:val="single" w:sz="12" w:space="0" w:color="auto"/>
            </w:tcBorders>
            <w:shd w:val="clear" w:color="auto" w:fill="auto"/>
            <w:noWrap/>
            <w:vAlign w:val="center"/>
            <w:hideMark/>
          </w:tcPr>
          <w:p w14:paraId="1D37C56D" w14:textId="0954523C" w:rsidR="001F6409" w:rsidRPr="00B41E66" w:rsidRDefault="00470EFD" w:rsidP="001F5873">
            <w:pPr>
              <w:jc w:val="center"/>
              <w:rPr>
                <w:color w:val="0000FF"/>
              </w:rPr>
            </w:pPr>
            <w:r w:rsidRPr="00B41E66">
              <w:rPr>
                <w:color w:val="0000FF"/>
              </w:rPr>
              <w:t>0</w:t>
            </w:r>
            <w:r w:rsidR="001F6409" w:rsidRPr="00B41E66">
              <w:rPr>
                <w:color w:val="0000FF"/>
              </w:rPr>
              <w:t>.</w:t>
            </w:r>
            <w:r w:rsidRPr="00B41E66">
              <w:rPr>
                <w:color w:val="0000FF"/>
              </w:rPr>
              <w:t>3</w:t>
            </w:r>
            <w:r w:rsidR="001F6409" w:rsidRPr="00B41E66">
              <w:rPr>
                <w:color w:val="0000FF"/>
              </w:rPr>
              <w:t>1 (0.</w:t>
            </w:r>
            <w:r w:rsidRPr="00B41E66">
              <w:rPr>
                <w:color w:val="0000FF"/>
              </w:rPr>
              <w:t>42</w:t>
            </w:r>
            <w:r w:rsidR="001F6409" w:rsidRPr="00B41E66">
              <w:rPr>
                <w:color w:val="0000FF"/>
              </w:rPr>
              <w:t>)</w:t>
            </w:r>
          </w:p>
        </w:tc>
        <w:tc>
          <w:tcPr>
            <w:tcW w:w="1276" w:type="dxa"/>
            <w:tcBorders>
              <w:top w:val="nil"/>
              <w:left w:val="nil"/>
              <w:bottom w:val="nil"/>
              <w:right w:val="nil"/>
            </w:tcBorders>
            <w:shd w:val="clear" w:color="auto" w:fill="auto"/>
            <w:noWrap/>
            <w:vAlign w:val="center"/>
            <w:hideMark/>
          </w:tcPr>
          <w:p w14:paraId="7F9D9E91" w14:textId="495FB857" w:rsidR="001F6409" w:rsidRPr="00B41E66" w:rsidRDefault="001F6409" w:rsidP="001F5873">
            <w:pPr>
              <w:jc w:val="center"/>
              <w:rPr>
                <w:color w:val="0000FF"/>
              </w:rPr>
            </w:pPr>
            <w:r w:rsidRPr="00B41E66">
              <w:rPr>
                <w:color w:val="0000FF"/>
              </w:rPr>
              <w:t>-0.</w:t>
            </w:r>
            <w:r w:rsidR="005D35FB" w:rsidRPr="00B41E66">
              <w:rPr>
                <w:color w:val="0000FF"/>
              </w:rPr>
              <w:t>13</w:t>
            </w:r>
            <w:r w:rsidRPr="00B41E66">
              <w:rPr>
                <w:color w:val="0000FF"/>
              </w:rPr>
              <w:t xml:space="preserve"> (0.</w:t>
            </w:r>
            <w:r w:rsidR="005D35FB" w:rsidRPr="00B41E66">
              <w:rPr>
                <w:color w:val="0000FF"/>
              </w:rPr>
              <w:t>38</w:t>
            </w:r>
            <w:r w:rsidRPr="00B41E66">
              <w:rPr>
                <w:color w:val="0000FF"/>
              </w:rPr>
              <w:t>)</w:t>
            </w:r>
          </w:p>
        </w:tc>
        <w:tc>
          <w:tcPr>
            <w:tcW w:w="1276" w:type="dxa"/>
            <w:tcBorders>
              <w:top w:val="nil"/>
              <w:left w:val="nil"/>
              <w:bottom w:val="nil"/>
              <w:right w:val="nil"/>
            </w:tcBorders>
            <w:shd w:val="clear" w:color="auto" w:fill="auto"/>
            <w:noWrap/>
            <w:vAlign w:val="bottom"/>
            <w:hideMark/>
          </w:tcPr>
          <w:p w14:paraId="5CD914D0" w14:textId="4981F93D" w:rsidR="001F6409" w:rsidRPr="00B41E66" w:rsidRDefault="001F6409" w:rsidP="001F5873">
            <w:pPr>
              <w:jc w:val="center"/>
              <w:rPr>
                <w:color w:val="0000FF"/>
              </w:rPr>
            </w:pPr>
            <w:r w:rsidRPr="00B41E66">
              <w:rPr>
                <w:color w:val="0000FF"/>
              </w:rPr>
              <w:t>-0.</w:t>
            </w:r>
            <w:r w:rsidR="00971417" w:rsidRPr="00B41E66">
              <w:rPr>
                <w:color w:val="0000FF"/>
              </w:rPr>
              <w:t>22</w:t>
            </w:r>
            <w:r w:rsidRPr="00B41E66">
              <w:rPr>
                <w:color w:val="0000FF"/>
              </w:rPr>
              <w:t xml:space="preserve"> (0.</w:t>
            </w:r>
            <w:r w:rsidR="00971417" w:rsidRPr="00B41E66">
              <w:rPr>
                <w:color w:val="0000FF"/>
              </w:rPr>
              <w:t>16</w:t>
            </w:r>
            <w:r w:rsidRPr="00B41E66">
              <w:rPr>
                <w:color w:val="0000FF"/>
              </w:rPr>
              <w:t>)</w:t>
            </w:r>
          </w:p>
        </w:tc>
        <w:tc>
          <w:tcPr>
            <w:tcW w:w="1276" w:type="dxa"/>
            <w:gridSpan w:val="2"/>
            <w:tcBorders>
              <w:top w:val="nil"/>
              <w:left w:val="single" w:sz="12" w:space="0" w:color="auto"/>
              <w:bottom w:val="nil"/>
              <w:right w:val="nil"/>
            </w:tcBorders>
            <w:shd w:val="clear" w:color="auto" w:fill="auto"/>
            <w:noWrap/>
            <w:vAlign w:val="center"/>
            <w:hideMark/>
          </w:tcPr>
          <w:p w14:paraId="0F005E62" w14:textId="67C76380" w:rsidR="001F6409" w:rsidRPr="00B41E66" w:rsidRDefault="001F6409" w:rsidP="001F5873">
            <w:pPr>
              <w:jc w:val="center"/>
              <w:rPr>
                <w:color w:val="0000FF"/>
              </w:rPr>
            </w:pPr>
            <w:r w:rsidRPr="00B41E66">
              <w:rPr>
                <w:color w:val="0000FF"/>
              </w:rPr>
              <w:t>0.0</w:t>
            </w:r>
            <w:r w:rsidR="000D6FA1" w:rsidRPr="00B41E66">
              <w:rPr>
                <w:color w:val="0000FF"/>
              </w:rPr>
              <w:t>7</w:t>
            </w:r>
            <w:r w:rsidRPr="00B41E66">
              <w:rPr>
                <w:color w:val="0000FF"/>
              </w:rPr>
              <w:t xml:space="preserve"> (0.</w:t>
            </w:r>
            <w:r w:rsidR="000D6FA1" w:rsidRPr="00B41E66">
              <w:rPr>
                <w:color w:val="0000FF"/>
              </w:rPr>
              <w:t>74</w:t>
            </w:r>
            <w:r w:rsidRPr="00B41E66">
              <w:rPr>
                <w:color w:val="0000FF"/>
              </w:rPr>
              <w:t>)</w:t>
            </w:r>
          </w:p>
        </w:tc>
        <w:tc>
          <w:tcPr>
            <w:tcW w:w="1559" w:type="dxa"/>
            <w:tcBorders>
              <w:top w:val="nil"/>
              <w:left w:val="nil"/>
              <w:bottom w:val="nil"/>
              <w:right w:val="single" w:sz="12" w:space="0" w:color="auto"/>
            </w:tcBorders>
            <w:shd w:val="clear" w:color="auto" w:fill="auto"/>
            <w:noWrap/>
            <w:vAlign w:val="center"/>
            <w:hideMark/>
          </w:tcPr>
          <w:p w14:paraId="1C31A1E2" w14:textId="6ECA8E41" w:rsidR="001F6409" w:rsidRPr="00B41E66" w:rsidRDefault="001F6409" w:rsidP="001F5873">
            <w:pPr>
              <w:jc w:val="center"/>
              <w:rPr>
                <w:color w:val="0000FF"/>
              </w:rPr>
            </w:pPr>
            <w:r w:rsidRPr="00B41E66">
              <w:rPr>
                <w:color w:val="0000FF"/>
              </w:rPr>
              <w:t>0.0</w:t>
            </w:r>
            <w:r w:rsidR="00E77BD7" w:rsidRPr="00B41E66">
              <w:rPr>
                <w:color w:val="0000FF"/>
              </w:rPr>
              <w:t>6</w:t>
            </w:r>
            <w:r w:rsidRPr="00B41E66">
              <w:rPr>
                <w:color w:val="0000FF"/>
              </w:rPr>
              <w:t xml:space="preserve"> (0.</w:t>
            </w:r>
            <w:r w:rsidR="00E77BD7" w:rsidRPr="00B41E66">
              <w:rPr>
                <w:color w:val="0000FF"/>
              </w:rPr>
              <w:t>77</w:t>
            </w:r>
            <w:r w:rsidRPr="00B41E66">
              <w:rPr>
                <w:color w:val="0000FF"/>
              </w:rPr>
              <w:t>)</w:t>
            </w:r>
          </w:p>
        </w:tc>
      </w:tr>
      <w:tr w:rsidR="008560E6" w:rsidRPr="00B41E66" w14:paraId="5FC264AC" w14:textId="77777777" w:rsidTr="001F5873">
        <w:trPr>
          <w:trHeight w:val="300"/>
        </w:trPr>
        <w:tc>
          <w:tcPr>
            <w:tcW w:w="1403" w:type="dxa"/>
            <w:tcBorders>
              <w:top w:val="nil"/>
              <w:left w:val="single" w:sz="12" w:space="0" w:color="auto"/>
              <w:bottom w:val="nil"/>
              <w:right w:val="nil"/>
            </w:tcBorders>
            <w:shd w:val="clear" w:color="auto" w:fill="auto"/>
            <w:noWrap/>
            <w:vAlign w:val="center"/>
            <w:hideMark/>
          </w:tcPr>
          <w:p w14:paraId="49E3DB63" w14:textId="77777777" w:rsidR="001F6409" w:rsidRPr="00B41E66" w:rsidRDefault="001F6409" w:rsidP="001F5873">
            <w:pPr>
              <w:jc w:val="center"/>
              <w:rPr>
                <w:color w:val="0000FF"/>
              </w:rPr>
            </w:pPr>
            <w:r w:rsidRPr="00B41E66">
              <w:rPr>
                <w:color w:val="0000FF"/>
              </w:rPr>
              <w:t>Year 2013</w:t>
            </w:r>
          </w:p>
        </w:tc>
        <w:tc>
          <w:tcPr>
            <w:tcW w:w="1276" w:type="dxa"/>
            <w:tcBorders>
              <w:top w:val="nil"/>
              <w:left w:val="single" w:sz="12" w:space="0" w:color="auto"/>
              <w:bottom w:val="nil"/>
              <w:right w:val="nil"/>
            </w:tcBorders>
            <w:shd w:val="clear" w:color="auto" w:fill="auto"/>
            <w:noWrap/>
            <w:vAlign w:val="center"/>
            <w:hideMark/>
          </w:tcPr>
          <w:p w14:paraId="45643C1B" w14:textId="21DA634F" w:rsidR="001F6409" w:rsidRPr="00B41E66" w:rsidRDefault="001F6409" w:rsidP="001F5873">
            <w:pPr>
              <w:jc w:val="center"/>
              <w:rPr>
                <w:color w:val="0000FF"/>
              </w:rPr>
            </w:pPr>
            <w:r w:rsidRPr="00B41E66">
              <w:rPr>
                <w:color w:val="0000FF"/>
              </w:rPr>
              <w:t>-</w:t>
            </w:r>
            <w:r w:rsidR="00470EFD" w:rsidRPr="00B41E66">
              <w:rPr>
                <w:color w:val="0000FF"/>
              </w:rPr>
              <w:t>0</w:t>
            </w:r>
            <w:r w:rsidRPr="00B41E66">
              <w:rPr>
                <w:color w:val="0000FF"/>
              </w:rPr>
              <w:t>.1</w:t>
            </w:r>
            <w:r w:rsidR="006765DC" w:rsidRPr="00B41E66">
              <w:rPr>
                <w:color w:val="0000FF"/>
              </w:rPr>
              <w:t>8</w:t>
            </w:r>
            <w:r w:rsidRPr="00B41E66">
              <w:rPr>
                <w:color w:val="0000FF"/>
              </w:rPr>
              <w:t xml:space="preserve"> (0.</w:t>
            </w:r>
            <w:r w:rsidR="006765DC" w:rsidRPr="00B41E66">
              <w:rPr>
                <w:color w:val="0000FF"/>
              </w:rPr>
              <w:t>6</w:t>
            </w:r>
            <w:r w:rsidRPr="00B41E66">
              <w:rPr>
                <w:color w:val="0000FF"/>
              </w:rPr>
              <w:t>4)</w:t>
            </w:r>
          </w:p>
        </w:tc>
        <w:tc>
          <w:tcPr>
            <w:tcW w:w="1275" w:type="dxa"/>
            <w:tcBorders>
              <w:top w:val="nil"/>
              <w:left w:val="nil"/>
              <w:bottom w:val="nil"/>
              <w:right w:val="single" w:sz="12" w:space="0" w:color="auto"/>
            </w:tcBorders>
            <w:shd w:val="clear" w:color="auto" w:fill="auto"/>
            <w:noWrap/>
            <w:vAlign w:val="center"/>
            <w:hideMark/>
          </w:tcPr>
          <w:p w14:paraId="3162BB2A" w14:textId="0AE53928" w:rsidR="001F6409" w:rsidRPr="00B41E66" w:rsidRDefault="001F6409" w:rsidP="001F5873">
            <w:pPr>
              <w:jc w:val="center"/>
              <w:rPr>
                <w:color w:val="0000FF"/>
              </w:rPr>
            </w:pPr>
            <w:r w:rsidRPr="00B41E66">
              <w:rPr>
                <w:color w:val="0000FF"/>
              </w:rPr>
              <w:t>-</w:t>
            </w:r>
            <w:r w:rsidR="00470EFD" w:rsidRPr="00B41E66">
              <w:rPr>
                <w:color w:val="0000FF"/>
              </w:rPr>
              <w:t>0</w:t>
            </w:r>
            <w:r w:rsidRPr="00B41E66">
              <w:rPr>
                <w:color w:val="0000FF"/>
              </w:rPr>
              <w:t>.</w:t>
            </w:r>
            <w:r w:rsidR="00470EFD" w:rsidRPr="00B41E66">
              <w:rPr>
                <w:color w:val="0000FF"/>
              </w:rPr>
              <w:t>32</w:t>
            </w:r>
            <w:r w:rsidRPr="00B41E66">
              <w:rPr>
                <w:color w:val="0000FF"/>
              </w:rPr>
              <w:t xml:space="preserve"> (0.</w:t>
            </w:r>
            <w:r w:rsidR="00470EFD" w:rsidRPr="00B41E66">
              <w:rPr>
                <w:color w:val="0000FF"/>
              </w:rPr>
              <w:t>4</w:t>
            </w:r>
            <w:r w:rsidRPr="00B41E66">
              <w:rPr>
                <w:color w:val="0000FF"/>
              </w:rPr>
              <w:t>2)</w:t>
            </w:r>
          </w:p>
        </w:tc>
        <w:tc>
          <w:tcPr>
            <w:tcW w:w="1276" w:type="dxa"/>
            <w:tcBorders>
              <w:top w:val="nil"/>
              <w:left w:val="nil"/>
              <w:bottom w:val="nil"/>
              <w:right w:val="nil"/>
            </w:tcBorders>
            <w:shd w:val="clear" w:color="auto" w:fill="auto"/>
            <w:noWrap/>
            <w:vAlign w:val="center"/>
            <w:hideMark/>
          </w:tcPr>
          <w:p w14:paraId="33B30E8E" w14:textId="2A9DC1C0" w:rsidR="001F6409" w:rsidRPr="00B41E66" w:rsidRDefault="005D35FB" w:rsidP="001F5873">
            <w:pPr>
              <w:jc w:val="center"/>
              <w:rPr>
                <w:color w:val="0000FF"/>
              </w:rPr>
            </w:pPr>
            <w:r w:rsidRPr="00B41E66">
              <w:rPr>
                <w:color w:val="0000FF"/>
              </w:rPr>
              <w:t>-</w:t>
            </w:r>
            <w:r w:rsidR="001F6409" w:rsidRPr="00B41E66">
              <w:rPr>
                <w:color w:val="0000FF"/>
              </w:rPr>
              <w:t>0.05 (0.8</w:t>
            </w:r>
            <w:r w:rsidRPr="00B41E66">
              <w:rPr>
                <w:color w:val="0000FF"/>
              </w:rPr>
              <w:t>0</w:t>
            </w:r>
            <w:r w:rsidR="001F6409" w:rsidRPr="00B41E66">
              <w:rPr>
                <w:color w:val="0000FF"/>
              </w:rPr>
              <w:t>)</w:t>
            </w:r>
          </w:p>
        </w:tc>
        <w:tc>
          <w:tcPr>
            <w:tcW w:w="1276" w:type="dxa"/>
            <w:tcBorders>
              <w:top w:val="nil"/>
              <w:left w:val="nil"/>
              <w:bottom w:val="nil"/>
              <w:right w:val="nil"/>
            </w:tcBorders>
            <w:shd w:val="clear" w:color="auto" w:fill="auto"/>
            <w:noWrap/>
            <w:vAlign w:val="bottom"/>
            <w:hideMark/>
          </w:tcPr>
          <w:p w14:paraId="77421E52" w14:textId="057B605F" w:rsidR="001F6409" w:rsidRPr="00B41E66" w:rsidRDefault="00971417" w:rsidP="001F5873">
            <w:pPr>
              <w:jc w:val="center"/>
              <w:rPr>
                <w:color w:val="0000FF"/>
              </w:rPr>
            </w:pPr>
            <w:r w:rsidRPr="00B41E66">
              <w:rPr>
                <w:color w:val="0000FF"/>
              </w:rPr>
              <w:t>-</w:t>
            </w:r>
            <w:r w:rsidR="001F6409" w:rsidRPr="00B41E66">
              <w:rPr>
                <w:color w:val="0000FF"/>
              </w:rPr>
              <w:t>0.0</w:t>
            </w:r>
            <w:r w:rsidRPr="00B41E66">
              <w:rPr>
                <w:color w:val="0000FF"/>
              </w:rPr>
              <w:t>5</w:t>
            </w:r>
            <w:r w:rsidR="001F6409" w:rsidRPr="00B41E66">
              <w:rPr>
                <w:color w:val="0000FF"/>
              </w:rPr>
              <w:t xml:space="preserve"> (0.</w:t>
            </w:r>
            <w:r w:rsidRPr="00B41E66">
              <w:rPr>
                <w:color w:val="0000FF"/>
              </w:rPr>
              <w:t>80</w:t>
            </w:r>
            <w:r w:rsidR="001F6409" w:rsidRPr="00B41E66">
              <w:rPr>
                <w:color w:val="0000FF"/>
              </w:rPr>
              <w:t>)</w:t>
            </w:r>
          </w:p>
        </w:tc>
        <w:tc>
          <w:tcPr>
            <w:tcW w:w="1276" w:type="dxa"/>
            <w:gridSpan w:val="2"/>
            <w:tcBorders>
              <w:top w:val="nil"/>
              <w:left w:val="single" w:sz="12" w:space="0" w:color="auto"/>
              <w:bottom w:val="nil"/>
              <w:right w:val="nil"/>
            </w:tcBorders>
            <w:shd w:val="clear" w:color="auto" w:fill="auto"/>
            <w:noWrap/>
            <w:vAlign w:val="center"/>
            <w:hideMark/>
          </w:tcPr>
          <w:p w14:paraId="3E922D98" w14:textId="2CCAA040" w:rsidR="001F6409" w:rsidRPr="00B41E66" w:rsidRDefault="001F6409" w:rsidP="001F5873">
            <w:pPr>
              <w:jc w:val="center"/>
              <w:rPr>
                <w:color w:val="0000FF"/>
              </w:rPr>
            </w:pPr>
            <w:r w:rsidRPr="00B41E66">
              <w:rPr>
                <w:color w:val="0000FF"/>
              </w:rPr>
              <w:t>-0.</w:t>
            </w:r>
            <w:r w:rsidR="000D6FA1" w:rsidRPr="00B41E66">
              <w:rPr>
                <w:color w:val="0000FF"/>
              </w:rPr>
              <w:t>58</w:t>
            </w:r>
            <w:r w:rsidRPr="00B41E66">
              <w:rPr>
                <w:color w:val="0000FF"/>
              </w:rPr>
              <w:t xml:space="preserve"> (0.02)</w:t>
            </w:r>
          </w:p>
        </w:tc>
        <w:tc>
          <w:tcPr>
            <w:tcW w:w="1559" w:type="dxa"/>
            <w:tcBorders>
              <w:top w:val="nil"/>
              <w:left w:val="nil"/>
              <w:bottom w:val="nil"/>
              <w:right w:val="single" w:sz="12" w:space="0" w:color="auto"/>
            </w:tcBorders>
            <w:shd w:val="clear" w:color="auto" w:fill="auto"/>
            <w:noWrap/>
            <w:vAlign w:val="center"/>
            <w:hideMark/>
          </w:tcPr>
          <w:p w14:paraId="08EBF92A" w14:textId="487AD394" w:rsidR="001F6409" w:rsidRPr="00B41E66" w:rsidRDefault="001F6409" w:rsidP="001F5873">
            <w:pPr>
              <w:jc w:val="center"/>
              <w:rPr>
                <w:color w:val="0000FF"/>
              </w:rPr>
            </w:pPr>
            <w:r w:rsidRPr="00B41E66">
              <w:rPr>
                <w:color w:val="0000FF"/>
              </w:rPr>
              <w:t>-0.</w:t>
            </w:r>
            <w:r w:rsidR="00E77BD7" w:rsidRPr="00B41E66">
              <w:rPr>
                <w:color w:val="0000FF"/>
              </w:rPr>
              <w:t>58</w:t>
            </w:r>
            <w:r w:rsidRPr="00B41E66">
              <w:rPr>
                <w:color w:val="0000FF"/>
              </w:rPr>
              <w:t xml:space="preserve"> (0.0</w:t>
            </w:r>
            <w:r w:rsidR="00E77BD7" w:rsidRPr="00B41E66">
              <w:rPr>
                <w:color w:val="0000FF"/>
              </w:rPr>
              <w:t>2</w:t>
            </w:r>
            <w:r w:rsidRPr="00B41E66">
              <w:rPr>
                <w:color w:val="0000FF"/>
              </w:rPr>
              <w:t>)</w:t>
            </w:r>
          </w:p>
        </w:tc>
      </w:tr>
      <w:tr w:rsidR="008560E6" w:rsidRPr="00B41E66" w14:paraId="1867C04C" w14:textId="77777777" w:rsidTr="001F5873">
        <w:trPr>
          <w:trHeight w:val="300"/>
        </w:trPr>
        <w:tc>
          <w:tcPr>
            <w:tcW w:w="1403" w:type="dxa"/>
            <w:tcBorders>
              <w:top w:val="nil"/>
              <w:left w:val="single" w:sz="12" w:space="0" w:color="auto"/>
              <w:bottom w:val="nil"/>
              <w:right w:val="nil"/>
            </w:tcBorders>
            <w:shd w:val="clear" w:color="auto" w:fill="auto"/>
            <w:noWrap/>
            <w:vAlign w:val="center"/>
            <w:hideMark/>
          </w:tcPr>
          <w:p w14:paraId="3F9CFEF7" w14:textId="77777777" w:rsidR="001F6409" w:rsidRPr="00B41E66" w:rsidRDefault="001F6409" w:rsidP="001F5873">
            <w:pPr>
              <w:jc w:val="center"/>
              <w:rPr>
                <w:color w:val="0000FF"/>
              </w:rPr>
            </w:pPr>
            <w:r w:rsidRPr="00B41E66">
              <w:rPr>
                <w:color w:val="0000FF"/>
              </w:rPr>
              <w:lastRenderedPageBreak/>
              <w:t>Year 2014</w:t>
            </w:r>
          </w:p>
        </w:tc>
        <w:tc>
          <w:tcPr>
            <w:tcW w:w="1276" w:type="dxa"/>
            <w:tcBorders>
              <w:top w:val="nil"/>
              <w:left w:val="single" w:sz="12" w:space="0" w:color="auto"/>
              <w:bottom w:val="nil"/>
              <w:right w:val="nil"/>
            </w:tcBorders>
            <w:shd w:val="clear" w:color="auto" w:fill="auto"/>
            <w:noWrap/>
            <w:vAlign w:val="center"/>
            <w:hideMark/>
          </w:tcPr>
          <w:p w14:paraId="04EE1377" w14:textId="4904B399" w:rsidR="001F6409" w:rsidRPr="00B41E66" w:rsidRDefault="001F6409" w:rsidP="001F5873">
            <w:pPr>
              <w:jc w:val="center"/>
              <w:rPr>
                <w:color w:val="0000FF"/>
              </w:rPr>
            </w:pPr>
            <w:r w:rsidRPr="00B41E66">
              <w:rPr>
                <w:color w:val="0000FF"/>
              </w:rPr>
              <w:t>-</w:t>
            </w:r>
            <w:r w:rsidR="006765DC" w:rsidRPr="00B41E66">
              <w:rPr>
                <w:color w:val="0000FF"/>
              </w:rPr>
              <w:t>0</w:t>
            </w:r>
            <w:r w:rsidRPr="00B41E66">
              <w:rPr>
                <w:color w:val="0000FF"/>
              </w:rPr>
              <w:t>.</w:t>
            </w:r>
            <w:r w:rsidR="006765DC" w:rsidRPr="00B41E66">
              <w:rPr>
                <w:color w:val="0000FF"/>
              </w:rPr>
              <w:t>08</w:t>
            </w:r>
            <w:r w:rsidRPr="00B41E66">
              <w:rPr>
                <w:color w:val="0000FF"/>
              </w:rPr>
              <w:t xml:space="preserve"> (0.</w:t>
            </w:r>
            <w:r w:rsidR="006765DC" w:rsidRPr="00B41E66">
              <w:rPr>
                <w:color w:val="0000FF"/>
              </w:rPr>
              <w:t>8</w:t>
            </w:r>
            <w:r w:rsidR="00470EFD" w:rsidRPr="00B41E66">
              <w:rPr>
                <w:color w:val="0000FF"/>
              </w:rPr>
              <w:t>4</w:t>
            </w:r>
            <w:r w:rsidRPr="00B41E66">
              <w:rPr>
                <w:color w:val="0000FF"/>
              </w:rPr>
              <w:t>)</w:t>
            </w:r>
          </w:p>
        </w:tc>
        <w:tc>
          <w:tcPr>
            <w:tcW w:w="1275" w:type="dxa"/>
            <w:tcBorders>
              <w:top w:val="nil"/>
              <w:left w:val="nil"/>
              <w:bottom w:val="nil"/>
              <w:right w:val="single" w:sz="12" w:space="0" w:color="auto"/>
            </w:tcBorders>
            <w:shd w:val="clear" w:color="auto" w:fill="auto"/>
            <w:noWrap/>
            <w:vAlign w:val="center"/>
            <w:hideMark/>
          </w:tcPr>
          <w:p w14:paraId="3C6D6584" w14:textId="3900B5F3" w:rsidR="001F6409" w:rsidRPr="00B41E66" w:rsidRDefault="001F6409" w:rsidP="001F5873">
            <w:pPr>
              <w:jc w:val="center"/>
              <w:rPr>
                <w:color w:val="0000FF"/>
              </w:rPr>
            </w:pPr>
            <w:r w:rsidRPr="00B41E66">
              <w:rPr>
                <w:color w:val="0000FF"/>
              </w:rPr>
              <w:t>-</w:t>
            </w:r>
            <w:r w:rsidR="00470EFD" w:rsidRPr="00B41E66">
              <w:rPr>
                <w:color w:val="0000FF"/>
              </w:rPr>
              <w:t>0</w:t>
            </w:r>
            <w:r w:rsidRPr="00B41E66">
              <w:rPr>
                <w:color w:val="0000FF"/>
              </w:rPr>
              <w:t>.</w:t>
            </w:r>
            <w:r w:rsidR="00470EFD" w:rsidRPr="00B41E66">
              <w:rPr>
                <w:color w:val="0000FF"/>
              </w:rPr>
              <w:t>24</w:t>
            </w:r>
            <w:r w:rsidRPr="00B41E66">
              <w:rPr>
                <w:color w:val="0000FF"/>
              </w:rPr>
              <w:t xml:space="preserve"> (0.</w:t>
            </w:r>
            <w:r w:rsidR="00470EFD" w:rsidRPr="00B41E66">
              <w:rPr>
                <w:color w:val="0000FF"/>
              </w:rPr>
              <w:t>53</w:t>
            </w:r>
            <w:r w:rsidRPr="00B41E66">
              <w:rPr>
                <w:color w:val="0000FF"/>
              </w:rPr>
              <w:t>)</w:t>
            </w:r>
          </w:p>
        </w:tc>
        <w:tc>
          <w:tcPr>
            <w:tcW w:w="1276" w:type="dxa"/>
            <w:tcBorders>
              <w:top w:val="nil"/>
              <w:left w:val="nil"/>
              <w:bottom w:val="nil"/>
              <w:right w:val="nil"/>
            </w:tcBorders>
            <w:shd w:val="clear" w:color="auto" w:fill="auto"/>
            <w:noWrap/>
            <w:vAlign w:val="center"/>
            <w:hideMark/>
          </w:tcPr>
          <w:p w14:paraId="4BDC5603" w14:textId="65A563C7" w:rsidR="001F6409" w:rsidRPr="00B41E66" w:rsidRDefault="001F6409" w:rsidP="001F5873">
            <w:pPr>
              <w:jc w:val="center"/>
              <w:rPr>
                <w:color w:val="0000FF"/>
              </w:rPr>
            </w:pPr>
            <w:r w:rsidRPr="00B41E66">
              <w:rPr>
                <w:color w:val="0000FF"/>
              </w:rPr>
              <w:t>-0.3</w:t>
            </w:r>
            <w:r w:rsidR="005D35FB" w:rsidRPr="00B41E66">
              <w:rPr>
                <w:color w:val="0000FF"/>
              </w:rPr>
              <w:t>4</w:t>
            </w:r>
            <w:r w:rsidRPr="00B41E66">
              <w:rPr>
                <w:color w:val="0000FF"/>
              </w:rPr>
              <w:t xml:space="preserve"> (0.</w:t>
            </w:r>
            <w:r w:rsidR="005D35FB" w:rsidRPr="00B41E66">
              <w:rPr>
                <w:color w:val="0000FF"/>
              </w:rPr>
              <w:t>03</w:t>
            </w:r>
            <w:r w:rsidRPr="00B41E66">
              <w:rPr>
                <w:color w:val="0000FF"/>
              </w:rPr>
              <w:t>)</w:t>
            </w:r>
          </w:p>
        </w:tc>
        <w:tc>
          <w:tcPr>
            <w:tcW w:w="1276" w:type="dxa"/>
            <w:tcBorders>
              <w:top w:val="nil"/>
              <w:left w:val="nil"/>
              <w:bottom w:val="nil"/>
              <w:right w:val="nil"/>
            </w:tcBorders>
            <w:shd w:val="clear" w:color="auto" w:fill="auto"/>
            <w:noWrap/>
            <w:vAlign w:val="bottom"/>
            <w:hideMark/>
          </w:tcPr>
          <w:p w14:paraId="5EDCA1DB" w14:textId="38163C80" w:rsidR="001F6409" w:rsidRPr="00B41E66" w:rsidRDefault="001F6409" w:rsidP="001F5873">
            <w:pPr>
              <w:jc w:val="center"/>
              <w:rPr>
                <w:color w:val="0000FF"/>
              </w:rPr>
            </w:pPr>
            <w:r w:rsidRPr="00B41E66">
              <w:rPr>
                <w:color w:val="0000FF"/>
              </w:rPr>
              <w:t>-0.3</w:t>
            </w:r>
            <w:r w:rsidR="00971417" w:rsidRPr="00B41E66">
              <w:rPr>
                <w:color w:val="0000FF"/>
              </w:rPr>
              <w:t>7</w:t>
            </w:r>
            <w:r w:rsidRPr="00B41E66">
              <w:rPr>
                <w:color w:val="0000FF"/>
              </w:rPr>
              <w:t xml:space="preserve"> (0.0</w:t>
            </w:r>
            <w:r w:rsidR="00971417" w:rsidRPr="00B41E66">
              <w:rPr>
                <w:color w:val="0000FF"/>
              </w:rPr>
              <w:t>2</w:t>
            </w:r>
            <w:r w:rsidRPr="00B41E66">
              <w:rPr>
                <w:color w:val="0000FF"/>
              </w:rPr>
              <w:t>)</w:t>
            </w:r>
          </w:p>
        </w:tc>
        <w:tc>
          <w:tcPr>
            <w:tcW w:w="1276" w:type="dxa"/>
            <w:gridSpan w:val="2"/>
            <w:tcBorders>
              <w:top w:val="nil"/>
              <w:left w:val="single" w:sz="12" w:space="0" w:color="auto"/>
              <w:bottom w:val="nil"/>
              <w:right w:val="nil"/>
            </w:tcBorders>
            <w:shd w:val="clear" w:color="auto" w:fill="auto"/>
            <w:noWrap/>
            <w:vAlign w:val="center"/>
            <w:hideMark/>
          </w:tcPr>
          <w:p w14:paraId="513A368F" w14:textId="3BF6EEBE" w:rsidR="001F6409" w:rsidRPr="00B41E66" w:rsidRDefault="001F6409" w:rsidP="001F5873">
            <w:pPr>
              <w:jc w:val="center"/>
              <w:rPr>
                <w:color w:val="0000FF"/>
              </w:rPr>
            </w:pPr>
            <w:r w:rsidRPr="00B41E66">
              <w:rPr>
                <w:color w:val="0000FF"/>
              </w:rPr>
              <w:t>-0.0</w:t>
            </w:r>
            <w:r w:rsidR="000D6FA1" w:rsidRPr="00B41E66">
              <w:rPr>
                <w:color w:val="0000FF"/>
              </w:rPr>
              <w:t>2</w:t>
            </w:r>
            <w:r w:rsidRPr="00B41E66">
              <w:rPr>
                <w:color w:val="0000FF"/>
              </w:rPr>
              <w:t xml:space="preserve"> (0.</w:t>
            </w:r>
            <w:r w:rsidR="000D6FA1" w:rsidRPr="00B41E66">
              <w:rPr>
                <w:color w:val="0000FF"/>
              </w:rPr>
              <w:t>91</w:t>
            </w:r>
            <w:r w:rsidRPr="00B41E66">
              <w:rPr>
                <w:color w:val="0000FF"/>
              </w:rPr>
              <w:t>)</w:t>
            </w:r>
          </w:p>
        </w:tc>
        <w:tc>
          <w:tcPr>
            <w:tcW w:w="1559" w:type="dxa"/>
            <w:tcBorders>
              <w:top w:val="nil"/>
              <w:left w:val="nil"/>
              <w:bottom w:val="nil"/>
              <w:right w:val="single" w:sz="12" w:space="0" w:color="auto"/>
            </w:tcBorders>
            <w:shd w:val="clear" w:color="auto" w:fill="auto"/>
            <w:noWrap/>
            <w:vAlign w:val="center"/>
            <w:hideMark/>
          </w:tcPr>
          <w:p w14:paraId="414BEA49" w14:textId="174711BD" w:rsidR="001F6409" w:rsidRPr="00B41E66" w:rsidRDefault="001F6409" w:rsidP="001F5873">
            <w:pPr>
              <w:jc w:val="center"/>
              <w:rPr>
                <w:color w:val="0000FF"/>
              </w:rPr>
            </w:pPr>
            <w:r w:rsidRPr="00B41E66">
              <w:rPr>
                <w:color w:val="0000FF"/>
              </w:rPr>
              <w:t>-0.0</w:t>
            </w:r>
            <w:r w:rsidR="00E77BD7" w:rsidRPr="00B41E66">
              <w:rPr>
                <w:color w:val="0000FF"/>
              </w:rPr>
              <w:t>3</w:t>
            </w:r>
            <w:r w:rsidRPr="00B41E66">
              <w:rPr>
                <w:color w:val="0000FF"/>
              </w:rPr>
              <w:t xml:space="preserve"> (0.</w:t>
            </w:r>
            <w:r w:rsidR="00E77BD7" w:rsidRPr="00B41E66">
              <w:rPr>
                <w:color w:val="0000FF"/>
              </w:rPr>
              <w:t>8</w:t>
            </w:r>
            <w:r w:rsidRPr="00B41E66">
              <w:rPr>
                <w:color w:val="0000FF"/>
              </w:rPr>
              <w:t>7)</w:t>
            </w:r>
          </w:p>
        </w:tc>
      </w:tr>
      <w:tr w:rsidR="008560E6" w:rsidRPr="00B41E66" w14:paraId="2795CEBA" w14:textId="77777777" w:rsidTr="001F5873">
        <w:trPr>
          <w:trHeight w:val="300"/>
        </w:trPr>
        <w:tc>
          <w:tcPr>
            <w:tcW w:w="1403" w:type="dxa"/>
            <w:tcBorders>
              <w:top w:val="nil"/>
              <w:left w:val="single" w:sz="12" w:space="0" w:color="auto"/>
              <w:bottom w:val="nil"/>
              <w:right w:val="nil"/>
            </w:tcBorders>
            <w:shd w:val="clear" w:color="auto" w:fill="auto"/>
            <w:noWrap/>
            <w:vAlign w:val="center"/>
            <w:hideMark/>
          </w:tcPr>
          <w:p w14:paraId="5F48EBEA" w14:textId="77777777" w:rsidR="001F6409" w:rsidRPr="00B41E66" w:rsidRDefault="001F6409" w:rsidP="001F5873">
            <w:pPr>
              <w:jc w:val="center"/>
              <w:rPr>
                <w:color w:val="0000FF"/>
              </w:rPr>
            </w:pPr>
            <w:r w:rsidRPr="00B41E66">
              <w:rPr>
                <w:color w:val="0000FF"/>
              </w:rPr>
              <w:t>Year 2015</w:t>
            </w:r>
          </w:p>
        </w:tc>
        <w:tc>
          <w:tcPr>
            <w:tcW w:w="1276" w:type="dxa"/>
            <w:tcBorders>
              <w:top w:val="nil"/>
              <w:left w:val="single" w:sz="12" w:space="0" w:color="auto"/>
              <w:bottom w:val="nil"/>
              <w:right w:val="nil"/>
            </w:tcBorders>
            <w:shd w:val="clear" w:color="auto" w:fill="auto"/>
            <w:noWrap/>
            <w:vAlign w:val="center"/>
            <w:hideMark/>
          </w:tcPr>
          <w:p w14:paraId="0B8F54B7" w14:textId="1C4CE259" w:rsidR="001F6409" w:rsidRPr="00B41E66" w:rsidRDefault="001F6409" w:rsidP="001F5873">
            <w:pPr>
              <w:jc w:val="center"/>
              <w:rPr>
                <w:color w:val="0000FF"/>
              </w:rPr>
            </w:pPr>
            <w:r w:rsidRPr="00B41E66">
              <w:rPr>
                <w:color w:val="0000FF"/>
              </w:rPr>
              <w:t>-</w:t>
            </w:r>
            <w:r w:rsidR="006765DC" w:rsidRPr="00B41E66">
              <w:rPr>
                <w:color w:val="0000FF"/>
              </w:rPr>
              <w:t>0</w:t>
            </w:r>
            <w:r w:rsidRPr="00B41E66">
              <w:rPr>
                <w:color w:val="0000FF"/>
              </w:rPr>
              <w:t>.</w:t>
            </w:r>
            <w:r w:rsidR="00470EFD" w:rsidRPr="00B41E66">
              <w:rPr>
                <w:color w:val="0000FF"/>
              </w:rPr>
              <w:t>6</w:t>
            </w:r>
            <w:r w:rsidR="005D35FB" w:rsidRPr="00B41E66">
              <w:rPr>
                <w:color w:val="0000FF"/>
              </w:rPr>
              <w:t>9</w:t>
            </w:r>
            <w:r w:rsidRPr="00B41E66">
              <w:rPr>
                <w:color w:val="0000FF"/>
              </w:rPr>
              <w:t xml:space="preserve"> (0.0</w:t>
            </w:r>
            <w:r w:rsidR="006765DC" w:rsidRPr="00B41E66">
              <w:rPr>
                <w:color w:val="0000FF"/>
              </w:rPr>
              <w:t>7</w:t>
            </w:r>
            <w:r w:rsidRPr="00B41E66">
              <w:rPr>
                <w:color w:val="0000FF"/>
              </w:rPr>
              <w:t>)</w:t>
            </w:r>
          </w:p>
        </w:tc>
        <w:tc>
          <w:tcPr>
            <w:tcW w:w="1275" w:type="dxa"/>
            <w:tcBorders>
              <w:top w:val="nil"/>
              <w:left w:val="nil"/>
              <w:bottom w:val="nil"/>
              <w:right w:val="single" w:sz="12" w:space="0" w:color="auto"/>
            </w:tcBorders>
            <w:shd w:val="clear" w:color="auto" w:fill="auto"/>
            <w:noWrap/>
            <w:vAlign w:val="center"/>
            <w:hideMark/>
          </w:tcPr>
          <w:p w14:paraId="14B1A8C1" w14:textId="43773F5C" w:rsidR="001F6409" w:rsidRPr="00B41E66" w:rsidRDefault="001F6409" w:rsidP="001F5873">
            <w:pPr>
              <w:jc w:val="center"/>
              <w:rPr>
                <w:color w:val="0000FF"/>
              </w:rPr>
            </w:pPr>
            <w:r w:rsidRPr="00B41E66">
              <w:rPr>
                <w:color w:val="0000FF"/>
              </w:rPr>
              <w:t>-</w:t>
            </w:r>
            <w:r w:rsidR="00470EFD" w:rsidRPr="00B41E66">
              <w:rPr>
                <w:color w:val="0000FF"/>
              </w:rPr>
              <w:t>0</w:t>
            </w:r>
            <w:r w:rsidRPr="00B41E66">
              <w:rPr>
                <w:color w:val="0000FF"/>
              </w:rPr>
              <w:t>.8</w:t>
            </w:r>
            <w:r w:rsidR="00470EFD" w:rsidRPr="00B41E66">
              <w:rPr>
                <w:color w:val="0000FF"/>
              </w:rPr>
              <w:t>4</w:t>
            </w:r>
            <w:r w:rsidRPr="00B41E66">
              <w:rPr>
                <w:color w:val="0000FF"/>
              </w:rPr>
              <w:t xml:space="preserve"> (0.0</w:t>
            </w:r>
            <w:r w:rsidR="00470EFD" w:rsidRPr="00B41E66">
              <w:rPr>
                <w:color w:val="0000FF"/>
              </w:rPr>
              <w:t>3</w:t>
            </w:r>
            <w:r w:rsidRPr="00B41E66">
              <w:rPr>
                <w:color w:val="0000FF"/>
              </w:rPr>
              <w:t>)</w:t>
            </w:r>
          </w:p>
        </w:tc>
        <w:tc>
          <w:tcPr>
            <w:tcW w:w="1276" w:type="dxa"/>
            <w:tcBorders>
              <w:top w:val="nil"/>
              <w:left w:val="nil"/>
              <w:bottom w:val="nil"/>
              <w:right w:val="nil"/>
            </w:tcBorders>
            <w:shd w:val="clear" w:color="auto" w:fill="auto"/>
            <w:noWrap/>
            <w:vAlign w:val="center"/>
            <w:hideMark/>
          </w:tcPr>
          <w:p w14:paraId="7EA3B765" w14:textId="7322B931" w:rsidR="001F6409" w:rsidRPr="00B41E66" w:rsidRDefault="005D35FB" w:rsidP="001F5873">
            <w:pPr>
              <w:jc w:val="center"/>
              <w:rPr>
                <w:color w:val="0000FF"/>
              </w:rPr>
            </w:pPr>
            <w:r w:rsidRPr="00B41E66">
              <w:rPr>
                <w:color w:val="0000FF"/>
              </w:rPr>
              <w:t>-</w:t>
            </w:r>
            <w:r w:rsidR="001F6409" w:rsidRPr="00B41E66">
              <w:rPr>
                <w:color w:val="0000FF"/>
              </w:rPr>
              <w:t>0.0</w:t>
            </w:r>
            <w:r w:rsidRPr="00B41E66">
              <w:rPr>
                <w:color w:val="0000FF"/>
              </w:rPr>
              <w:t>4</w:t>
            </w:r>
            <w:r w:rsidR="001F6409" w:rsidRPr="00B41E66">
              <w:rPr>
                <w:color w:val="0000FF"/>
              </w:rPr>
              <w:t xml:space="preserve"> (0.</w:t>
            </w:r>
            <w:r w:rsidRPr="00B41E66">
              <w:rPr>
                <w:color w:val="0000FF"/>
              </w:rPr>
              <w:t>82</w:t>
            </w:r>
            <w:r w:rsidR="001F6409" w:rsidRPr="00B41E66">
              <w:rPr>
                <w:color w:val="0000FF"/>
              </w:rPr>
              <w:t>)</w:t>
            </w:r>
          </w:p>
        </w:tc>
        <w:tc>
          <w:tcPr>
            <w:tcW w:w="1276" w:type="dxa"/>
            <w:tcBorders>
              <w:top w:val="nil"/>
              <w:left w:val="nil"/>
              <w:bottom w:val="nil"/>
              <w:right w:val="nil"/>
            </w:tcBorders>
            <w:shd w:val="clear" w:color="auto" w:fill="auto"/>
            <w:noWrap/>
            <w:vAlign w:val="bottom"/>
            <w:hideMark/>
          </w:tcPr>
          <w:p w14:paraId="69BFA23D" w14:textId="4B797D57" w:rsidR="001F6409" w:rsidRPr="00B41E66" w:rsidRDefault="001F6409" w:rsidP="001F5873">
            <w:pPr>
              <w:jc w:val="center"/>
              <w:rPr>
                <w:color w:val="0000FF"/>
              </w:rPr>
            </w:pPr>
            <w:r w:rsidRPr="00B41E66">
              <w:rPr>
                <w:color w:val="0000FF"/>
              </w:rPr>
              <w:t>-0.</w:t>
            </w:r>
            <w:r w:rsidR="00971417" w:rsidRPr="00B41E66">
              <w:rPr>
                <w:color w:val="0000FF"/>
              </w:rPr>
              <w:t>16</w:t>
            </w:r>
            <w:r w:rsidRPr="00B41E66">
              <w:rPr>
                <w:color w:val="0000FF"/>
              </w:rPr>
              <w:t xml:space="preserve"> (0.</w:t>
            </w:r>
            <w:r w:rsidR="00971417" w:rsidRPr="00B41E66">
              <w:rPr>
                <w:color w:val="0000FF"/>
              </w:rPr>
              <w:t>34</w:t>
            </w:r>
            <w:r w:rsidRPr="00B41E66">
              <w:rPr>
                <w:color w:val="0000FF"/>
              </w:rPr>
              <w:t>)</w:t>
            </w:r>
          </w:p>
        </w:tc>
        <w:tc>
          <w:tcPr>
            <w:tcW w:w="1276" w:type="dxa"/>
            <w:gridSpan w:val="2"/>
            <w:tcBorders>
              <w:top w:val="nil"/>
              <w:left w:val="single" w:sz="12" w:space="0" w:color="auto"/>
              <w:bottom w:val="nil"/>
              <w:right w:val="nil"/>
            </w:tcBorders>
            <w:shd w:val="clear" w:color="auto" w:fill="auto"/>
            <w:noWrap/>
            <w:vAlign w:val="center"/>
            <w:hideMark/>
          </w:tcPr>
          <w:p w14:paraId="77BFE46F" w14:textId="77777777" w:rsidR="001F6409" w:rsidRPr="00B41E66" w:rsidRDefault="001F6409" w:rsidP="001F5873">
            <w:pPr>
              <w:jc w:val="center"/>
              <w:rPr>
                <w:color w:val="0000FF"/>
              </w:rPr>
            </w:pPr>
          </w:p>
        </w:tc>
        <w:tc>
          <w:tcPr>
            <w:tcW w:w="1559" w:type="dxa"/>
            <w:tcBorders>
              <w:top w:val="nil"/>
              <w:left w:val="nil"/>
              <w:bottom w:val="nil"/>
              <w:right w:val="single" w:sz="12" w:space="0" w:color="auto"/>
            </w:tcBorders>
            <w:shd w:val="clear" w:color="auto" w:fill="auto"/>
            <w:noWrap/>
            <w:vAlign w:val="center"/>
            <w:hideMark/>
          </w:tcPr>
          <w:p w14:paraId="17AB7435" w14:textId="77777777" w:rsidR="001F6409" w:rsidRPr="00B41E66" w:rsidRDefault="001F6409" w:rsidP="001F5873">
            <w:pPr>
              <w:jc w:val="center"/>
              <w:rPr>
                <w:color w:val="0000FF"/>
              </w:rPr>
            </w:pPr>
          </w:p>
        </w:tc>
      </w:tr>
      <w:tr w:rsidR="008560E6" w:rsidRPr="00B41E66" w14:paraId="3FA699DC" w14:textId="77777777" w:rsidTr="001F5873">
        <w:trPr>
          <w:trHeight w:val="300"/>
        </w:trPr>
        <w:tc>
          <w:tcPr>
            <w:tcW w:w="1403" w:type="dxa"/>
            <w:tcBorders>
              <w:top w:val="nil"/>
              <w:left w:val="single" w:sz="12" w:space="0" w:color="auto"/>
              <w:bottom w:val="nil"/>
              <w:right w:val="nil"/>
            </w:tcBorders>
            <w:shd w:val="clear" w:color="auto" w:fill="auto"/>
            <w:noWrap/>
            <w:vAlign w:val="center"/>
            <w:hideMark/>
          </w:tcPr>
          <w:p w14:paraId="39287543" w14:textId="77777777" w:rsidR="001F6409" w:rsidRPr="00B41E66" w:rsidRDefault="001F6409" w:rsidP="001F5873">
            <w:pPr>
              <w:jc w:val="center"/>
              <w:rPr>
                <w:color w:val="0000FF"/>
              </w:rPr>
            </w:pPr>
            <w:r w:rsidRPr="00B41E66">
              <w:rPr>
                <w:color w:val="0000FF"/>
              </w:rPr>
              <w:t>Year 2016</w:t>
            </w:r>
          </w:p>
        </w:tc>
        <w:tc>
          <w:tcPr>
            <w:tcW w:w="1276" w:type="dxa"/>
            <w:tcBorders>
              <w:top w:val="nil"/>
              <w:left w:val="single" w:sz="12" w:space="0" w:color="auto"/>
              <w:bottom w:val="nil"/>
              <w:right w:val="nil"/>
            </w:tcBorders>
            <w:shd w:val="clear" w:color="auto" w:fill="auto"/>
            <w:noWrap/>
            <w:vAlign w:val="center"/>
            <w:hideMark/>
          </w:tcPr>
          <w:p w14:paraId="60274DF3" w14:textId="415C5C05" w:rsidR="001F6409" w:rsidRPr="00B41E66" w:rsidRDefault="001F6409" w:rsidP="001F5873">
            <w:pPr>
              <w:jc w:val="center"/>
              <w:rPr>
                <w:color w:val="0000FF"/>
              </w:rPr>
            </w:pPr>
            <w:r w:rsidRPr="00B41E66">
              <w:rPr>
                <w:color w:val="0000FF"/>
              </w:rPr>
              <w:t>-</w:t>
            </w:r>
            <w:r w:rsidR="00470EFD" w:rsidRPr="00B41E66">
              <w:rPr>
                <w:color w:val="0000FF"/>
              </w:rPr>
              <w:t>0</w:t>
            </w:r>
            <w:r w:rsidRPr="00B41E66">
              <w:rPr>
                <w:color w:val="0000FF"/>
              </w:rPr>
              <w:t>.</w:t>
            </w:r>
            <w:r w:rsidR="00470EFD" w:rsidRPr="00B41E66">
              <w:rPr>
                <w:color w:val="0000FF"/>
              </w:rPr>
              <w:t>3</w:t>
            </w:r>
            <w:r w:rsidRPr="00B41E66">
              <w:rPr>
                <w:color w:val="0000FF"/>
              </w:rPr>
              <w:t>6 (0.</w:t>
            </w:r>
            <w:r w:rsidR="00470EFD" w:rsidRPr="00B41E66">
              <w:rPr>
                <w:color w:val="0000FF"/>
              </w:rPr>
              <w:t>35</w:t>
            </w:r>
            <w:r w:rsidRPr="00B41E66">
              <w:rPr>
                <w:color w:val="0000FF"/>
              </w:rPr>
              <w:t>)</w:t>
            </w:r>
          </w:p>
        </w:tc>
        <w:tc>
          <w:tcPr>
            <w:tcW w:w="1275" w:type="dxa"/>
            <w:tcBorders>
              <w:top w:val="nil"/>
              <w:left w:val="nil"/>
              <w:bottom w:val="nil"/>
              <w:right w:val="single" w:sz="12" w:space="0" w:color="auto"/>
            </w:tcBorders>
            <w:shd w:val="clear" w:color="auto" w:fill="auto"/>
            <w:noWrap/>
            <w:vAlign w:val="center"/>
            <w:hideMark/>
          </w:tcPr>
          <w:p w14:paraId="5EE64F79" w14:textId="1F18E904" w:rsidR="001F6409" w:rsidRPr="00B41E66" w:rsidRDefault="001F6409" w:rsidP="001F5873">
            <w:pPr>
              <w:jc w:val="center"/>
              <w:rPr>
                <w:color w:val="0000FF"/>
              </w:rPr>
            </w:pPr>
            <w:r w:rsidRPr="00B41E66">
              <w:rPr>
                <w:color w:val="0000FF"/>
              </w:rPr>
              <w:t>-</w:t>
            </w:r>
            <w:r w:rsidR="00470EFD" w:rsidRPr="00B41E66">
              <w:rPr>
                <w:color w:val="0000FF"/>
              </w:rPr>
              <w:t>0</w:t>
            </w:r>
            <w:r w:rsidRPr="00B41E66">
              <w:rPr>
                <w:color w:val="0000FF"/>
              </w:rPr>
              <w:t>.</w:t>
            </w:r>
            <w:r w:rsidR="00470EFD" w:rsidRPr="00B41E66">
              <w:rPr>
                <w:color w:val="0000FF"/>
              </w:rPr>
              <w:t>54</w:t>
            </w:r>
            <w:r w:rsidRPr="00B41E66">
              <w:rPr>
                <w:color w:val="0000FF"/>
              </w:rPr>
              <w:t xml:space="preserve"> (0.</w:t>
            </w:r>
            <w:r w:rsidR="00470EFD" w:rsidRPr="00B41E66">
              <w:rPr>
                <w:color w:val="0000FF"/>
              </w:rPr>
              <w:t>18</w:t>
            </w:r>
            <w:r w:rsidRPr="00B41E66">
              <w:rPr>
                <w:color w:val="0000FF"/>
              </w:rPr>
              <w:t>)</w:t>
            </w:r>
          </w:p>
        </w:tc>
        <w:tc>
          <w:tcPr>
            <w:tcW w:w="1276" w:type="dxa"/>
            <w:tcBorders>
              <w:top w:val="nil"/>
              <w:left w:val="nil"/>
              <w:bottom w:val="nil"/>
              <w:right w:val="nil"/>
            </w:tcBorders>
            <w:shd w:val="clear" w:color="auto" w:fill="auto"/>
            <w:noWrap/>
            <w:vAlign w:val="bottom"/>
            <w:hideMark/>
          </w:tcPr>
          <w:p w14:paraId="4483B9E3" w14:textId="77777777" w:rsidR="001F6409" w:rsidRPr="00B41E66" w:rsidRDefault="001F6409" w:rsidP="001F5873">
            <w:pPr>
              <w:jc w:val="center"/>
              <w:rPr>
                <w:color w:val="0000FF"/>
              </w:rPr>
            </w:pPr>
          </w:p>
        </w:tc>
        <w:tc>
          <w:tcPr>
            <w:tcW w:w="1276" w:type="dxa"/>
            <w:tcBorders>
              <w:top w:val="nil"/>
              <w:left w:val="nil"/>
              <w:bottom w:val="nil"/>
              <w:right w:val="nil"/>
            </w:tcBorders>
            <w:shd w:val="clear" w:color="auto" w:fill="auto"/>
            <w:noWrap/>
            <w:vAlign w:val="bottom"/>
            <w:hideMark/>
          </w:tcPr>
          <w:p w14:paraId="0C7F06A5" w14:textId="77777777" w:rsidR="001F6409" w:rsidRPr="00B41E66" w:rsidRDefault="001F6409" w:rsidP="001F5873">
            <w:pPr>
              <w:jc w:val="center"/>
              <w:rPr>
                <w:color w:val="0000FF"/>
              </w:rPr>
            </w:pPr>
          </w:p>
        </w:tc>
        <w:tc>
          <w:tcPr>
            <w:tcW w:w="1276" w:type="dxa"/>
            <w:gridSpan w:val="2"/>
            <w:tcBorders>
              <w:top w:val="nil"/>
              <w:left w:val="single" w:sz="12" w:space="0" w:color="auto"/>
              <w:bottom w:val="nil"/>
              <w:right w:val="nil"/>
            </w:tcBorders>
            <w:shd w:val="clear" w:color="auto" w:fill="auto"/>
            <w:noWrap/>
            <w:vAlign w:val="center"/>
            <w:hideMark/>
          </w:tcPr>
          <w:p w14:paraId="002E9EDE" w14:textId="77777777" w:rsidR="001F6409" w:rsidRPr="00B41E66" w:rsidRDefault="001F6409" w:rsidP="001F5873">
            <w:pPr>
              <w:jc w:val="center"/>
              <w:rPr>
                <w:color w:val="0000FF"/>
              </w:rPr>
            </w:pPr>
          </w:p>
        </w:tc>
        <w:tc>
          <w:tcPr>
            <w:tcW w:w="1559" w:type="dxa"/>
            <w:tcBorders>
              <w:top w:val="nil"/>
              <w:left w:val="nil"/>
              <w:bottom w:val="nil"/>
              <w:right w:val="single" w:sz="12" w:space="0" w:color="auto"/>
            </w:tcBorders>
            <w:shd w:val="clear" w:color="auto" w:fill="auto"/>
            <w:noWrap/>
            <w:vAlign w:val="center"/>
            <w:hideMark/>
          </w:tcPr>
          <w:p w14:paraId="17916399" w14:textId="77777777" w:rsidR="001F6409" w:rsidRPr="00B41E66" w:rsidRDefault="001F6409" w:rsidP="001F5873">
            <w:pPr>
              <w:jc w:val="center"/>
              <w:rPr>
                <w:color w:val="0000FF"/>
              </w:rPr>
            </w:pPr>
          </w:p>
        </w:tc>
      </w:tr>
      <w:tr w:rsidR="008560E6" w:rsidRPr="00B41E66" w14:paraId="059914F1" w14:textId="77777777" w:rsidTr="001F5873">
        <w:trPr>
          <w:trHeight w:val="300"/>
        </w:trPr>
        <w:tc>
          <w:tcPr>
            <w:tcW w:w="1403" w:type="dxa"/>
            <w:tcBorders>
              <w:top w:val="nil"/>
              <w:left w:val="single" w:sz="12" w:space="0" w:color="auto"/>
              <w:bottom w:val="nil"/>
              <w:right w:val="nil"/>
            </w:tcBorders>
            <w:shd w:val="clear" w:color="auto" w:fill="auto"/>
            <w:noWrap/>
            <w:vAlign w:val="center"/>
            <w:hideMark/>
          </w:tcPr>
          <w:p w14:paraId="75695462" w14:textId="534BCAA8" w:rsidR="001F6409" w:rsidRPr="00B41E66" w:rsidRDefault="001F6409" w:rsidP="001F5873">
            <w:pPr>
              <w:jc w:val="center"/>
              <w:rPr>
                <w:color w:val="0000FF"/>
              </w:rPr>
            </w:pPr>
            <w:r w:rsidRPr="00B41E66">
              <w:rPr>
                <w:color w:val="0000FF"/>
              </w:rPr>
              <w:t>Beta</w:t>
            </w:r>
            <w:r w:rsidR="007C44B2" w:rsidRPr="00B41E66">
              <w:rPr>
                <w:color w:val="0000FF"/>
              </w:rPr>
              <w:t>_sector</w:t>
            </w:r>
          </w:p>
        </w:tc>
        <w:tc>
          <w:tcPr>
            <w:tcW w:w="1276" w:type="dxa"/>
            <w:tcBorders>
              <w:top w:val="nil"/>
              <w:left w:val="single" w:sz="12" w:space="0" w:color="auto"/>
              <w:bottom w:val="nil"/>
              <w:right w:val="nil"/>
            </w:tcBorders>
            <w:shd w:val="clear" w:color="auto" w:fill="auto"/>
            <w:noWrap/>
            <w:vAlign w:val="center"/>
            <w:hideMark/>
          </w:tcPr>
          <w:p w14:paraId="64D7203F" w14:textId="168CC5D9" w:rsidR="001F6409" w:rsidRPr="00B41E66" w:rsidRDefault="001F6409" w:rsidP="001F5873">
            <w:pPr>
              <w:jc w:val="center"/>
              <w:rPr>
                <w:color w:val="0000FF"/>
              </w:rPr>
            </w:pPr>
            <w:r w:rsidRPr="00B41E66">
              <w:rPr>
                <w:color w:val="0000FF"/>
              </w:rPr>
              <w:t>-0.1</w:t>
            </w:r>
            <w:r w:rsidR="006765DC" w:rsidRPr="00B41E66">
              <w:rPr>
                <w:color w:val="0000FF"/>
              </w:rPr>
              <w:t>9</w:t>
            </w:r>
            <w:r w:rsidRPr="00B41E66">
              <w:rPr>
                <w:color w:val="0000FF"/>
              </w:rPr>
              <w:t xml:space="preserve"> (0.0</w:t>
            </w:r>
            <w:r w:rsidR="006765DC" w:rsidRPr="00B41E66">
              <w:rPr>
                <w:color w:val="0000FF"/>
              </w:rPr>
              <w:t>0</w:t>
            </w:r>
            <w:r w:rsidRPr="00B41E66">
              <w:rPr>
                <w:color w:val="0000FF"/>
              </w:rPr>
              <w:t>)</w:t>
            </w:r>
          </w:p>
        </w:tc>
        <w:tc>
          <w:tcPr>
            <w:tcW w:w="1275" w:type="dxa"/>
            <w:tcBorders>
              <w:top w:val="nil"/>
              <w:left w:val="nil"/>
              <w:bottom w:val="nil"/>
              <w:right w:val="single" w:sz="12" w:space="0" w:color="auto"/>
            </w:tcBorders>
            <w:shd w:val="clear" w:color="auto" w:fill="auto"/>
            <w:noWrap/>
            <w:vAlign w:val="center"/>
            <w:hideMark/>
          </w:tcPr>
          <w:p w14:paraId="2BFCF96A" w14:textId="550E76E2" w:rsidR="001F6409" w:rsidRPr="00B41E66" w:rsidRDefault="001F6409" w:rsidP="001F5873">
            <w:pPr>
              <w:jc w:val="center"/>
              <w:rPr>
                <w:color w:val="0000FF"/>
              </w:rPr>
            </w:pPr>
            <w:r w:rsidRPr="00B41E66">
              <w:rPr>
                <w:color w:val="0000FF"/>
              </w:rPr>
              <w:t>-0.1</w:t>
            </w:r>
            <w:r w:rsidR="00470EFD" w:rsidRPr="00B41E66">
              <w:rPr>
                <w:color w:val="0000FF"/>
              </w:rPr>
              <w:t>9</w:t>
            </w:r>
            <w:r w:rsidRPr="00B41E66">
              <w:rPr>
                <w:color w:val="0000FF"/>
              </w:rPr>
              <w:t xml:space="preserve"> (0.0</w:t>
            </w:r>
            <w:r w:rsidR="005D35FB" w:rsidRPr="00B41E66">
              <w:rPr>
                <w:color w:val="0000FF"/>
              </w:rPr>
              <w:t>0</w:t>
            </w:r>
            <w:r w:rsidRPr="00B41E66">
              <w:rPr>
                <w:color w:val="0000FF"/>
              </w:rPr>
              <w:t>)</w:t>
            </w:r>
          </w:p>
        </w:tc>
        <w:tc>
          <w:tcPr>
            <w:tcW w:w="1276" w:type="dxa"/>
            <w:tcBorders>
              <w:top w:val="nil"/>
              <w:left w:val="nil"/>
              <w:bottom w:val="nil"/>
              <w:right w:val="nil"/>
            </w:tcBorders>
            <w:shd w:val="clear" w:color="auto" w:fill="auto"/>
            <w:noWrap/>
            <w:vAlign w:val="center"/>
            <w:hideMark/>
          </w:tcPr>
          <w:p w14:paraId="22F919E5" w14:textId="2AC16B6A" w:rsidR="001F6409" w:rsidRPr="00B41E66" w:rsidRDefault="005D35FB" w:rsidP="001F5873">
            <w:pPr>
              <w:jc w:val="center"/>
              <w:rPr>
                <w:color w:val="0000FF"/>
              </w:rPr>
            </w:pPr>
            <w:r w:rsidRPr="00B41E66">
              <w:rPr>
                <w:color w:val="0000FF"/>
              </w:rPr>
              <w:t>-</w:t>
            </w:r>
            <w:r w:rsidR="001F6409" w:rsidRPr="00B41E66">
              <w:rPr>
                <w:color w:val="0000FF"/>
              </w:rPr>
              <w:t>0.0</w:t>
            </w:r>
            <w:r w:rsidRPr="00B41E66">
              <w:rPr>
                <w:color w:val="0000FF"/>
              </w:rPr>
              <w:t>3</w:t>
            </w:r>
            <w:r w:rsidR="001F6409" w:rsidRPr="00B41E66">
              <w:rPr>
                <w:color w:val="0000FF"/>
              </w:rPr>
              <w:t xml:space="preserve"> (0.</w:t>
            </w:r>
            <w:r w:rsidRPr="00B41E66">
              <w:rPr>
                <w:color w:val="0000FF"/>
              </w:rPr>
              <w:t>78</w:t>
            </w:r>
            <w:r w:rsidR="001F6409" w:rsidRPr="00B41E66">
              <w:rPr>
                <w:color w:val="0000FF"/>
              </w:rPr>
              <w:t>)</w:t>
            </w:r>
          </w:p>
        </w:tc>
        <w:tc>
          <w:tcPr>
            <w:tcW w:w="1276" w:type="dxa"/>
            <w:tcBorders>
              <w:top w:val="nil"/>
              <w:left w:val="nil"/>
              <w:bottom w:val="nil"/>
              <w:right w:val="nil"/>
            </w:tcBorders>
            <w:shd w:val="clear" w:color="auto" w:fill="auto"/>
            <w:noWrap/>
            <w:vAlign w:val="bottom"/>
            <w:hideMark/>
          </w:tcPr>
          <w:p w14:paraId="49633D7C" w14:textId="48342B26" w:rsidR="001F6409" w:rsidRPr="00B41E66" w:rsidRDefault="001F6409" w:rsidP="001F5873">
            <w:pPr>
              <w:jc w:val="center"/>
              <w:rPr>
                <w:color w:val="0000FF"/>
              </w:rPr>
            </w:pPr>
            <w:r w:rsidRPr="00B41E66">
              <w:rPr>
                <w:color w:val="0000FF"/>
              </w:rPr>
              <w:t>0.0</w:t>
            </w:r>
            <w:r w:rsidR="00971417" w:rsidRPr="00B41E66">
              <w:rPr>
                <w:color w:val="0000FF"/>
              </w:rPr>
              <w:t>7</w:t>
            </w:r>
            <w:r w:rsidRPr="00B41E66">
              <w:rPr>
                <w:color w:val="0000FF"/>
              </w:rPr>
              <w:t xml:space="preserve"> (0.</w:t>
            </w:r>
            <w:r w:rsidR="00971417" w:rsidRPr="00B41E66">
              <w:rPr>
                <w:color w:val="0000FF"/>
              </w:rPr>
              <w:t>49</w:t>
            </w:r>
            <w:r w:rsidRPr="00B41E66">
              <w:rPr>
                <w:color w:val="0000FF"/>
              </w:rPr>
              <w:t>)</w:t>
            </w:r>
          </w:p>
        </w:tc>
        <w:tc>
          <w:tcPr>
            <w:tcW w:w="1276" w:type="dxa"/>
            <w:gridSpan w:val="2"/>
            <w:tcBorders>
              <w:top w:val="nil"/>
              <w:left w:val="single" w:sz="12" w:space="0" w:color="auto"/>
              <w:bottom w:val="nil"/>
              <w:right w:val="nil"/>
            </w:tcBorders>
            <w:shd w:val="clear" w:color="auto" w:fill="auto"/>
            <w:noWrap/>
            <w:vAlign w:val="center"/>
            <w:hideMark/>
          </w:tcPr>
          <w:p w14:paraId="7F3A88F9" w14:textId="7BDF780A" w:rsidR="001F6409" w:rsidRPr="00B41E66" w:rsidRDefault="000D6FA1" w:rsidP="001F5873">
            <w:pPr>
              <w:jc w:val="center"/>
              <w:rPr>
                <w:color w:val="0000FF"/>
              </w:rPr>
            </w:pPr>
            <w:r w:rsidRPr="00B41E66">
              <w:rPr>
                <w:color w:val="0000FF"/>
              </w:rPr>
              <w:t>-</w:t>
            </w:r>
            <w:r w:rsidR="001F6409" w:rsidRPr="00B41E66">
              <w:rPr>
                <w:color w:val="0000FF"/>
              </w:rPr>
              <w:t>0.0</w:t>
            </w:r>
            <w:r w:rsidRPr="00B41E66">
              <w:rPr>
                <w:color w:val="0000FF"/>
              </w:rPr>
              <w:t>8</w:t>
            </w:r>
            <w:r w:rsidR="001F6409" w:rsidRPr="00B41E66">
              <w:rPr>
                <w:color w:val="0000FF"/>
              </w:rPr>
              <w:t xml:space="preserve"> (0.</w:t>
            </w:r>
            <w:r w:rsidRPr="00B41E66">
              <w:rPr>
                <w:color w:val="0000FF"/>
              </w:rPr>
              <w:t>52</w:t>
            </w:r>
            <w:r w:rsidR="001F6409" w:rsidRPr="00B41E66">
              <w:rPr>
                <w:color w:val="0000FF"/>
              </w:rPr>
              <w:t>)</w:t>
            </w:r>
          </w:p>
        </w:tc>
        <w:tc>
          <w:tcPr>
            <w:tcW w:w="1559" w:type="dxa"/>
            <w:tcBorders>
              <w:top w:val="nil"/>
              <w:left w:val="nil"/>
              <w:bottom w:val="nil"/>
              <w:right w:val="single" w:sz="12" w:space="0" w:color="auto"/>
            </w:tcBorders>
            <w:shd w:val="clear" w:color="auto" w:fill="auto"/>
            <w:noWrap/>
            <w:vAlign w:val="center"/>
            <w:hideMark/>
          </w:tcPr>
          <w:p w14:paraId="03A5AAE0" w14:textId="3D74E027" w:rsidR="001F6409" w:rsidRPr="00B41E66" w:rsidRDefault="00E77BD7" w:rsidP="001F5873">
            <w:pPr>
              <w:jc w:val="center"/>
              <w:rPr>
                <w:color w:val="0000FF"/>
              </w:rPr>
            </w:pPr>
            <w:r w:rsidRPr="00B41E66">
              <w:rPr>
                <w:color w:val="0000FF"/>
              </w:rPr>
              <w:t>-</w:t>
            </w:r>
            <w:r w:rsidR="001F6409" w:rsidRPr="00B41E66">
              <w:rPr>
                <w:color w:val="0000FF"/>
              </w:rPr>
              <w:t>0.0</w:t>
            </w:r>
            <w:r w:rsidRPr="00B41E66">
              <w:rPr>
                <w:color w:val="0000FF"/>
              </w:rPr>
              <w:t>8</w:t>
            </w:r>
            <w:r w:rsidR="001F6409" w:rsidRPr="00B41E66">
              <w:rPr>
                <w:color w:val="0000FF"/>
              </w:rPr>
              <w:t xml:space="preserve"> (0.</w:t>
            </w:r>
            <w:r w:rsidRPr="00B41E66">
              <w:rPr>
                <w:color w:val="0000FF"/>
              </w:rPr>
              <w:t>54</w:t>
            </w:r>
            <w:r w:rsidR="001F6409" w:rsidRPr="00B41E66">
              <w:rPr>
                <w:color w:val="0000FF"/>
              </w:rPr>
              <w:t>)</w:t>
            </w:r>
          </w:p>
        </w:tc>
      </w:tr>
      <w:tr w:rsidR="008560E6" w:rsidRPr="00B41E66" w14:paraId="3D12C585" w14:textId="77777777" w:rsidTr="001F5873">
        <w:trPr>
          <w:trHeight w:val="300"/>
        </w:trPr>
        <w:tc>
          <w:tcPr>
            <w:tcW w:w="1403" w:type="dxa"/>
            <w:tcBorders>
              <w:top w:val="nil"/>
              <w:left w:val="single" w:sz="12" w:space="0" w:color="auto"/>
              <w:bottom w:val="nil"/>
              <w:right w:val="nil"/>
            </w:tcBorders>
            <w:shd w:val="clear" w:color="auto" w:fill="auto"/>
            <w:vAlign w:val="center"/>
            <w:hideMark/>
          </w:tcPr>
          <w:p w14:paraId="5CC5128D" w14:textId="77777777" w:rsidR="001F6409" w:rsidRPr="00B41E66" w:rsidRDefault="001F6409" w:rsidP="001F5873">
            <w:pPr>
              <w:jc w:val="center"/>
              <w:rPr>
                <w:color w:val="0000FF"/>
              </w:rPr>
            </w:pPr>
            <w:r w:rsidRPr="00B41E66">
              <w:rPr>
                <w:color w:val="0000FF"/>
              </w:rPr>
              <w:t>NMV</w:t>
            </w:r>
          </w:p>
        </w:tc>
        <w:tc>
          <w:tcPr>
            <w:tcW w:w="1276" w:type="dxa"/>
            <w:tcBorders>
              <w:top w:val="nil"/>
              <w:left w:val="single" w:sz="12" w:space="0" w:color="auto"/>
              <w:bottom w:val="nil"/>
              <w:right w:val="nil"/>
            </w:tcBorders>
            <w:shd w:val="clear" w:color="auto" w:fill="auto"/>
            <w:noWrap/>
            <w:vAlign w:val="center"/>
            <w:hideMark/>
          </w:tcPr>
          <w:p w14:paraId="0F65A37C" w14:textId="7EDC82EE" w:rsidR="001F6409" w:rsidRPr="00B41E66" w:rsidRDefault="001F6409" w:rsidP="001F5873">
            <w:pPr>
              <w:jc w:val="center"/>
              <w:rPr>
                <w:color w:val="0000FF"/>
              </w:rPr>
            </w:pPr>
            <w:r w:rsidRPr="00B41E66">
              <w:rPr>
                <w:color w:val="0000FF"/>
              </w:rPr>
              <w:t>0.</w:t>
            </w:r>
            <w:r w:rsidR="006765DC" w:rsidRPr="00B41E66">
              <w:rPr>
                <w:color w:val="0000FF"/>
              </w:rPr>
              <w:t>18</w:t>
            </w:r>
            <w:r w:rsidRPr="00B41E66">
              <w:rPr>
                <w:color w:val="0000FF"/>
              </w:rPr>
              <w:t xml:space="preserve"> (0.00)</w:t>
            </w:r>
          </w:p>
        </w:tc>
        <w:tc>
          <w:tcPr>
            <w:tcW w:w="1275" w:type="dxa"/>
            <w:tcBorders>
              <w:top w:val="nil"/>
              <w:left w:val="nil"/>
              <w:bottom w:val="nil"/>
              <w:right w:val="single" w:sz="12" w:space="0" w:color="auto"/>
            </w:tcBorders>
            <w:shd w:val="clear" w:color="auto" w:fill="auto"/>
            <w:noWrap/>
            <w:vAlign w:val="center"/>
            <w:hideMark/>
          </w:tcPr>
          <w:p w14:paraId="493D93FA" w14:textId="77777777" w:rsidR="001F6409" w:rsidRPr="00B41E66" w:rsidRDefault="001F6409" w:rsidP="001F5873">
            <w:pPr>
              <w:jc w:val="center"/>
              <w:rPr>
                <w:color w:val="0000FF"/>
              </w:rPr>
            </w:pPr>
          </w:p>
        </w:tc>
        <w:tc>
          <w:tcPr>
            <w:tcW w:w="1276" w:type="dxa"/>
            <w:tcBorders>
              <w:top w:val="nil"/>
              <w:left w:val="nil"/>
              <w:bottom w:val="nil"/>
              <w:right w:val="nil"/>
            </w:tcBorders>
            <w:shd w:val="clear" w:color="auto" w:fill="auto"/>
            <w:noWrap/>
            <w:vAlign w:val="center"/>
            <w:hideMark/>
          </w:tcPr>
          <w:p w14:paraId="5A62C60B" w14:textId="048A6603" w:rsidR="001F6409" w:rsidRPr="00B41E66" w:rsidRDefault="001F6409" w:rsidP="001F5873">
            <w:pPr>
              <w:jc w:val="center"/>
              <w:rPr>
                <w:color w:val="0000FF"/>
              </w:rPr>
            </w:pPr>
            <w:r w:rsidRPr="00B41E66">
              <w:rPr>
                <w:color w:val="0000FF"/>
              </w:rPr>
              <w:t>0.2</w:t>
            </w:r>
            <w:r w:rsidR="005D35FB" w:rsidRPr="00B41E66">
              <w:rPr>
                <w:color w:val="0000FF"/>
              </w:rPr>
              <w:t>5</w:t>
            </w:r>
            <w:r w:rsidRPr="00B41E66">
              <w:rPr>
                <w:color w:val="0000FF"/>
              </w:rPr>
              <w:t xml:space="preserve"> (0.00)</w:t>
            </w:r>
          </w:p>
        </w:tc>
        <w:tc>
          <w:tcPr>
            <w:tcW w:w="1276" w:type="dxa"/>
            <w:tcBorders>
              <w:top w:val="nil"/>
              <w:left w:val="nil"/>
              <w:bottom w:val="nil"/>
              <w:right w:val="nil"/>
            </w:tcBorders>
            <w:shd w:val="clear" w:color="auto" w:fill="auto"/>
            <w:noWrap/>
            <w:vAlign w:val="center"/>
            <w:hideMark/>
          </w:tcPr>
          <w:p w14:paraId="1A54873D" w14:textId="77777777" w:rsidR="001F6409" w:rsidRPr="00B41E66" w:rsidRDefault="001F6409" w:rsidP="001F5873">
            <w:pPr>
              <w:jc w:val="center"/>
              <w:rPr>
                <w:color w:val="0000FF"/>
              </w:rPr>
            </w:pPr>
          </w:p>
        </w:tc>
        <w:tc>
          <w:tcPr>
            <w:tcW w:w="1276" w:type="dxa"/>
            <w:gridSpan w:val="2"/>
            <w:tcBorders>
              <w:top w:val="nil"/>
              <w:left w:val="single" w:sz="12" w:space="0" w:color="auto"/>
              <w:bottom w:val="nil"/>
              <w:right w:val="nil"/>
            </w:tcBorders>
            <w:shd w:val="clear" w:color="auto" w:fill="auto"/>
            <w:noWrap/>
            <w:vAlign w:val="center"/>
            <w:hideMark/>
          </w:tcPr>
          <w:p w14:paraId="37D4F093" w14:textId="5874D484" w:rsidR="001F6409" w:rsidRPr="00B41E66" w:rsidRDefault="001F6409" w:rsidP="001F5873">
            <w:pPr>
              <w:jc w:val="center"/>
              <w:rPr>
                <w:color w:val="0000FF"/>
              </w:rPr>
            </w:pPr>
            <w:r w:rsidRPr="00B41E66">
              <w:rPr>
                <w:color w:val="0000FF"/>
              </w:rPr>
              <w:t>0.0</w:t>
            </w:r>
            <w:r w:rsidR="000D6FA1" w:rsidRPr="00B41E66">
              <w:rPr>
                <w:color w:val="0000FF"/>
              </w:rPr>
              <w:t>3</w:t>
            </w:r>
            <w:r w:rsidRPr="00B41E66">
              <w:rPr>
                <w:color w:val="0000FF"/>
              </w:rPr>
              <w:t xml:space="preserve"> (0.</w:t>
            </w:r>
            <w:r w:rsidR="000D6FA1" w:rsidRPr="00B41E66">
              <w:rPr>
                <w:color w:val="0000FF"/>
              </w:rPr>
              <w:t>6</w:t>
            </w:r>
            <w:r w:rsidRPr="00B41E66">
              <w:rPr>
                <w:color w:val="0000FF"/>
              </w:rPr>
              <w:t>9)</w:t>
            </w:r>
          </w:p>
        </w:tc>
        <w:tc>
          <w:tcPr>
            <w:tcW w:w="1559" w:type="dxa"/>
            <w:tcBorders>
              <w:top w:val="nil"/>
              <w:left w:val="nil"/>
              <w:bottom w:val="nil"/>
              <w:right w:val="single" w:sz="12" w:space="0" w:color="auto"/>
            </w:tcBorders>
            <w:shd w:val="clear" w:color="auto" w:fill="auto"/>
            <w:noWrap/>
            <w:vAlign w:val="center"/>
            <w:hideMark/>
          </w:tcPr>
          <w:p w14:paraId="7F1E00D4" w14:textId="77777777" w:rsidR="001F6409" w:rsidRPr="00B41E66" w:rsidRDefault="001F6409" w:rsidP="001F5873">
            <w:pPr>
              <w:jc w:val="center"/>
              <w:rPr>
                <w:color w:val="0000FF"/>
              </w:rPr>
            </w:pPr>
          </w:p>
        </w:tc>
      </w:tr>
      <w:tr w:rsidR="008560E6" w:rsidRPr="00B41E66" w14:paraId="323B50C2" w14:textId="77777777" w:rsidTr="001F5873">
        <w:trPr>
          <w:trHeight w:val="300"/>
        </w:trPr>
        <w:tc>
          <w:tcPr>
            <w:tcW w:w="1403" w:type="dxa"/>
            <w:tcBorders>
              <w:top w:val="nil"/>
              <w:left w:val="single" w:sz="12" w:space="0" w:color="auto"/>
              <w:bottom w:val="nil"/>
              <w:right w:val="nil"/>
            </w:tcBorders>
            <w:shd w:val="clear" w:color="auto" w:fill="auto"/>
            <w:vAlign w:val="center"/>
            <w:hideMark/>
          </w:tcPr>
          <w:p w14:paraId="14304694" w14:textId="77777777" w:rsidR="001F6409" w:rsidRPr="00B41E66" w:rsidRDefault="001F6409" w:rsidP="001F5873">
            <w:pPr>
              <w:jc w:val="center"/>
              <w:rPr>
                <w:color w:val="0000FF"/>
              </w:rPr>
            </w:pPr>
            <w:r w:rsidRPr="00B41E66">
              <w:rPr>
                <w:color w:val="0000FF"/>
              </w:rPr>
              <w:t>HTV</w:t>
            </w:r>
          </w:p>
        </w:tc>
        <w:tc>
          <w:tcPr>
            <w:tcW w:w="1276" w:type="dxa"/>
            <w:tcBorders>
              <w:top w:val="nil"/>
              <w:left w:val="single" w:sz="12" w:space="0" w:color="auto"/>
              <w:bottom w:val="nil"/>
              <w:right w:val="nil"/>
            </w:tcBorders>
            <w:shd w:val="clear" w:color="auto" w:fill="auto"/>
            <w:noWrap/>
            <w:vAlign w:val="center"/>
            <w:hideMark/>
          </w:tcPr>
          <w:p w14:paraId="1B104547" w14:textId="4BAC7B0E" w:rsidR="001F6409" w:rsidRPr="00B41E66" w:rsidRDefault="001F6409" w:rsidP="001F5873">
            <w:pPr>
              <w:jc w:val="center"/>
              <w:rPr>
                <w:color w:val="0000FF"/>
              </w:rPr>
            </w:pPr>
            <w:r w:rsidRPr="00B41E66">
              <w:rPr>
                <w:color w:val="0000FF"/>
              </w:rPr>
              <w:t>0.</w:t>
            </w:r>
            <w:r w:rsidR="006765DC" w:rsidRPr="00B41E66">
              <w:rPr>
                <w:color w:val="0000FF"/>
              </w:rPr>
              <w:t>08</w:t>
            </w:r>
            <w:r w:rsidRPr="00B41E66">
              <w:rPr>
                <w:color w:val="0000FF"/>
              </w:rPr>
              <w:t xml:space="preserve"> (0.</w:t>
            </w:r>
            <w:r w:rsidR="006765DC" w:rsidRPr="00B41E66">
              <w:rPr>
                <w:color w:val="0000FF"/>
              </w:rPr>
              <w:t>4</w:t>
            </w:r>
            <w:r w:rsidRPr="00B41E66">
              <w:rPr>
                <w:color w:val="0000FF"/>
              </w:rPr>
              <w:t>)</w:t>
            </w:r>
          </w:p>
        </w:tc>
        <w:tc>
          <w:tcPr>
            <w:tcW w:w="1275" w:type="dxa"/>
            <w:tcBorders>
              <w:top w:val="nil"/>
              <w:left w:val="nil"/>
              <w:bottom w:val="nil"/>
              <w:right w:val="single" w:sz="12" w:space="0" w:color="auto"/>
            </w:tcBorders>
            <w:shd w:val="clear" w:color="auto" w:fill="auto"/>
            <w:noWrap/>
            <w:vAlign w:val="center"/>
            <w:hideMark/>
          </w:tcPr>
          <w:p w14:paraId="5A3E8065" w14:textId="0513C0E0" w:rsidR="001F6409" w:rsidRPr="00B41E66" w:rsidRDefault="001F6409" w:rsidP="001F5873">
            <w:pPr>
              <w:jc w:val="center"/>
              <w:rPr>
                <w:color w:val="0000FF"/>
              </w:rPr>
            </w:pPr>
            <w:r w:rsidRPr="00B41E66">
              <w:rPr>
                <w:color w:val="0000FF"/>
              </w:rPr>
              <w:t>0.</w:t>
            </w:r>
            <w:r w:rsidR="00470EFD" w:rsidRPr="00B41E66">
              <w:rPr>
                <w:color w:val="0000FF"/>
              </w:rPr>
              <w:t>18</w:t>
            </w:r>
            <w:r w:rsidRPr="00B41E66">
              <w:rPr>
                <w:color w:val="0000FF"/>
              </w:rPr>
              <w:t xml:space="preserve"> (0.0</w:t>
            </w:r>
            <w:r w:rsidR="00470EFD" w:rsidRPr="00B41E66">
              <w:rPr>
                <w:color w:val="0000FF"/>
              </w:rPr>
              <w:t>7</w:t>
            </w:r>
            <w:r w:rsidRPr="00B41E66">
              <w:rPr>
                <w:color w:val="0000FF"/>
              </w:rPr>
              <w:t>)</w:t>
            </w:r>
          </w:p>
        </w:tc>
        <w:tc>
          <w:tcPr>
            <w:tcW w:w="1276" w:type="dxa"/>
            <w:tcBorders>
              <w:top w:val="nil"/>
              <w:left w:val="nil"/>
              <w:bottom w:val="nil"/>
              <w:right w:val="nil"/>
            </w:tcBorders>
            <w:shd w:val="clear" w:color="auto" w:fill="auto"/>
            <w:noWrap/>
            <w:vAlign w:val="center"/>
            <w:hideMark/>
          </w:tcPr>
          <w:p w14:paraId="2AD08719" w14:textId="2E854A4A" w:rsidR="001F6409" w:rsidRPr="00B41E66" w:rsidRDefault="001F6409" w:rsidP="001F5873">
            <w:pPr>
              <w:jc w:val="center"/>
              <w:rPr>
                <w:color w:val="0000FF"/>
              </w:rPr>
            </w:pPr>
            <w:r w:rsidRPr="00B41E66">
              <w:rPr>
                <w:color w:val="0000FF"/>
              </w:rPr>
              <w:t>0.</w:t>
            </w:r>
            <w:r w:rsidR="005D35FB" w:rsidRPr="00B41E66">
              <w:rPr>
                <w:color w:val="0000FF"/>
              </w:rPr>
              <w:t>19</w:t>
            </w:r>
            <w:r w:rsidRPr="00B41E66">
              <w:rPr>
                <w:color w:val="0000FF"/>
              </w:rPr>
              <w:t xml:space="preserve"> (0.0</w:t>
            </w:r>
            <w:r w:rsidR="005D35FB" w:rsidRPr="00B41E66">
              <w:rPr>
                <w:color w:val="0000FF"/>
              </w:rPr>
              <w:t>9</w:t>
            </w:r>
            <w:r w:rsidRPr="00B41E66">
              <w:rPr>
                <w:color w:val="0000FF"/>
              </w:rPr>
              <w:t>)</w:t>
            </w:r>
          </w:p>
        </w:tc>
        <w:tc>
          <w:tcPr>
            <w:tcW w:w="1276" w:type="dxa"/>
            <w:tcBorders>
              <w:top w:val="nil"/>
              <w:left w:val="nil"/>
              <w:bottom w:val="nil"/>
              <w:right w:val="nil"/>
            </w:tcBorders>
            <w:shd w:val="clear" w:color="auto" w:fill="auto"/>
            <w:noWrap/>
            <w:vAlign w:val="bottom"/>
            <w:hideMark/>
          </w:tcPr>
          <w:p w14:paraId="1CDB8CD8" w14:textId="50989246" w:rsidR="001F6409" w:rsidRPr="00B41E66" w:rsidRDefault="001F6409" w:rsidP="001F5873">
            <w:pPr>
              <w:jc w:val="center"/>
              <w:rPr>
                <w:color w:val="0000FF"/>
              </w:rPr>
            </w:pPr>
            <w:r w:rsidRPr="00B41E66">
              <w:rPr>
                <w:color w:val="0000FF"/>
              </w:rPr>
              <w:t>0.</w:t>
            </w:r>
            <w:r w:rsidR="00971417" w:rsidRPr="00B41E66">
              <w:rPr>
                <w:color w:val="0000FF"/>
              </w:rPr>
              <w:t>27</w:t>
            </w:r>
            <w:r w:rsidRPr="00B41E66">
              <w:rPr>
                <w:color w:val="0000FF"/>
              </w:rPr>
              <w:t xml:space="preserve"> (0.0</w:t>
            </w:r>
            <w:r w:rsidR="00971417" w:rsidRPr="00B41E66">
              <w:rPr>
                <w:color w:val="0000FF"/>
              </w:rPr>
              <w:t>3</w:t>
            </w:r>
            <w:r w:rsidRPr="00B41E66">
              <w:rPr>
                <w:color w:val="0000FF"/>
              </w:rPr>
              <w:t>)</w:t>
            </w:r>
          </w:p>
        </w:tc>
        <w:tc>
          <w:tcPr>
            <w:tcW w:w="1276" w:type="dxa"/>
            <w:gridSpan w:val="2"/>
            <w:tcBorders>
              <w:top w:val="nil"/>
              <w:left w:val="single" w:sz="12" w:space="0" w:color="auto"/>
              <w:bottom w:val="nil"/>
              <w:right w:val="nil"/>
            </w:tcBorders>
            <w:shd w:val="clear" w:color="auto" w:fill="auto"/>
            <w:noWrap/>
            <w:vAlign w:val="center"/>
            <w:hideMark/>
          </w:tcPr>
          <w:p w14:paraId="2DB70E3D" w14:textId="2D249A30" w:rsidR="001F6409" w:rsidRPr="00B41E66" w:rsidRDefault="001F6409" w:rsidP="001F5873">
            <w:pPr>
              <w:jc w:val="center"/>
              <w:rPr>
                <w:color w:val="0000FF"/>
              </w:rPr>
            </w:pPr>
            <w:r w:rsidRPr="00B41E66">
              <w:rPr>
                <w:color w:val="0000FF"/>
              </w:rPr>
              <w:t>0.4</w:t>
            </w:r>
            <w:r w:rsidR="000D6FA1" w:rsidRPr="00B41E66">
              <w:rPr>
                <w:color w:val="0000FF"/>
              </w:rPr>
              <w:t>9</w:t>
            </w:r>
            <w:r w:rsidRPr="00B41E66">
              <w:rPr>
                <w:color w:val="0000FF"/>
              </w:rPr>
              <w:t xml:space="preserve"> (0.01)</w:t>
            </w:r>
          </w:p>
        </w:tc>
        <w:tc>
          <w:tcPr>
            <w:tcW w:w="1559" w:type="dxa"/>
            <w:tcBorders>
              <w:top w:val="nil"/>
              <w:left w:val="nil"/>
              <w:bottom w:val="nil"/>
              <w:right w:val="single" w:sz="12" w:space="0" w:color="auto"/>
            </w:tcBorders>
            <w:shd w:val="clear" w:color="auto" w:fill="auto"/>
            <w:noWrap/>
            <w:vAlign w:val="center"/>
            <w:hideMark/>
          </w:tcPr>
          <w:p w14:paraId="62AA16D8" w14:textId="14F961A7" w:rsidR="001F6409" w:rsidRPr="00B41E66" w:rsidRDefault="001F6409" w:rsidP="001F5873">
            <w:pPr>
              <w:jc w:val="center"/>
              <w:rPr>
                <w:color w:val="0000FF"/>
              </w:rPr>
            </w:pPr>
            <w:r w:rsidRPr="00B41E66">
              <w:rPr>
                <w:color w:val="0000FF"/>
              </w:rPr>
              <w:t>0.</w:t>
            </w:r>
            <w:r w:rsidR="00E77BD7" w:rsidRPr="00B41E66">
              <w:rPr>
                <w:color w:val="0000FF"/>
              </w:rPr>
              <w:t>50</w:t>
            </w:r>
            <w:r w:rsidRPr="00B41E66">
              <w:rPr>
                <w:color w:val="0000FF"/>
              </w:rPr>
              <w:t xml:space="preserve"> (0.01)</w:t>
            </w:r>
          </w:p>
        </w:tc>
      </w:tr>
      <w:tr w:rsidR="008560E6" w:rsidRPr="00B41E66" w14:paraId="73F0DCA1" w14:textId="77777777" w:rsidTr="001F5873">
        <w:trPr>
          <w:trHeight w:val="300"/>
        </w:trPr>
        <w:tc>
          <w:tcPr>
            <w:tcW w:w="1403" w:type="dxa"/>
            <w:tcBorders>
              <w:top w:val="nil"/>
              <w:left w:val="single" w:sz="12" w:space="0" w:color="auto"/>
              <w:bottom w:val="nil"/>
              <w:right w:val="nil"/>
            </w:tcBorders>
            <w:shd w:val="clear" w:color="auto" w:fill="auto"/>
            <w:noWrap/>
            <w:vAlign w:val="center"/>
            <w:hideMark/>
          </w:tcPr>
          <w:p w14:paraId="2895F8B9" w14:textId="77777777" w:rsidR="001F6409" w:rsidRPr="00B41E66" w:rsidRDefault="001F6409" w:rsidP="001F5873">
            <w:pPr>
              <w:jc w:val="center"/>
              <w:rPr>
                <w:color w:val="0000FF"/>
              </w:rPr>
            </w:pPr>
          </w:p>
        </w:tc>
        <w:tc>
          <w:tcPr>
            <w:tcW w:w="1276" w:type="dxa"/>
            <w:tcBorders>
              <w:top w:val="nil"/>
              <w:left w:val="single" w:sz="12" w:space="0" w:color="auto"/>
              <w:bottom w:val="nil"/>
              <w:right w:val="nil"/>
            </w:tcBorders>
            <w:shd w:val="clear" w:color="auto" w:fill="auto"/>
            <w:noWrap/>
            <w:vAlign w:val="center"/>
            <w:hideMark/>
          </w:tcPr>
          <w:p w14:paraId="1C73874F" w14:textId="77777777" w:rsidR="001F6409" w:rsidRPr="00B41E66" w:rsidRDefault="001F6409" w:rsidP="001F5873">
            <w:pPr>
              <w:jc w:val="center"/>
              <w:rPr>
                <w:color w:val="0000FF"/>
              </w:rPr>
            </w:pPr>
          </w:p>
        </w:tc>
        <w:tc>
          <w:tcPr>
            <w:tcW w:w="1275" w:type="dxa"/>
            <w:tcBorders>
              <w:top w:val="nil"/>
              <w:left w:val="nil"/>
              <w:bottom w:val="nil"/>
              <w:right w:val="single" w:sz="12" w:space="0" w:color="auto"/>
            </w:tcBorders>
            <w:shd w:val="clear" w:color="auto" w:fill="auto"/>
            <w:noWrap/>
            <w:vAlign w:val="center"/>
            <w:hideMark/>
          </w:tcPr>
          <w:p w14:paraId="171A9AB9" w14:textId="77777777" w:rsidR="001F6409" w:rsidRPr="00B41E66" w:rsidRDefault="001F6409" w:rsidP="001F5873">
            <w:pPr>
              <w:jc w:val="center"/>
              <w:rPr>
                <w:color w:val="0000FF"/>
              </w:rPr>
            </w:pPr>
          </w:p>
        </w:tc>
        <w:tc>
          <w:tcPr>
            <w:tcW w:w="1276" w:type="dxa"/>
            <w:tcBorders>
              <w:top w:val="nil"/>
              <w:left w:val="nil"/>
              <w:bottom w:val="nil"/>
              <w:right w:val="nil"/>
            </w:tcBorders>
            <w:shd w:val="clear" w:color="auto" w:fill="auto"/>
            <w:noWrap/>
            <w:vAlign w:val="bottom"/>
            <w:hideMark/>
          </w:tcPr>
          <w:p w14:paraId="72AE6772" w14:textId="77777777" w:rsidR="001F6409" w:rsidRPr="00B41E66" w:rsidRDefault="001F6409" w:rsidP="001F5873">
            <w:pPr>
              <w:jc w:val="center"/>
              <w:rPr>
                <w:color w:val="0000FF"/>
              </w:rPr>
            </w:pPr>
          </w:p>
        </w:tc>
        <w:tc>
          <w:tcPr>
            <w:tcW w:w="1276" w:type="dxa"/>
            <w:tcBorders>
              <w:top w:val="nil"/>
              <w:left w:val="nil"/>
              <w:bottom w:val="nil"/>
              <w:right w:val="nil"/>
            </w:tcBorders>
            <w:shd w:val="clear" w:color="auto" w:fill="auto"/>
            <w:noWrap/>
            <w:vAlign w:val="bottom"/>
            <w:hideMark/>
          </w:tcPr>
          <w:p w14:paraId="27C3821E" w14:textId="77777777" w:rsidR="001F6409" w:rsidRPr="00B41E66" w:rsidRDefault="001F6409" w:rsidP="001F5873">
            <w:pPr>
              <w:jc w:val="center"/>
              <w:rPr>
                <w:color w:val="0000FF"/>
              </w:rPr>
            </w:pPr>
          </w:p>
        </w:tc>
        <w:tc>
          <w:tcPr>
            <w:tcW w:w="1276" w:type="dxa"/>
            <w:gridSpan w:val="2"/>
            <w:tcBorders>
              <w:top w:val="nil"/>
              <w:left w:val="single" w:sz="12" w:space="0" w:color="auto"/>
              <w:bottom w:val="nil"/>
              <w:right w:val="nil"/>
            </w:tcBorders>
            <w:shd w:val="clear" w:color="auto" w:fill="auto"/>
            <w:noWrap/>
            <w:vAlign w:val="center"/>
            <w:hideMark/>
          </w:tcPr>
          <w:p w14:paraId="12637C90" w14:textId="77777777" w:rsidR="001F6409" w:rsidRPr="00B41E66" w:rsidRDefault="001F6409" w:rsidP="001F5873">
            <w:pPr>
              <w:jc w:val="center"/>
              <w:rPr>
                <w:color w:val="0000FF"/>
              </w:rPr>
            </w:pPr>
          </w:p>
        </w:tc>
        <w:tc>
          <w:tcPr>
            <w:tcW w:w="1559" w:type="dxa"/>
            <w:tcBorders>
              <w:top w:val="nil"/>
              <w:left w:val="nil"/>
              <w:bottom w:val="nil"/>
              <w:right w:val="single" w:sz="12" w:space="0" w:color="auto"/>
            </w:tcBorders>
            <w:shd w:val="clear" w:color="auto" w:fill="auto"/>
            <w:noWrap/>
            <w:vAlign w:val="center"/>
            <w:hideMark/>
          </w:tcPr>
          <w:p w14:paraId="0DAE549E" w14:textId="77777777" w:rsidR="001F6409" w:rsidRPr="00B41E66" w:rsidRDefault="001F6409" w:rsidP="001F5873">
            <w:pPr>
              <w:jc w:val="center"/>
              <w:rPr>
                <w:color w:val="0000FF"/>
              </w:rPr>
            </w:pPr>
          </w:p>
        </w:tc>
      </w:tr>
      <w:tr w:rsidR="008560E6" w:rsidRPr="00B41E66" w14:paraId="22A411D1" w14:textId="77777777" w:rsidTr="001F5873">
        <w:trPr>
          <w:trHeight w:val="375"/>
        </w:trPr>
        <w:tc>
          <w:tcPr>
            <w:tcW w:w="1403" w:type="dxa"/>
            <w:tcBorders>
              <w:top w:val="nil"/>
              <w:left w:val="single" w:sz="12" w:space="0" w:color="auto"/>
              <w:bottom w:val="nil"/>
              <w:right w:val="nil"/>
            </w:tcBorders>
            <w:shd w:val="clear" w:color="auto" w:fill="auto"/>
            <w:noWrap/>
            <w:vAlign w:val="center"/>
            <w:hideMark/>
          </w:tcPr>
          <w:p w14:paraId="7A4D0545" w14:textId="77777777" w:rsidR="001F6409" w:rsidRPr="00B41E66" w:rsidRDefault="001F6409" w:rsidP="001F5873">
            <w:pPr>
              <w:jc w:val="center"/>
              <w:rPr>
                <w:color w:val="0000FF"/>
              </w:rPr>
            </w:pPr>
            <w:r w:rsidRPr="00B41E66">
              <w:rPr>
                <w:color w:val="0000FF"/>
              </w:rPr>
              <w:t>Adjusted R</w:t>
            </w:r>
            <w:r w:rsidRPr="00B41E66">
              <w:rPr>
                <w:color w:val="0000FF"/>
                <w:vertAlign w:val="superscript"/>
              </w:rPr>
              <w:t>2</w:t>
            </w:r>
          </w:p>
        </w:tc>
        <w:tc>
          <w:tcPr>
            <w:tcW w:w="1276" w:type="dxa"/>
            <w:tcBorders>
              <w:top w:val="nil"/>
              <w:left w:val="single" w:sz="12" w:space="0" w:color="auto"/>
              <w:bottom w:val="nil"/>
              <w:right w:val="nil"/>
            </w:tcBorders>
            <w:shd w:val="clear" w:color="000000" w:fill="FFFFFF"/>
            <w:noWrap/>
            <w:vAlign w:val="center"/>
            <w:hideMark/>
          </w:tcPr>
          <w:p w14:paraId="77D020C6" w14:textId="20B01C1B" w:rsidR="001F6409" w:rsidRPr="00B41E66" w:rsidRDefault="001F6409" w:rsidP="001F5873">
            <w:pPr>
              <w:jc w:val="center"/>
              <w:rPr>
                <w:color w:val="0000FF"/>
              </w:rPr>
            </w:pPr>
            <w:r w:rsidRPr="00B41E66">
              <w:rPr>
                <w:color w:val="0000FF"/>
              </w:rPr>
              <w:t>0.</w:t>
            </w:r>
            <w:r w:rsidR="006765DC" w:rsidRPr="00B41E66">
              <w:rPr>
                <w:color w:val="0000FF"/>
              </w:rPr>
              <w:t>22</w:t>
            </w:r>
          </w:p>
        </w:tc>
        <w:tc>
          <w:tcPr>
            <w:tcW w:w="1275" w:type="dxa"/>
            <w:tcBorders>
              <w:top w:val="nil"/>
              <w:left w:val="nil"/>
              <w:bottom w:val="nil"/>
              <w:right w:val="single" w:sz="12" w:space="0" w:color="auto"/>
            </w:tcBorders>
            <w:shd w:val="clear" w:color="auto" w:fill="auto"/>
            <w:noWrap/>
            <w:vAlign w:val="center"/>
            <w:hideMark/>
          </w:tcPr>
          <w:p w14:paraId="06863DC0" w14:textId="27B54F22" w:rsidR="001F6409" w:rsidRPr="00B41E66" w:rsidRDefault="001F6409" w:rsidP="001F5873">
            <w:pPr>
              <w:jc w:val="center"/>
              <w:rPr>
                <w:color w:val="0000FF"/>
              </w:rPr>
            </w:pPr>
            <w:r w:rsidRPr="00B41E66">
              <w:rPr>
                <w:color w:val="0000FF"/>
              </w:rPr>
              <w:t>0.1</w:t>
            </w:r>
            <w:r w:rsidR="00470EFD" w:rsidRPr="00B41E66">
              <w:rPr>
                <w:color w:val="0000FF"/>
              </w:rPr>
              <w:t>7</w:t>
            </w:r>
          </w:p>
        </w:tc>
        <w:tc>
          <w:tcPr>
            <w:tcW w:w="1276" w:type="dxa"/>
            <w:tcBorders>
              <w:top w:val="nil"/>
              <w:left w:val="nil"/>
              <w:bottom w:val="nil"/>
              <w:right w:val="nil"/>
            </w:tcBorders>
            <w:shd w:val="clear" w:color="auto" w:fill="auto"/>
            <w:noWrap/>
            <w:vAlign w:val="center"/>
            <w:hideMark/>
          </w:tcPr>
          <w:p w14:paraId="66FB9EED" w14:textId="23EF1E73" w:rsidR="001F6409" w:rsidRPr="00B41E66" w:rsidRDefault="001F6409" w:rsidP="001F5873">
            <w:pPr>
              <w:jc w:val="center"/>
              <w:rPr>
                <w:color w:val="0000FF"/>
              </w:rPr>
            </w:pPr>
            <w:r w:rsidRPr="00B41E66">
              <w:rPr>
                <w:color w:val="0000FF"/>
              </w:rPr>
              <w:t>0.1</w:t>
            </w:r>
            <w:r w:rsidR="005D35FB" w:rsidRPr="00B41E66">
              <w:rPr>
                <w:color w:val="0000FF"/>
              </w:rPr>
              <w:t>6</w:t>
            </w:r>
          </w:p>
        </w:tc>
        <w:tc>
          <w:tcPr>
            <w:tcW w:w="1276" w:type="dxa"/>
            <w:tcBorders>
              <w:top w:val="nil"/>
              <w:left w:val="nil"/>
              <w:bottom w:val="nil"/>
              <w:right w:val="nil"/>
            </w:tcBorders>
            <w:shd w:val="clear" w:color="auto" w:fill="auto"/>
            <w:noWrap/>
            <w:vAlign w:val="center"/>
            <w:hideMark/>
          </w:tcPr>
          <w:p w14:paraId="5E0CE26E" w14:textId="41ABF5C6" w:rsidR="001F6409" w:rsidRPr="00B41E66" w:rsidRDefault="001F6409" w:rsidP="001F5873">
            <w:pPr>
              <w:jc w:val="center"/>
              <w:rPr>
                <w:color w:val="0000FF"/>
              </w:rPr>
            </w:pPr>
            <w:r w:rsidRPr="00B41E66">
              <w:rPr>
                <w:color w:val="0000FF"/>
              </w:rPr>
              <w:t>0.0</w:t>
            </w:r>
            <w:r w:rsidR="00971417" w:rsidRPr="00B41E66">
              <w:rPr>
                <w:color w:val="0000FF"/>
              </w:rPr>
              <w:t>6</w:t>
            </w:r>
          </w:p>
        </w:tc>
        <w:tc>
          <w:tcPr>
            <w:tcW w:w="1276" w:type="dxa"/>
            <w:gridSpan w:val="2"/>
            <w:tcBorders>
              <w:top w:val="nil"/>
              <w:left w:val="single" w:sz="12" w:space="0" w:color="auto"/>
              <w:bottom w:val="nil"/>
              <w:right w:val="nil"/>
            </w:tcBorders>
            <w:shd w:val="clear" w:color="auto" w:fill="auto"/>
            <w:noWrap/>
            <w:vAlign w:val="center"/>
            <w:hideMark/>
          </w:tcPr>
          <w:p w14:paraId="2F578B3A" w14:textId="47148E1D" w:rsidR="001F6409" w:rsidRPr="00B41E66" w:rsidRDefault="001F6409" w:rsidP="001F5873">
            <w:pPr>
              <w:jc w:val="center"/>
              <w:rPr>
                <w:color w:val="0000FF"/>
              </w:rPr>
            </w:pPr>
            <w:r w:rsidRPr="00B41E66">
              <w:rPr>
                <w:color w:val="0000FF"/>
              </w:rPr>
              <w:t>0.0</w:t>
            </w:r>
            <w:r w:rsidR="000D6FA1" w:rsidRPr="00B41E66">
              <w:rPr>
                <w:color w:val="0000FF"/>
              </w:rPr>
              <w:t>4</w:t>
            </w:r>
          </w:p>
        </w:tc>
        <w:tc>
          <w:tcPr>
            <w:tcW w:w="1559" w:type="dxa"/>
            <w:tcBorders>
              <w:top w:val="nil"/>
              <w:left w:val="nil"/>
              <w:bottom w:val="nil"/>
              <w:right w:val="single" w:sz="12" w:space="0" w:color="auto"/>
            </w:tcBorders>
            <w:shd w:val="clear" w:color="auto" w:fill="auto"/>
            <w:noWrap/>
            <w:vAlign w:val="center"/>
            <w:hideMark/>
          </w:tcPr>
          <w:p w14:paraId="4C84EDD0" w14:textId="77777777" w:rsidR="001F6409" w:rsidRPr="00B41E66" w:rsidRDefault="001F6409" w:rsidP="001F5873">
            <w:pPr>
              <w:jc w:val="center"/>
              <w:rPr>
                <w:color w:val="0000FF"/>
              </w:rPr>
            </w:pPr>
            <w:r w:rsidRPr="00B41E66">
              <w:rPr>
                <w:color w:val="0000FF"/>
              </w:rPr>
              <w:t>0.05</w:t>
            </w:r>
          </w:p>
        </w:tc>
      </w:tr>
      <w:tr w:rsidR="008560E6" w:rsidRPr="00B41E66" w14:paraId="420D4D5F" w14:textId="77777777" w:rsidTr="001F5873">
        <w:trPr>
          <w:trHeight w:val="300"/>
        </w:trPr>
        <w:tc>
          <w:tcPr>
            <w:tcW w:w="1403" w:type="dxa"/>
            <w:tcBorders>
              <w:top w:val="nil"/>
              <w:left w:val="single" w:sz="12" w:space="0" w:color="auto"/>
              <w:bottom w:val="nil"/>
              <w:right w:val="nil"/>
            </w:tcBorders>
            <w:shd w:val="clear" w:color="auto" w:fill="auto"/>
            <w:noWrap/>
            <w:vAlign w:val="center"/>
            <w:hideMark/>
          </w:tcPr>
          <w:p w14:paraId="0B4C3CD2" w14:textId="77777777" w:rsidR="001F6409" w:rsidRPr="00B41E66" w:rsidRDefault="001F6409" w:rsidP="001F5873">
            <w:pPr>
              <w:jc w:val="center"/>
              <w:rPr>
                <w:color w:val="0000FF"/>
              </w:rPr>
            </w:pPr>
            <w:r w:rsidRPr="00B41E66">
              <w:rPr>
                <w:color w:val="0000FF"/>
              </w:rPr>
              <w:t>F stat (p-value)</w:t>
            </w:r>
          </w:p>
        </w:tc>
        <w:tc>
          <w:tcPr>
            <w:tcW w:w="1276" w:type="dxa"/>
            <w:tcBorders>
              <w:top w:val="nil"/>
              <w:left w:val="single" w:sz="12" w:space="0" w:color="auto"/>
              <w:bottom w:val="nil"/>
              <w:right w:val="nil"/>
            </w:tcBorders>
            <w:shd w:val="clear" w:color="auto" w:fill="auto"/>
            <w:noWrap/>
            <w:vAlign w:val="bottom"/>
            <w:hideMark/>
          </w:tcPr>
          <w:p w14:paraId="06C5F91E" w14:textId="44AEC5C7" w:rsidR="001F6409" w:rsidRPr="00B41E66" w:rsidRDefault="006765DC" w:rsidP="001F5873">
            <w:pPr>
              <w:jc w:val="center"/>
              <w:rPr>
                <w:color w:val="0000FF"/>
              </w:rPr>
            </w:pPr>
            <w:r w:rsidRPr="00B41E66">
              <w:rPr>
                <w:color w:val="0000FF"/>
              </w:rPr>
              <w:t>8</w:t>
            </w:r>
            <w:r w:rsidR="001F6409" w:rsidRPr="00B41E66">
              <w:rPr>
                <w:color w:val="0000FF"/>
              </w:rPr>
              <w:t>.</w:t>
            </w:r>
            <w:r w:rsidRPr="00B41E66">
              <w:rPr>
                <w:color w:val="0000FF"/>
              </w:rPr>
              <w:t>43</w:t>
            </w:r>
            <w:r w:rsidR="001F6409" w:rsidRPr="00B41E66">
              <w:rPr>
                <w:color w:val="0000FF"/>
              </w:rPr>
              <w:t xml:space="preserve"> (0.00)</w:t>
            </w:r>
          </w:p>
        </w:tc>
        <w:tc>
          <w:tcPr>
            <w:tcW w:w="1275" w:type="dxa"/>
            <w:tcBorders>
              <w:top w:val="nil"/>
              <w:left w:val="nil"/>
              <w:bottom w:val="nil"/>
              <w:right w:val="single" w:sz="12" w:space="0" w:color="auto"/>
            </w:tcBorders>
            <w:shd w:val="clear" w:color="auto" w:fill="auto"/>
            <w:noWrap/>
            <w:vAlign w:val="bottom"/>
            <w:hideMark/>
          </w:tcPr>
          <w:p w14:paraId="73F2A98B" w14:textId="46FED12C" w:rsidR="001F6409" w:rsidRPr="00B41E66" w:rsidRDefault="00470EFD" w:rsidP="001F5873">
            <w:pPr>
              <w:jc w:val="center"/>
              <w:rPr>
                <w:color w:val="0000FF"/>
              </w:rPr>
            </w:pPr>
            <w:r w:rsidRPr="00B41E66">
              <w:rPr>
                <w:color w:val="0000FF"/>
              </w:rPr>
              <w:t>7</w:t>
            </w:r>
            <w:r w:rsidR="001F6409" w:rsidRPr="00B41E66">
              <w:rPr>
                <w:color w:val="0000FF"/>
              </w:rPr>
              <w:t>.</w:t>
            </w:r>
            <w:r w:rsidRPr="00B41E66">
              <w:rPr>
                <w:color w:val="0000FF"/>
              </w:rPr>
              <w:t>06</w:t>
            </w:r>
            <w:r w:rsidR="001F6409" w:rsidRPr="00B41E66">
              <w:rPr>
                <w:color w:val="0000FF"/>
              </w:rPr>
              <w:t xml:space="preserve"> (0.00)</w:t>
            </w:r>
          </w:p>
        </w:tc>
        <w:tc>
          <w:tcPr>
            <w:tcW w:w="1276" w:type="dxa"/>
            <w:tcBorders>
              <w:top w:val="nil"/>
              <w:left w:val="nil"/>
              <w:bottom w:val="nil"/>
              <w:right w:val="nil"/>
            </w:tcBorders>
            <w:shd w:val="clear" w:color="auto" w:fill="auto"/>
            <w:noWrap/>
            <w:vAlign w:val="bottom"/>
            <w:hideMark/>
          </w:tcPr>
          <w:p w14:paraId="3F5F3BCC" w14:textId="545738F9" w:rsidR="001F6409" w:rsidRPr="00B41E66" w:rsidRDefault="005D35FB" w:rsidP="001F5873">
            <w:pPr>
              <w:jc w:val="center"/>
              <w:rPr>
                <w:color w:val="0000FF"/>
              </w:rPr>
            </w:pPr>
            <w:r w:rsidRPr="00B41E66">
              <w:rPr>
                <w:color w:val="0000FF"/>
              </w:rPr>
              <w:t>6</w:t>
            </w:r>
            <w:r w:rsidR="001F6409" w:rsidRPr="00B41E66">
              <w:rPr>
                <w:color w:val="0000FF"/>
              </w:rPr>
              <w:t>.</w:t>
            </w:r>
            <w:r w:rsidRPr="00B41E66">
              <w:rPr>
                <w:color w:val="0000FF"/>
              </w:rPr>
              <w:t>55 (0.00)</w:t>
            </w:r>
          </w:p>
        </w:tc>
        <w:tc>
          <w:tcPr>
            <w:tcW w:w="1276" w:type="dxa"/>
            <w:tcBorders>
              <w:top w:val="nil"/>
              <w:left w:val="nil"/>
              <w:bottom w:val="nil"/>
              <w:right w:val="nil"/>
            </w:tcBorders>
            <w:shd w:val="clear" w:color="auto" w:fill="auto"/>
            <w:noWrap/>
            <w:vAlign w:val="bottom"/>
            <w:hideMark/>
          </w:tcPr>
          <w:p w14:paraId="4385D627" w14:textId="4587D9E3" w:rsidR="001F6409" w:rsidRPr="00B41E66" w:rsidRDefault="00971417" w:rsidP="001F5873">
            <w:pPr>
              <w:jc w:val="center"/>
              <w:rPr>
                <w:color w:val="0000FF"/>
              </w:rPr>
            </w:pPr>
            <w:r w:rsidRPr="00B41E66">
              <w:rPr>
                <w:color w:val="0000FF"/>
              </w:rPr>
              <w:t>3</w:t>
            </w:r>
            <w:r w:rsidR="001F6409" w:rsidRPr="00B41E66">
              <w:rPr>
                <w:color w:val="0000FF"/>
              </w:rPr>
              <w:t>.</w:t>
            </w:r>
            <w:r w:rsidRPr="00B41E66">
              <w:rPr>
                <w:color w:val="0000FF"/>
              </w:rPr>
              <w:t>14</w:t>
            </w:r>
            <w:r w:rsidR="001F6409" w:rsidRPr="00B41E66">
              <w:rPr>
                <w:color w:val="0000FF"/>
              </w:rPr>
              <w:t xml:space="preserve"> (0.0</w:t>
            </w:r>
            <w:r w:rsidRPr="00B41E66">
              <w:rPr>
                <w:color w:val="0000FF"/>
              </w:rPr>
              <w:t>1</w:t>
            </w:r>
            <w:r w:rsidR="001F6409" w:rsidRPr="00B41E66">
              <w:rPr>
                <w:color w:val="0000FF"/>
              </w:rPr>
              <w:t>)</w:t>
            </w:r>
          </w:p>
        </w:tc>
        <w:tc>
          <w:tcPr>
            <w:tcW w:w="1276" w:type="dxa"/>
            <w:gridSpan w:val="2"/>
            <w:tcBorders>
              <w:top w:val="nil"/>
              <w:left w:val="single" w:sz="12" w:space="0" w:color="auto"/>
              <w:bottom w:val="nil"/>
              <w:right w:val="nil"/>
            </w:tcBorders>
            <w:shd w:val="clear" w:color="auto" w:fill="auto"/>
            <w:noWrap/>
            <w:vAlign w:val="center"/>
            <w:hideMark/>
          </w:tcPr>
          <w:p w14:paraId="0075763B" w14:textId="24D644E8" w:rsidR="001F6409" w:rsidRPr="00B41E66" w:rsidRDefault="001F6409" w:rsidP="001F5873">
            <w:pPr>
              <w:jc w:val="center"/>
              <w:rPr>
                <w:color w:val="0000FF"/>
              </w:rPr>
            </w:pPr>
            <w:r w:rsidRPr="00B41E66">
              <w:rPr>
                <w:color w:val="0000FF"/>
              </w:rPr>
              <w:t>2.</w:t>
            </w:r>
            <w:r w:rsidR="000D6FA1" w:rsidRPr="00B41E66">
              <w:rPr>
                <w:color w:val="0000FF"/>
              </w:rPr>
              <w:t>25</w:t>
            </w:r>
            <w:r w:rsidRPr="00B41E66">
              <w:rPr>
                <w:color w:val="0000FF"/>
              </w:rPr>
              <w:t xml:space="preserve"> (0.05)</w:t>
            </w:r>
          </w:p>
        </w:tc>
        <w:tc>
          <w:tcPr>
            <w:tcW w:w="1559" w:type="dxa"/>
            <w:tcBorders>
              <w:top w:val="nil"/>
              <w:left w:val="nil"/>
              <w:bottom w:val="nil"/>
              <w:right w:val="single" w:sz="12" w:space="0" w:color="auto"/>
            </w:tcBorders>
            <w:shd w:val="clear" w:color="auto" w:fill="auto"/>
            <w:noWrap/>
            <w:vAlign w:val="center"/>
            <w:hideMark/>
          </w:tcPr>
          <w:p w14:paraId="354563AA" w14:textId="006EC95D" w:rsidR="001F6409" w:rsidRPr="00B41E66" w:rsidRDefault="001F6409" w:rsidP="001F5873">
            <w:pPr>
              <w:jc w:val="center"/>
              <w:rPr>
                <w:color w:val="0000FF"/>
              </w:rPr>
            </w:pPr>
            <w:r w:rsidRPr="00B41E66">
              <w:rPr>
                <w:color w:val="0000FF"/>
              </w:rPr>
              <w:t>2.</w:t>
            </w:r>
            <w:r w:rsidR="00E77BD7" w:rsidRPr="00B41E66">
              <w:rPr>
                <w:color w:val="0000FF"/>
              </w:rPr>
              <w:t>79</w:t>
            </w:r>
            <w:r w:rsidRPr="00B41E66">
              <w:rPr>
                <w:color w:val="0000FF"/>
              </w:rPr>
              <w:t xml:space="preserve"> (0.03)</w:t>
            </w:r>
          </w:p>
        </w:tc>
      </w:tr>
      <w:tr w:rsidR="008560E6" w:rsidRPr="00B41E66" w14:paraId="2A668CF1" w14:textId="77777777" w:rsidTr="001F5873">
        <w:trPr>
          <w:trHeight w:val="315"/>
        </w:trPr>
        <w:tc>
          <w:tcPr>
            <w:tcW w:w="1403" w:type="dxa"/>
            <w:tcBorders>
              <w:top w:val="nil"/>
              <w:left w:val="single" w:sz="12" w:space="0" w:color="auto"/>
              <w:bottom w:val="single" w:sz="12" w:space="0" w:color="auto"/>
              <w:right w:val="nil"/>
            </w:tcBorders>
            <w:shd w:val="clear" w:color="auto" w:fill="auto"/>
            <w:noWrap/>
            <w:vAlign w:val="center"/>
            <w:hideMark/>
          </w:tcPr>
          <w:p w14:paraId="135E07F9" w14:textId="77777777" w:rsidR="001F6409" w:rsidRPr="00B41E66" w:rsidRDefault="001F6409" w:rsidP="001F5873">
            <w:pPr>
              <w:jc w:val="center"/>
              <w:rPr>
                <w:color w:val="0000FF"/>
              </w:rPr>
            </w:pPr>
            <w:r w:rsidRPr="00B41E66">
              <w:rPr>
                <w:color w:val="0000FF"/>
              </w:rPr>
              <w:t>Obs.</w:t>
            </w:r>
          </w:p>
        </w:tc>
        <w:tc>
          <w:tcPr>
            <w:tcW w:w="1276" w:type="dxa"/>
            <w:tcBorders>
              <w:top w:val="nil"/>
              <w:left w:val="single" w:sz="12" w:space="0" w:color="auto"/>
              <w:bottom w:val="single" w:sz="12" w:space="0" w:color="auto"/>
              <w:right w:val="nil"/>
            </w:tcBorders>
            <w:shd w:val="clear" w:color="auto" w:fill="auto"/>
            <w:noWrap/>
            <w:vAlign w:val="center"/>
            <w:hideMark/>
          </w:tcPr>
          <w:p w14:paraId="19649E25" w14:textId="77777777" w:rsidR="001F6409" w:rsidRPr="00B41E66" w:rsidRDefault="001F6409" w:rsidP="001F5873">
            <w:pPr>
              <w:jc w:val="center"/>
              <w:rPr>
                <w:color w:val="0000FF"/>
              </w:rPr>
            </w:pPr>
            <w:r w:rsidRPr="00B41E66">
              <w:rPr>
                <w:color w:val="0000FF"/>
              </w:rPr>
              <w:t>182</w:t>
            </w:r>
          </w:p>
        </w:tc>
        <w:tc>
          <w:tcPr>
            <w:tcW w:w="1275" w:type="dxa"/>
            <w:tcBorders>
              <w:top w:val="nil"/>
              <w:left w:val="nil"/>
              <w:bottom w:val="single" w:sz="12" w:space="0" w:color="auto"/>
              <w:right w:val="single" w:sz="12" w:space="0" w:color="auto"/>
            </w:tcBorders>
            <w:shd w:val="clear" w:color="auto" w:fill="auto"/>
            <w:noWrap/>
            <w:vAlign w:val="center"/>
            <w:hideMark/>
          </w:tcPr>
          <w:p w14:paraId="4413BE3E" w14:textId="77777777" w:rsidR="001F6409" w:rsidRPr="00B41E66" w:rsidRDefault="001F6409" w:rsidP="001F5873">
            <w:pPr>
              <w:jc w:val="center"/>
              <w:rPr>
                <w:color w:val="0000FF"/>
              </w:rPr>
            </w:pPr>
            <w:r w:rsidRPr="00B41E66">
              <w:rPr>
                <w:color w:val="0000FF"/>
              </w:rPr>
              <w:t>182</w:t>
            </w:r>
          </w:p>
        </w:tc>
        <w:tc>
          <w:tcPr>
            <w:tcW w:w="1276" w:type="dxa"/>
            <w:tcBorders>
              <w:top w:val="nil"/>
              <w:left w:val="nil"/>
              <w:bottom w:val="single" w:sz="12" w:space="0" w:color="auto"/>
              <w:right w:val="nil"/>
            </w:tcBorders>
            <w:shd w:val="clear" w:color="auto" w:fill="auto"/>
            <w:noWrap/>
            <w:vAlign w:val="center"/>
            <w:hideMark/>
          </w:tcPr>
          <w:p w14:paraId="44763155" w14:textId="77777777" w:rsidR="001F6409" w:rsidRPr="00B41E66" w:rsidRDefault="001F6409" w:rsidP="001F5873">
            <w:pPr>
              <w:jc w:val="center"/>
              <w:rPr>
                <w:color w:val="0000FF"/>
              </w:rPr>
            </w:pPr>
            <w:r w:rsidRPr="00B41E66">
              <w:rPr>
                <w:color w:val="0000FF"/>
              </w:rPr>
              <w:t>178</w:t>
            </w:r>
          </w:p>
        </w:tc>
        <w:tc>
          <w:tcPr>
            <w:tcW w:w="1276" w:type="dxa"/>
            <w:tcBorders>
              <w:top w:val="nil"/>
              <w:left w:val="nil"/>
              <w:bottom w:val="single" w:sz="12" w:space="0" w:color="auto"/>
              <w:right w:val="nil"/>
            </w:tcBorders>
            <w:shd w:val="clear" w:color="auto" w:fill="auto"/>
            <w:noWrap/>
            <w:vAlign w:val="center"/>
            <w:hideMark/>
          </w:tcPr>
          <w:p w14:paraId="054F576F" w14:textId="77777777" w:rsidR="001F6409" w:rsidRPr="00B41E66" w:rsidRDefault="001F6409" w:rsidP="001F5873">
            <w:pPr>
              <w:jc w:val="center"/>
              <w:rPr>
                <w:color w:val="0000FF"/>
              </w:rPr>
            </w:pPr>
            <w:r w:rsidRPr="00B41E66">
              <w:rPr>
                <w:color w:val="0000FF"/>
              </w:rPr>
              <w:t>178</w:t>
            </w:r>
          </w:p>
        </w:tc>
        <w:tc>
          <w:tcPr>
            <w:tcW w:w="1276" w:type="dxa"/>
            <w:gridSpan w:val="2"/>
            <w:tcBorders>
              <w:top w:val="nil"/>
              <w:left w:val="single" w:sz="12" w:space="0" w:color="auto"/>
              <w:bottom w:val="single" w:sz="12" w:space="0" w:color="auto"/>
              <w:right w:val="nil"/>
            </w:tcBorders>
            <w:shd w:val="clear" w:color="auto" w:fill="auto"/>
            <w:noWrap/>
            <w:vAlign w:val="center"/>
            <w:hideMark/>
          </w:tcPr>
          <w:p w14:paraId="4FD9F0B9" w14:textId="77777777" w:rsidR="001F6409" w:rsidRPr="00B41E66" w:rsidRDefault="001F6409" w:rsidP="001F5873">
            <w:pPr>
              <w:jc w:val="center"/>
              <w:rPr>
                <w:color w:val="0000FF"/>
              </w:rPr>
            </w:pPr>
            <w:r w:rsidRPr="00B41E66">
              <w:rPr>
                <w:color w:val="0000FF"/>
              </w:rPr>
              <w:t>147</w:t>
            </w:r>
          </w:p>
        </w:tc>
        <w:tc>
          <w:tcPr>
            <w:tcW w:w="1559" w:type="dxa"/>
            <w:tcBorders>
              <w:top w:val="nil"/>
              <w:left w:val="nil"/>
              <w:bottom w:val="single" w:sz="12" w:space="0" w:color="auto"/>
              <w:right w:val="single" w:sz="12" w:space="0" w:color="auto"/>
            </w:tcBorders>
            <w:shd w:val="clear" w:color="auto" w:fill="auto"/>
            <w:noWrap/>
            <w:vAlign w:val="center"/>
            <w:hideMark/>
          </w:tcPr>
          <w:p w14:paraId="76F4DA45" w14:textId="77777777" w:rsidR="001F6409" w:rsidRPr="00B41E66" w:rsidRDefault="001F6409" w:rsidP="001F5873">
            <w:pPr>
              <w:jc w:val="center"/>
              <w:rPr>
                <w:color w:val="0000FF"/>
              </w:rPr>
            </w:pPr>
            <w:r w:rsidRPr="00B41E66">
              <w:rPr>
                <w:color w:val="0000FF"/>
              </w:rPr>
              <w:t>147</w:t>
            </w:r>
          </w:p>
        </w:tc>
      </w:tr>
    </w:tbl>
    <w:p w14:paraId="3B39C767" w14:textId="77777777" w:rsidR="00464670" w:rsidRPr="00B41E66" w:rsidRDefault="00464670" w:rsidP="00256564"/>
    <w:p w14:paraId="32A389B1" w14:textId="5D64EB53" w:rsidR="006A64F0" w:rsidRPr="00B41E66" w:rsidRDefault="006A64F0" w:rsidP="004E563C">
      <w:r w:rsidRPr="00B41E66">
        <w:t xml:space="preserve">Note: This table displays the results of OLS regressions in which the dependent variables were Return and Abnormal Return. P-values are </w:t>
      </w:r>
      <w:r w:rsidR="00C363E1" w:rsidRPr="00B41E66">
        <w:t xml:space="preserve">displayed </w:t>
      </w:r>
      <w:r w:rsidRPr="00B41E66">
        <w:t>in parentheses</w:t>
      </w:r>
      <w:r w:rsidR="007E5EED" w:rsidRPr="00B41E66">
        <w:t>. T</w:t>
      </w:r>
      <w:r w:rsidR="003E1E23" w:rsidRPr="00B41E66">
        <w:t xml:space="preserve">weets </w:t>
      </w:r>
      <w:r w:rsidRPr="00B41E66">
        <w:t xml:space="preserve">data ends in 12/1/18, </w:t>
      </w:r>
      <w:r w:rsidR="007E5EED" w:rsidRPr="00B41E66">
        <w:t xml:space="preserve">therefor observations of </w:t>
      </w:r>
      <w:r w:rsidR="00FA4EDF" w:rsidRPr="00B41E66">
        <w:t xml:space="preserve">firms for which the IPO took place after </w:t>
      </w:r>
      <w:r w:rsidR="006B1085" w:rsidRPr="00B41E66">
        <w:t xml:space="preserve">Dec. </w:t>
      </w:r>
      <w:r w:rsidR="00FA4EDF" w:rsidRPr="00B41E66">
        <w:t>1</w:t>
      </w:r>
      <w:r w:rsidR="006B1085" w:rsidRPr="00B41E66">
        <w:t>,</w:t>
      </w:r>
      <w:r w:rsidR="00FA4EDF" w:rsidRPr="00B41E66">
        <w:t xml:space="preserve"> </w:t>
      </w:r>
      <w:r w:rsidR="006106C5" w:rsidRPr="00B41E66">
        <w:t>2017,</w:t>
      </w:r>
      <w:r w:rsidR="00FA4EDF" w:rsidRPr="00B41E66">
        <w:t xml:space="preserve"> were excluded</w:t>
      </w:r>
      <w:r w:rsidR="00FA4EDF" w:rsidRPr="00B41E66" w:rsidDel="00FA4EDF">
        <w:t xml:space="preserve"> </w:t>
      </w:r>
      <w:r w:rsidR="00FA4EDF" w:rsidRPr="00B41E66">
        <w:t xml:space="preserve">from the </w:t>
      </w:r>
      <w:r w:rsidRPr="00B41E66">
        <w:t xml:space="preserve">IPO </w:t>
      </w:r>
      <w:r w:rsidR="004E563C" w:rsidRPr="00B41E66">
        <w:t>y</w:t>
      </w:r>
      <w:r w:rsidRPr="00B41E66">
        <w:t>ea</w:t>
      </w:r>
      <w:r w:rsidR="00256564" w:rsidRPr="00B41E66">
        <w:t>r</w:t>
      </w:r>
      <w:r w:rsidR="00C003FA" w:rsidRPr="00B41E66">
        <w:t xml:space="preserve"> </w:t>
      </w:r>
      <w:r w:rsidRPr="00B41E66">
        <w:t>+1</w:t>
      </w:r>
      <w:r w:rsidR="00FA4EDF" w:rsidRPr="00B41E66">
        <w:t xml:space="preserve"> </w:t>
      </w:r>
      <w:r w:rsidR="006106C5" w:rsidRPr="00B41E66">
        <w:t xml:space="preserve">and IPO year +2 </w:t>
      </w:r>
      <w:r w:rsidR="00FA4EDF" w:rsidRPr="00B41E66">
        <w:t>an</w:t>
      </w:r>
      <w:r w:rsidR="0017347D" w:rsidRPr="00B41E66">
        <w:t>a</w:t>
      </w:r>
      <w:r w:rsidR="00FA4EDF" w:rsidRPr="00B41E66">
        <w:t>lysis.</w:t>
      </w:r>
      <w:r w:rsidRPr="00B41E66">
        <w:t xml:space="preserve">, firms for which the IPO took place after </w:t>
      </w:r>
      <w:r w:rsidR="006B1085" w:rsidRPr="00B41E66">
        <w:t>Dec.</w:t>
      </w:r>
      <w:r w:rsidRPr="00B41E66">
        <w:t>1</w:t>
      </w:r>
      <w:r w:rsidR="006B1085" w:rsidRPr="00B41E66">
        <w:t xml:space="preserve">, </w:t>
      </w:r>
      <w:r w:rsidRPr="00B41E66">
        <w:t xml:space="preserve">2016 were excluded </w:t>
      </w:r>
      <w:r w:rsidR="006106C5" w:rsidRPr="00B41E66">
        <w:t>from the IPO year +2 analysis.</w:t>
      </w:r>
    </w:p>
    <w:p w14:paraId="46E62BE2" w14:textId="77777777" w:rsidR="006540AB" w:rsidRPr="00B41E66" w:rsidRDefault="006540AB" w:rsidP="006A64F0">
      <w:pPr>
        <w:spacing w:line="360" w:lineRule="auto"/>
        <w:jc w:val="both"/>
      </w:pPr>
    </w:p>
    <w:p w14:paraId="2BF20791" w14:textId="0BECEDF3" w:rsidR="00E43132" w:rsidRPr="00B41E66" w:rsidRDefault="00E43132" w:rsidP="00AE7AD0">
      <w:pPr>
        <w:spacing w:line="480" w:lineRule="auto"/>
        <w:jc w:val="both"/>
        <w:rPr>
          <w:color w:val="0000FF"/>
        </w:rPr>
      </w:pPr>
      <w:r w:rsidRPr="00B41E66">
        <w:rPr>
          <w:color w:val="0000FF"/>
        </w:rPr>
        <w:t>The contemporaneous correlation between tweet volume and returns found in the univariate analysis, was also recorded in the multivariate analysis, indicating that the difference in returns between HTV and LTV firms is tens precents every year</w:t>
      </w:r>
      <w:r w:rsidR="00003EE2" w:rsidRPr="00B41E66">
        <w:rPr>
          <w:color w:val="0000FF"/>
        </w:rPr>
        <w:t xml:space="preserve"> in favor of the</w:t>
      </w:r>
      <w:r w:rsidRPr="00B41E66">
        <w:rPr>
          <w:color w:val="0000FF"/>
        </w:rPr>
        <w:t xml:space="preserve"> HTV firms. The HTV coefficient is 0.3 (p=0.04) for the IPO year, (Panel A, model 2); 0.36 (t=0.01) for the year IPO+1 (model 1) and 0.46 (p=0.01) for the year IPO+2 (model 1). Regarding AR (Panel B model 2), the results are similar, firms with HTV presents higher AR of 0.18 (p=0.07) in the IPO year (model 2); 0.19 (t=0.09) in the IPO year+1 (Model 1) and 0.49 (p=0.01) in the IPO year +2 (Model 1).</w:t>
      </w:r>
    </w:p>
    <w:p w14:paraId="7D4051A5" w14:textId="77777777" w:rsidR="00E43132" w:rsidRPr="00B41E66" w:rsidRDefault="00E43132" w:rsidP="00AE7AD0">
      <w:pPr>
        <w:spacing w:line="480" w:lineRule="auto"/>
        <w:jc w:val="both"/>
        <w:rPr>
          <w:color w:val="0000FF"/>
        </w:rPr>
      </w:pPr>
    </w:p>
    <w:p w14:paraId="5A1E4CFC" w14:textId="439554E8" w:rsidR="00926B51" w:rsidRPr="00B41E66" w:rsidRDefault="00614C04" w:rsidP="00AE7AD0">
      <w:pPr>
        <w:spacing w:line="480" w:lineRule="auto"/>
        <w:jc w:val="both"/>
        <w:rPr>
          <w:color w:val="0000FF"/>
          <w:rtl/>
          <w:lang w:bidi="he-IL"/>
        </w:rPr>
      </w:pPr>
      <w:r w:rsidRPr="00B41E66">
        <w:rPr>
          <w:color w:val="0000FF"/>
        </w:rPr>
        <w:t>Normalized m</w:t>
      </w:r>
      <w:r w:rsidR="006F74C3" w:rsidRPr="00B41E66">
        <w:rPr>
          <w:color w:val="0000FF"/>
        </w:rPr>
        <w:t xml:space="preserve">arket value is positively correlated with returns and Abnormal Returns </w:t>
      </w:r>
      <w:r w:rsidR="00A971CD" w:rsidRPr="00B41E66">
        <w:rPr>
          <w:color w:val="0000FF"/>
        </w:rPr>
        <w:t xml:space="preserve">in the first two years </w:t>
      </w:r>
      <w:r w:rsidR="006F74C3" w:rsidRPr="00B41E66">
        <w:rPr>
          <w:color w:val="0000FF"/>
        </w:rPr>
        <w:t>as was also demonstrated in the former CAAR analysis section. For example (panel A</w:t>
      </w:r>
      <w:r w:rsidR="008A0A4C" w:rsidRPr="00B41E66">
        <w:rPr>
          <w:color w:val="0000FF"/>
        </w:rPr>
        <w:t>, model 1</w:t>
      </w:r>
      <w:r w:rsidR="006F74C3" w:rsidRPr="00B41E66">
        <w:rPr>
          <w:color w:val="0000FF"/>
        </w:rPr>
        <w:t>) 0.22 (</w:t>
      </w:r>
      <w:r w:rsidR="00A971CD" w:rsidRPr="00B41E66">
        <w:rPr>
          <w:color w:val="0000FF"/>
        </w:rPr>
        <w:t>P</w:t>
      </w:r>
      <w:r w:rsidR="006F74C3" w:rsidRPr="00B41E66">
        <w:rPr>
          <w:color w:val="0000FF"/>
        </w:rPr>
        <w:t xml:space="preserve">=0.00) in </w:t>
      </w:r>
      <w:r w:rsidR="00A971CD" w:rsidRPr="00B41E66">
        <w:rPr>
          <w:color w:val="0000FF"/>
        </w:rPr>
        <w:t>the</w:t>
      </w:r>
      <w:r w:rsidR="006F74C3" w:rsidRPr="00B41E66">
        <w:rPr>
          <w:color w:val="0000FF"/>
        </w:rPr>
        <w:t xml:space="preserve"> IPO year</w:t>
      </w:r>
      <w:r w:rsidR="00A971CD" w:rsidRPr="00B41E66">
        <w:rPr>
          <w:color w:val="0000FF"/>
        </w:rPr>
        <w:t>; 0.2</w:t>
      </w:r>
      <w:r w:rsidRPr="00B41E66">
        <w:rPr>
          <w:color w:val="0000FF"/>
        </w:rPr>
        <w:t>6</w:t>
      </w:r>
      <w:r w:rsidR="00A971CD" w:rsidRPr="00B41E66">
        <w:rPr>
          <w:color w:val="0000FF"/>
        </w:rPr>
        <w:t xml:space="preserve"> (p=0.00) in the IPO year+1 </w:t>
      </w:r>
      <w:r w:rsidRPr="00B41E66">
        <w:rPr>
          <w:color w:val="0000FF"/>
        </w:rPr>
        <w:t xml:space="preserve">(Model 1) </w:t>
      </w:r>
      <w:r w:rsidR="00A971CD" w:rsidRPr="00B41E66">
        <w:rPr>
          <w:color w:val="0000FF"/>
        </w:rPr>
        <w:t>and 0.0</w:t>
      </w:r>
      <w:r w:rsidRPr="00B41E66">
        <w:rPr>
          <w:color w:val="0000FF"/>
        </w:rPr>
        <w:t>3</w:t>
      </w:r>
      <w:r w:rsidR="00A971CD" w:rsidRPr="00B41E66">
        <w:rPr>
          <w:color w:val="0000FF"/>
        </w:rPr>
        <w:t xml:space="preserve"> (p=0.7</w:t>
      </w:r>
      <w:r w:rsidRPr="00B41E66">
        <w:rPr>
          <w:color w:val="0000FF"/>
        </w:rPr>
        <w:t>4</w:t>
      </w:r>
      <w:r w:rsidR="00A971CD" w:rsidRPr="00B41E66">
        <w:rPr>
          <w:color w:val="0000FF"/>
        </w:rPr>
        <w:t xml:space="preserve">) in </w:t>
      </w:r>
      <w:r w:rsidR="00A971CD" w:rsidRPr="00B41E66">
        <w:rPr>
          <w:color w:val="0000FF"/>
        </w:rPr>
        <w:lastRenderedPageBreak/>
        <w:t xml:space="preserve">the IPO+2 year </w:t>
      </w:r>
      <w:r w:rsidRPr="00B41E66">
        <w:rPr>
          <w:color w:val="0000FF"/>
        </w:rPr>
        <w:t>(Model 1)</w:t>
      </w:r>
      <w:r w:rsidR="005A5E87" w:rsidRPr="00B41E66">
        <w:rPr>
          <w:color w:val="0000FF"/>
          <w:lang w:bidi="he-IL"/>
        </w:rPr>
        <w:t xml:space="preserve">. </w:t>
      </w:r>
      <w:r w:rsidRPr="00B41E66">
        <w:rPr>
          <w:color w:val="0000FF"/>
          <w:lang w:bidi="he-IL"/>
        </w:rPr>
        <w:t xml:space="preserve">The Rm-sector variable proves to be significant in the first two years, </w:t>
      </w:r>
      <w:r w:rsidR="0055255C" w:rsidRPr="00B41E66">
        <w:rPr>
          <w:color w:val="0000FF"/>
          <w:lang w:bidi="he-IL"/>
        </w:rPr>
        <w:t>however,</w:t>
      </w:r>
      <w:r w:rsidRPr="00B41E66">
        <w:rPr>
          <w:color w:val="0000FF"/>
          <w:lang w:bidi="he-IL"/>
        </w:rPr>
        <w:t xml:space="preserve"> lost its significance in the third one. </w:t>
      </w:r>
    </w:p>
    <w:p w14:paraId="577C5688" w14:textId="77777777" w:rsidR="00EE31A8" w:rsidRPr="00B41E66" w:rsidRDefault="00EE31A8" w:rsidP="00EA42FF">
      <w:pPr>
        <w:spacing w:line="480" w:lineRule="auto"/>
        <w:rPr>
          <w:lang w:bidi="he-IL"/>
        </w:rPr>
      </w:pPr>
    </w:p>
    <w:p w14:paraId="0D979A13" w14:textId="6173BA1A" w:rsidR="00B629F9" w:rsidRPr="00B41E66" w:rsidRDefault="00253636" w:rsidP="00EA42FF">
      <w:pPr>
        <w:spacing w:line="480" w:lineRule="auto"/>
      </w:pPr>
      <w:r w:rsidRPr="00B41E66">
        <w:t xml:space="preserve">We turn now to </w:t>
      </w:r>
      <w:r w:rsidR="00E94C71" w:rsidRPr="00B41E66">
        <w:t>ex</w:t>
      </w:r>
      <w:r w:rsidR="00E94C71" w:rsidRPr="00B41E66">
        <w:rPr>
          <w:lang w:bidi="he-IL"/>
        </w:rPr>
        <w:t>amine</w:t>
      </w:r>
      <w:r w:rsidR="00E94C71" w:rsidRPr="00B41E66">
        <w:t xml:space="preserve"> the </w:t>
      </w:r>
      <w:r w:rsidRPr="00B41E66">
        <w:t>c</w:t>
      </w:r>
      <w:r w:rsidR="00FC5305" w:rsidRPr="00B41E66">
        <w:t>ausality</w:t>
      </w:r>
      <w:r w:rsidRPr="00B41E66">
        <w:t xml:space="preserve"> </w:t>
      </w:r>
      <w:r w:rsidR="00130528" w:rsidRPr="00B41E66">
        <w:rPr>
          <w:lang w:bidi="he-IL"/>
        </w:rPr>
        <w:t>between tweet</w:t>
      </w:r>
      <w:r w:rsidR="00003EE2" w:rsidRPr="00B41E66">
        <w:rPr>
          <w:lang w:bidi="he-IL"/>
        </w:rPr>
        <w:t>s</w:t>
      </w:r>
      <w:r w:rsidR="00B93ECD" w:rsidRPr="00B41E66">
        <w:rPr>
          <w:lang w:bidi="he-IL"/>
        </w:rPr>
        <w:t xml:space="preserve"> volume and return</w:t>
      </w:r>
      <w:r w:rsidR="00072BD4" w:rsidRPr="00B41E66">
        <w:rPr>
          <w:lang w:bidi="he-IL"/>
        </w:rPr>
        <w:t>s</w:t>
      </w:r>
      <w:r w:rsidR="00130528" w:rsidRPr="00B41E66">
        <w:rPr>
          <w:lang w:bidi="he-IL"/>
        </w:rPr>
        <w:t xml:space="preserve">. </w:t>
      </w:r>
      <w:r w:rsidR="00130528" w:rsidRPr="00B41E66">
        <w:t>We</w:t>
      </w:r>
      <w:r w:rsidR="00E41900" w:rsidRPr="00B41E66">
        <w:t xml:space="preserve"> conduct</w:t>
      </w:r>
      <w:r w:rsidR="002B60DA" w:rsidRPr="00B41E66">
        <w:t>ed</w:t>
      </w:r>
      <w:r w:rsidR="00E41900" w:rsidRPr="00B41E66">
        <w:t xml:space="preserve"> </w:t>
      </w:r>
      <w:r w:rsidR="00D41DBE" w:rsidRPr="00B41E66">
        <w:t>three</w:t>
      </w:r>
      <w:r w:rsidR="000C03CD" w:rsidRPr="00B41E66">
        <w:t xml:space="preserve"> </w:t>
      </w:r>
      <w:r w:rsidR="00E41900" w:rsidRPr="00B41E66">
        <w:t>sets of regressions</w:t>
      </w:r>
      <w:r w:rsidR="00D41DBE" w:rsidRPr="00B41E66">
        <w:t>. F</w:t>
      </w:r>
      <w:r w:rsidR="00E41900" w:rsidRPr="00B41E66">
        <w:t xml:space="preserve">irst, </w:t>
      </w:r>
      <w:r w:rsidR="00B629F9" w:rsidRPr="00B41E66">
        <w:t>we examine</w:t>
      </w:r>
      <w:r w:rsidR="00D41DBE" w:rsidRPr="00B41E66">
        <w:t>d</w:t>
      </w:r>
      <w:r w:rsidR="00B629F9" w:rsidRPr="00B41E66">
        <w:t xml:space="preserve"> whether tweet</w:t>
      </w:r>
      <w:r w:rsidR="00003EE2" w:rsidRPr="00B41E66">
        <w:t>s</w:t>
      </w:r>
      <w:r w:rsidR="00B629F9" w:rsidRPr="00B41E66">
        <w:t xml:space="preserve"> volume in a certain year affected stock return</w:t>
      </w:r>
      <w:r w:rsidR="00D41DBE" w:rsidRPr="00B41E66">
        <w:t>s</w:t>
      </w:r>
      <w:r w:rsidR="00AE7AD0" w:rsidRPr="00B41E66">
        <w:t xml:space="preserve"> </w:t>
      </w:r>
      <w:r w:rsidR="00B629F9" w:rsidRPr="00B41E66">
        <w:t xml:space="preserve">in the following year. Specifically, we conducted the following </w:t>
      </w:r>
      <w:r w:rsidR="00D41DBE" w:rsidRPr="00B41E66">
        <w:t>regressions:</w:t>
      </w:r>
    </w:p>
    <w:p w14:paraId="0BFE916A" w14:textId="77777777" w:rsidR="00F8624C" w:rsidRPr="00B41E66" w:rsidRDefault="00F8624C" w:rsidP="000C03CD">
      <w:pPr>
        <w:spacing w:line="360" w:lineRule="auto"/>
      </w:pPr>
    </w:p>
    <w:p w14:paraId="7828329C" w14:textId="40433601" w:rsidR="00D93270" w:rsidRPr="00B41E66" w:rsidRDefault="00CC63D5" w:rsidP="000E7140">
      <w:pPr>
        <w:pStyle w:val="ListParagraph"/>
        <w:spacing w:line="360" w:lineRule="auto"/>
        <w:ind w:left="360"/>
      </w:pPr>
      <w:r w:rsidRPr="00B41E66">
        <w:t>(3)</w:t>
      </w:r>
      <w:r w:rsidR="000E7140" w:rsidRPr="00B41E66">
        <w:t xml:space="preserve"> - </w:t>
      </w:r>
      <w:r w:rsidR="00BF1E23" w:rsidRPr="00B41E66">
        <w:fldChar w:fldCharType="begin"/>
      </w:r>
      <w:r w:rsidR="00BF1E23" w:rsidRPr="00B41E66">
        <w:instrText xml:space="preserve"> QUOTE </w:instrText>
      </w:r>
      <m:oMath>
        <m:r>
          <w:rPr>
            <w:rFonts w:ascii="Cambria Math" w:hAnsi="Cambria Math"/>
          </w:rPr>
          <m:t>Return</m:t>
        </m:r>
        <m:d>
          <m:dPr>
            <m:ctrlPr>
              <w:rPr>
                <w:rFonts w:ascii="Cambria Math" w:hAnsi="Cambria Math"/>
                <w:i/>
              </w:rPr>
            </m:ctrlPr>
          </m:dPr>
          <m:e>
            <m:r>
              <w:rPr>
                <w:rFonts w:ascii="Cambria Math" w:hAnsi="Cambria Math"/>
              </w:rPr>
              <m:t>IP</m:t>
            </m:r>
            <m:sSub>
              <m:sSubPr>
                <m:ctrlPr>
                  <w:rPr>
                    <w:rFonts w:ascii="Cambria Math" w:hAnsi="Cambria Math"/>
                    <w:i/>
                  </w:rPr>
                </m:ctrlPr>
              </m:sSubPr>
              <m:e>
                <m:r>
                  <w:rPr>
                    <w:rFonts w:ascii="Cambria Math" w:hAnsi="Cambria Math"/>
                  </w:rPr>
                  <m:t>O</m:t>
                </m:r>
              </m:e>
              <m:sub>
                <m:r>
                  <w:rPr>
                    <w:rFonts w:ascii="Cambria Math" w:hAnsi="Cambria Math"/>
                  </w:rPr>
                  <m:t>year</m:t>
                </m:r>
              </m:sub>
            </m:sSub>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*Beta+</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*HTV</m:t>
        </m:r>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PO</m:t>
                </m:r>
              </m:e>
              <m:sub>
                <m:r>
                  <w:rPr>
                    <w:rFonts w:ascii="Cambria Math" w:hAnsi="Cambria Math"/>
                  </w:rPr>
                  <m:t>year</m:t>
                </m:r>
              </m:sub>
            </m:sSub>
            <m:r>
              <w:rPr>
                <w:rFonts w:ascii="Cambria Math" w:hAnsi="Cambria Math"/>
              </w:rPr>
              <m:t>+t-1</m:t>
            </m:r>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*Y2013+…+</m:t>
        </m:r>
        <m:sSub>
          <m:sSubPr>
            <m:ctrlPr>
              <w:rPr>
                <w:rFonts w:ascii="Cambria Math" w:hAnsi="Cambria Math"/>
                <w:i/>
              </w:rPr>
            </m:ctrlPr>
          </m:sSubPr>
          <m:e>
            <m:r>
              <w:rPr>
                <w:rFonts w:ascii="Cambria Math" w:hAnsi="Cambria Math"/>
              </w:rPr>
              <m:t>β</m:t>
            </m:r>
          </m:e>
          <m:sub>
            <m:r>
              <w:rPr>
                <w:rFonts w:ascii="Cambria Math" w:hAnsi="Cambria Math"/>
              </w:rPr>
              <m:t>6</m:t>
            </m:r>
          </m:sub>
        </m:sSub>
        <m:r>
          <w:rPr>
            <w:rFonts w:ascii="Cambria Math" w:hAnsi="Cambria Math"/>
          </w:rPr>
          <m:t>Y2016+</m:t>
        </m:r>
        <m:sSub>
          <m:sSubPr>
            <m:ctrlPr>
              <w:rPr>
                <w:rFonts w:ascii="Cambria Math" w:hAnsi="Cambria Math"/>
                <w:i/>
              </w:rPr>
            </m:ctrlPr>
          </m:sSubPr>
          <m:e>
            <m:r>
              <w:rPr>
                <w:rFonts w:ascii="Cambria Math" w:hAnsi="Cambria Math"/>
              </w:rPr>
              <m:t>β</m:t>
            </m:r>
          </m:e>
          <m:sub>
            <m:r>
              <w:rPr>
                <w:rFonts w:ascii="Cambria Math" w:hAnsi="Cambria Math"/>
              </w:rPr>
              <m:t>7</m:t>
            </m:r>
          </m:sub>
        </m:sSub>
        <m:r>
          <w:rPr>
            <w:rFonts w:ascii="Cambria Math" w:hAnsi="Cambria Math"/>
          </w:rPr>
          <m:t>*NMV</m:t>
        </m:r>
        <m:d>
          <m:dPr>
            <m:ctrlPr>
              <w:rPr>
                <w:rFonts w:ascii="Cambria Math" w:hAnsi="Cambria Math"/>
                <w:i/>
              </w:rPr>
            </m:ctrlPr>
          </m:dPr>
          <m:e>
            <m:r>
              <w:rPr>
                <w:rFonts w:ascii="Cambria Math" w:hAnsi="Cambria Math"/>
              </w:rPr>
              <m:t>IP</m:t>
            </m:r>
            <m:sSub>
              <m:sSubPr>
                <m:ctrlPr>
                  <w:rPr>
                    <w:rFonts w:ascii="Cambria Math" w:hAnsi="Cambria Math"/>
                    <w:i/>
                  </w:rPr>
                </m:ctrlPr>
              </m:sSubPr>
              <m:e>
                <m:r>
                  <w:rPr>
                    <w:rFonts w:ascii="Cambria Math" w:hAnsi="Cambria Math"/>
                  </w:rPr>
                  <m:t>O</m:t>
                </m:r>
              </m:e>
              <m:sub>
                <m:r>
                  <w:rPr>
                    <w:rFonts w:ascii="Cambria Math" w:hAnsi="Cambria Math"/>
                  </w:rPr>
                  <m:t>year</m:t>
                </m:r>
              </m:sub>
            </m:sSub>
            <m:r>
              <w:rPr>
                <w:rFonts w:ascii="Cambria Math" w:hAnsi="Cambria Math"/>
              </w:rPr>
              <m:t>+t</m:t>
            </m:r>
          </m:e>
        </m:d>
      </m:oMath>
      <w:r w:rsidR="00BF1E23" w:rsidRPr="00B41E66">
        <w:instrText xml:space="preserve"> </w:instrText>
      </w:r>
      <w:r w:rsidR="00BF1E23" w:rsidRPr="00B41E66">
        <w:fldChar w:fldCharType="end"/>
      </w:r>
      <w:r w:rsidRPr="00B41E66">
        <w:t>(4)</w:t>
      </w:r>
      <w:r w:rsidR="00BF1E23" w:rsidRPr="00B41E66">
        <w:fldChar w:fldCharType="begin"/>
      </w:r>
      <w:r w:rsidR="00BF1E23" w:rsidRPr="00B41E66">
        <w:instrText xml:space="preserve"> QUOTE </w:instrText>
      </w:r>
      <m:oMath>
        <m:r>
          <w:rPr>
            <w:rFonts w:ascii="Cambria Math" w:hAnsi="Cambria Math"/>
          </w:rPr>
          <m:t>AR</m:t>
        </m:r>
        <m:d>
          <m:dPr>
            <m:ctrlPr>
              <w:rPr>
                <w:rFonts w:ascii="Cambria Math" w:hAnsi="Cambria Math"/>
                <w:i/>
              </w:rPr>
            </m:ctrlPr>
          </m:dPr>
          <m:e>
            <m:r>
              <w:rPr>
                <w:rFonts w:ascii="Cambria Math" w:hAnsi="Cambria Math"/>
              </w:rPr>
              <m:t>IP</m:t>
            </m:r>
            <m:sSub>
              <m:sSubPr>
                <m:ctrlPr>
                  <w:rPr>
                    <w:rFonts w:ascii="Cambria Math" w:hAnsi="Cambria Math"/>
                    <w:i/>
                  </w:rPr>
                </m:ctrlPr>
              </m:sSubPr>
              <m:e>
                <m:r>
                  <w:rPr>
                    <w:rFonts w:ascii="Cambria Math" w:hAnsi="Cambria Math"/>
                  </w:rPr>
                  <m:t>O</m:t>
                </m:r>
              </m:e>
              <m:sub>
                <m:r>
                  <w:rPr>
                    <w:rFonts w:ascii="Cambria Math" w:hAnsi="Cambria Math"/>
                  </w:rPr>
                  <m:t>year</m:t>
                </m:r>
              </m:sub>
            </m:sSub>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*Beta+</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*HTV</m:t>
        </m:r>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PO</m:t>
                </m:r>
              </m:e>
              <m:sub>
                <m:r>
                  <w:rPr>
                    <w:rFonts w:ascii="Cambria Math" w:hAnsi="Cambria Math"/>
                  </w:rPr>
                  <m:t>year</m:t>
                </m:r>
              </m:sub>
            </m:sSub>
            <m:r>
              <w:rPr>
                <w:rFonts w:ascii="Cambria Math" w:hAnsi="Cambria Math"/>
              </w:rPr>
              <m:t>+t-1</m:t>
            </m:r>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*Y2013+…+</m:t>
        </m:r>
        <m:sSub>
          <m:sSubPr>
            <m:ctrlPr>
              <w:rPr>
                <w:rFonts w:ascii="Cambria Math" w:hAnsi="Cambria Math"/>
                <w:i/>
              </w:rPr>
            </m:ctrlPr>
          </m:sSubPr>
          <m:e>
            <m:r>
              <w:rPr>
                <w:rFonts w:ascii="Cambria Math" w:hAnsi="Cambria Math"/>
              </w:rPr>
              <m:t>β</m:t>
            </m:r>
          </m:e>
          <m:sub>
            <m:r>
              <w:rPr>
                <w:rFonts w:ascii="Cambria Math" w:hAnsi="Cambria Math"/>
              </w:rPr>
              <m:t>6</m:t>
            </m:r>
          </m:sub>
        </m:sSub>
        <m:r>
          <w:rPr>
            <w:rFonts w:ascii="Cambria Math" w:hAnsi="Cambria Math"/>
          </w:rPr>
          <m:t>Y2016+</m:t>
        </m:r>
        <m:sSub>
          <m:sSubPr>
            <m:ctrlPr>
              <w:rPr>
                <w:rFonts w:ascii="Cambria Math" w:hAnsi="Cambria Math"/>
                <w:i/>
              </w:rPr>
            </m:ctrlPr>
          </m:sSubPr>
          <m:e>
            <m:r>
              <w:rPr>
                <w:rFonts w:ascii="Cambria Math" w:hAnsi="Cambria Math"/>
              </w:rPr>
              <m:t>β</m:t>
            </m:r>
          </m:e>
          <m:sub>
            <m:r>
              <w:rPr>
                <w:rFonts w:ascii="Cambria Math" w:hAnsi="Cambria Math"/>
              </w:rPr>
              <m:t>7</m:t>
            </m:r>
          </m:sub>
        </m:sSub>
        <m:r>
          <w:rPr>
            <w:rFonts w:ascii="Cambria Math" w:hAnsi="Cambria Math"/>
          </w:rPr>
          <m:t>*NMV(IP</m:t>
        </m:r>
        <m:sSub>
          <m:sSubPr>
            <m:ctrlPr>
              <w:rPr>
                <w:rFonts w:ascii="Cambria Math" w:hAnsi="Cambria Math"/>
                <w:i/>
              </w:rPr>
            </m:ctrlPr>
          </m:sSubPr>
          <m:e>
            <m:r>
              <w:rPr>
                <w:rFonts w:ascii="Cambria Math" w:hAnsi="Cambria Math"/>
              </w:rPr>
              <m:t>O</m:t>
            </m:r>
          </m:e>
          <m:sub>
            <m:r>
              <w:rPr>
                <w:rFonts w:ascii="Cambria Math" w:hAnsi="Cambria Math"/>
              </w:rPr>
              <m:t>year</m:t>
            </m:r>
          </m:sub>
        </m:sSub>
        <m:r>
          <w:rPr>
            <w:rFonts w:ascii="Cambria Math" w:hAnsi="Cambria Math"/>
          </w:rPr>
          <m:t>+t)</m:t>
        </m:r>
      </m:oMath>
      <w:r w:rsidR="00BF1E23" w:rsidRPr="00B41E66">
        <w:instrText xml:space="preserve"> </w:instrText>
      </w:r>
      <w:r w:rsidR="00BF1E23" w:rsidRPr="00B41E66">
        <w:fldChar w:fldCharType="end"/>
      </w:r>
    </w:p>
    <w:p w14:paraId="392A930B" w14:textId="5E916324" w:rsidR="00B629F9" w:rsidRPr="001D366A" w:rsidRDefault="001D366A" w:rsidP="00D93270">
      <w:pPr>
        <w:pStyle w:val="ListParagraph"/>
        <w:spacing w:line="360" w:lineRule="auto"/>
        <w:ind w:left="643"/>
      </w:pPr>
      <m:oMathPara>
        <m:oMath>
          <m:r>
            <w:rPr>
              <w:rFonts w:ascii="Cambria Math" w:hAnsi="Cambria Math"/>
            </w:rPr>
            <m:t>Return</m:t>
          </m:r>
          <m:d>
            <m:dPr>
              <m:ctrlPr>
                <w:rPr>
                  <w:rFonts w:ascii="Cambria Math" w:hAnsi="Cambria Math"/>
                  <w:i/>
                </w:rPr>
              </m:ctrlPr>
            </m:dPr>
            <m:e>
              <m:r>
                <w:rPr>
                  <w:rFonts w:ascii="Cambria Math" w:hAnsi="Cambria Math"/>
                </w:rPr>
                <m:t>IPOyear+t</m:t>
              </m:r>
            </m:e>
          </m:d>
          <m:r>
            <w:rPr>
              <w:rFonts w:ascii="Cambria Math" w:hAnsi="Cambria Math"/>
            </w:rPr>
            <m:t xml:space="preserve"> or Abnormal Return</m:t>
          </m:r>
          <m:d>
            <m:dPr>
              <m:ctrlPr>
                <w:rPr>
                  <w:rFonts w:ascii="Cambria Math" w:hAnsi="Cambria Math"/>
                  <w:i/>
                </w:rPr>
              </m:ctrlPr>
            </m:dPr>
            <m:e>
              <m:r>
                <w:rPr>
                  <w:rFonts w:ascii="Cambria Math" w:hAnsi="Cambria Math"/>
                </w:rPr>
                <m:t>IPOyear+t</m:t>
              </m:r>
            </m:e>
          </m:d>
          <m:r>
            <w:rPr>
              <w:rFonts w:ascii="Cambria Math" w:hAnsi="Cambria Math"/>
            </w:rPr>
            <m:t>=</m:t>
          </m:r>
          <m:sSub>
            <m:sSubPr>
              <m:ctrlPr>
                <w:rPr>
                  <w:rFonts w:ascii="Cambria Math" w:eastAsia="Calibri" w:hAnsi="Cambria Math" w:cs="Arial"/>
                  <w:i/>
                  <w:sz w:val="22"/>
                  <w:szCs w:val="22"/>
                  <w:lang w:bidi="he-IL"/>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eastAsia="Calibri" w:hAnsi="Cambria Math" w:cs="Arial"/>
                  <w:i/>
                  <w:sz w:val="22"/>
                  <w:szCs w:val="22"/>
                  <w:lang w:bidi="he-IL"/>
                </w:rPr>
              </m:ctrlPr>
            </m:sSubPr>
            <m:e>
              <m:r>
                <w:rPr>
                  <w:rFonts w:ascii="Cambria Math" w:hAnsi="Cambria Math"/>
                </w:rPr>
                <m:t>β</m:t>
              </m:r>
            </m:e>
            <m:sub>
              <m:r>
                <w:rPr>
                  <w:rFonts w:ascii="Cambria Math" w:hAnsi="Cambria Math"/>
                </w:rPr>
                <m:t>1</m:t>
              </m:r>
            </m:sub>
          </m:sSub>
          <m:r>
            <w:rPr>
              <w:rFonts w:ascii="Cambria Math" w:hAnsi="Cambria Math"/>
            </w:rPr>
            <m:t>*Beta+</m:t>
          </m:r>
          <m:sSub>
            <m:sSubPr>
              <m:ctrlPr>
                <w:rPr>
                  <w:rFonts w:ascii="Cambria Math" w:eastAsia="Calibri" w:hAnsi="Cambria Math" w:cs="Arial"/>
                  <w:i/>
                  <w:sz w:val="22"/>
                  <w:szCs w:val="22"/>
                  <w:lang w:bidi="he-IL"/>
                </w:rPr>
              </m:ctrlPr>
            </m:sSubPr>
            <m:e>
              <m:r>
                <w:rPr>
                  <w:rFonts w:ascii="Cambria Math" w:hAnsi="Cambria Math"/>
                </w:rPr>
                <m:t>β</m:t>
              </m:r>
            </m:e>
            <m:sub>
              <m:r>
                <w:rPr>
                  <w:rFonts w:ascii="Cambria Math" w:hAnsi="Cambria Math"/>
                </w:rPr>
                <m:t>2</m:t>
              </m:r>
            </m:sub>
          </m:sSub>
          <m:r>
            <w:rPr>
              <w:rFonts w:ascii="Cambria Math" w:hAnsi="Cambria Math"/>
            </w:rPr>
            <m:t>*HTV</m:t>
          </m:r>
          <m:d>
            <m:dPr>
              <m:ctrlPr>
                <w:rPr>
                  <w:rFonts w:ascii="Cambria Math" w:hAnsi="Cambria Math"/>
                  <w:i/>
                </w:rPr>
              </m:ctrlPr>
            </m:dPr>
            <m:e>
              <m:r>
                <w:rPr>
                  <w:rFonts w:ascii="Cambria Math" w:hAnsi="Cambria Math"/>
                </w:rPr>
                <m:t>IPOyear+t-1</m:t>
              </m:r>
            </m:e>
          </m:d>
          <m:r>
            <w:rPr>
              <w:rFonts w:ascii="Cambria Math" w:hAnsi="Cambria Math"/>
            </w:rPr>
            <m:t>+</m:t>
          </m:r>
          <m:sSub>
            <m:sSubPr>
              <m:ctrlPr>
                <w:rPr>
                  <w:rFonts w:ascii="Cambria Math" w:eastAsia="Calibri" w:hAnsi="Cambria Math" w:cs="Arial"/>
                  <w:i/>
                  <w:sz w:val="22"/>
                  <w:szCs w:val="22"/>
                  <w:lang w:bidi="he-IL"/>
                </w:rPr>
              </m:ctrlPr>
            </m:sSubPr>
            <m:e>
              <m:r>
                <w:rPr>
                  <w:rFonts w:ascii="Cambria Math" w:hAnsi="Cambria Math"/>
                </w:rPr>
                <m:t>β</m:t>
              </m:r>
            </m:e>
            <m:sub>
              <m:r>
                <w:rPr>
                  <w:rFonts w:ascii="Cambria Math" w:hAnsi="Cambria Math"/>
                </w:rPr>
                <m:t>3</m:t>
              </m:r>
            </m:sub>
          </m:sSub>
          <m:r>
            <w:rPr>
              <w:rFonts w:ascii="Cambria Math" w:hAnsi="Cambria Math"/>
            </w:rPr>
            <m:t>*Y2013+…+</m:t>
          </m:r>
          <m:sSub>
            <m:sSubPr>
              <m:ctrlPr>
                <w:rPr>
                  <w:rFonts w:ascii="Cambria Math" w:eastAsia="Calibri" w:hAnsi="Cambria Math" w:cs="Arial"/>
                  <w:i/>
                  <w:sz w:val="22"/>
                  <w:szCs w:val="22"/>
                  <w:lang w:bidi="he-IL"/>
                </w:rPr>
              </m:ctrlPr>
            </m:sSubPr>
            <m:e>
              <m:r>
                <w:rPr>
                  <w:rFonts w:ascii="Cambria Math" w:hAnsi="Cambria Math"/>
                </w:rPr>
                <m:t>β</m:t>
              </m:r>
            </m:e>
            <m:sub>
              <m:r>
                <w:rPr>
                  <w:rFonts w:ascii="Cambria Math" w:hAnsi="Cambria Math"/>
                </w:rPr>
                <m:t>6</m:t>
              </m:r>
            </m:sub>
          </m:sSub>
          <m:r>
            <w:rPr>
              <w:rFonts w:ascii="Cambria Math" w:hAnsi="Cambria Math"/>
            </w:rPr>
            <m:t>*Y2016+</m:t>
          </m:r>
          <m:sSub>
            <m:sSubPr>
              <m:ctrlPr>
                <w:rPr>
                  <w:rFonts w:ascii="Cambria Math" w:eastAsia="Calibri" w:hAnsi="Cambria Math" w:cs="Arial"/>
                  <w:i/>
                  <w:sz w:val="22"/>
                  <w:szCs w:val="22"/>
                  <w:lang w:bidi="he-IL"/>
                </w:rPr>
              </m:ctrlPr>
            </m:sSubPr>
            <m:e>
              <m:r>
                <w:rPr>
                  <w:rFonts w:ascii="Cambria Math" w:hAnsi="Cambria Math"/>
                </w:rPr>
                <m:t>β</m:t>
              </m:r>
            </m:e>
            <m:sub>
              <m:r>
                <w:rPr>
                  <w:rFonts w:ascii="Cambria Math" w:hAnsi="Cambria Math"/>
                </w:rPr>
                <m:t>7</m:t>
              </m:r>
            </m:sub>
          </m:sSub>
          <m:r>
            <w:rPr>
              <w:rFonts w:ascii="Cambria Math" w:hAnsi="Cambria Math"/>
            </w:rPr>
            <m:t>*NMV(IPOyear+t)</m:t>
          </m:r>
        </m:oMath>
      </m:oMathPara>
    </w:p>
    <w:p w14:paraId="3157D6F4" w14:textId="5CBED776" w:rsidR="00B629F9" w:rsidRPr="001D366A" w:rsidRDefault="001D366A" w:rsidP="006712E8">
      <w:pPr>
        <w:spacing w:line="360" w:lineRule="auto"/>
      </w:pPr>
      <m:oMathPara>
        <m:oMathParaPr>
          <m:jc m:val="left"/>
        </m:oMathParaPr>
        <m:oMath>
          <m:r>
            <w:rPr>
              <w:rFonts w:ascii="Cambria Math" w:hAnsi="Cambria Math"/>
            </w:rPr>
            <m:t>∀0≤t≤2</m:t>
          </m:r>
        </m:oMath>
      </m:oMathPara>
    </w:p>
    <w:p w14:paraId="11DE0CD6" w14:textId="77777777" w:rsidR="00B629F9" w:rsidRPr="00B41E66" w:rsidRDefault="00B629F9" w:rsidP="000C03CD">
      <w:pPr>
        <w:spacing w:line="360" w:lineRule="auto"/>
      </w:pPr>
    </w:p>
    <w:p w14:paraId="1F8C7ACE" w14:textId="26F27FF0" w:rsidR="00DE1DAA" w:rsidRPr="00B41E66" w:rsidRDefault="00DE1DAA" w:rsidP="00DE1DAA">
      <w:pPr>
        <w:spacing w:line="360" w:lineRule="auto"/>
        <w:rPr>
          <w:rStyle w:val="tlid-translation"/>
        </w:rPr>
      </w:pPr>
      <w:r w:rsidRPr="00B41E66">
        <w:rPr>
          <w:rStyle w:val="tlid-translation"/>
          <w:color w:val="0000FF"/>
        </w:rPr>
        <w:t xml:space="preserve">Despite our expectation of finding a causality link between tweet volume and </w:t>
      </w:r>
      <w:r w:rsidRPr="00B41E66">
        <w:rPr>
          <w:rStyle w:val="tlid-translation"/>
          <w:color w:val="0000FF"/>
          <w:lang w:bidi="he-IL"/>
        </w:rPr>
        <w:t>returns</w:t>
      </w:r>
      <w:r w:rsidRPr="00B41E66">
        <w:rPr>
          <w:rStyle w:val="tlid-translation"/>
          <w:color w:val="0000FF"/>
        </w:rPr>
        <w:t xml:space="preserve">, no such link was uncovered in the various regressions we conducted. </w:t>
      </w:r>
      <w:r w:rsidRPr="00B41E66">
        <w:t>Considering these results, we analyzed whether high or low tweets volume one week, two weeks or one month before the IPO affected one week, two weeks or one-month post-IPO returns. H</w:t>
      </w:r>
      <w:r w:rsidRPr="00B41E66">
        <w:rPr>
          <w:lang w:bidi="he-IL"/>
        </w:rPr>
        <w:t>ere, too, no</w:t>
      </w:r>
      <w:r w:rsidRPr="00B41E66">
        <w:t xml:space="preserve"> causality was found. </w:t>
      </w:r>
      <w:r w:rsidR="00003EE2" w:rsidRPr="00B41E66">
        <w:rPr>
          <w:color w:val="0000FF"/>
        </w:rPr>
        <w:t xml:space="preserve">We suggest that </w:t>
      </w:r>
      <w:r w:rsidR="00003EE2" w:rsidRPr="00B41E66">
        <w:rPr>
          <w:rStyle w:val="tlid-translation"/>
          <w:color w:val="0000FF"/>
        </w:rPr>
        <w:t>the</w:t>
      </w:r>
      <w:r w:rsidRPr="00B41E66">
        <w:rPr>
          <w:rStyle w:val="tlid-translation"/>
          <w:color w:val="0000FF"/>
        </w:rPr>
        <w:t xml:space="preserve"> absence of </w:t>
      </w:r>
      <w:r w:rsidR="00003EE2" w:rsidRPr="00B41E66">
        <w:rPr>
          <w:rStyle w:val="tlid-translation"/>
          <w:color w:val="0000FF"/>
        </w:rPr>
        <w:t>causality</w:t>
      </w:r>
      <w:r w:rsidRPr="00B41E66">
        <w:rPr>
          <w:rStyle w:val="tlid-translation"/>
          <w:color w:val="0000FF"/>
        </w:rPr>
        <w:t xml:space="preserve"> may stem from the relatively long periods of time we examined. It may be that the effect of tweets is myopic or short-sighted in nature and affects time periods of hours or days, as was shown by Forbergskog</w:t>
      </w:r>
      <w:r w:rsidRPr="00B41E66">
        <w:rPr>
          <w:rStyle w:val="tlid-translation"/>
          <w:color w:val="0000FF"/>
          <w:rtl/>
        </w:rPr>
        <w:t xml:space="preserve"> </w:t>
      </w:r>
      <w:r w:rsidRPr="00B41E66">
        <w:rPr>
          <w:rStyle w:val="tlid-translation"/>
          <w:color w:val="0000FF"/>
        </w:rPr>
        <w:t>and Blom (2013), Sul,</w:t>
      </w:r>
      <w:r w:rsidRPr="00B41E66">
        <w:rPr>
          <w:rStyle w:val="tlid-translation"/>
          <w:color w:val="0000FF"/>
          <w:rtl/>
        </w:rPr>
        <w:t xml:space="preserve"> </w:t>
      </w:r>
      <w:r w:rsidRPr="00B41E66">
        <w:rPr>
          <w:rStyle w:val="tlid-translation"/>
          <w:color w:val="0000FF"/>
        </w:rPr>
        <w:t xml:space="preserve">et al. (2014) </w:t>
      </w:r>
      <w:r w:rsidR="0022356A" w:rsidRPr="00B41E66">
        <w:rPr>
          <w:rStyle w:val="tlid-translation"/>
          <w:color w:val="0000FF"/>
        </w:rPr>
        <w:t>,</w:t>
      </w:r>
      <w:r w:rsidRPr="00B41E66">
        <w:rPr>
          <w:rStyle w:val="tlid-translation"/>
          <w:color w:val="0000FF"/>
        </w:rPr>
        <w:t xml:space="preserve"> </w:t>
      </w:r>
      <w:r w:rsidRPr="00B41E66">
        <w:rPr>
          <w:color w:val="0000FF"/>
          <w:lang w:bidi="he-IL"/>
        </w:rPr>
        <w:t>Zhang et al. (2011)</w:t>
      </w:r>
      <w:r w:rsidR="0022356A" w:rsidRPr="00B41E66">
        <w:rPr>
          <w:color w:val="0000FF"/>
          <w:lang w:bidi="he-IL"/>
        </w:rPr>
        <w:t xml:space="preserve"> and Kwan (2015)</w:t>
      </w:r>
      <w:r w:rsidRPr="00B41E66">
        <w:rPr>
          <w:color w:val="0000FF"/>
          <w:lang w:bidi="he-IL"/>
        </w:rPr>
        <w:t xml:space="preserve">. </w:t>
      </w:r>
      <w:r w:rsidRPr="00B41E66">
        <w:rPr>
          <w:rStyle w:val="tlid-translation"/>
          <w:color w:val="0000FF"/>
        </w:rPr>
        <w:t>The relatively long timeframes examined in this study constitute a limitation. Further research is needed to examine causation during short</w:t>
      </w:r>
      <w:r w:rsidR="0022356A" w:rsidRPr="00B41E66">
        <w:rPr>
          <w:rStyle w:val="tlid-translation"/>
          <w:color w:val="0000FF"/>
        </w:rPr>
        <w:t>er</w:t>
      </w:r>
      <w:r w:rsidRPr="00B41E66">
        <w:rPr>
          <w:rStyle w:val="tlid-translation"/>
          <w:color w:val="0000FF"/>
        </w:rPr>
        <w:t>-term time periods</w:t>
      </w:r>
      <w:r w:rsidR="0022356A" w:rsidRPr="00B41E66">
        <w:rPr>
          <w:rStyle w:val="tlid-translation"/>
          <w:color w:val="0000FF"/>
        </w:rPr>
        <w:t>.</w:t>
      </w:r>
    </w:p>
    <w:p w14:paraId="75EAA0B8" w14:textId="77777777" w:rsidR="00DE1DAA" w:rsidRPr="00B41E66" w:rsidRDefault="00DE1DAA" w:rsidP="00821964">
      <w:pPr>
        <w:spacing w:line="360" w:lineRule="auto"/>
      </w:pPr>
    </w:p>
    <w:p w14:paraId="600668F4" w14:textId="77777777" w:rsidR="00080A92" w:rsidRPr="00B41E66" w:rsidRDefault="00080A92" w:rsidP="00EA42FF">
      <w:pPr>
        <w:spacing w:line="480" w:lineRule="auto"/>
        <w:rPr>
          <w:rtl/>
        </w:rPr>
      </w:pPr>
    </w:p>
    <w:p w14:paraId="2C5837C6" w14:textId="77777777" w:rsidR="008526E6" w:rsidRPr="00B41E66" w:rsidRDefault="00087F6D" w:rsidP="00F82401">
      <w:pPr>
        <w:autoSpaceDE w:val="0"/>
        <w:autoSpaceDN w:val="0"/>
        <w:adjustRightInd w:val="0"/>
        <w:spacing w:line="360" w:lineRule="auto"/>
        <w:jc w:val="both"/>
        <w:rPr>
          <w:b/>
          <w:bCs/>
        </w:rPr>
      </w:pPr>
      <w:r w:rsidRPr="00B41E66">
        <w:rPr>
          <w:b/>
          <w:bCs/>
        </w:rPr>
        <w:t>5</w:t>
      </w:r>
      <w:r w:rsidR="00F82401" w:rsidRPr="00B41E66">
        <w:rPr>
          <w:b/>
          <w:bCs/>
        </w:rPr>
        <w:t xml:space="preserve">. </w:t>
      </w:r>
      <w:r w:rsidR="00541BAF" w:rsidRPr="00B41E66">
        <w:rPr>
          <w:b/>
          <w:bCs/>
        </w:rPr>
        <w:t xml:space="preserve">Discussion and </w:t>
      </w:r>
      <w:r w:rsidR="00F82401" w:rsidRPr="00B41E66">
        <w:rPr>
          <w:b/>
          <w:bCs/>
        </w:rPr>
        <w:t>Co</w:t>
      </w:r>
      <w:r w:rsidR="00446A36" w:rsidRPr="00B41E66">
        <w:rPr>
          <w:b/>
          <w:bCs/>
        </w:rPr>
        <w:t>nclusions</w:t>
      </w:r>
    </w:p>
    <w:p w14:paraId="4BC54A04" w14:textId="77777777" w:rsidR="00375287" w:rsidRPr="00B41E66" w:rsidRDefault="00E13A3D" w:rsidP="00EA42FF">
      <w:pPr>
        <w:pStyle w:val="Default"/>
        <w:spacing w:after="240" w:line="480" w:lineRule="auto"/>
        <w:jc w:val="both"/>
        <w:rPr>
          <w:color w:val="auto"/>
          <w:lang w:bidi="ar-SA"/>
        </w:rPr>
      </w:pPr>
      <w:r w:rsidRPr="00B41E66">
        <w:rPr>
          <w:color w:val="auto"/>
          <w:lang w:bidi="ar-SA"/>
        </w:rPr>
        <w:t>During</w:t>
      </w:r>
      <w:r w:rsidR="00375287" w:rsidRPr="00B41E66">
        <w:rPr>
          <w:color w:val="auto"/>
          <w:lang w:bidi="ar-SA"/>
        </w:rPr>
        <w:t xml:space="preserve"> the last few decades, psychological aspects of decision</w:t>
      </w:r>
      <w:r w:rsidRPr="00B41E66">
        <w:rPr>
          <w:color w:val="auto"/>
          <w:lang w:bidi="ar-SA"/>
        </w:rPr>
        <w:t>-</w:t>
      </w:r>
      <w:r w:rsidR="00375287" w:rsidRPr="00B41E66">
        <w:rPr>
          <w:color w:val="auto"/>
          <w:lang w:bidi="ar-SA"/>
        </w:rPr>
        <w:t>making have been successfully i</w:t>
      </w:r>
      <w:r w:rsidRPr="00B41E66">
        <w:rPr>
          <w:color w:val="auto"/>
          <w:lang w:bidi="ar-SA"/>
        </w:rPr>
        <w:t>ntegrated into</w:t>
      </w:r>
      <w:r w:rsidR="00375287" w:rsidRPr="00B41E66">
        <w:rPr>
          <w:color w:val="auto"/>
          <w:lang w:bidi="ar-SA"/>
        </w:rPr>
        <w:t xml:space="preserve"> economic modeling, adding to the descriptive power of the traditional normative approach based on rational</w:t>
      </w:r>
      <w:r w:rsidR="00B77338" w:rsidRPr="00B41E66">
        <w:rPr>
          <w:color w:val="auto"/>
        </w:rPr>
        <w:t xml:space="preserve"> expectations</w:t>
      </w:r>
      <w:r w:rsidR="00375287" w:rsidRPr="00B41E66">
        <w:rPr>
          <w:color w:val="auto"/>
          <w:lang w:bidi="ar-SA"/>
        </w:rPr>
        <w:t xml:space="preserve">. Numerous </w:t>
      </w:r>
      <w:r w:rsidR="00C374DE" w:rsidRPr="00B41E66">
        <w:rPr>
          <w:color w:val="auto"/>
          <w:lang w:val="en-GB"/>
        </w:rPr>
        <w:t>stud</w:t>
      </w:r>
      <w:r w:rsidRPr="00B41E66">
        <w:rPr>
          <w:color w:val="auto"/>
          <w:lang w:val="en-GB"/>
        </w:rPr>
        <w:t>y</w:t>
      </w:r>
      <w:r w:rsidR="00375287" w:rsidRPr="00B41E66">
        <w:rPr>
          <w:color w:val="auto"/>
          <w:lang w:bidi="ar-SA"/>
        </w:rPr>
        <w:t xml:space="preserve"> results </w:t>
      </w:r>
      <w:r w:rsidR="00CF1691" w:rsidRPr="00B41E66">
        <w:rPr>
          <w:color w:val="auto"/>
          <w:lang w:bidi="ar-SA"/>
        </w:rPr>
        <w:t>indicating</w:t>
      </w:r>
      <w:r w:rsidR="00375287" w:rsidRPr="00B41E66">
        <w:rPr>
          <w:color w:val="auto"/>
          <w:lang w:bidi="ar-SA"/>
        </w:rPr>
        <w:t xml:space="preserve"> individuals’ cognitive limitations have been documented as part of </w:t>
      </w:r>
      <w:r w:rsidR="00072BD4" w:rsidRPr="00B41E66">
        <w:rPr>
          <w:color w:val="auto"/>
          <w:lang w:bidi="ar-SA"/>
        </w:rPr>
        <w:t>this trend</w:t>
      </w:r>
      <w:r w:rsidR="00375287" w:rsidRPr="00B41E66">
        <w:rPr>
          <w:color w:val="auto"/>
          <w:lang w:bidi="ar-SA"/>
        </w:rPr>
        <w:t xml:space="preserve">. </w:t>
      </w:r>
    </w:p>
    <w:p w14:paraId="0A5E5772" w14:textId="1B93437D" w:rsidR="00E52CCC" w:rsidRPr="00B41E66" w:rsidRDefault="0028190D" w:rsidP="00057D85">
      <w:pPr>
        <w:autoSpaceDE w:val="0"/>
        <w:autoSpaceDN w:val="0"/>
        <w:adjustRightInd w:val="0"/>
        <w:spacing w:line="480" w:lineRule="auto"/>
        <w:jc w:val="both"/>
        <w:rPr>
          <w:color w:val="0000FF"/>
          <w:rtl/>
        </w:rPr>
      </w:pPr>
      <w:r w:rsidRPr="00B41E66">
        <w:rPr>
          <w:color w:val="0000FF"/>
        </w:rPr>
        <w:lastRenderedPageBreak/>
        <w:t>Our</w:t>
      </w:r>
      <w:r w:rsidRPr="00B41E66">
        <w:t xml:space="preserve"> </w:t>
      </w:r>
      <w:r w:rsidR="00BD34F1" w:rsidRPr="00B41E66">
        <w:t>c</w:t>
      </w:r>
      <w:r w:rsidR="00375287" w:rsidRPr="00B41E66">
        <w:t>ontributi</w:t>
      </w:r>
      <w:r w:rsidR="00BD34F1" w:rsidRPr="00B41E66">
        <w:t>on</w:t>
      </w:r>
      <w:r w:rsidR="00375287" w:rsidRPr="00B41E66">
        <w:t xml:space="preserve"> to this line of work</w:t>
      </w:r>
      <w:r w:rsidRPr="00B41E66">
        <w:t xml:space="preserve"> </w:t>
      </w:r>
      <w:r w:rsidR="000962AD" w:rsidRPr="00B41E66">
        <w:rPr>
          <w:color w:val="0000FF"/>
        </w:rPr>
        <w:t>is in several aspects</w:t>
      </w:r>
      <w:r w:rsidR="00375287" w:rsidRPr="00B41E66">
        <w:t xml:space="preserve">, </w:t>
      </w:r>
      <w:r w:rsidR="000962AD" w:rsidRPr="00B41E66">
        <w:rPr>
          <w:color w:val="0000FF"/>
          <w:lang w:bidi="he-IL"/>
        </w:rPr>
        <w:t>first</w:t>
      </w:r>
      <w:r w:rsidR="000962AD" w:rsidRPr="00B41E66">
        <w:rPr>
          <w:lang w:bidi="he-IL"/>
        </w:rPr>
        <w:t xml:space="preserve">, </w:t>
      </w:r>
      <w:r w:rsidR="00375287" w:rsidRPr="00B41E66">
        <w:t xml:space="preserve">we </w:t>
      </w:r>
      <w:r w:rsidR="007B23B4" w:rsidRPr="00B41E66">
        <w:t>have focused</w:t>
      </w:r>
      <w:r w:rsidR="00C374DE" w:rsidRPr="00B41E66">
        <w:t xml:space="preserve"> on </w:t>
      </w:r>
      <w:r w:rsidR="00CF1691" w:rsidRPr="00B41E66">
        <w:t xml:space="preserve">the </w:t>
      </w:r>
      <w:r w:rsidR="00C374DE" w:rsidRPr="00B41E66">
        <w:t>post</w:t>
      </w:r>
      <w:r w:rsidR="00CF1691" w:rsidRPr="00B41E66">
        <w:t>-</w:t>
      </w:r>
      <w:r w:rsidR="00C374DE" w:rsidRPr="00B41E66">
        <w:t xml:space="preserve">IPO period of </w:t>
      </w:r>
      <w:bookmarkStart w:id="12" w:name="_Hlk80615689"/>
      <w:r w:rsidR="00836C44" w:rsidRPr="00B41E66">
        <w:t>biotechnology</w:t>
      </w:r>
      <w:r w:rsidR="00C374DE" w:rsidRPr="00B41E66">
        <w:t xml:space="preserve"> firms representing the </w:t>
      </w:r>
      <w:r w:rsidR="00CF1691" w:rsidRPr="00B41E66">
        <w:t>“</w:t>
      </w:r>
      <w:r w:rsidR="00C374DE" w:rsidRPr="00B41E66">
        <w:t>new world</w:t>
      </w:r>
      <w:r w:rsidR="00CF1691" w:rsidRPr="00B41E66">
        <w:t>”</w:t>
      </w:r>
      <w:r w:rsidR="00C374DE" w:rsidRPr="00B41E66">
        <w:t xml:space="preserve"> of firms</w:t>
      </w:r>
      <w:bookmarkEnd w:id="12"/>
      <w:r w:rsidR="009A3A7D" w:rsidRPr="00B41E66">
        <w:rPr>
          <w:lang w:bidi="he-IL"/>
        </w:rPr>
        <w:t>.</w:t>
      </w:r>
      <w:r w:rsidR="00C374DE" w:rsidRPr="00B41E66">
        <w:t xml:space="preserve"> </w:t>
      </w:r>
      <w:r w:rsidR="008E53E8" w:rsidRPr="00B41E66">
        <w:t>Most</w:t>
      </w:r>
      <w:r w:rsidR="009A3A7D" w:rsidRPr="00B41E66">
        <w:t xml:space="preserve"> of these are small</w:t>
      </w:r>
      <w:r w:rsidR="00B42AA6" w:rsidRPr="00B41E66">
        <w:t>-sized</w:t>
      </w:r>
      <w:r w:rsidR="009A3A7D" w:rsidRPr="00B41E66">
        <w:t xml:space="preserve"> firms developing one or only </w:t>
      </w:r>
      <w:r w:rsidR="00CF1691" w:rsidRPr="00B41E66">
        <w:t xml:space="preserve">a </w:t>
      </w:r>
      <w:r w:rsidR="009A3A7D" w:rsidRPr="00B41E66">
        <w:t>few drugs</w:t>
      </w:r>
      <w:r w:rsidR="00CF1691" w:rsidRPr="00B41E66">
        <w:t>. Therefore,</w:t>
      </w:r>
      <w:r w:rsidR="009A3A7D" w:rsidRPr="00B41E66">
        <w:t xml:space="preserve"> </w:t>
      </w:r>
      <w:r w:rsidR="00C374DE" w:rsidRPr="00B41E66">
        <w:t xml:space="preserve">investors’ attention has </w:t>
      </w:r>
      <w:r w:rsidR="00CF1691" w:rsidRPr="00B41E66">
        <w:t>enormous</w:t>
      </w:r>
      <w:r w:rsidR="00C374DE" w:rsidRPr="00B41E66">
        <w:t xml:space="preserve"> influence on compan</w:t>
      </w:r>
      <w:r w:rsidR="00D17378" w:rsidRPr="00B41E66">
        <w:t>ie</w:t>
      </w:r>
      <w:r w:rsidR="00C374DE" w:rsidRPr="00B41E66">
        <w:t>s</w:t>
      </w:r>
      <w:r w:rsidR="00D17378" w:rsidRPr="00B41E66">
        <w:t>’</w:t>
      </w:r>
      <w:r w:rsidR="00C374DE" w:rsidRPr="00B41E66">
        <w:t xml:space="preserve"> share</w:t>
      </w:r>
      <w:r w:rsidR="00575005" w:rsidRPr="00B41E66">
        <w:t xml:space="preserve"> price</w:t>
      </w:r>
      <w:r w:rsidR="00CF1691" w:rsidRPr="00B41E66">
        <w:t>s</w:t>
      </w:r>
      <w:r w:rsidR="00F82401" w:rsidRPr="00B41E66">
        <w:t>.</w:t>
      </w:r>
      <w:r w:rsidR="00C374DE" w:rsidRPr="00B41E66">
        <w:t xml:space="preserve"> </w:t>
      </w:r>
      <w:r w:rsidR="00CF1691" w:rsidRPr="00B41E66">
        <w:t>The phenomenon of a collapse in s</w:t>
      </w:r>
      <w:r w:rsidR="00C374DE" w:rsidRPr="00B41E66">
        <w:t>har</w:t>
      </w:r>
      <w:r w:rsidR="00806EEA" w:rsidRPr="00B41E66">
        <w:t>e</w:t>
      </w:r>
      <w:r w:rsidR="00471CF9" w:rsidRPr="00B41E66">
        <w:t>s</w:t>
      </w:r>
      <w:r w:rsidR="00CF1691" w:rsidRPr="00B41E66">
        <w:t>’</w:t>
      </w:r>
      <w:r w:rsidR="00806EEA" w:rsidRPr="00B41E66">
        <w:t xml:space="preserve"> </w:t>
      </w:r>
      <w:r w:rsidR="009A61D4" w:rsidRPr="00B41E66">
        <w:t xml:space="preserve">CAAR </w:t>
      </w:r>
      <w:r w:rsidR="00C374DE" w:rsidRPr="00B41E66">
        <w:t xml:space="preserve">after IPO </w:t>
      </w:r>
      <w:r w:rsidR="00CF1691" w:rsidRPr="00B41E66">
        <w:t xml:space="preserve">has been </w:t>
      </w:r>
      <w:r w:rsidR="00C374DE" w:rsidRPr="00B41E66">
        <w:t xml:space="preserve">well known for years (see </w:t>
      </w:r>
      <w:r w:rsidR="00352A19" w:rsidRPr="00B41E66">
        <w:t xml:space="preserve">Loughran and </w:t>
      </w:r>
      <w:r w:rsidR="00C374DE" w:rsidRPr="00B41E66">
        <w:t xml:space="preserve">Ritter, </w:t>
      </w:r>
      <w:r w:rsidR="008F5B81" w:rsidRPr="00B41E66">
        <w:t>1995 and Ritter and Welch, 2002</w:t>
      </w:r>
      <w:r w:rsidR="00C374DE" w:rsidRPr="00B41E66">
        <w:t>)</w:t>
      </w:r>
      <w:r w:rsidR="00CF1691" w:rsidRPr="00B41E66">
        <w:t>. However,</w:t>
      </w:r>
      <w:r w:rsidR="00C374DE" w:rsidRPr="00B41E66">
        <w:t xml:space="preserve"> </w:t>
      </w:r>
      <w:bookmarkStart w:id="13" w:name="_Hlk80615717"/>
      <w:r w:rsidR="00C374DE" w:rsidRPr="00B41E66">
        <w:t xml:space="preserve">only </w:t>
      </w:r>
      <w:r w:rsidR="00CF1691" w:rsidRPr="00B41E66">
        <w:t xml:space="preserve">a </w:t>
      </w:r>
      <w:r w:rsidR="00C374DE" w:rsidRPr="00B41E66">
        <w:t xml:space="preserve">small portion of the studies </w:t>
      </w:r>
      <w:r w:rsidR="00CF1691" w:rsidRPr="00B41E66">
        <w:t>have focused</w:t>
      </w:r>
      <w:r w:rsidR="00C374DE" w:rsidRPr="00B41E66">
        <w:t xml:space="preserve"> on </w:t>
      </w:r>
      <w:r w:rsidR="006B5EC4" w:rsidRPr="00B41E66">
        <w:rPr>
          <w:lang w:bidi="he-IL"/>
        </w:rPr>
        <w:t xml:space="preserve">the </w:t>
      </w:r>
      <w:r w:rsidR="00836C44" w:rsidRPr="00B41E66">
        <w:t>biotechnology</w:t>
      </w:r>
      <w:r w:rsidR="00C374DE" w:rsidRPr="00B41E66">
        <w:t xml:space="preserve"> sector, </w:t>
      </w:r>
      <w:r w:rsidR="00CF1691" w:rsidRPr="00B41E66">
        <w:t>despite this sector being ranked as a leading one based on its</w:t>
      </w:r>
      <w:r w:rsidR="00C374DE" w:rsidRPr="00B41E66">
        <w:t xml:space="preserve"> revenues</w:t>
      </w:r>
      <w:bookmarkEnd w:id="13"/>
      <w:r w:rsidR="00C374DE" w:rsidRPr="00B41E66">
        <w:t xml:space="preserve">. </w:t>
      </w:r>
      <w:r w:rsidR="00BD34F1" w:rsidRPr="00B41E66">
        <w:rPr>
          <w:color w:val="0000FF"/>
        </w:rPr>
        <w:t>Second</w:t>
      </w:r>
      <w:r w:rsidR="00BD34F1" w:rsidRPr="00B41E66">
        <w:t xml:space="preserve">, </w:t>
      </w:r>
      <w:r w:rsidR="00FF3BE6" w:rsidRPr="00B41E66">
        <w:t xml:space="preserve">we </w:t>
      </w:r>
      <w:r w:rsidR="007E5D39" w:rsidRPr="00B41E66">
        <w:t>investig</w:t>
      </w:r>
      <w:r w:rsidR="00FF3BE6" w:rsidRPr="00B41E66">
        <w:t>e</w:t>
      </w:r>
      <w:r w:rsidR="007E5D39" w:rsidRPr="00B41E66">
        <w:t xml:space="preserve"> small-sized </w:t>
      </w:r>
      <w:r w:rsidR="00B662EB" w:rsidRPr="00B41E66">
        <w:t>firms’</w:t>
      </w:r>
      <w:r w:rsidR="007E5D39" w:rsidRPr="00B41E66">
        <w:t xml:space="preserve"> behavior after </w:t>
      </w:r>
      <w:r w:rsidR="00CF1691" w:rsidRPr="00B41E66">
        <w:t>the change in regulations signified by the passage of the JOBS Act in 2012</w:t>
      </w:r>
      <w:r w:rsidR="00C374DE" w:rsidRPr="00B41E66">
        <w:t xml:space="preserve"> </w:t>
      </w:r>
      <w:r w:rsidR="007E5D39" w:rsidRPr="00B41E66">
        <w:t xml:space="preserve">which </w:t>
      </w:r>
      <w:r w:rsidR="00C374DE" w:rsidRPr="00B41E66">
        <w:t>has dramatically alter</w:t>
      </w:r>
      <w:r w:rsidR="00CF1691" w:rsidRPr="00B41E66">
        <w:t>ed</w:t>
      </w:r>
      <w:r w:rsidR="00C374DE" w:rsidRPr="00B41E66">
        <w:t xml:space="preserve"> investors</w:t>
      </w:r>
      <w:r w:rsidR="00CF1691" w:rsidRPr="00B41E66">
        <w:t>’</w:t>
      </w:r>
      <w:r w:rsidR="00C374DE" w:rsidRPr="00B41E66">
        <w:t xml:space="preserve"> approach to </w:t>
      </w:r>
      <w:r w:rsidR="00461B2A" w:rsidRPr="00B41E66">
        <w:t>these kinds of</w:t>
      </w:r>
      <w:r w:rsidR="00B662EB" w:rsidRPr="00B41E66">
        <w:t xml:space="preserve"> small-sized firms</w:t>
      </w:r>
      <w:r w:rsidR="00C374DE" w:rsidRPr="00B41E66">
        <w:t xml:space="preserve">, </w:t>
      </w:r>
      <w:r w:rsidR="00CF1691" w:rsidRPr="00B41E66">
        <w:t>resulting in these firms receiving more attention from capital markets.</w:t>
      </w:r>
      <w:r w:rsidR="00F01FCB" w:rsidRPr="00B41E66">
        <w:t xml:space="preserve"> </w:t>
      </w:r>
      <w:r w:rsidR="00BD34F1" w:rsidRPr="00B41E66">
        <w:rPr>
          <w:color w:val="0000FF"/>
        </w:rPr>
        <w:t>Third,</w:t>
      </w:r>
      <w:r w:rsidR="00DC323F" w:rsidRPr="00B41E66">
        <w:t xml:space="preserve"> </w:t>
      </w:r>
      <w:r w:rsidR="00FF3BE6" w:rsidRPr="00B41E66">
        <w:t>finding</w:t>
      </w:r>
      <w:r w:rsidR="007E5D39" w:rsidRPr="00B41E66">
        <w:t xml:space="preserve"> the </w:t>
      </w:r>
      <w:r w:rsidR="00092477" w:rsidRPr="00B41E66">
        <w:rPr>
          <w:color w:val="0000FF"/>
        </w:rPr>
        <w:t xml:space="preserve">$500M as the </w:t>
      </w:r>
      <w:r w:rsidR="007E5D39" w:rsidRPr="00B41E66">
        <w:rPr>
          <w:color w:val="0000FF"/>
        </w:rPr>
        <w:t>necessary minimal market value for firms seeking to perform a successful IPO</w:t>
      </w:r>
      <w:r w:rsidR="00092477" w:rsidRPr="00B41E66">
        <w:rPr>
          <w:color w:val="0000FF"/>
        </w:rPr>
        <w:t xml:space="preserve">. </w:t>
      </w:r>
      <w:r w:rsidR="00862FBD">
        <w:rPr>
          <w:color w:val="0000FF"/>
        </w:rPr>
        <w:t xml:space="preserve">We suggest that </w:t>
      </w:r>
      <w:r w:rsidR="00862FBD" w:rsidRPr="00B41E66">
        <w:rPr>
          <w:color w:val="0000FF"/>
        </w:rPr>
        <w:t xml:space="preserve">firms’ </w:t>
      </w:r>
      <w:r w:rsidR="00862FBD">
        <w:rPr>
          <w:color w:val="0000FF"/>
        </w:rPr>
        <w:t>with s</w:t>
      </w:r>
      <w:r w:rsidR="00092477" w:rsidRPr="00B41E66">
        <w:rPr>
          <w:color w:val="0000FF"/>
        </w:rPr>
        <w:t>maller market value</w:t>
      </w:r>
      <w:r w:rsidR="00862FBD">
        <w:rPr>
          <w:color w:val="0000FF"/>
        </w:rPr>
        <w:t>s</w:t>
      </w:r>
      <w:r w:rsidR="00092477" w:rsidRPr="00B41E66">
        <w:rPr>
          <w:color w:val="0000FF"/>
        </w:rPr>
        <w:t xml:space="preserve"> </w:t>
      </w:r>
      <w:r w:rsidR="00862FBD">
        <w:rPr>
          <w:color w:val="0000FF"/>
        </w:rPr>
        <w:t>are</w:t>
      </w:r>
      <w:r w:rsidR="007E5D39" w:rsidRPr="00B41E66">
        <w:rPr>
          <w:color w:val="0000FF"/>
        </w:rPr>
        <w:t xml:space="preserve"> </w:t>
      </w:r>
      <w:r w:rsidR="00862FBD">
        <w:rPr>
          <w:color w:val="0000FF"/>
        </w:rPr>
        <w:t xml:space="preserve">being perceived with small likelihood to survive which leads to </w:t>
      </w:r>
      <w:r w:rsidR="00092477" w:rsidRPr="00B41E66">
        <w:rPr>
          <w:color w:val="0000FF"/>
        </w:rPr>
        <w:t>share underperformance</w:t>
      </w:r>
      <w:r w:rsidR="007E5D39" w:rsidRPr="00B41E66">
        <w:rPr>
          <w:color w:val="0000FF"/>
        </w:rPr>
        <w:t xml:space="preserve"> in the year</w:t>
      </w:r>
      <w:r w:rsidR="00092477" w:rsidRPr="00B41E66">
        <w:rPr>
          <w:color w:val="0000FF"/>
        </w:rPr>
        <w:t>s</w:t>
      </w:r>
      <w:r w:rsidR="007E5D39" w:rsidRPr="00B41E66">
        <w:rPr>
          <w:color w:val="0000FF"/>
        </w:rPr>
        <w:t xml:space="preserve"> following the IPO</w:t>
      </w:r>
      <w:r w:rsidR="00057D85" w:rsidRPr="00B41E66">
        <w:rPr>
          <w:color w:val="0000FF"/>
        </w:rPr>
        <w:t xml:space="preserve">. </w:t>
      </w:r>
      <w:r w:rsidR="00DC323F" w:rsidRPr="00B41E66">
        <w:rPr>
          <w:color w:val="0000FF"/>
          <w:lang w:bidi="he-IL"/>
        </w:rPr>
        <w:t>And fo</w:t>
      </w:r>
      <w:r w:rsidR="00FF3BE6" w:rsidRPr="00B41E66">
        <w:rPr>
          <w:color w:val="0000FF"/>
          <w:lang w:bidi="he-IL"/>
        </w:rPr>
        <w:t>u</w:t>
      </w:r>
      <w:r w:rsidR="00DC323F" w:rsidRPr="00B41E66">
        <w:rPr>
          <w:color w:val="0000FF"/>
          <w:lang w:bidi="he-IL"/>
        </w:rPr>
        <w:t>rth,</w:t>
      </w:r>
      <w:r w:rsidR="00BD34F1" w:rsidRPr="00B41E66">
        <w:rPr>
          <w:color w:val="0000FF"/>
        </w:rPr>
        <w:t xml:space="preserve"> </w:t>
      </w:r>
      <w:r w:rsidR="00707F5F" w:rsidRPr="00B41E66">
        <w:rPr>
          <w:color w:val="0000FF"/>
        </w:rPr>
        <w:t>th</w:t>
      </w:r>
      <w:r w:rsidR="00707F5F" w:rsidRPr="00B41E66">
        <w:rPr>
          <w:color w:val="0000FF"/>
          <w:lang w:bidi="he-IL"/>
        </w:rPr>
        <w:t>is</w:t>
      </w:r>
      <w:r w:rsidR="00E52CCC" w:rsidRPr="00B41E66">
        <w:rPr>
          <w:color w:val="0000FF"/>
        </w:rPr>
        <w:t xml:space="preserve"> study sheds light on the behavior</w:t>
      </w:r>
      <w:r w:rsidR="00FF3BE6" w:rsidRPr="00B41E66">
        <w:rPr>
          <w:color w:val="0000FF"/>
          <w:rtl/>
          <w:lang w:bidi="he-IL"/>
        </w:rPr>
        <w:t xml:space="preserve"> </w:t>
      </w:r>
      <w:r w:rsidR="00E52CCC" w:rsidRPr="00B41E66">
        <w:rPr>
          <w:color w:val="0000FF"/>
        </w:rPr>
        <w:t xml:space="preserve">of market participants for whom </w:t>
      </w:r>
      <w:r w:rsidR="00707F5F" w:rsidRPr="00B41E66">
        <w:rPr>
          <w:color w:val="0000FF"/>
        </w:rPr>
        <w:t>a</w:t>
      </w:r>
      <w:r w:rsidR="00E52CCC" w:rsidRPr="00B41E66">
        <w:rPr>
          <w:color w:val="0000FF"/>
        </w:rPr>
        <w:t xml:space="preserve"> </w:t>
      </w:r>
      <w:r w:rsidR="00707F5F" w:rsidRPr="00B41E66">
        <w:rPr>
          <w:color w:val="0000FF"/>
        </w:rPr>
        <w:t>prominent</w:t>
      </w:r>
      <w:r w:rsidR="00E52CCC" w:rsidRPr="00B41E66">
        <w:rPr>
          <w:color w:val="0000FF"/>
        </w:rPr>
        <w:t xml:space="preserve"> </w:t>
      </w:r>
      <w:r w:rsidR="00707F5F" w:rsidRPr="00B41E66">
        <w:rPr>
          <w:color w:val="0000FF"/>
        </w:rPr>
        <w:t xml:space="preserve">presence </w:t>
      </w:r>
      <w:r w:rsidR="00E52CCC" w:rsidRPr="00B41E66">
        <w:rPr>
          <w:color w:val="0000FF"/>
        </w:rPr>
        <w:t xml:space="preserve">social media </w:t>
      </w:r>
      <w:r w:rsidR="00707F5F" w:rsidRPr="00B41E66">
        <w:rPr>
          <w:color w:val="0000FF"/>
        </w:rPr>
        <w:t xml:space="preserve">as reflected in high tweets volume </w:t>
      </w:r>
      <w:r w:rsidR="00E52CCC" w:rsidRPr="00B41E66">
        <w:rPr>
          <w:color w:val="0000FF"/>
        </w:rPr>
        <w:t xml:space="preserve">contributes to the firm’s </w:t>
      </w:r>
      <w:r w:rsidR="00707F5F" w:rsidRPr="00B41E66">
        <w:rPr>
          <w:color w:val="0000FF"/>
        </w:rPr>
        <w:t xml:space="preserve">perceived quality. </w:t>
      </w:r>
      <w:r w:rsidR="00E52CCC" w:rsidRPr="00B41E66">
        <w:rPr>
          <w:color w:val="0000FF"/>
        </w:rPr>
        <w:t xml:space="preserve"> </w:t>
      </w:r>
      <w:r w:rsidR="00707F5F" w:rsidRPr="00B41E66">
        <w:rPr>
          <w:color w:val="0000FF"/>
        </w:rPr>
        <w:t>This higher perceived company image bias and boost financial trading activity and stock pricing, which in turn affects stock rates of return in the contemporaneous year</w:t>
      </w:r>
      <w:r w:rsidR="00E52CCC" w:rsidRPr="00B41E66">
        <w:rPr>
          <w:color w:val="0000FF"/>
        </w:rPr>
        <w:t>.</w:t>
      </w:r>
    </w:p>
    <w:p w14:paraId="483A1F91" w14:textId="77777777" w:rsidR="00F82401" w:rsidRPr="00B41E66" w:rsidRDefault="00F82401" w:rsidP="00EA42FF">
      <w:pPr>
        <w:spacing w:line="480" w:lineRule="auto"/>
        <w:jc w:val="both"/>
      </w:pPr>
    </w:p>
    <w:p w14:paraId="78D9D6FD" w14:textId="2988438D" w:rsidR="00806EEA" w:rsidRPr="00B41E66" w:rsidRDefault="003D516C" w:rsidP="00EA42FF">
      <w:pPr>
        <w:autoSpaceDE w:val="0"/>
        <w:autoSpaceDN w:val="0"/>
        <w:adjustRightInd w:val="0"/>
        <w:spacing w:line="480" w:lineRule="auto"/>
        <w:jc w:val="both"/>
      </w:pPr>
      <w:r w:rsidRPr="00B41E66">
        <w:t xml:space="preserve">This study </w:t>
      </w:r>
      <w:r w:rsidRPr="00B41E66">
        <w:rPr>
          <w:lang w:bidi="he-IL"/>
        </w:rPr>
        <w:t>documents</w:t>
      </w:r>
      <w:r w:rsidRPr="00B41E66">
        <w:t xml:space="preserve"> </w:t>
      </w:r>
      <w:r w:rsidR="00175E37" w:rsidRPr="00B41E66">
        <w:t>CAAR</w:t>
      </w:r>
      <w:r w:rsidR="00175E37" w:rsidRPr="00B41E66">
        <w:rPr>
          <w:lang w:bidi="he-IL"/>
        </w:rPr>
        <w:t>'s</w:t>
      </w:r>
      <w:r w:rsidR="00175E37" w:rsidRPr="00B41E66">
        <w:t xml:space="preserve"> </w:t>
      </w:r>
      <w:r w:rsidRPr="00B41E66">
        <w:t>behavior</w:t>
      </w:r>
      <w:r w:rsidR="00C06743" w:rsidRPr="00B41E66">
        <w:t xml:space="preserve"> </w:t>
      </w:r>
      <w:r w:rsidR="006D77A2" w:rsidRPr="00B41E66">
        <w:t>following IPO</w:t>
      </w:r>
      <w:r w:rsidR="006D77A2" w:rsidRPr="00B41E66">
        <w:rPr>
          <w:vertAlign w:val="subscript"/>
        </w:rPr>
        <w:t>S</w:t>
      </w:r>
      <w:r w:rsidR="006D77A2" w:rsidRPr="00B41E66">
        <w:t xml:space="preserve"> of</w:t>
      </w:r>
      <w:r w:rsidRPr="00B41E66">
        <w:t xml:space="preserve"> innovative biotechnology firms</w:t>
      </w:r>
      <w:r w:rsidR="00375287" w:rsidRPr="00B41E66">
        <w:t xml:space="preserve">. </w:t>
      </w:r>
      <w:r w:rsidR="00806EEA" w:rsidRPr="00B41E66">
        <w:t xml:space="preserve">The overall picture of stock performance after IPOs </w:t>
      </w:r>
      <w:r w:rsidR="00CD269D" w:rsidRPr="00B41E66">
        <w:t>indicates that firms receive</w:t>
      </w:r>
      <w:r w:rsidR="00806EEA" w:rsidRPr="00B41E66">
        <w:t xml:space="preserve"> short-term hype immediately after</w:t>
      </w:r>
      <w:r w:rsidR="008C4202" w:rsidRPr="00B41E66">
        <w:rPr>
          <w:lang w:bidi="he-IL"/>
        </w:rPr>
        <w:t xml:space="preserve"> the</w:t>
      </w:r>
      <w:r w:rsidR="00806EEA" w:rsidRPr="00B41E66">
        <w:t xml:space="preserve"> IPO </w:t>
      </w:r>
      <w:r w:rsidR="0024562B" w:rsidRPr="00B41E66">
        <w:t xml:space="preserve">with positive </w:t>
      </w:r>
      <w:r w:rsidR="006705A8" w:rsidRPr="00B41E66">
        <w:rPr>
          <w:color w:val="0000FF"/>
        </w:rPr>
        <w:t>yet</w:t>
      </w:r>
      <w:r w:rsidR="0024562B" w:rsidRPr="00B41E66">
        <w:rPr>
          <w:color w:val="0000FF"/>
        </w:rPr>
        <w:t xml:space="preserve"> </w:t>
      </w:r>
      <w:r w:rsidR="006705A8" w:rsidRPr="00B41E66">
        <w:rPr>
          <w:color w:val="0000FF"/>
        </w:rPr>
        <w:t>in</w:t>
      </w:r>
      <w:r w:rsidR="0024562B" w:rsidRPr="00B41E66">
        <w:rPr>
          <w:color w:val="0000FF"/>
        </w:rPr>
        <w:t>significant</w:t>
      </w:r>
      <w:r w:rsidR="0024562B" w:rsidRPr="00B41E66">
        <w:t xml:space="preserve"> CAAR</w:t>
      </w:r>
      <w:r w:rsidR="00F82401" w:rsidRPr="00B41E66">
        <w:t>s</w:t>
      </w:r>
      <w:r w:rsidR="008C4202" w:rsidRPr="00B41E66">
        <w:t xml:space="preserve"> </w:t>
      </w:r>
      <w:r w:rsidR="00AB10A1" w:rsidRPr="00B41E66">
        <w:t xml:space="preserve">that </w:t>
      </w:r>
      <w:r w:rsidR="00CD269D" w:rsidRPr="00B41E66">
        <w:t>peak close</w:t>
      </w:r>
      <w:r w:rsidR="00AB10A1" w:rsidRPr="00B41E66">
        <w:rPr>
          <w:lang w:bidi="he-IL"/>
        </w:rPr>
        <w:t xml:space="preserve"> to the end of the quiet period</w:t>
      </w:r>
      <w:r w:rsidR="00806EEA" w:rsidRPr="00B41E66">
        <w:t xml:space="preserve"> 20 days </w:t>
      </w:r>
      <w:r w:rsidR="005E792A" w:rsidRPr="00B41E66">
        <w:t xml:space="preserve">after the </w:t>
      </w:r>
      <w:r w:rsidR="008C4202" w:rsidRPr="00B41E66">
        <w:t xml:space="preserve">IPO. </w:t>
      </w:r>
      <w:r w:rsidR="00393830" w:rsidRPr="00B41E66">
        <w:t xml:space="preserve">This </w:t>
      </w:r>
      <w:r w:rsidR="00615F6F" w:rsidRPr="00B41E66">
        <w:t>increase</w:t>
      </w:r>
      <w:r w:rsidR="00393830" w:rsidRPr="00B41E66">
        <w:t xml:space="preserve"> </w:t>
      </w:r>
      <w:r w:rsidR="00393830" w:rsidRPr="00B41E66">
        <w:rPr>
          <w:lang w:bidi="he-IL"/>
        </w:rPr>
        <w:t>i</w:t>
      </w:r>
      <w:r w:rsidR="008C4202" w:rsidRPr="00B41E66">
        <w:t xml:space="preserve">n CAAR </w:t>
      </w:r>
      <w:r w:rsidR="00ED1E21" w:rsidRPr="00B41E66">
        <w:rPr>
          <w:lang w:bidi="he-IL"/>
        </w:rPr>
        <w:t xml:space="preserve">is </w:t>
      </w:r>
      <w:r w:rsidR="008C4202" w:rsidRPr="00B41E66">
        <w:rPr>
          <w:lang w:bidi="he-IL"/>
        </w:rPr>
        <w:t xml:space="preserve">followed by </w:t>
      </w:r>
      <w:r w:rsidR="00806EEA" w:rsidRPr="00B41E66">
        <w:t xml:space="preserve">a consistent and long decline </w:t>
      </w:r>
      <w:r w:rsidR="00F3788D" w:rsidRPr="00B41E66">
        <w:rPr>
          <w:color w:val="0000FF"/>
        </w:rPr>
        <w:t>of tens of precents</w:t>
      </w:r>
      <w:r w:rsidR="00F3788D" w:rsidRPr="00B41E66">
        <w:t xml:space="preserve"> </w:t>
      </w:r>
      <w:r w:rsidR="00806EEA" w:rsidRPr="00B41E66">
        <w:t xml:space="preserve">in the </w:t>
      </w:r>
      <w:r w:rsidR="00615F6F" w:rsidRPr="00B41E66">
        <w:t>subsequent</w:t>
      </w:r>
      <w:r w:rsidR="00806EEA" w:rsidRPr="00B41E66">
        <w:t xml:space="preserve"> three years.</w:t>
      </w:r>
      <w:r w:rsidR="00F82401" w:rsidRPr="00B41E66">
        <w:t xml:space="preserve"> These results </w:t>
      </w:r>
      <w:r w:rsidR="0009324F" w:rsidRPr="00B41E66">
        <w:t>reflect</w:t>
      </w:r>
      <w:r w:rsidR="00F82401" w:rsidRPr="00B41E66">
        <w:t xml:space="preserve"> a</w:t>
      </w:r>
      <w:r w:rsidR="00481C26" w:rsidRPr="00B41E66">
        <w:t xml:space="preserve"> </w:t>
      </w:r>
      <w:r w:rsidR="00384E2D" w:rsidRPr="00B41E66">
        <w:t xml:space="preserve">market </w:t>
      </w:r>
      <w:r w:rsidR="00806EEA" w:rsidRPr="00B41E66">
        <w:t xml:space="preserve">inefficiency </w:t>
      </w:r>
      <w:r w:rsidR="00615F6F" w:rsidRPr="00B41E66">
        <w:t>in</w:t>
      </w:r>
      <w:r w:rsidR="00806EEA" w:rsidRPr="00B41E66">
        <w:t xml:space="preserve"> </w:t>
      </w:r>
      <w:r w:rsidR="00AB0E9C" w:rsidRPr="00B41E66">
        <w:t xml:space="preserve">its </w:t>
      </w:r>
      <w:r w:rsidR="00384E2D" w:rsidRPr="00B41E66">
        <w:t>weak form</w:t>
      </w:r>
      <w:r w:rsidR="00615F6F" w:rsidRPr="00B41E66">
        <w:t>, providing y</w:t>
      </w:r>
      <w:r w:rsidR="00A87614" w:rsidRPr="00B41E66">
        <w:rPr>
          <w:lang w:bidi="he-IL"/>
        </w:rPr>
        <w:t>et</w:t>
      </w:r>
      <w:r w:rsidR="00481C26" w:rsidRPr="00B41E66">
        <w:rPr>
          <w:lang w:bidi="he-IL"/>
        </w:rPr>
        <w:t xml:space="preserve"> another example </w:t>
      </w:r>
      <w:r w:rsidR="00615F6F" w:rsidRPr="00B41E66">
        <w:rPr>
          <w:lang w:bidi="he-IL"/>
        </w:rPr>
        <w:t>of</w:t>
      </w:r>
      <w:r w:rsidR="00481C26" w:rsidRPr="00B41E66">
        <w:rPr>
          <w:lang w:bidi="he-IL"/>
        </w:rPr>
        <w:t xml:space="preserve"> i</w:t>
      </w:r>
      <w:r w:rsidR="00481C26" w:rsidRPr="00B41E66">
        <w:t>ndividuals’ cognitive limitations</w:t>
      </w:r>
      <w:r w:rsidR="00F82401" w:rsidRPr="00B41E66">
        <w:t xml:space="preserve">. These </w:t>
      </w:r>
      <w:r w:rsidR="00F82401" w:rsidRPr="00B41E66">
        <w:lastRenderedPageBreak/>
        <w:t>findings also indicate</w:t>
      </w:r>
      <w:r w:rsidR="00615F6F" w:rsidRPr="00B41E66">
        <w:t xml:space="preserve"> that the</w:t>
      </w:r>
      <w:r w:rsidR="00F82401" w:rsidRPr="00B41E66">
        <w:t xml:space="preserve"> </w:t>
      </w:r>
      <w:r w:rsidR="00615F6F" w:rsidRPr="00B41E66">
        <w:t xml:space="preserve">changes engendered by the </w:t>
      </w:r>
      <w:r w:rsidR="00F82401" w:rsidRPr="00B41E66">
        <w:t>2012 JOBS A</w:t>
      </w:r>
      <w:r w:rsidR="00615F6F" w:rsidRPr="00B41E66">
        <w:t>ct</w:t>
      </w:r>
      <w:r w:rsidR="00F82401" w:rsidRPr="00B41E66">
        <w:t xml:space="preserve"> ha</w:t>
      </w:r>
      <w:r w:rsidR="00615F6F" w:rsidRPr="00B41E66">
        <w:t>ve</w:t>
      </w:r>
      <w:r w:rsidR="00AB0E9C" w:rsidRPr="00B41E66">
        <w:t xml:space="preserve"> not actually changed long-term negative CAARs post-</w:t>
      </w:r>
      <w:r w:rsidR="00057E9E" w:rsidRPr="00B41E66">
        <w:t>IPO</w:t>
      </w:r>
      <w:r w:rsidR="00615F6F" w:rsidRPr="00B41E66">
        <w:t xml:space="preserve">, a result found </w:t>
      </w:r>
      <w:r w:rsidR="00F82401" w:rsidRPr="00B41E66">
        <w:t xml:space="preserve">in similar studies (see </w:t>
      </w:r>
      <w:r w:rsidR="007C7FD8" w:rsidRPr="00B41E66">
        <w:t xml:space="preserve">Loughran and </w:t>
      </w:r>
      <w:r w:rsidR="00F82401" w:rsidRPr="00B41E66">
        <w:t xml:space="preserve">Ritter, 1995 and </w:t>
      </w:r>
      <w:r w:rsidR="00F82401" w:rsidRPr="00B41E66">
        <w:rPr>
          <w:lang w:bidi="he-IL"/>
        </w:rPr>
        <w:t>Ritter and Welch, 2002</w:t>
      </w:r>
      <w:r w:rsidR="00F82401" w:rsidRPr="00B41E66">
        <w:t xml:space="preserve">) conducted before </w:t>
      </w:r>
      <w:r w:rsidR="00615F6F" w:rsidRPr="00B41E66">
        <w:t>the enactment of the Act.</w:t>
      </w:r>
    </w:p>
    <w:p w14:paraId="58199587" w14:textId="77777777" w:rsidR="008722A4" w:rsidRPr="00B41E66" w:rsidRDefault="008722A4" w:rsidP="00EA42FF">
      <w:pPr>
        <w:autoSpaceDE w:val="0"/>
        <w:autoSpaceDN w:val="0"/>
        <w:adjustRightInd w:val="0"/>
        <w:spacing w:line="480" w:lineRule="auto"/>
        <w:jc w:val="both"/>
      </w:pPr>
    </w:p>
    <w:p w14:paraId="688A525A" w14:textId="109BB554" w:rsidR="009048B1" w:rsidRPr="00B41E66" w:rsidRDefault="009A61D4" w:rsidP="00EA42FF">
      <w:pPr>
        <w:autoSpaceDE w:val="0"/>
        <w:autoSpaceDN w:val="0"/>
        <w:adjustRightInd w:val="0"/>
        <w:spacing w:line="480" w:lineRule="auto"/>
        <w:jc w:val="both"/>
      </w:pPr>
      <w:r w:rsidRPr="00B41E66">
        <w:t>Unexpected</w:t>
      </w:r>
      <w:r w:rsidRPr="00B41E66">
        <w:rPr>
          <w:lang w:bidi="he-IL"/>
        </w:rPr>
        <w:t xml:space="preserve"> </w:t>
      </w:r>
      <w:r w:rsidR="00481C26" w:rsidRPr="00B41E66">
        <w:rPr>
          <w:lang w:bidi="he-IL"/>
        </w:rPr>
        <w:t xml:space="preserve">results </w:t>
      </w:r>
      <w:r w:rsidR="00A87614" w:rsidRPr="00B41E66">
        <w:rPr>
          <w:lang w:bidi="he-IL"/>
        </w:rPr>
        <w:t>emerge</w:t>
      </w:r>
      <w:r w:rsidR="003F7651" w:rsidRPr="00B41E66">
        <w:rPr>
          <w:lang w:bidi="he-IL"/>
        </w:rPr>
        <w:t>d</w:t>
      </w:r>
      <w:r w:rsidR="00A87614" w:rsidRPr="00B41E66">
        <w:rPr>
          <w:lang w:bidi="he-IL"/>
        </w:rPr>
        <w:t xml:space="preserve"> </w:t>
      </w:r>
      <w:r w:rsidR="00A87614" w:rsidRPr="00B41E66">
        <w:t xml:space="preserve">when </w:t>
      </w:r>
      <w:r w:rsidR="00DE1489" w:rsidRPr="00B41E66">
        <w:t xml:space="preserve">analyzing </w:t>
      </w:r>
      <w:r w:rsidR="002358FB" w:rsidRPr="00B41E66">
        <w:t xml:space="preserve">investors’ activity according to firm size. </w:t>
      </w:r>
      <w:r w:rsidR="00531B4C" w:rsidRPr="00B41E66">
        <w:t>In our sample, s</w:t>
      </w:r>
      <w:r w:rsidR="002358FB" w:rsidRPr="00B41E66">
        <w:t>mall</w:t>
      </w:r>
      <w:r w:rsidR="00B42AA6" w:rsidRPr="00B41E66">
        <w:t>-sized</w:t>
      </w:r>
      <w:r w:rsidR="002358FB" w:rsidRPr="00B41E66">
        <w:t xml:space="preserve"> firms demonstrat</w:t>
      </w:r>
      <w:r w:rsidR="00531B4C" w:rsidRPr="00B41E66">
        <w:t>ed</w:t>
      </w:r>
      <w:r w:rsidR="002358FB" w:rsidRPr="00B41E66">
        <w:t xml:space="preserve"> negative CAAR, while large</w:t>
      </w:r>
      <w:r w:rsidR="00B42AA6" w:rsidRPr="00B41E66">
        <w:t>-sized</w:t>
      </w:r>
      <w:r w:rsidR="002358FB" w:rsidRPr="00B41E66">
        <w:t xml:space="preserve"> firms </w:t>
      </w:r>
      <w:r w:rsidR="00615F6F" w:rsidRPr="00B41E66">
        <w:t>enjoyed</w:t>
      </w:r>
      <w:r w:rsidR="002358FB" w:rsidRPr="00B41E66">
        <w:t xml:space="preserve"> positive CAAR</w:t>
      </w:r>
      <w:r w:rsidR="00531B4C" w:rsidRPr="00B41E66">
        <w:t xml:space="preserve"> </w:t>
      </w:r>
      <w:r w:rsidR="00AE38FC" w:rsidRPr="00B41E66">
        <w:rPr>
          <w:lang w:bidi="he-IL"/>
        </w:rPr>
        <w:t>in the post</w:t>
      </w:r>
      <w:r w:rsidR="00615F6F" w:rsidRPr="00B41E66">
        <w:rPr>
          <w:lang w:bidi="he-IL"/>
        </w:rPr>
        <w:t>-</w:t>
      </w:r>
      <w:r w:rsidR="00AE38FC" w:rsidRPr="00B41E66">
        <w:rPr>
          <w:lang w:bidi="he-IL"/>
        </w:rPr>
        <w:t>IPO</w:t>
      </w:r>
      <w:r w:rsidR="00615F6F" w:rsidRPr="00B41E66">
        <w:rPr>
          <w:lang w:bidi="he-IL"/>
        </w:rPr>
        <w:t xml:space="preserve"> year</w:t>
      </w:r>
      <w:r w:rsidR="00024A97" w:rsidRPr="00B41E66">
        <w:rPr>
          <w:lang w:bidi="he-IL"/>
        </w:rPr>
        <w:t>s</w:t>
      </w:r>
      <w:r w:rsidR="002358FB" w:rsidRPr="00B41E66">
        <w:t>.</w:t>
      </w:r>
      <w:r w:rsidR="00866C81" w:rsidRPr="00B41E66">
        <w:t xml:space="preserve"> </w:t>
      </w:r>
      <w:r w:rsidR="007C574F" w:rsidRPr="00B41E66">
        <w:t>We suggest that th</w:t>
      </w:r>
      <w:r w:rsidR="00615F6F" w:rsidRPr="00B41E66">
        <w:t>is dramatic difference in results experienced by small</w:t>
      </w:r>
      <w:r w:rsidR="0009324F" w:rsidRPr="00B41E66">
        <w:t>-sized</w:t>
      </w:r>
      <w:r w:rsidR="00615F6F" w:rsidRPr="00B41E66">
        <w:t xml:space="preserve"> firms and large</w:t>
      </w:r>
      <w:r w:rsidR="0009324F" w:rsidRPr="00B41E66">
        <w:t>-sized</w:t>
      </w:r>
      <w:r w:rsidR="00615F6F" w:rsidRPr="00B41E66">
        <w:t xml:space="preserve"> firms can be attributed to the ability of the</w:t>
      </w:r>
      <w:r w:rsidR="00585F8C" w:rsidRPr="00B41E66">
        <w:t xml:space="preserve"> firms to meet investor expectations of </w:t>
      </w:r>
      <w:r w:rsidR="006F390D" w:rsidRPr="00B41E66">
        <w:t xml:space="preserve">a </w:t>
      </w:r>
      <w:r w:rsidR="00585F8C" w:rsidRPr="00B41E66">
        <w:t xml:space="preserve">desirable growth rate of revenues and profits. </w:t>
      </w:r>
      <w:r w:rsidR="00585F8C" w:rsidRPr="00B41E66">
        <w:rPr>
          <w:rStyle w:val="tlid-translation"/>
        </w:rPr>
        <w:t xml:space="preserve">Large companies, </w:t>
      </w:r>
      <w:r w:rsidR="006F390D" w:rsidRPr="00B41E66">
        <w:rPr>
          <w:rStyle w:val="tlid-translation"/>
        </w:rPr>
        <w:t>which</w:t>
      </w:r>
      <w:r w:rsidR="00585F8C" w:rsidRPr="00B41E66">
        <w:rPr>
          <w:rStyle w:val="tlid-translation"/>
        </w:rPr>
        <w:t xml:space="preserve"> are likely to rely on a broad product line, </w:t>
      </w:r>
      <w:r w:rsidR="006F390D" w:rsidRPr="00B41E66">
        <w:rPr>
          <w:rStyle w:val="tlid-translation"/>
        </w:rPr>
        <w:t xml:space="preserve">find it easier to </w:t>
      </w:r>
      <w:r w:rsidR="00585F8C" w:rsidRPr="00B41E66">
        <w:rPr>
          <w:rStyle w:val="tlid-translation"/>
        </w:rPr>
        <w:t>meet or exceed market expectations in that regard, as evidenced by the</w:t>
      </w:r>
      <w:r w:rsidR="006F390D" w:rsidRPr="00B41E66">
        <w:rPr>
          <w:rStyle w:val="tlid-translation"/>
        </w:rPr>
        <w:t xml:space="preserve">ir </w:t>
      </w:r>
      <w:r w:rsidR="00585F8C" w:rsidRPr="00B41E66">
        <w:rPr>
          <w:rStyle w:val="tlid-translation"/>
        </w:rPr>
        <w:t>positive yet volatile CAAR in the years following the IPO</w:t>
      </w:r>
      <w:r w:rsidR="009F1F0C" w:rsidRPr="00B41E66">
        <w:rPr>
          <w:rStyle w:val="tlid-translation"/>
        </w:rPr>
        <w:t xml:space="preserve"> </w:t>
      </w:r>
      <w:r w:rsidR="009F1F0C" w:rsidRPr="00B41E66">
        <w:rPr>
          <w:rStyle w:val="tlid-translation"/>
          <w:color w:val="0000FF"/>
        </w:rPr>
        <w:t>(</w:t>
      </w:r>
      <w:r w:rsidR="007902A3" w:rsidRPr="00B41E66">
        <w:rPr>
          <w:rStyle w:val="tlid-translation"/>
          <w:color w:val="0000FF"/>
        </w:rPr>
        <w:t>table</w:t>
      </w:r>
      <w:r w:rsidR="009F1F0C" w:rsidRPr="00B41E66">
        <w:rPr>
          <w:rStyle w:val="tlid-translation"/>
          <w:color w:val="0000FF"/>
        </w:rPr>
        <w:t xml:space="preserve"> </w:t>
      </w:r>
      <w:r w:rsidR="007902A3" w:rsidRPr="00B41E66">
        <w:rPr>
          <w:rStyle w:val="tlid-translation"/>
          <w:color w:val="0000FF"/>
        </w:rPr>
        <w:t>3</w:t>
      </w:r>
      <w:r w:rsidR="006F390D" w:rsidRPr="00B41E66">
        <w:rPr>
          <w:rStyle w:val="tlid-translation"/>
          <w:color w:val="0000FF"/>
        </w:rPr>
        <w:t>,</w:t>
      </w:r>
      <w:r w:rsidR="009F1F0C" w:rsidRPr="00B41E66">
        <w:rPr>
          <w:rStyle w:val="tlid-translation"/>
          <w:color w:val="0000FF"/>
        </w:rPr>
        <w:t xml:space="preserve"> </w:t>
      </w:r>
      <w:r w:rsidR="006F390D" w:rsidRPr="00B41E66">
        <w:rPr>
          <w:rStyle w:val="tlid-translation"/>
          <w:color w:val="0000FF"/>
        </w:rPr>
        <w:t>P</w:t>
      </w:r>
      <w:r w:rsidR="009F1F0C" w:rsidRPr="00B41E66">
        <w:rPr>
          <w:rStyle w:val="tlid-translation"/>
          <w:color w:val="0000FF"/>
        </w:rPr>
        <w:t>anel</w:t>
      </w:r>
      <w:r w:rsidR="007902A3" w:rsidRPr="00B41E66">
        <w:rPr>
          <w:rStyle w:val="tlid-translation"/>
          <w:color w:val="0000FF"/>
        </w:rPr>
        <w:t>s A and B</w:t>
      </w:r>
      <w:r w:rsidR="009F1F0C" w:rsidRPr="00B41E66">
        <w:rPr>
          <w:rStyle w:val="tlid-translation"/>
          <w:color w:val="0000FF"/>
        </w:rPr>
        <w:t>)</w:t>
      </w:r>
      <w:r w:rsidR="00986262" w:rsidRPr="00B41E66">
        <w:rPr>
          <w:rStyle w:val="tlid-translation"/>
          <w:color w:val="0000FF"/>
        </w:rPr>
        <w:t>,</w:t>
      </w:r>
      <w:r w:rsidR="00585F8C" w:rsidRPr="00B41E66">
        <w:rPr>
          <w:rStyle w:val="tlid-translation"/>
        </w:rPr>
        <w:t xml:space="preserve"> </w:t>
      </w:r>
      <w:r w:rsidR="007902A3" w:rsidRPr="00B41E66">
        <w:rPr>
          <w:rStyle w:val="tlid-translation"/>
        </w:rPr>
        <w:t>(</w:t>
      </w:r>
      <w:r w:rsidR="009855C9" w:rsidRPr="00B41E66">
        <w:rPr>
          <w:rStyle w:val="tlid-translation"/>
          <w:color w:val="0000FF"/>
        </w:rPr>
        <w:t xml:space="preserve">for the perceived value of innovations </w:t>
      </w:r>
      <w:r w:rsidR="007902A3" w:rsidRPr="00B41E66">
        <w:rPr>
          <w:rStyle w:val="tlid-translation"/>
          <w:color w:val="0000FF"/>
        </w:rPr>
        <w:t>see</w:t>
      </w:r>
      <w:r w:rsidR="007902A3" w:rsidRPr="00B41E66">
        <w:rPr>
          <w:rStyle w:val="tlid-translation"/>
        </w:rPr>
        <w:t xml:space="preserve"> </w:t>
      </w:r>
      <w:r w:rsidR="007902A3" w:rsidRPr="00B41E66">
        <w:rPr>
          <w:color w:val="0000FF"/>
        </w:rPr>
        <w:t>Guo and Zhou (2016) and Cau et al. (2015))</w:t>
      </w:r>
      <w:r w:rsidR="00986262" w:rsidRPr="00B41E66">
        <w:rPr>
          <w:color w:val="0000FF"/>
        </w:rPr>
        <w:t>.</w:t>
      </w:r>
      <w:r w:rsidR="007902A3" w:rsidRPr="00B41E66">
        <w:rPr>
          <w:color w:val="0000FF"/>
        </w:rPr>
        <w:t xml:space="preserve"> </w:t>
      </w:r>
      <w:r w:rsidR="00585F8C" w:rsidRPr="00B41E66">
        <w:rPr>
          <w:rStyle w:val="tlid-translation"/>
        </w:rPr>
        <w:t>It appears that the volatility reflects</w:t>
      </w:r>
      <w:r w:rsidR="006F390D" w:rsidRPr="00B41E66">
        <w:rPr>
          <w:rStyle w:val="tlid-translation"/>
        </w:rPr>
        <w:t xml:space="preserve"> close monitoring by the market, </w:t>
      </w:r>
      <w:r w:rsidR="00585F8C" w:rsidRPr="00B41E66">
        <w:rPr>
          <w:rStyle w:val="tlid-translation"/>
        </w:rPr>
        <w:t>response</w:t>
      </w:r>
      <w:r w:rsidR="0009324F" w:rsidRPr="00B41E66">
        <w:rPr>
          <w:rStyle w:val="tlid-translation"/>
        </w:rPr>
        <w:t>s</w:t>
      </w:r>
      <w:r w:rsidR="00585F8C" w:rsidRPr="00B41E66">
        <w:rPr>
          <w:rStyle w:val="tlid-translation"/>
        </w:rPr>
        <w:t xml:space="preserve"> </w:t>
      </w:r>
      <w:r w:rsidR="006F390D" w:rsidRPr="00B41E66">
        <w:rPr>
          <w:rStyle w:val="tlid-translation"/>
        </w:rPr>
        <w:t>to</w:t>
      </w:r>
      <w:r w:rsidR="00585F8C" w:rsidRPr="00B41E66">
        <w:rPr>
          <w:rStyle w:val="tlid-translation"/>
        </w:rPr>
        <w:t xml:space="preserve"> the results of trials</w:t>
      </w:r>
      <w:r w:rsidR="006F390D" w:rsidRPr="00B41E66">
        <w:rPr>
          <w:rStyle w:val="tlid-translation"/>
        </w:rPr>
        <w:t>,</w:t>
      </w:r>
      <w:r w:rsidR="00585F8C" w:rsidRPr="00B41E66">
        <w:rPr>
          <w:rStyle w:val="tlid-translation"/>
        </w:rPr>
        <w:t xml:space="preserve"> and adherence to drug development timeline</w:t>
      </w:r>
      <w:r w:rsidR="0009324F" w:rsidRPr="00B41E66">
        <w:rPr>
          <w:rStyle w:val="tlid-translation"/>
        </w:rPr>
        <w:t>s</w:t>
      </w:r>
      <w:r w:rsidR="009F1F0C" w:rsidRPr="00B41E66">
        <w:t xml:space="preserve">. </w:t>
      </w:r>
      <w:r w:rsidR="00EE0EE6" w:rsidRPr="00B41E66">
        <w:t>Small</w:t>
      </w:r>
      <w:r w:rsidR="00B42AA6" w:rsidRPr="00B41E66">
        <w:t>-sized</w:t>
      </w:r>
      <w:r w:rsidR="002B31EB" w:rsidRPr="00B41E66">
        <w:t xml:space="preserve"> </w:t>
      </w:r>
      <w:r w:rsidR="00EE0EE6" w:rsidRPr="00B41E66">
        <w:t>firms</w:t>
      </w:r>
      <w:r w:rsidR="002B31EB" w:rsidRPr="00B41E66">
        <w:t xml:space="preserve"> rely on one or </w:t>
      </w:r>
      <w:r w:rsidR="006F390D" w:rsidRPr="00B41E66">
        <w:t xml:space="preserve">a </w:t>
      </w:r>
      <w:r w:rsidR="002B31EB" w:rsidRPr="00B41E66">
        <w:t xml:space="preserve">few </w:t>
      </w:r>
      <w:r w:rsidR="00A82CF3" w:rsidRPr="00B41E66">
        <w:t>products</w:t>
      </w:r>
      <w:r w:rsidR="009F1F0C" w:rsidRPr="00B41E66">
        <w:t>.</w:t>
      </w:r>
      <w:r w:rsidR="002B31EB" w:rsidRPr="00B41E66">
        <w:t xml:space="preserve"> </w:t>
      </w:r>
      <w:r w:rsidR="006F390D" w:rsidRPr="00B41E66">
        <w:t>Any delay</w:t>
      </w:r>
      <w:r w:rsidR="00A87F03" w:rsidRPr="00B41E66">
        <w:t xml:space="preserve"> </w:t>
      </w:r>
      <w:r w:rsidR="009F1F0C" w:rsidRPr="00B41E66">
        <w:t xml:space="preserve">in </w:t>
      </w:r>
      <w:r w:rsidR="00A87F03" w:rsidRPr="00B41E66">
        <w:t>development o</w:t>
      </w:r>
      <w:r w:rsidR="00981606" w:rsidRPr="00B41E66">
        <w:t>r</w:t>
      </w:r>
      <w:r w:rsidR="00A87F03" w:rsidRPr="00B41E66">
        <w:t xml:space="preserve"> experiment</w:t>
      </w:r>
      <w:r w:rsidR="0009324F" w:rsidRPr="00B41E66">
        <w:t>al</w:t>
      </w:r>
      <w:r w:rsidR="00A87F03" w:rsidRPr="00B41E66">
        <w:t xml:space="preserve"> failure</w:t>
      </w:r>
      <w:r w:rsidR="00EE0EE6" w:rsidRPr="00B41E66">
        <w:t xml:space="preserve"> </w:t>
      </w:r>
      <w:r w:rsidR="007902A3" w:rsidRPr="00B41E66">
        <w:t>makes</w:t>
      </w:r>
      <w:r w:rsidR="00EE0EE6" w:rsidRPr="00B41E66">
        <w:t xml:space="preserve"> it difficult </w:t>
      </w:r>
      <w:r w:rsidR="006F390D" w:rsidRPr="00B41E66">
        <w:t xml:space="preserve">for these small firms </w:t>
      </w:r>
      <w:r w:rsidR="00EE0EE6" w:rsidRPr="00B41E66">
        <w:t xml:space="preserve">to meet </w:t>
      </w:r>
      <w:r w:rsidR="003037C2" w:rsidRPr="00B41E66">
        <w:rPr>
          <w:lang w:bidi="he-IL"/>
        </w:rPr>
        <w:t>investors</w:t>
      </w:r>
      <w:r w:rsidR="00A82CF3" w:rsidRPr="00B41E66">
        <w:rPr>
          <w:lang w:bidi="he-IL"/>
        </w:rPr>
        <w:t>’</w:t>
      </w:r>
      <w:r w:rsidR="00EE0EE6" w:rsidRPr="00B41E66">
        <w:t xml:space="preserve"> expectations regarding </w:t>
      </w:r>
      <w:r w:rsidR="00981606" w:rsidRPr="00B41E66">
        <w:rPr>
          <w:lang w:bidi="he-IL"/>
        </w:rPr>
        <w:t>desirable</w:t>
      </w:r>
      <w:r w:rsidR="00C8717D" w:rsidRPr="00B41E66">
        <w:t xml:space="preserve"> growth rate</w:t>
      </w:r>
      <w:r w:rsidR="006F390D" w:rsidRPr="00B41E66">
        <w:t>s</w:t>
      </w:r>
      <w:r w:rsidR="00C8717D" w:rsidRPr="00B41E66">
        <w:t xml:space="preserve"> of </w:t>
      </w:r>
      <w:r w:rsidR="00EE0EE6" w:rsidRPr="00B41E66">
        <w:t>revenue and profit</w:t>
      </w:r>
      <w:r w:rsidR="006F390D" w:rsidRPr="00B41E66">
        <w:t>s</w:t>
      </w:r>
      <w:r w:rsidR="00EE0EE6" w:rsidRPr="00B41E66">
        <w:t xml:space="preserve">. </w:t>
      </w:r>
      <w:r w:rsidR="003037C2" w:rsidRPr="00B41E66">
        <w:t xml:space="preserve">Failing to meet these expectations </w:t>
      </w:r>
      <w:r w:rsidR="006F390D" w:rsidRPr="00B41E66">
        <w:t xml:space="preserve">can </w:t>
      </w:r>
      <w:r w:rsidR="003037C2" w:rsidRPr="00B41E66">
        <w:t>lead to negative CAAR</w:t>
      </w:r>
      <w:r w:rsidR="0009324F" w:rsidRPr="00B41E66">
        <w:t>s</w:t>
      </w:r>
      <w:r w:rsidR="003037C2" w:rsidRPr="00B41E66">
        <w:t xml:space="preserve">. </w:t>
      </w:r>
      <w:r w:rsidR="007C574F" w:rsidRPr="00B41E66">
        <w:t>This make-or-break situation for small</w:t>
      </w:r>
      <w:r w:rsidR="00B42AA6" w:rsidRPr="00B41E66">
        <w:t>-sized</w:t>
      </w:r>
      <w:r w:rsidR="007C574F" w:rsidRPr="00B41E66">
        <w:t xml:space="preserve"> firms may </w:t>
      </w:r>
      <w:r w:rsidR="006F390D" w:rsidRPr="00B41E66">
        <w:t>affect</w:t>
      </w:r>
      <w:r w:rsidR="007C574F" w:rsidRPr="00B41E66">
        <w:t xml:space="preserve"> the optimal timing for IPO.</w:t>
      </w:r>
    </w:p>
    <w:p w14:paraId="4243E3C5" w14:textId="77777777" w:rsidR="00806EEA" w:rsidRPr="00B41E66" w:rsidRDefault="002B31EB" w:rsidP="00EA42FF">
      <w:pPr>
        <w:autoSpaceDE w:val="0"/>
        <w:autoSpaceDN w:val="0"/>
        <w:adjustRightInd w:val="0"/>
        <w:spacing w:line="480" w:lineRule="auto"/>
        <w:jc w:val="both"/>
        <w:rPr>
          <w:lang w:bidi="he-IL"/>
        </w:rPr>
      </w:pPr>
      <w:r w:rsidRPr="00B41E66">
        <w:t xml:space="preserve">Our study shows that </w:t>
      </w:r>
      <w:r w:rsidR="00957FE7" w:rsidRPr="00B41E66">
        <w:t>examining</w:t>
      </w:r>
      <w:r w:rsidR="00AE38FC" w:rsidRPr="00B41E66">
        <w:rPr>
          <w:rStyle w:val="tlid-translation"/>
        </w:rPr>
        <w:t xml:space="preserve"> IPO</w:t>
      </w:r>
      <w:r w:rsidR="00957FE7" w:rsidRPr="00B41E66">
        <w:rPr>
          <w:rStyle w:val="tlid-translation"/>
        </w:rPr>
        <w:t>s</w:t>
      </w:r>
      <w:r w:rsidR="00AE38FC" w:rsidRPr="00B41E66">
        <w:rPr>
          <w:rStyle w:val="tlid-translation"/>
        </w:rPr>
        <w:t xml:space="preserve"> in terms of </w:t>
      </w:r>
      <w:r w:rsidR="00957FE7" w:rsidRPr="00B41E66">
        <w:rPr>
          <w:rStyle w:val="tlid-translation"/>
        </w:rPr>
        <w:t xml:space="preserve">the </w:t>
      </w:r>
      <w:r w:rsidR="00DE1220" w:rsidRPr="00B41E66">
        <w:rPr>
          <w:rStyle w:val="tlid-translation"/>
        </w:rPr>
        <w:t xml:space="preserve">firms’ </w:t>
      </w:r>
      <w:r w:rsidR="00AE38FC" w:rsidRPr="00B41E66">
        <w:rPr>
          <w:rStyle w:val="tlid-translation"/>
        </w:rPr>
        <w:t>maturity is critical to the success of the issu</w:t>
      </w:r>
      <w:r w:rsidR="00957FE7" w:rsidRPr="00B41E66">
        <w:rPr>
          <w:rStyle w:val="tlid-translation"/>
        </w:rPr>
        <w:t>e. Consequently, a value of</w:t>
      </w:r>
      <w:r w:rsidRPr="00B41E66">
        <w:rPr>
          <w:rStyle w:val="tlid-translation"/>
        </w:rPr>
        <w:t xml:space="preserve"> $500</w:t>
      </w:r>
      <w:r w:rsidR="00957FE7" w:rsidRPr="00B41E66">
        <w:rPr>
          <w:rStyle w:val="tlid-translation"/>
        </w:rPr>
        <w:t xml:space="preserve"> million </w:t>
      </w:r>
      <w:r w:rsidRPr="00B41E66">
        <w:rPr>
          <w:rStyle w:val="tlid-translation"/>
        </w:rPr>
        <w:t xml:space="preserve">may be viewed as a threshold for biotech firms seeking </w:t>
      </w:r>
      <w:r w:rsidR="00957FE7" w:rsidRPr="00B41E66">
        <w:rPr>
          <w:rStyle w:val="tlid-translation"/>
        </w:rPr>
        <w:t>to go forward with an</w:t>
      </w:r>
      <w:r w:rsidRPr="00B41E66">
        <w:rPr>
          <w:rStyle w:val="tlid-translation"/>
        </w:rPr>
        <w:t xml:space="preserve"> IPO</w:t>
      </w:r>
      <w:r w:rsidR="00AE38FC" w:rsidRPr="00B41E66">
        <w:rPr>
          <w:rStyle w:val="tlid-translation"/>
        </w:rPr>
        <w:t xml:space="preserve">. </w:t>
      </w:r>
      <w:r w:rsidR="00F83B04" w:rsidRPr="00B41E66">
        <w:rPr>
          <w:rStyle w:val="tlid-translation"/>
          <w:lang w:bidi="he-IL"/>
        </w:rPr>
        <w:t>We</w:t>
      </w:r>
      <w:r w:rsidRPr="00B41E66">
        <w:rPr>
          <w:rStyle w:val="tlid-translation"/>
          <w:lang w:bidi="he-IL"/>
        </w:rPr>
        <w:t xml:space="preserve"> can </w:t>
      </w:r>
      <w:r w:rsidR="00957FE7" w:rsidRPr="00B41E66">
        <w:rPr>
          <w:rStyle w:val="tlid-translation"/>
          <w:lang w:bidi="he-IL"/>
        </w:rPr>
        <w:t>observe</w:t>
      </w:r>
      <w:r w:rsidRPr="00B41E66">
        <w:rPr>
          <w:rStyle w:val="tlid-translation"/>
          <w:lang w:bidi="he-IL"/>
        </w:rPr>
        <w:t xml:space="preserve"> that</w:t>
      </w:r>
      <w:r w:rsidR="00AE22ED" w:rsidRPr="00B41E66">
        <w:rPr>
          <w:rStyle w:val="tlid-translation"/>
          <w:lang w:bidi="he-IL"/>
        </w:rPr>
        <w:t xml:space="preserve"> small</w:t>
      </w:r>
      <w:r w:rsidR="00B42AA6" w:rsidRPr="00B41E66">
        <w:rPr>
          <w:rStyle w:val="tlid-translation"/>
          <w:lang w:bidi="he-IL"/>
        </w:rPr>
        <w:t>-sized</w:t>
      </w:r>
      <w:r w:rsidR="00AE22ED" w:rsidRPr="00B41E66">
        <w:rPr>
          <w:rStyle w:val="tlid-translation"/>
          <w:lang w:bidi="he-IL"/>
        </w:rPr>
        <w:t xml:space="preserve"> firms are overpriced </w:t>
      </w:r>
      <w:r w:rsidR="00957FE7" w:rsidRPr="00B41E66">
        <w:rPr>
          <w:rStyle w:val="tlid-translation"/>
          <w:lang w:bidi="he-IL"/>
        </w:rPr>
        <w:t xml:space="preserve">at the IPO stage, </w:t>
      </w:r>
      <w:r w:rsidRPr="00B41E66">
        <w:rPr>
          <w:rStyle w:val="tlid-translation"/>
          <w:lang w:bidi="he-IL"/>
        </w:rPr>
        <w:t>while</w:t>
      </w:r>
      <w:r w:rsidR="00AE22ED" w:rsidRPr="00B41E66">
        <w:rPr>
          <w:rStyle w:val="tlid-translation"/>
          <w:lang w:bidi="he-IL"/>
        </w:rPr>
        <w:t xml:space="preserve"> large</w:t>
      </w:r>
      <w:r w:rsidR="00B42AA6" w:rsidRPr="00B41E66">
        <w:rPr>
          <w:rStyle w:val="tlid-translation"/>
          <w:lang w:bidi="he-IL"/>
        </w:rPr>
        <w:t>-sized</w:t>
      </w:r>
      <w:r w:rsidR="00AE22ED" w:rsidRPr="00B41E66">
        <w:rPr>
          <w:rStyle w:val="tlid-translation"/>
          <w:lang w:bidi="he-IL"/>
        </w:rPr>
        <w:t xml:space="preserve"> firms are underpriced</w:t>
      </w:r>
      <w:r w:rsidR="00957FE7" w:rsidRPr="00B41E66">
        <w:rPr>
          <w:rStyle w:val="tlid-translation"/>
          <w:lang w:bidi="he-IL"/>
        </w:rPr>
        <w:t>.</w:t>
      </w:r>
      <w:r w:rsidR="00B67F18" w:rsidRPr="00B41E66">
        <w:rPr>
          <w:rStyle w:val="tlid-translation"/>
          <w:lang w:bidi="he-IL"/>
        </w:rPr>
        <w:t xml:space="preserve"> </w:t>
      </w:r>
      <w:r w:rsidR="00F83B04" w:rsidRPr="00B41E66">
        <w:rPr>
          <w:rStyle w:val="tlid-translation"/>
        </w:rPr>
        <w:t xml:space="preserve">This finding is </w:t>
      </w:r>
      <w:r w:rsidR="00F83B04" w:rsidRPr="00B41E66">
        <w:rPr>
          <w:rStyle w:val="tlid-translation"/>
          <w:lang w:bidi="he-IL"/>
        </w:rPr>
        <w:t xml:space="preserve">of great importance </w:t>
      </w:r>
      <w:r w:rsidR="00F83B04" w:rsidRPr="00B41E66">
        <w:rPr>
          <w:rStyle w:val="tlid-translation"/>
        </w:rPr>
        <w:t>to firm</w:t>
      </w:r>
      <w:r w:rsidR="00957FE7" w:rsidRPr="00B41E66">
        <w:rPr>
          <w:rStyle w:val="tlid-translation"/>
        </w:rPr>
        <w:t>s</w:t>
      </w:r>
      <w:r w:rsidR="00F83B04" w:rsidRPr="00B41E66">
        <w:rPr>
          <w:rStyle w:val="tlid-translation"/>
        </w:rPr>
        <w:t xml:space="preserve"> aiming </w:t>
      </w:r>
      <w:r w:rsidR="00957FE7" w:rsidRPr="00B41E66">
        <w:rPr>
          <w:rStyle w:val="tlid-translation"/>
        </w:rPr>
        <w:t>to raise</w:t>
      </w:r>
      <w:r w:rsidR="00F83B04" w:rsidRPr="00B41E66">
        <w:rPr>
          <w:rStyle w:val="tlid-translation"/>
          <w:lang w:bidi="he-IL"/>
        </w:rPr>
        <w:t xml:space="preserve"> money via the capital markets.</w:t>
      </w:r>
    </w:p>
    <w:p w14:paraId="4185E611" w14:textId="1C67D83C" w:rsidR="00806EEA" w:rsidRPr="00B41E66" w:rsidRDefault="00806EEA" w:rsidP="00EA42FF">
      <w:pPr>
        <w:autoSpaceDE w:val="0"/>
        <w:autoSpaceDN w:val="0"/>
        <w:adjustRightInd w:val="0"/>
        <w:spacing w:line="480" w:lineRule="auto"/>
        <w:jc w:val="both"/>
        <w:rPr>
          <w:rtl/>
        </w:rPr>
      </w:pPr>
    </w:p>
    <w:p w14:paraId="27AF3FA0" w14:textId="0A8A9BE1" w:rsidR="00FB467F" w:rsidRPr="00B41E66" w:rsidRDefault="00530558" w:rsidP="004E73E6">
      <w:pPr>
        <w:pStyle w:val="Default"/>
        <w:spacing w:after="240" w:line="480" w:lineRule="auto"/>
        <w:jc w:val="both"/>
      </w:pPr>
      <w:r w:rsidRPr="00B41E66">
        <w:lastRenderedPageBreak/>
        <w:t>Failure to meet market expectation</w:t>
      </w:r>
      <w:r w:rsidR="00A82CF3" w:rsidRPr="00B41E66">
        <w:t>s</w:t>
      </w:r>
      <w:r w:rsidRPr="00B41E66">
        <w:t xml:space="preserve">, as explained above, results in </w:t>
      </w:r>
      <w:r w:rsidR="00DB33A4" w:rsidRPr="00B41E66">
        <w:t>limited investor attention</w:t>
      </w:r>
      <w:r w:rsidR="00957FE7" w:rsidRPr="00B41E66">
        <w:rPr>
          <w:color w:val="0000FF"/>
        </w:rPr>
        <w:t>,</w:t>
      </w:r>
      <w:r w:rsidR="00DB33A4" w:rsidRPr="00B41E66">
        <w:rPr>
          <w:color w:val="0000FF"/>
        </w:rPr>
        <w:t xml:space="preserve"> </w:t>
      </w:r>
      <w:r w:rsidR="00193A72" w:rsidRPr="00B41E66">
        <w:rPr>
          <w:color w:val="0000FF"/>
        </w:rPr>
        <w:t>As also reflected in the findings of a significant lower tweets volume for</w:t>
      </w:r>
      <w:r w:rsidR="00DB33A4" w:rsidRPr="00B41E66">
        <w:rPr>
          <w:color w:val="0000FF"/>
        </w:rPr>
        <w:t xml:space="preserve"> small</w:t>
      </w:r>
      <w:r w:rsidR="00957FE7" w:rsidRPr="00B41E66">
        <w:rPr>
          <w:color w:val="0000FF"/>
        </w:rPr>
        <w:t>-</w:t>
      </w:r>
      <w:r w:rsidR="00DB33A4" w:rsidRPr="00B41E66">
        <w:rPr>
          <w:color w:val="0000FF"/>
        </w:rPr>
        <w:t>size</w:t>
      </w:r>
      <w:r w:rsidR="00957FE7" w:rsidRPr="00B41E66">
        <w:rPr>
          <w:color w:val="0000FF"/>
        </w:rPr>
        <w:t>d</w:t>
      </w:r>
      <w:r w:rsidR="00DB33A4" w:rsidRPr="00B41E66">
        <w:rPr>
          <w:color w:val="0000FF"/>
        </w:rPr>
        <w:t xml:space="preserve"> firm</w:t>
      </w:r>
      <w:r w:rsidR="00DB33A4" w:rsidRPr="00B41E66">
        <w:t xml:space="preserve">. </w:t>
      </w:r>
      <w:r w:rsidR="00961F2E" w:rsidRPr="00B41E66">
        <w:t>These findings are consistent with those of</w:t>
      </w:r>
      <w:r w:rsidR="005B0A39" w:rsidRPr="00B41E66">
        <w:t xml:space="preserve"> Barber and Odean </w:t>
      </w:r>
      <w:r w:rsidR="00C91286" w:rsidRPr="00B41E66">
        <w:t>(2007)</w:t>
      </w:r>
      <w:r w:rsidR="00961F2E" w:rsidRPr="00B41E66">
        <w:t>, who</w:t>
      </w:r>
      <w:r w:rsidR="00F72A93" w:rsidRPr="00B41E66">
        <w:t xml:space="preserve"> measured indirect investor attention using three observable measures that are likely to be associated with attention</w:t>
      </w:r>
      <w:r w:rsidR="00961F2E" w:rsidRPr="00B41E66">
        <w:t>-</w:t>
      </w:r>
      <w:r w:rsidR="00F72A93" w:rsidRPr="00B41E66">
        <w:t xml:space="preserve">grabbing events: </w:t>
      </w:r>
      <w:r w:rsidR="00FE6FE0" w:rsidRPr="00B41E66">
        <w:t>media</w:t>
      </w:r>
      <w:r w:rsidR="00F72A93" w:rsidRPr="00B41E66">
        <w:t xml:space="preserve">, unusual trading volume, and extreme returns. </w:t>
      </w:r>
      <w:r w:rsidR="00FB467F" w:rsidRPr="00B41E66">
        <w:rPr>
          <w:lang w:bidi="ar-SA"/>
        </w:rPr>
        <w:t>These findings are consistent with our hypotheses that larger and high yield companies will attract more investor attention, as reflected in the Twitter discourse volume, and that companies attracting more investor attention are larger and enjoy higher yields.</w:t>
      </w:r>
    </w:p>
    <w:p w14:paraId="222C05BA" w14:textId="597E76DC" w:rsidR="0084042B" w:rsidRPr="00B41E66" w:rsidRDefault="00E250F0" w:rsidP="00FB467F">
      <w:pPr>
        <w:autoSpaceDE w:val="0"/>
        <w:autoSpaceDN w:val="0"/>
        <w:adjustRightInd w:val="0"/>
        <w:spacing w:line="480" w:lineRule="auto"/>
        <w:jc w:val="both"/>
        <w:rPr>
          <w:rtl/>
          <w:lang w:bidi="he-IL"/>
        </w:rPr>
      </w:pPr>
      <w:r w:rsidRPr="00B41E66">
        <w:rPr>
          <w:rStyle w:val="tlid-translation"/>
        </w:rPr>
        <w:t xml:space="preserve"> We suggest that the high volume of discourse </w:t>
      </w:r>
      <w:r w:rsidR="009944CF" w:rsidRPr="00B41E66">
        <w:rPr>
          <w:rStyle w:val="tlid-translation"/>
        </w:rPr>
        <w:t>contributes</w:t>
      </w:r>
      <w:r w:rsidRPr="00B41E66">
        <w:rPr>
          <w:rStyle w:val="tlid-translation"/>
        </w:rPr>
        <w:t xml:space="preserve"> to investor</w:t>
      </w:r>
      <w:r w:rsidR="00B03718" w:rsidRPr="00B41E66">
        <w:rPr>
          <w:rStyle w:val="tlid-translation"/>
        </w:rPr>
        <w:t xml:space="preserve"> </w:t>
      </w:r>
      <w:r w:rsidRPr="00B41E66">
        <w:rPr>
          <w:rStyle w:val="tlid-translation"/>
        </w:rPr>
        <w:t xml:space="preserve">awareness of the company. The ongoing exposure on Twitter leads to the branding effect of the firm, which increases investor confidence in its reliability and prosperity. The </w:t>
      </w:r>
      <w:r w:rsidR="00817D75" w:rsidRPr="00B41E66">
        <w:rPr>
          <w:rStyle w:val="tlid-translation"/>
        </w:rPr>
        <w:t xml:space="preserve">resulting </w:t>
      </w:r>
      <w:r w:rsidRPr="00B41E66">
        <w:rPr>
          <w:rStyle w:val="tlid-translation"/>
        </w:rPr>
        <w:t>perceived quality of the firm leads to a</w:t>
      </w:r>
      <w:r w:rsidR="00961F2E" w:rsidRPr="00B41E66">
        <w:rPr>
          <w:rStyle w:val="tlid-translation"/>
        </w:rPr>
        <w:t xml:space="preserve"> higher volume of purchases </w:t>
      </w:r>
      <w:r w:rsidR="00461B2A" w:rsidRPr="00B41E66">
        <w:rPr>
          <w:rStyle w:val="tlid-translation"/>
        </w:rPr>
        <w:t>of its</w:t>
      </w:r>
      <w:r w:rsidRPr="00B41E66">
        <w:rPr>
          <w:rStyle w:val="tlid-translation"/>
        </w:rPr>
        <w:t xml:space="preserve"> shares at a high price. Th</w:t>
      </w:r>
      <w:r w:rsidR="00961F2E" w:rsidRPr="00B41E66">
        <w:rPr>
          <w:rStyle w:val="tlid-translation"/>
        </w:rPr>
        <w:t>ese</w:t>
      </w:r>
      <w:r w:rsidRPr="00B41E66">
        <w:rPr>
          <w:rStyle w:val="tlid-translation"/>
        </w:rPr>
        <w:t xml:space="preserve"> </w:t>
      </w:r>
      <w:r w:rsidR="00B03718" w:rsidRPr="00B41E66">
        <w:rPr>
          <w:rStyle w:val="tlid-translation"/>
        </w:rPr>
        <w:t>purchase</w:t>
      </w:r>
      <w:r w:rsidR="0009324F" w:rsidRPr="00B41E66">
        <w:rPr>
          <w:rStyle w:val="tlid-translation"/>
        </w:rPr>
        <w:t>s</w:t>
      </w:r>
      <w:r w:rsidRPr="00B41E66">
        <w:rPr>
          <w:rStyle w:val="tlid-translation"/>
        </w:rPr>
        <w:t xml:space="preserve"> prove </w:t>
      </w:r>
      <w:r w:rsidR="00B03718" w:rsidRPr="00B41E66">
        <w:rPr>
          <w:rStyle w:val="tlid-translation"/>
        </w:rPr>
        <w:t>to be</w:t>
      </w:r>
      <w:r w:rsidRPr="00B41E66">
        <w:rPr>
          <w:rStyle w:val="tlid-translation"/>
        </w:rPr>
        <w:t xml:space="preserve"> justified </w:t>
      </w:r>
      <w:r w:rsidR="00B03718" w:rsidRPr="00B41E66">
        <w:rPr>
          <w:rStyle w:val="tlid-translation"/>
        </w:rPr>
        <w:t>due to</w:t>
      </w:r>
      <w:r w:rsidRPr="00B41E66">
        <w:rPr>
          <w:rStyle w:val="tlid-translation"/>
        </w:rPr>
        <w:t xml:space="preserve"> the continued difference in returns </w:t>
      </w:r>
      <w:r w:rsidR="00B03718" w:rsidRPr="00B41E66">
        <w:rPr>
          <w:rStyle w:val="tlid-translation"/>
        </w:rPr>
        <w:t>in favor of the HTV</w:t>
      </w:r>
      <w:r w:rsidRPr="00B41E66">
        <w:rPr>
          <w:rStyle w:val="tlid-translation"/>
        </w:rPr>
        <w:t xml:space="preserve"> </w:t>
      </w:r>
      <w:r w:rsidR="00B03718" w:rsidRPr="00B41E66">
        <w:rPr>
          <w:rStyle w:val="tlid-translation"/>
        </w:rPr>
        <w:t>firms</w:t>
      </w:r>
      <w:r w:rsidRPr="00B41E66">
        <w:rPr>
          <w:rStyle w:val="tlid-translation"/>
        </w:rPr>
        <w:t xml:space="preserve">. </w:t>
      </w:r>
    </w:p>
    <w:p w14:paraId="2AE108DE" w14:textId="77777777" w:rsidR="00B01763" w:rsidRPr="00B41E66" w:rsidRDefault="00B01763" w:rsidP="00EA42FF">
      <w:pPr>
        <w:spacing w:line="480" w:lineRule="auto"/>
        <w:jc w:val="both"/>
        <w:rPr>
          <w:lang w:bidi="he-IL"/>
        </w:rPr>
      </w:pPr>
    </w:p>
    <w:p w14:paraId="3055A9C0" w14:textId="02A3834F" w:rsidR="009944CF" w:rsidRPr="00B41E66" w:rsidRDefault="00FA30D7" w:rsidP="009944CF">
      <w:pPr>
        <w:spacing w:line="360" w:lineRule="auto"/>
        <w:rPr>
          <w:color w:val="0000FF"/>
          <w:lang w:val="en"/>
        </w:rPr>
      </w:pPr>
      <w:r w:rsidRPr="00B41E66">
        <w:rPr>
          <w:lang w:bidi="he-IL"/>
        </w:rPr>
        <w:t>To conclude</w:t>
      </w:r>
      <w:r w:rsidR="001A195F" w:rsidRPr="00B41E66">
        <w:rPr>
          <w:lang w:bidi="he-IL"/>
        </w:rPr>
        <w:t>,</w:t>
      </w:r>
      <w:r w:rsidRPr="00B41E66">
        <w:rPr>
          <w:lang w:bidi="he-IL"/>
        </w:rPr>
        <w:t xml:space="preserve"> our findings </w:t>
      </w:r>
      <w:r w:rsidR="00961F2E" w:rsidRPr="00B41E66">
        <w:rPr>
          <w:lang w:bidi="he-IL"/>
        </w:rPr>
        <w:t>have implications about</w:t>
      </w:r>
      <w:r w:rsidR="00FD713C" w:rsidRPr="00B41E66">
        <w:rPr>
          <w:lang w:bidi="he-IL"/>
        </w:rPr>
        <w:t xml:space="preserve"> </w:t>
      </w:r>
      <w:r w:rsidRPr="00B41E66">
        <w:rPr>
          <w:lang w:bidi="he-IL"/>
        </w:rPr>
        <w:t xml:space="preserve">investors’ limited attention </w:t>
      </w:r>
      <w:r w:rsidR="00961F2E" w:rsidRPr="00B41E66">
        <w:rPr>
          <w:lang w:bidi="he-IL"/>
        </w:rPr>
        <w:t>regarding</w:t>
      </w:r>
      <w:r w:rsidRPr="00B41E66">
        <w:rPr>
          <w:lang w:bidi="he-IL"/>
        </w:rPr>
        <w:t xml:space="preserve"> </w:t>
      </w:r>
      <w:r w:rsidR="00AC1B42" w:rsidRPr="00B41E66">
        <w:rPr>
          <w:lang w:bidi="he-IL"/>
        </w:rPr>
        <w:t>small</w:t>
      </w:r>
      <w:r w:rsidR="00961F2E" w:rsidRPr="00B41E66">
        <w:rPr>
          <w:lang w:bidi="he-IL"/>
        </w:rPr>
        <w:t>-</w:t>
      </w:r>
      <w:r w:rsidR="00AC1B42" w:rsidRPr="00B41E66">
        <w:rPr>
          <w:lang w:bidi="he-IL"/>
        </w:rPr>
        <w:t>size</w:t>
      </w:r>
      <w:r w:rsidR="00961F2E" w:rsidRPr="00B41E66">
        <w:rPr>
          <w:lang w:bidi="he-IL"/>
        </w:rPr>
        <w:t>d</w:t>
      </w:r>
      <w:r w:rsidR="00AC1B42" w:rsidRPr="00B41E66">
        <w:rPr>
          <w:lang w:bidi="he-IL"/>
        </w:rPr>
        <w:t xml:space="preserve"> firms</w:t>
      </w:r>
      <w:r w:rsidR="00961F2E" w:rsidRPr="00B41E66">
        <w:rPr>
          <w:lang w:bidi="he-IL"/>
        </w:rPr>
        <w:t>, which become “off-the-radar”</w:t>
      </w:r>
      <w:r w:rsidR="001A195F" w:rsidRPr="00B41E66">
        <w:rPr>
          <w:lang w:bidi="he-IL"/>
        </w:rPr>
        <w:t xml:space="preserve"> stocks</w:t>
      </w:r>
      <w:r w:rsidRPr="00B41E66">
        <w:rPr>
          <w:lang w:bidi="he-IL"/>
        </w:rPr>
        <w:t xml:space="preserve">. </w:t>
      </w:r>
      <w:r w:rsidR="002B31EB" w:rsidRPr="00B41E66">
        <w:rPr>
          <w:lang w:bidi="he-IL"/>
        </w:rPr>
        <w:t xml:space="preserve">We assume </w:t>
      </w:r>
      <w:r w:rsidR="00961F2E" w:rsidRPr="00B41E66">
        <w:rPr>
          <w:lang w:bidi="he-IL"/>
        </w:rPr>
        <w:t xml:space="preserve">an </w:t>
      </w:r>
      <w:r w:rsidR="001A195F" w:rsidRPr="00B41E66">
        <w:rPr>
          <w:lang w:bidi="he-IL"/>
        </w:rPr>
        <w:t xml:space="preserve">IPO ignites </w:t>
      </w:r>
      <w:r w:rsidR="002B31EB" w:rsidRPr="00B41E66">
        <w:rPr>
          <w:lang w:bidi="he-IL"/>
        </w:rPr>
        <w:t xml:space="preserve">a period of investor </w:t>
      </w:r>
      <w:r w:rsidR="001A195F" w:rsidRPr="00B41E66">
        <w:rPr>
          <w:lang w:bidi="he-IL"/>
        </w:rPr>
        <w:t>a</w:t>
      </w:r>
      <w:r w:rsidRPr="00B41E66">
        <w:rPr>
          <w:lang w:bidi="he-IL"/>
        </w:rPr>
        <w:t>ttention</w:t>
      </w:r>
      <w:r w:rsidR="001A195F" w:rsidRPr="00B41E66">
        <w:rPr>
          <w:lang w:bidi="he-IL"/>
        </w:rPr>
        <w:t xml:space="preserve"> which</w:t>
      </w:r>
      <w:r w:rsidRPr="00B41E66">
        <w:rPr>
          <w:lang w:bidi="he-IL"/>
        </w:rPr>
        <w:t xml:space="preserve"> rises until the end of quiet period and then investors’ attention to small size </w:t>
      </w:r>
      <w:r w:rsidR="001A195F" w:rsidRPr="00B41E66">
        <w:rPr>
          <w:lang w:bidi="he-IL"/>
        </w:rPr>
        <w:t xml:space="preserve">firms </w:t>
      </w:r>
      <w:r w:rsidR="00C223A6" w:rsidRPr="00B41E66">
        <w:rPr>
          <w:lang w:bidi="he-IL"/>
        </w:rPr>
        <w:t>diminishes</w:t>
      </w:r>
      <w:r w:rsidRPr="00B41E66">
        <w:rPr>
          <w:lang w:bidi="he-IL"/>
        </w:rPr>
        <w:t xml:space="preserve"> </w:t>
      </w:r>
      <w:r w:rsidR="000677EA" w:rsidRPr="00B41E66">
        <w:rPr>
          <w:lang w:bidi="he-IL"/>
        </w:rPr>
        <w:t xml:space="preserve">at </w:t>
      </w:r>
      <w:r w:rsidRPr="00B41E66">
        <w:rPr>
          <w:lang w:bidi="he-IL"/>
        </w:rPr>
        <w:t>the post IPO years</w:t>
      </w:r>
      <w:r w:rsidR="001A195F" w:rsidRPr="00B41E66">
        <w:rPr>
          <w:lang w:bidi="he-IL"/>
        </w:rPr>
        <w:t xml:space="preserve"> as they seek their next lottery like opportunity</w:t>
      </w:r>
      <w:r w:rsidRPr="00B41E66">
        <w:rPr>
          <w:lang w:bidi="he-IL"/>
        </w:rPr>
        <w:t>.</w:t>
      </w:r>
      <w:r w:rsidR="009944CF" w:rsidRPr="00B41E66">
        <w:rPr>
          <w:lang w:val="en"/>
        </w:rPr>
        <w:t xml:space="preserve"> </w:t>
      </w:r>
      <w:r w:rsidR="003E3476" w:rsidRPr="00B41E66">
        <w:rPr>
          <w:color w:val="0000FF"/>
          <w:lang w:val="en"/>
        </w:rPr>
        <w:t xml:space="preserve">Despite the </w:t>
      </w:r>
      <w:r w:rsidR="003E3476" w:rsidRPr="00B41E66">
        <w:rPr>
          <w:color w:val="0000FF"/>
          <w:lang w:bidi="he-IL"/>
        </w:rPr>
        <w:t>enormous under</w:t>
      </w:r>
      <w:r w:rsidR="003E3476" w:rsidRPr="00B41E66">
        <w:rPr>
          <w:color w:val="0000FF"/>
          <w:lang w:val="en"/>
        </w:rPr>
        <w:t xml:space="preserve"> performance of small firms, performing an IPO increases their exposure and therefore, a</w:t>
      </w:r>
      <w:r w:rsidR="009944CF" w:rsidRPr="00B41E66">
        <w:rPr>
          <w:color w:val="0000FF"/>
          <w:lang w:val="en"/>
        </w:rPr>
        <w:t>s suggested by Zingales (1995), Mello and Parsons (1998) and Dambra et al. (2015), an IPO can be a first step towards a future sale. This seems particularly relevant to small pharma firms whose acquisition by an established, asset-rich firm is likely to be the best option to support the drug development process until its successful completion</w:t>
      </w:r>
      <w:r w:rsidR="009944CF" w:rsidRPr="00B41E66">
        <w:rPr>
          <w:color w:val="0000FF"/>
          <w:rtl/>
          <w:lang w:val="en"/>
        </w:rPr>
        <w:t>.</w:t>
      </w:r>
    </w:p>
    <w:p w14:paraId="5E89ABB1" w14:textId="77777777" w:rsidR="0084042B" w:rsidRPr="00B41E66" w:rsidRDefault="0084042B" w:rsidP="00E552DA">
      <w:pPr>
        <w:autoSpaceDE w:val="0"/>
        <w:autoSpaceDN w:val="0"/>
        <w:adjustRightInd w:val="0"/>
        <w:spacing w:line="360" w:lineRule="auto"/>
        <w:jc w:val="both"/>
      </w:pPr>
    </w:p>
    <w:p w14:paraId="628C7B64" w14:textId="77777777" w:rsidR="000309D9" w:rsidRPr="00B41E66" w:rsidRDefault="000309D9" w:rsidP="007D2464">
      <w:pPr>
        <w:spacing w:line="360" w:lineRule="auto"/>
        <w:jc w:val="both"/>
        <w:rPr>
          <w:b/>
          <w:bCs/>
        </w:rPr>
      </w:pPr>
      <w:r w:rsidRPr="00B41E66">
        <w:rPr>
          <w:b/>
          <w:bCs/>
        </w:rPr>
        <w:t>References</w:t>
      </w:r>
    </w:p>
    <w:p w14:paraId="4266A037" w14:textId="77777777" w:rsidR="00113FED" w:rsidRPr="00B41E66" w:rsidRDefault="00113FED" w:rsidP="007D2464">
      <w:pPr>
        <w:spacing w:line="360" w:lineRule="auto"/>
        <w:jc w:val="both"/>
      </w:pPr>
    </w:p>
    <w:p w14:paraId="761D459A" w14:textId="77777777" w:rsidR="00113FED" w:rsidRPr="00B41E66" w:rsidRDefault="00C06F20" w:rsidP="00113FED">
      <w:pPr>
        <w:spacing w:line="360" w:lineRule="auto"/>
        <w:jc w:val="both"/>
      </w:pPr>
      <w:r w:rsidRPr="00B41E66">
        <w:lastRenderedPageBreak/>
        <w:t xml:space="preserve">Antweiler, W., &amp; Frank, M. Z. (2004). Is all that talk just noise? The information content of internet stock message boards. </w:t>
      </w:r>
      <w:r w:rsidRPr="00B41E66">
        <w:rPr>
          <w:i/>
          <w:iCs/>
        </w:rPr>
        <w:t>The Journal of finance</w:t>
      </w:r>
      <w:r w:rsidRPr="00B41E66">
        <w:t xml:space="preserve">, </w:t>
      </w:r>
      <w:r w:rsidRPr="00B41E66">
        <w:rPr>
          <w:i/>
          <w:iCs/>
        </w:rPr>
        <w:t>59</w:t>
      </w:r>
      <w:r w:rsidRPr="00B41E66">
        <w:t>(3), 1259-1294</w:t>
      </w:r>
    </w:p>
    <w:p w14:paraId="5C042D2A" w14:textId="77777777" w:rsidR="00C06F20" w:rsidRPr="00B41E66" w:rsidRDefault="00C06F20" w:rsidP="00113FED">
      <w:pPr>
        <w:spacing w:line="360" w:lineRule="auto"/>
        <w:jc w:val="both"/>
      </w:pPr>
    </w:p>
    <w:p w14:paraId="274586CA" w14:textId="77777777" w:rsidR="00113FED" w:rsidRPr="00B41E66" w:rsidRDefault="00113FED" w:rsidP="00113FED">
      <w:pPr>
        <w:spacing w:line="360" w:lineRule="auto"/>
        <w:jc w:val="both"/>
      </w:pPr>
      <w:r w:rsidRPr="00B41E66">
        <w:t>Barber, B. M., &amp; Odean, T. (2007). All that glitters: The effect of attention and news on the buying behavior of individual and institutional investors. The Review of Financial Studies, 21(2), 785-818.</w:t>
      </w:r>
      <w:r w:rsidRPr="00B41E66">
        <w:rPr>
          <w:rtl/>
        </w:rPr>
        <w:t>‏</w:t>
      </w:r>
    </w:p>
    <w:p w14:paraId="3150C7C1" w14:textId="77777777" w:rsidR="00113FED" w:rsidRPr="00B41E66" w:rsidRDefault="00113FED" w:rsidP="00113FED">
      <w:pPr>
        <w:spacing w:line="360" w:lineRule="auto"/>
        <w:jc w:val="both"/>
      </w:pPr>
    </w:p>
    <w:p w14:paraId="030BFED3" w14:textId="77777777" w:rsidR="00221BAD" w:rsidRPr="00B41E66" w:rsidRDefault="00221BAD" w:rsidP="00113FED">
      <w:pPr>
        <w:spacing w:line="360" w:lineRule="auto"/>
        <w:jc w:val="both"/>
        <w:rPr>
          <w:color w:val="0000FF"/>
          <w:shd w:val="clear" w:color="auto" w:fill="FFFFFF"/>
        </w:rPr>
      </w:pPr>
      <w:bookmarkStart w:id="14" w:name="_Hlk80104834"/>
      <w:r w:rsidRPr="00B41E66">
        <w:rPr>
          <w:color w:val="0000FF"/>
          <w:shd w:val="clear" w:color="auto" w:fill="FFFFFF"/>
        </w:rPr>
        <w:t>Berk, A. S., &amp; Peterle, P. (2015). Initial and long-run IPO returns in Central and Eastern Europe. </w:t>
      </w:r>
      <w:r w:rsidRPr="00B41E66">
        <w:rPr>
          <w:i/>
          <w:iCs/>
          <w:color w:val="0000FF"/>
          <w:shd w:val="clear" w:color="auto" w:fill="FFFFFF"/>
        </w:rPr>
        <w:t>Emerging Markets Finance and Trade</w:t>
      </w:r>
      <w:r w:rsidRPr="00B41E66">
        <w:rPr>
          <w:color w:val="0000FF"/>
          <w:shd w:val="clear" w:color="auto" w:fill="FFFFFF"/>
        </w:rPr>
        <w:t>, </w:t>
      </w:r>
      <w:r w:rsidRPr="00B41E66">
        <w:rPr>
          <w:i/>
          <w:iCs/>
          <w:color w:val="0000FF"/>
          <w:shd w:val="clear" w:color="auto" w:fill="FFFFFF"/>
        </w:rPr>
        <w:t>51</w:t>
      </w:r>
      <w:r w:rsidRPr="00B41E66">
        <w:rPr>
          <w:color w:val="0000FF"/>
          <w:shd w:val="clear" w:color="auto" w:fill="FFFFFF"/>
        </w:rPr>
        <w:t>(sup6), S42-S60.</w:t>
      </w:r>
      <w:r w:rsidRPr="00B41E66">
        <w:rPr>
          <w:color w:val="0000FF"/>
          <w:shd w:val="clear" w:color="auto" w:fill="FFFFFF"/>
          <w:rtl/>
        </w:rPr>
        <w:t>‏</w:t>
      </w:r>
    </w:p>
    <w:bookmarkEnd w:id="14"/>
    <w:p w14:paraId="7E3B919B" w14:textId="77777777" w:rsidR="00221BAD" w:rsidRPr="00B41E66" w:rsidRDefault="00221BAD" w:rsidP="00113FED">
      <w:pPr>
        <w:spacing w:line="360" w:lineRule="auto"/>
        <w:jc w:val="both"/>
      </w:pPr>
    </w:p>
    <w:p w14:paraId="4E4DE6EA" w14:textId="67B1AEDA" w:rsidR="00113FED" w:rsidRPr="00B41E66" w:rsidRDefault="00113FED" w:rsidP="00113FED">
      <w:pPr>
        <w:spacing w:line="360" w:lineRule="auto"/>
        <w:jc w:val="both"/>
      </w:pPr>
      <w:r w:rsidRPr="00B41E66">
        <w:t>Bhattacharya, U., Galpin, N., Ray, R., &amp; Yu, X. (2009). The role of the media in the internet IPO bubble. Journal of Financial and Quantitative Analysis, 44(3), 657-682.</w:t>
      </w:r>
      <w:r w:rsidRPr="00B41E66">
        <w:rPr>
          <w:rtl/>
        </w:rPr>
        <w:t>‏</w:t>
      </w:r>
    </w:p>
    <w:p w14:paraId="268DDF9A" w14:textId="77777777" w:rsidR="0074162C" w:rsidRPr="00B41E66" w:rsidRDefault="0074162C" w:rsidP="00113FED">
      <w:pPr>
        <w:spacing w:line="360" w:lineRule="auto"/>
        <w:jc w:val="both"/>
      </w:pPr>
    </w:p>
    <w:p w14:paraId="1DA0764D" w14:textId="2BC7DAD5" w:rsidR="00113FED" w:rsidRPr="00B41E66" w:rsidRDefault="0074162C" w:rsidP="00113FED">
      <w:pPr>
        <w:spacing w:line="360" w:lineRule="auto"/>
        <w:jc w:val="both"/>
        <w:rPr>
          <w:color w:val="0000FF"/>
          <w:shd w:val="clear" w:color="auto" w:fill="FFFFFF"/>
        </w:rPr>
      </w:pPr>
      <w:bookmarkStart w:id="15" w:name="_Hlk80629246"/>
      <w:bookmarkStart w:id="16" w:name="_Hlk80629265"/>
      <w:bookmarkStart w:id="17" w:name="_Hlk80104914"/>
      <w:r w:rsidRPr="00B41E66">
        <w:rPr>
          <w:color w:val="0000FF"/>
          <w:shd w:val="clear" w:color="auto" w:fill="FFFFFF"/>
        </w:rPr>
        <w:t xml:space="preserve">Binder, J. (1998). </w:t>
      </w:r>
      <w:bookmarkEnd w:id="15"/>
      <w:r w:rsidRPr="00B41E66">
        <w:rPr>
          <w:color w:val="0000FF"/>
          <w:shd w:val="clear" w:color="auto" w:fill="FFFFFF"/>
        </w:rPr>
        <w:t>The event study methodology since 1969. </w:t>
      </w:r>
      <w:r w:rsidRPr="00B41E66">
        <w:rPr>
          <w:i/>
          <w:iCs/>
          <w:color w:val="0000FF"/>
          <w:shd w:val="clear" w:color="auto" w:fill="FFFFFF"/>
        </w:rPr>
        <w:t>Review of quantitative Finance and Accounting</w:t>
      </w:r>
      <w:r w:rsidRPr="00B41E66">
        <w:rPr>
          <w:color w:val="0000FF"/>
          <w:shd w:val="clear" w:color="auto" w:fill="FFFFFF"/>
        </w:rPr>
        <w:t>, </w:t>
      </w:r>
      <w:r w:rsidRPr="00B41E66">
        <w:rPr>
          <w:i/>
          <w:iCs/>
          <w:color w:val="0000FF"/>
          <w:shd w:val="clear" w:color="auto" w:fill="FFFFFF"/>
        </w:rPr>
        <w:t>11</w:t>
      </w:r>
      <w:r w:rsidRPr="00B41E66">
        <w:rPr>
          <w:color w:val="0000FF"/>
          <w:shd w:val="clear" w:color="auto" w:fill="FFFFFF"/>
        </w:rPr>
        <w:t>(2), 111-137.</w:t>
      </w:r>
      <w:r w:rsidRPr="00B41E66">
        <w:rPr>
          <w:color w:val="0000FF"/>
          <w:shd w:val="clear" w:color="auto" w:fill="FFFFFF"/>
          <w:rtl/>
        </w:rPr>
        <w:t>‏</w:t>
      </w:r>
    </w:p>
    <w:bookmarkEnd w:id="16"/>
    <w:p w14:paraId="2D22E696" w14:textId="77777777" w:rsidR="0074162C" w:rsidRPr="00B41E66" w:rsidRDefault="0074162C" w:rsidP="00113FED">
      <w:pPr>
        <w:spacing w:line="360" w:lineRule="auto"/>
        <w:jc w:val="both"/>
        <w:rPr>
          <w:color w:val="0000FF"/>
        </w:rPr>
      </w:pPr>
    </w:p>
    <w:p w14:paraId="2FE732E7" w14:textId="77777777" w:rsidR="000E112C" w:rsidRPr="00B41E66" w:rsidRDefault="000E112C" w:rsidP="00113FED">
      <w:pPr>
        <w:spacing w:line="360" w:lineRule="auto"/>
        <w:jc w:val="both"/>
        <w:rPr>
          <w:color w:val="0000FF"/>
        </w:rPr>
      </w:pPr>
      <w:r w:rsidRPr="00B41E66">
        <w:rPr>
          <w:color w:val="0000FF"/>
          <w:shd w:val="clear" w:color="auto" w:fill="FFFFFF"/>
        </w:rPr>
        <w:t>Boubaker, S., Cellier, A., Manita, R., &amp; Toumi, N. (2020). Ownership Structure and Long-Run Performance of French IPO Firms. </w:t>
      </w:r>
      <w:r w:rsidRPr="00B41E66">
        <w:rPr>
          <w:i/>
          <w:iCs/>
          <w:color w:val="0000FF"/>
          <w:shd w:val="clear" w:color="auto" w:fill="FFFFFF"/>
        </w:rPr>
        <w:t>Management international/International Management/Gestiòn Internacional</w:t>
      </w:r>
      <w:r w:rsidRPr="00B41E66">
        <w:rPr>
          <w:color w:val="0000FF"/>
          <w:shd w:val="clear" w:color="auto" w:fill="FFFFFF"/>
        </w:rPr>
        <w:t>, </w:t>
      </w:r>
      <w:r w:rsidRPr="00B41E66">
        <w:rPr>
          <w:i/>
          <w:iCs/>
          <w:color w:val="0000FF"/>
          <w:shd w:val="clear" w:color="auto" w:fill="FFFFFF"/>
        </w:rPr>
        <w:t>24</w:t>
      </w:r>
      <w:r w:rsidRPr="00B41E66">
        <w:rPr>
          <w:color w:val="0000FF"/>
          <w:shd w:val="clear" w:color="auto" w:fill="FFFFFF"/>
        </w:rPr>
        <w:t>(5), 135-152.</w:t>
      </w:r>
      <w:r w:rsidRPr="00B41E66">
        <w:rPr>
          <w:color w:val="0000FF"/>
          <w:shd w:val="clear" w:color="auto" w:fill="FFFFFF"/>
          <w:rtl/>
        </w:rPr>
        <w:t>‏</w:t>
      </w:r>
    </w:p>
    <w:p w14:paraId="539893F8" w14:textId="77777777" w:rsidR="000E112C" w:rsidRPr="00B41E66" w:rsidRDefault="000E112C" w:rsidP="00113FED">
      <w:pPr>
        <w:spacing w:line="360" w:lineRule="auto"/>
        <w:jc w:val="both"/>
        <w:rPr>
          <w:color w:val="0000FF"/>
        </w:rPr>
      </w:pPr>
    </w:p>
    <w:bookmarkEnd w:id="17"/>
    <w:p w14:paraId="1F7178F2" w14:textId="77777777" w:rsidR="0029415D" w:rsidRPr="00B41E66" w:rsidRDefault="0029415D" w:rsidP="00113FED">
      <w:pPr>
        <w:spacing w:line="360" w:lineRule="auto"/>
        <w:jc w:val="both"/>
      </w:pPr>
    </w:p>
    <w:p w14:paraId="5F39AC4F" w14:textId="77777777" w:rsidR="0029415D" w:rsidRPr="00B41E66" w:rsidRDefault="0029415D" w:rsidP="0029415D">
      <w:pPr>
        <w:spacing w:line="360" w:lineRule="auto"/>
        <w:jc w:val="both"/>
      </w:pPr>
      <w:r w:rsidRPr="00B41E66">
        <w:rPr>
          <w:color w:val="222222"/>
          <w:shd w:val="clear" w:color="auto" w:fill="FFFFFF"/>
        </w:rPr>
        <w:t>Cao, J., Jiang, F., &amp; Ritter, J. R. (2015). Patents, innovation, and performance of venture capital-backed IPOs. </w:t>
      </w:r>
      <w:r w:rsidRPr="00B41E66">
        <w:rPr>
          <w:i/>
          <w:iCs/>
          <w:color w:val="222222"/>
          <w:shd w:val="clear" w:color="auto" w:fill="FFFFFF"/>
        </w:rPr>
        <w:t>Available at SSRN 2364668</w:t>
      </w:r>
      <w:r w:rsidRPr="00B41E66">
        <w:rPr>
          <w:color w:val="222222"/>
          <w:shd w:val="clear" w:color="auto" w:fill="FFFFFF"/>
        </w:rPr>
        <w:t>.</w:t>
      </w:r>
      <w:r w:rsidRPr="00B41E66">
        <w:rPr>
          <w:color w:val="222222"/>
          <w:shd w:val="clear" w:color="auto" w:fill="FFFFFF"/>
          <w:rtl/>
        </w:rPr>
        <w:t>‏</w:t>
      </w:r>
    </w:p>
    <w:p w14:paraId="42944F15" w14:textId="77777777" w:rsidR="009005F2" w:rsidRPr="00B41E66" w:rsidRDefault="009005F2" w:rsidP="00113FED">
      <w:pPr>
        <w:spacing w:line="360" w:lineRule="auto"/>
        <w:jc w:val="both"/>
      </w:pPr>
    </w:p>
    <w:p w14:paraId="4EAAA02F" w14:textId="77777777" w:rsidR="009005F2" w:rsidRPr="00B41E66" w:rsidRDefault="009005F2" w:rsidP="009005F2">
      <w:pPr>
        <w:spacing w:after="160" w:line="259" w:lineRule="auto"/>
        <w:rPr>
          <w:rFonts w:eastAsia="Calibri"/>
          <w:lang w:bidi="he-IL"/>
        </w:rPr>
      </w:pPr>
      <w:r w:rsidRPr="00B41E66">
        <w:rPr>
          <w:rFonts w:eastAsia="Calibri"/>
          <w:lang w:bidi="he-IL"/>
        </w:rPr>
        <w:t xml:space="preserve">Carson, Richard, M. (2013, Sep 25). </w:t>
      </w:r>
      <w:r w:rsidRPr="00B41E66">
        <w:rPr>
          <w:i/>
          <w:iCs/>
          <w:kern w:val="36"/>
          <w:lang w:bidi="he-IL"/>
        </w:rPr>
        <w:t>United States: Fundamentals Of Initial Public Offerings</w:t>
      </w:r>
      <w:r w:rsidRPr="00B41E66">
        <w:rPr>
          <w:kern w:val="36"/>
          <w:lang w:bidi="he-IL"/>
        </w:rPr>
        <w:t xml:space="preserve">, </w:t>
      </w:r>
      <w:r w:rsidRPr="00B41E66">
        <w:rPr>
          <w:rFonts w:eastAsia="Calibri"/>
          <w:lang w:bidi="he-IL"/>
        </w:rPr>
        <w:t>Retrieved from</w:t>
      </w:r>
      <w:r w:rsidRPr="00B41E66">
        <w:rPr>
          <w:kern w:val="36"/>
          <w:lang w:bidi="he-IL"/>
        </w:rPr>
        <w:t xml:space="preserve"> </w:t>
      </w:r>
      <w:hyperlink r:id="rId13" w:history="1">
        <w:r w:rsidRPr="00B41E66">
          <w:rPr>
            <w:rFonts w:eastAsia="Calibri"/>
            <w:color w:val="0000FF"/>
            <w:u w:val="single"/>
            <w:lang w:bidi="he-IL"/>
          </w:rPr>
          <w:t>http://www.mondaq.com/unitedstates/x/265126/Securities/Fundamentals+Of+Initial+Public+Offerings</w:t>
        </w:r>
      </w:hyperlink>
    </w:p>
    <w:p w14:paraId="02D016D3" w14:textId="77777777" w:rsidR="00113FED" w:rsidRPr="00B41E66" w:rsidRDefault="00113FED" w:rsidP="00113FED">
      <w:pPr>
        <w:spacing w:line="360" w:lineRule="auto"/>
        <w:jc w:val="both"/>
      </w:pPr>
    </w:p>
    <w:p w14:paraId="040857C6" w14:textId="77777777" w:rsidR="0029415D" w:rsidRPr="00B41E66" w:rsidRDefault="0029415D" w:rsidP="00113FED">
      <w:pPr>
        <w:spacing w:line="360" w:lineRule="auto"/>
        <w:jc w:val="both"/>
      </w:pPr>
    </w:p>
    <w:p w14:paraId="4F1C0678" w14:textId="77777777" w:rsidR="00113FED" w:rsidRPr="00B41E66" w:rsidRDefault="00113FED" w:rsidP="00113FED">
      <w:pPr>
        <w:spacing w:line="360" w:lineRule="auto"/>
        <w:jc w:val="both"/>
      </w:pPr>
      <w:r w:rsidRPr="00B41E66">
        <w:t>Chen, H., De, P., Hu, Y. J., &amp; Hwang, B. H. (2014). Wisdom of crowds: The value of stock opinions transmitted through social media. The Review of Financial Studies, 27(5), 1367-1403.</w:t>
      </w:r>
      <w:r w:rsidRPr="00B41E66">
        <w:rPr>
          <w:rtl/>
        </w:rPr>
        <w:t>‏</w:t>
      </w:r>
      <w:r w:rsidRPr="00B41E66">
        <w:t xml:space="preserve"> </w:t>
      </w:r>
    </w:p>
    <w:p w14:paraId="01311BA1" w14:textId="77777777" w:rsidR="00113FED" w:rsidRPr="00B41E66" w:rsidRDefault="00113FED" w:rsidP="00113FED">
      <w:pPr>
        <w:spacing w:line="360" w:lineRule="auto"/>
        <w:jc w:val="both"/>
      </w:pPr>
    </w:p>
    <w:p w14:paraId="53FDA536" w14:textId="77777777" w:rsidR="000F214C" w:rsidRPr="00B41E66" w:rsidRDefault="000F214C" w:rsidP="00113FED">
      <w:pPr>
        <w:spacing w:line="360" w:lineRule="auto"/>
        <w:jc w:val="both"/>
        <w:rPr>
          <w:color w:val="0000FF"/>
        </w:rPr>
      </w:pPr>
      <w:r w:rsidRPr="00B41E66">
        <w:rPr>
          <w:color w:val="0000FF"/>
          <w:shd w:val="clear" w:color="auto" w:fill="FFFFFF"/>
        </w:rPr>
        <w:lastRenderedPageBreak/>
        <w:t>Chen, C., &amp; Xu, H. (2015). The Roles of Innovation Input and Outcome in IPO Pricing--Evidence from the Bio-Pharmaceutical Industry in China.</w:t>
      </w:r>
      <w:r w:rsidRPr="00B41E66">
        <w:rPr>
          <w:color w:val="0000FF"/>
          <w:shd w:val="clear" w:color="auto" w:fill="FFFFFF"/>
          <w:rtl/>
        </w:rPr>
        <w:t>‏</w:t>
      </w:r>
    </w:p>
    <w:p w14:paraId="44B7EB86" w14:textId="77777777" w:rsidR="000F214C" w:rsidRPr="00B41E66" w:rsidRDefault="000F214C" w:rsidP="00113FED">
      <w:pPr>
        <w:spacing w:line="360" w:lineRule="auto"/>
        <w:jc w:val="both"/>
      </w:pPr>
    </w:p>
    <w:p w14:paraId="5ED34FFD" w14:textId="77777777" w:rsidR="00113FED" w:rsidRPr="00B41E66" w:rsidRDefault="00113FED" w:rsidP="00113FED">
      <w:pPr>
        <w:spacing w:line="360" w:lineRule="auto"/>
        <w:jc w:val="both"/>
      </w:pPr>
      <w:r w:rsidRPr="00B41E66">
        <w:t>Das, S. R., &amp; Chen, M. Y. (2007). Yahoo! for Amazon: Sentiment extraction from small talk on the web. Management science, 53(9), 1375-1388.</w:t>
      </w:r>
      <w:r w:rsidRPr="00B41E66">
        <w:rPr>
          <w:rtl/>
        </w:rPr>
        <w:t>‏</w:t>
      </w:r>
    </w:p>
    <w:p w14:paraId="6BB094B8" w14:textId="77777777" w:rsidR="00113FED" w:rsidRPr="00B41E66" w:rsidRDefault="00113FED" w:rsidP="00113FED">
      <w:pPr>
        <w:spacing w:line="360" w:lineRule="auto"/>
        <w:jc w:val="both"/>
      </w:pPr>
    </w:p>
    <w:p w14:paraId="704641B0" w14:textId="77777777" w:rsidR="00581D89" w:rsidRPr="00B41E66" w:rsidRDefault="00581D89" w:rsidP="00113FED">
      <w:pPr>
        <w:spacing w:line="360" w:lineRule="auto"/>
        <w:jc w:val="both"/>
        <w:rPr>
          <w:color w:val="0000FF"/>
          <w:shd w:val="clear" w:color="auto" w:fill="FFFFFF"/>
        </w:rPr>
      </w:pPr>
      <w:bookmarkStart w:id="18" w:name="_Hlk80173124"/>
      <w:r w:rsidRPr="00B41E66">
        <w:rPr>
          <w:color w:val="0000FF"/>
          <w:shd w:val="clear" w:color="auto" w:fill="FFFFFF"/>
        </w:rPr>
        <w:t>Dambra, M., Field, L. C., &amp; Gustafson, M. T. (2015). The JOBS Act and IPO volume: Evidence that disclosure costs affect the IPO decision. Journal of Financial Economics, 116(1), 121-143.</w:t>
      </w:r>
      <w:r w:rsidRPr="00B41E66">
        <w:rPr>
          <w:color w:val="0000FF"/>
          <w:shd w:val="clear" w:color="auto" w:fill="FFFFFF"/>
          <w:rtl/>
        </w:rPr>
        <w:t>‏</w:t>
      </w:r>
    </w:p>
    <w:bookmarkEnd w:id="18"/>
    <w:p w14:paraId="5252FE0A" w14:textId="77777777" w:rsidR="00581D89" w:rsidRPr="00B41E66" w:rsidRDefault="00581D89" w:rsidP="00113FED">
      <w:pPr>
        <w:spacing w:line="360" w:lineRule="auto"/>
        <w:jc w:val="both"/>
      </w:pPr>
    </w:p>
    <w:p w14:paraId="54E89E46" w14:textId="77777777" w:rsidR="008675AA" w:rsidRPr="00B41E66" w:rsidRDefault="008675AA" w:rsidP="00113FED">
      <w:pPr>
        <w:spacing w:line="360" w:lineRule="auto"/>
        <w:jc w:val="both"/>
        <w:rPr>
          <w:color w:val="222222"/>
          <w:shd w:val="clear" w:color="auto" w:fill="FFFFFF"/>
        </w:rPr>
      </w:pPr>
      <w:r w:rsidRPr="00B41E66">
        <w:rPr>
          <w:color w:val="222222"/>
          <w:shd w:val="clear" w:color="auto" w:fill="FFFFFF"/>
        </w:rPr>
        <w:t>Edwards, M. (2021). The Indomitable Biotech IPO Window—What's Keeping it Open?. </w:t>
      </w:r>
      <w:r w:rsidRPr="00B41E66">
        <w:rPr>
          <w:i/>
          <w:iCs/>
          <w:color w:val="222222"/>
          <w:shd w:val="clear" w:color="auto" w:fill="FFFFFF"/>
        </w:rPr>
        <w:t>les Nouvelles-Journal of the Licensing Executives Society</w:t>
      </w:r>
      <w:r w:rsidRPr="00B41E66">
        <w:rPr>
          <w:color w:val="222222"/>
          <w:shd w:val="clear" w:color="auto" w:fill="FFFFFF"/>
        </w:rPr>
        <w:t>, </w:t>
      </w:r>
      <w:r w:rsidRPr="00B41E66">
        <w:rPr>
          <w:i/>
          <w:iCs/>
          <w:color w:val="222222"/>
          <w:shd w:val="clear" w:color="auto" w:fill="FFFFFF"/>
        </w:rPr>
        <w:t>56</w:t>
      </w:r>
      <w:r w:rsidRPr="00B41E66">
        <w:rPr>
          <w:color w:val="222222"/>
          <w:shd w:val="clear" w:color="auto" w:fill="FFFFFF"/>
        </w:rPr>
        <w:t>(1).</w:t>
      </w:r>
      <w:r w:rsidRPr="00B41E66">
        <w:rPr>
          <w:color w:val="222222"/>
          <w:shd w:val="clear" w:color="auto" w:fill="FFFFFF"/>
          <w:rtl/>
        </w:rPr>
        <w:t>‏</w:t>
      </w:r>
    </w:p>
    <w:p w14:paraId="7B0CB8B2" w14:textId="77777777" w:rsidR="008675AA" w:rsidRPr="00B41E66" w:rsidRDefault="008675AA" w:rsidP="00113FED">
      <w:pPr>
        <w:spacing w:line="360" w:lineRule="auto"/>
        <w:jc w:val="both"/>
      </w:pPr>
    </w:p>
    <w:p w14:paraId="321679A1" w14:textId="77777777" w:rsidR="00113FED" w:rsidRPr="00B41E66" w:rsidRDefault="00113FED" w:rsidP="00113FED">
      <w:pPr>
        <w:spacing w:line="360" w:lineRule="auto"/>
        <w:jc w:val="both"/>
      </w:pPr>
      <w:r w:rsidRPr="00B41E66">
        <w:t>Fang, L., &amp; Peress, J. (2009). Media coverage and the cross‐section of stock returns. The Journal of Finance, 64(5), 2023-2052.</w:t>
      </w:r>
      <w:r w:rsidRPr="00B41E66">
        <w:rPr>
          <w:rtl/>
        </w:rPr>
        <w:t>‏</w:t>
      </w:r>
    </w:p>
    <w:p w14:paraId="2344DDCC" w14:textId="77777777" w:rsidR="00113FED" w:rsidRPr="00B41E66" w:rsidRDefault="00113FED" w:rsidP="00113FED">
      <w:pPr>
        <w:spacing w:line="360" w:lineRule="auto"/>
        <w:jc w:val="both"/>
      </w:pPr>
    </w:p>
    <w:p w14:paraId="23FD9974" w14:textId="77777777" w:rsidR="00113FED" w:rsidRPr="00B41E66" w:rsidRDefault="00113FED" w:rsidP="00113FED">
      <w:pPr>
        <w:spacing w:line="360" w:lineRule="auto"/>
        <w:jc w:val="both"/>
      </w:pPr>
    </w:p>
    <w:p w14:paraId="52F4AF69" w14:textId="77777777" w:rsidR="00113FED" w:rsidRPr="00B41E66" w:rsidRDefault="00113FED" w:rsidP="00113FED">
      <w:pPr>
        <w:spacing w:line="360" w:lineRule="auto"/>
        <w:jc w:val="both"/>
      </w:pPr>
      <w:r w:rsidRPr="00B41E66">
        <w:t xml:space="preserve">Forbergskog, J. O., &amp; Blom, C. R. (2014). Twitter and stock returns (Master's thesis). </w:t>
      </w:r>
    </w:p>
    <w:p w14:paraId="0FFA38CC" w14:textId="77777777" w:rsidR="00113FED" w:rsidRPr="00B41E66" w:rsidRDefault="00113FED" w:rsidP="00113FED">
      <w:pPr>
        <w:spacing w:line="360" w:lineRule="auto"/>
        <w:jc w:val="both"/>
      </w:pPr>
    </w:p>
    <w:p w14:paraId="0D61A1EF" w14:textId="77777777" w:rsidR="00113FED" w:rsidRPr="00B41E66" w:rsidRDefault="00DF4D1D" w:rsidP="00113FED">
      <w:pPr>
        <w:spacing w:line="360" w:lineRule="auto"/>
        <w:jc w:val="both"/>
      </w:pPr>
      <w:r w:rsidRPr="00B41E66">
        <w:t xml:space="preserve">Gilbert, E., &amp; Karahalios, K. (2010, May). Widespread Worry and the Stock Market. In </w:t>
      </w:r>
      <w:r w:rsidRPr="00B41E66">
        <w:rPr>
          <w:i/>
          <w:iCs/>
        </w:rPr>
        <w:t>ICWSM</w:t>
      </w:r>
      <w:r w:rsidRPr="00B41E66">
        <w:t xml:space="preserve"> (pp. 59-65).</w:t>
      </w:r>
    </w:p>
    <w:p w14:paraId="758E0DA9" w14:textId="77777777" w:rsidR="00DA3933" w:rsidRPr="00B41E66" w:rsidRDefault="00DA3933" w:rsidP="00113FED">
      <w:pPr>
        <w:spacing w:line="360" w:lineRule="auto"/>
        <w:jc w:val="both"/>
      </w:pPr>
    </w:p>
    <w:p w14:paraId="65AF034E" w14:textId="77777777" w:rsidR="00CA4CC0" w:rsidRPr="00B41E66" w:rsidRDefault="00CA4CC0" w:rsidP="00CA4CC0">
      <w:pPr>
        <w:spacing w:line="360" w:lineRule="auto"/>
        <w:rPr>
          <w:color w:val="0000FF"/>
        </w:rPr>
      </w:pPr>
      <w:bookmarkStart w:id="19" w:name="_Hlk80104609"/>
      <w:bookmarkStart w:id="20" w:name="_Hlk80103969"/>
      <w:r w:rsidRPr="00B41E66">
        <w:rPr>
          <w:color w:val="0000FF"/>
        </w:rPr>
        <w:t>Gao, Y., Mao, C. X., &amp; Zhong, R. (2006). Divergence of opinion and long‐term performance of initial public offerings. Journal of Financial Research, 29(1), 113-129</w:t>
      </w:r>
    </w:p>
    <w:bookmarkEnd w:id="19"/>
    <w:p w14:paraId="061EAB5E" w14:textId="77777777" w:rsidR="00DF4D1D" w:rsidRPr="00B41E66" w:rsidRDefault="00DF4D1D" w:rsidP="00113FED">
      <w:pPr>
        <w:spacing w:line="360" w:lineRule="auto"/>
        <w:jc w:val="both"/>
      </w:pPr>
    </w:p>
    <w:bookmarkEnd w:id="20"/>
    <w:p w14:paraId="61A0FB6E" w14:textId="77777777" w:rsidR="00FD12C6" w:rsidRPr="00B41E66" w:rsidRDefault="00FD12C6" w:rsidP="00113FED">
      <w:pPr>
        <w:spacing w:line="360" w:lineRule="auto"/>
        <w:jc w:val="both"/>
      </w:pPr>
      <w:r w:rsidRPr="00B41E66">
        <w:rPr>
          <w:color w:val="222222"/>
          <w:shd w:val="clear" w:color="auto" w:fill="FFFFFF"/>
        </w:rPr>
        <w:t>Goergen, M., Khurshed, A., &amp; Mudambi, R. (2007). The long‐run performance of UK IPOs: can it be predicted?. </w:t>
      </w:r>
      <w:r w:rsidRPr="00B41E66">
        <w:rPr>
          <w:i/>
          <w:iCs/>
          <w:color w:val="222222"/>
          <w:shd w:val="clear" w:color="auto" w:fill="FFFFFF"/>
        </w:rPr>
        <w:t>Managerial Finance</w:t>
      </w:r>
      <w:r w:rsidRPr="00B41E66">
        <w:rPr>
          <w:color w:val="222222"/>
          <w:shd w:val="clear" w:color="auto" w:fill="FFFFFF"/>
        </w:rPr>
        <w:t>.</w:t>
      </w:r>
    </w:p>
    <w:p w14:paraId="77DA9355" w14:textId="77777777" w:rsidR="00FD12C6" w:rsidRPr="00B41E66" w:rsidRDefault="00FD12C6" w:rsidP="00113FED">
      <w:pPr>
        <w:spacing w:line="360" w:lineRule="auto"/>
        <w:jc w:val="both"/>
      </w:pPr>
    </w:p>
    <w:p w14:paraId="1753250F" w14:textId="77777777" w:rsidR="00113FED" w:rsidRPr="00B41E66" w:rsidRDefault="00113FED" w:rsidP="00113FED">
      <w:pPr>
        <w:spacing w:line="360" w:lineRule="auto"/>
        <w:jc w:val="both"/>
      </w:pPr>
      <w:r w:rsidRPr="00B41E66">
        <w:t>Goergen, M., Khurshed, A., &amp; Renneboog, L. (2009). Why are the French so different from the Germans? Underpricing of IPOs on the Euro New Markets. International Review of Law and Economics, 29(3), 260-271.</w:t>
      </w:r>
    </w:p>
    <w:p w14:paraId="6BC1699E" w14:textId="77777777" w:rsidR="00113FED" w:rsidRPr="00B41E66" w:rsidRDefault="00113FED" w:rsidP="00113FED">
      <w:pPr>
        <w:spacing w:line="360" w:lineRule="auto"/>
        <w:jc w:val="both"/>
      </w:pPr>
      <w:r w:rsidRPr="00B41E66">
        <w:tab/>
      </w:r>
    </w:p>
    <w:p w14:paraId="75FDC2F0" w14:textId="77777777" w:rsidR="00113FED" w:rsidRPr="00B41E66" w:rsidRDefault="00113FED" w:rsidP="00113FED">
      <w:pPr>
        <w:spacing w:line="360" w:lineRule="auto"/>
        <w:jc w:val="both"/>
      </w:pPr>
      <w:r w:rsidRPr="00B41E66">
        <w:lastRenderedPageBreak/>
        <w:t>Granger, C. W. (1969). Investigating causal relations by econometric models and cross-spectral methods. Econometrica: Journal of the Econometric Society, 424-438.</w:t>
      </w:r>
      <w:r w:rsidRPr="00B41E66">
        <w:rPr>
          <w:rtl/>
        </w:rPr>
        <w:t>‏</w:t>
      </w:r>
      <w:r w:rsidR="00D149F1" w:rsidRPr="00B41E66">
        <w:t xml:space="preserve"> </w:t>
      </w:r>
    </w:p>
    <w:p w14:paraId="232C6ACC" w14:textId="77777777" w:rsidR="00D149F1" w:rsidRPr="00B41E66" w:rsidRDefault="00D149F1" w:rsidP="00113FED">
      <w:pPr>
        <w:spacing w:line="360" w:lineRule="auto"/>
        <w:jc w:val="both"/>
      </w:pPr>
    </w:p>
    <w:p w14:paraId="7A09E674" w14:textId="77777777" w:rsidR="00441731" w:rsidRPr="00B41E66" w:rsidRDefault="00441731" w:rsidP="00113FED">
      <w:pPr>
        <w:spacing w:line="360" w:lineRule="auto"/>
        <w:jc w:val="both"/>
        <w:rPr>
          <w:color w:val="0000FF"/>
        </w:rPr>
      </w:pPr>
      <w:bookmarkStart w:id="21" w:name="_Hlk80106564"/>
      <w:r w:rsidRPr="00B41E66">
        <w:rPr>
          <w:color w:val="0000FF"/>
          <w:shd w:val="clear" w:color="auto" w:fill="FFFFFF"/>
        </w:rPr>
        <w:t>Gregori, G. L., Marinelli, L., Mazzoli, C., &amp; Severini, S. (2020). The social side of IPOs: Twitter sentiment and investors attention in the IPO primary market. </w:t>
      </w:r>
      <w:r w:rsidRPr="00B41E66">
        <w:rPr>
          <w:i/>
          <w:iCs/>
          <w:color w:val="0000FF"/>
          <w:shd w:val="clear" w:color="auto" w:fill="FFFFFF"/>
        </w:rPr>
        <w:t>African Journal of Business Management</w:t>
      </w:r>
      <w:r w:rsidRPr="00B41E66">
        <w:rPr>
          <w:color w:val="0000FF"/>
          <w:shd w:val="clear" w:color="auto" w:fill="FFFFFF"/>
        </w:rPr>
        <w:t>, </w:t>
      </w:r>
      <w:r w:rsidRPr="00B41E66">
        <w:rPr>
          <w:i/>
          <w:iCs/>
          <w:color w:val="0000FF"/>
          <w:shd w:val="clear" w:color="auto" w:fill="FFFFFF"/>
        </w:rPr>
        <w:t>14</w:t>
      </w:r>
      <w:r w:rsidRPr="00B41E66">
        <w:rPr>
          <w:color w:val="0000FF"/>
          <w:shd w:val="clear" w:color="auto" w:fill="FFFFFF"/>
        </w:rPr>
        <w:t>(12), 529-539.</w:t>
      </w:r>
      <w:r w:rsidRPr="00B41E66">
        <w:rPr>
          <w:color w:val="0000FF"/>
          <w:shd w:val="clear" w:color="auto" w:fill="FFFFFF"/>
          <w:rtl/>
        </w:rPr>
        <w:t>‏</w:t>
      </w:r>
    </w:p>
    <w:bookmarkEnd w:id="21"/>
    <w:p w14:paraId="68DAE1E1" w14:textId="77777777" w:rsidR="00441731" w:rsidRPr="00B41E66" w:rsidRDefault="00441731" w:rsidP="00113FED">
      <w:pPr>
        <w:spacing w:line="360" w:lineRule="auto"/>
        <w:jc w:val="both"/>
        <w:rPr>
          <w:color w:val="0000FF"/>
        </w:rPr>
      </w:pPr>
    </w:p>
    <w:p w14:paraId="30186AC0" w14:textId="77777777" w:rsidR="00113FED" w:rsidRPr="00B41E66" w:rsidRDefault="00D149F1" w:rsidP="00113FED">
      <w:pPr>
        <w:spacing w:line="360" w:lineRule="auto"/>
        <w:jc w:val="both"/>
        <w:rPr>
          <w:color w:val="0000FF"/>
          <w:shd w:val="clear" w:color="auto" w:fill="FFFFFF"/>
        </w:rPr>
      </w:pPr>
      <w:bookmarkStart w:id="22" w:name="_Hlk80104625"/>
      <w:r w:rsidRPr="00B41E66">
        <w:rPr>
          <w:color w:val="0000FF"/>
          <w:shd w:val="clear" w:color="auto" w:fill="FFFFFF"/>
        </w:rPr>
        <w:t>Guo, R. J., &amp; Zhou, N. (2016). Innovation capability and post-IPO performance. </w:t>
      </w:r>
      <w:r w:rsidRPr="00B41E66">
        <w:rPr>
          <w:i/>
          <w:iCs/>
          <w:color w:val="0000FF"/>
          <w:shd w:val="clear" w:color="auto" w:fill="FFFFFF"/>
        </w:rPr>
        <w:t>Review of Quantitative Finance and Accounting</w:t>
      </w:r>
      <w:r w:rsidRPr="00B41E66">
        <w:rPr>
          <w:color w:val="0000FF"/>
          <w:shd w:val="clear" w:color="auto" w:fill="FFFFFF"/>
        </w:rPr>
        <w:t>, </w:t>
      </w:r>
      <w:r w:rsidRPr="00B41E66">
        <w:rPr>
          <w:i/>
          <w:iCs/>
          <w:color w:val="0000FF"/>
          <w:shd w:val="clear" w:color="auto" w:fill="FFFFFF"/>
        </w:rPr>
        <w:t>46</w:t>
      </w:r>
      <w:r w:rsidRPr="00B41E66">
        <w:rPr>
          <w:color w:val="0000FF"/>
          <w:shd w:val="clear" w:color="auto" w:fill="FFFFFF"/>
        </w:rPr>
        <w:t>(2), 335-357.</w:t>
      </w:r>
      <w:r w:rsidRPr="00B41E66">
        <w:rPr>
          <w:color w:val="0000FF"/>
          <w:shd w:val="clear" w:color="auto" w:fill="FFFFFF"/>
          <w:rtl/>
        </w:rPr>
        <w:t>‏</w:t>
      </w:r>
    </w:p>
    <w:bookmarkEnd w:id="22"/>
    <w:p w14:paraId="33C424D0" w14:textId="77777777" w:rsidR="00D149F1" w:rsidRPr="00B41E66" w:rsidRDefault="00D149F1" w:rsidP="00113FED">
      <w:pPr>
        <w:spacing w:line="360" w:lineRule="auto"/>
        <w:jc w:val="both"/>
      </w:pPr>
    </w:p>
    <w:p w14:paraId="06C509F8" w14:textId="77777777" w:rsidR="00113FED" w:rsidRPr="00B41E66" w:rsidRDefault="00113FED" w:rsidP="00113FED">
      <w:pPr>
        <w:spacing w:line="360" w:lineRule="auto"/>
        <w:jc w:val="both"/>
      </w:pPr>
      <w:r w:rsidRPr="00B41E66">
        <w:t>Jain, B. A., &amp; Kini, O. (1994). The post‐issue operating performance of IPO firms. The journal of finance, 49(5), 1699-1726.</w:t>
      </w:r>
      <w:r w:rsidRPr="00B41E66">
        <w:rPr>
          <w:rtl/>
        </w:rPr>
        <w:t>‏</w:t>
      </w:r>
    </w:p>
    <w:p w14:paraId="501C30BB" w14:textId="77777777" w:rsidR="00284E4C" w:rsidRPr="00B41E66" w:rsidRDefault="00284E4C" w:rsidP="00113FED">
      <w:pPr>
        <w:spacing w:line="360" w:lineRule="auto"/>
        <w:jc w:val="both"/>
        <w:rPr>
          <w:color w:val="0000FF"/>
          <w:shd w:val="clear" w:color="auto" w:fill="FFFFFF"/>
        </w:rPr>
      </w:pPr>
      <w:bookmarkStart w:id="23" w:name="_Hlk80104957"/>
    </w:p>
    <w:p w14:paraId="64865444" w14:textId="77777777" w:rsidR="00113FED" w:rsidRPr="00B41E66" w:rsidRDefault="00FB6DAD" w:rsidP="00113FED">
      <w:pPr>
        <w:spacing w:line="360" w:lineRule="auto"/>
        <w:jc w:val="both"/>
        <w:rPr>
          <w:color w:val="0000FF"/>
          <w:shd w:val="clear" w:color="auto" w:fill="FFFFFF"/>
        </w:rPr>
      </w:pPr>
      <w:r w:rsidRPr="00B41E66">
        <w:rPr>
          <w:color w:val="0000FF"/>
          <w:shd w:val="clear" w:color="auto" w:fill="FFFFFF"/>
        </w:rPr>
        <w:t>Kumar, A., &amp; Sahoo, S. (2021). Do anchor investors affect long run performance? Evidence from Indian IPO markets. </w:t>
      </w:r>
      <w:r w:rsidRPr="00B41E66">
        <w:rPr>
          <w:i/>
          <w:iCs/>
          <w:color w:val="0000FF"/>
          <w:shd w:val="clear" w:color="auto" w:fill="FFFFFF"/>
        </w:rPr>
        <w:t>Pacific Accounting Review</w:t>
      </w:r>
      <w:r w:rsidRPr="00B41E66">
        <w:rPr>
          <w:color w:val="0000FF"/>
          <w:shd w:val="clear" w:color="auto" w:fill="FFFFFF"/>
        </w:rPr>
        <w:t>.</w:t>
      </w:r>
      <w:r w:rsidRPr="00B41E66">
        <w:rPr>
          <w:color w:val="0000FF"/>
          <w:shd w:val="clear" w:color="auto" w:fill="FFFFFF"/>
          <w:rtl/>
        </w:rPr>
        <w:t>‏</w:t>
      </w:r>
    </w:p>
    <w:p w14:paraId="105BA8D8" w14:textId="77777777" w:rsidR="00441731" w:rsidRPr="00B41E66" w:rsidRDefault="00441731" w:rsidP="00113FED">
      <w:pPr>
        <w:spacing w:line="360" w:lineRule="auto"/>
        <w:jc w:val="both"/>
        <w:rPr>
          <w:color w:val="0000FF"/>
          <w:shd w:val="clear" w:color="auto" w:fill="FFFFFF"/>
        </w:rPr>
      </w:pPr>
    </w:p>
    <w:p w14:paraId="27692EC7" w14:textId="77777777" w:rsidR="00441731" w:rsidRPr="00B41E66" w:rsidRDefault="00CD721D" w:rsidP="00113FED">
      <w:pPr>
        <w:spacing w:line="360" w:lineRule="auto"/>
        <w:jc w:val="both"/>
        <w:rPr>
          <w:color w:val="0000FF"/>
          <w:shd w:val="clear" w:color="auto" w:fill="FFFFFF"/>
        </w:rPr>
      </w:pPr>
      <w:bookmarkStart w:id="24" w:name="_Hlk80105653"/>
      <w:bookmarkEnd w:id="23"/>
      <w:r w:rsidRPr="00B41E66">
        <w:rPr>
          <w:color w:val="0000FF"/>
          <w:shd w:val="clear" w:color="auto" w:fill="FFFFFF"/>
        </w:rPr>
        <w:t>Komenkul, K., &amp; Kiranand, S. (2017). Aftermarket Performance of Health Care and Biopharmaceutical IPOs: Evidence From ASEAN Countries. </w:t>
      </w:r>
      <w:r w:rsidRPr="00B41E66">
        <w:rPr>
          <w:i/>
          <w:iCs/>
          <w:color w:val="0000FF"/>
          <w:shd w:val="clear" w:color="auto" w:fill="FFFFFF"/>
        </w:rPr>
        <w:t>INQUIRY: The Journal of Health Care Organization, Provision, and Financing</w:t>
      </w:r>
      <w:r w:rsidRPr="00B41E66">
        <w:rPr>
          <w:color w:val="0000FF"/>
          <w:shd w:val="clear" w:color="auto" w:fill="FFFFFF"/>
        </w:rPr>
        <w:t>, </w:t>
      </w:r>
      <w:r w:rsidRPr="00B41E66">
        <w:rPr>
          <w:i/>
          <w:iCs/>
          <w:color w:val="0000FF"/>
          <w:shd w:val="clear" w:color="auto" w:fill="FFFFFF"/>
        </w:rPr>
        <w:t>54</w:t>
      </w:r>
      <w:r w:rsidRPr="00B41E66">
        <w:rPr>
          <w:color w:val="0000FF"/>
          <w:shd w:val="clear" w:color="auto" w:fill="FFFFFF"/>
        </w:rPr>
        <w:t>, 0046958017727105.</w:t>
      </w:r>
      <w:r w:rsidRPr="00B41E66">
        <w:rPr>
          <w:color w:val="0000FF"/>
          <w:shd w:val="clear" w:color="auto" w:fill="FFFFFF"/>
          <w:rtl/>
        </w:rPr>
        <w:t>‏</w:t>
      </w:r>
    </w:p>
    <w:bookmarkEnd w:id="24"/>
    <w:p w14:paraId="093446A3" w14:textId="77777777" w:rsidR="00CD721D" w:rsidRPr="00B41E66" w:rsidRDefault="00CD721D" w:rsidP="00113FED">
      <w:pPr>
        <w:spacing w:line="360" w:lineRule="auto"/>
        <w:jc w:val="both"/>
        <w:rPr>
          <w:color w:val="222222"/>
          <w:shd w:val="clear" w:color="auto" w:fill="FFFFFF"/>
        </w:rPr>
      </w:pPr>
    </w:p>
    <w:p w14:paraId="3586937D" w14:textId="77777777" w:rsidR="00284E4C" w:rsidRPr="00B41E66" w:rsidRDefault="00284E4C" w:rsidP="00113FED">
      <w:pPr>
        <w:spacing w:line="360" w:lineRule="auto"/>
        <w:jc w:val="both"/>
        <w:rPr>
          <w:color w:val="0000FF"/>
          <w:shd w:val="clear" w:color="auto" w:fill="FFFFFF"/>
        </w:rPr>
      </w:pPr>
      <w:bookmarkStart w:id="25" w:name="_Hlk80106699"/>
      <w:r w:rsidRPr="00B41E66">
        <w:rPr>
          <w:color w:val="0000FF"/>
          <w:shd w:val="clear" w:color="auto" w:fill="FFFFFF"/>
        </w:rPr>
        <w:t>Kwan, T. (2015). Twitter Volume and First Day IPO Performance.</w:t>
      </w:r>
      <w:r w:rsidRPr="00B41E66">
        <w:rPr>
          <w:color w:val="0000FF"/>
          <w:shd w:val="clear" w:color="auto" w:fill="FFFFFF"/>
          <w:rtl/>
        </w:rPr>
        <w:t>‏</w:t>
      </w:r>
    </w:p>
    <w:bookmarkEnd w:id="25"/>
    <w:p w14:paraId="06D4E5B3" w14:textId="77777777" w:rsidR="00284E4C" w:rsidRPr="00B41E66" w:rsidRDefault="00284E4C" w:rsidP="00113FED">
      <w:pPr>
        <w:spacing w:line="360" w:lineRule="auto"/>
        <w:jc w:val="both"/>
        <w:rPr>
          <w:color w:val="222222"/>
          <w:shd w:val="clear" w:color="auto" w:fill="FFFFFF"/>
        </w:rPr>
      </w:pPr>
    </w:p>
    <w:p w14:paraId="307CBBDA" w14:textId="77777777" w:rsidR="00441731" w:rsidRPr="00B41E66" w:rsidRDefault="00441731" w:rsidP="00113FED">
      <w:pPr>
        <w:spacing w:line="360" w:lineRule="auto"/>
        <w:jc w:val="both"/>
      </w:pPr>
      <w:r w:rsidRPr="00B41E66">
        <w:rPr>
          <w:color w:val="222222"/>
          <w:shd w:val="clear" w:color="auto" w:fill="FFFFFF"/>
        </w:rPr>
        <w:t>Liew, J. K. S., &amp; Wang, G. Z. (2016). Twitter sentiment and IPO performance: A cross-sectional examination. </w:t>
      </w:r>
      <w:r w:rsidRPr="00B41E66">
        <w:rPr>
          <w:i/>
          <w:iCs/>
          <w:color w:val="222222"/>
          <w:shd w:val="clear" w:color="auto" w:fill="FFFFFF"/>
        </w:rPr>
        <w:t>The Journal of Portfolio Management</w:t>
      </w:r>
      <w:r w:rsidRPr="00B41E66">
        <w:rPr>
          <w:color w:val="222222"/>
          <w:shd w:val="clear" w:color="auto" w:fill="FFFFFF"/>
        </w:rPr>
        <w:t>, </w:t>
      </w:r>
      <w:r w:rsidRPr="00B41E66">
        <w:rPr>
          <w:i/>
          <w:iCs/>
          <w:color w:val="222222"/>
          <w:shd w:val="clear" w:color="auto" w:fill="FFFFFF"/>
        </w:rPr>
        <w:t>42</w:t>
      </w:r>
      <w:r w:rsidRPr="00B41E66">
        <w:rPr>
          <w:color w:val="222222"/>
          <w:shd w:val="clear" w:color="auto" w:fill="FFFFFF"/>
        </w:rPr>
        <w:t>(4), 129-135.</w:t>
      </w:r>
      <w:r w:rsidRPr="00B41E66">
        <w:rPr>
          <w:color w:val="222222"/>
          <w:shd w:val="clear" w:color="auto" w:fill="FFFFFF"/>
          <w:rtl/>
        </w:rPr>
        <w:t>‏</w:t>
      </w:r>
    </w:p>
    <w:p w14:paraId="3C3F5A09" w14:textId="77777777" w:rsidR="00EE0499" w:rsidRPr="00B41E66" w:rsidRDefault="00EE0499" w:rsidP="00113FED">
      <w:pPr>
        <w:spacing w:line="360" w:lineRule="auto"/>
        <w:jc w:val="both"/>
      </w:pPr>
    </w:p>
    <w:p w14:paraId="656DDBD1" w14:textId="77777777" w:rsidR="00113FED" w:rsidRPr="00B41E66" w:rsidRDefault="00EE0499" w:rsidP="00113FED">
      <w:pPr>
        <w:spacing w:line="360" w:lineRule="auto"/>
        <w:jc w:val="both"/>
        <w:rPr>
          <w:color w:val="0000FF"/>
        </w:rPr>
      </w:pPr>
      <w:bookmarkStart w:id="26" w:name="_Hlk80103987"/>
      <w:r w:rsidRPr="00B41E66">
        <w:rPr>
          <w:color w:val="0000FF"/>
          <w:shd w:val="clear" w:color="auto" w:fill="FFFFFF"/>
        </w:rPr>
        <w:t>Lin, T. Y., Yu, J., &amp; Lin, C. Y. (2021). IPO’s Long-Run Performance: Hot Market versus Earnings Management. </w:t>
      </w:r>
      <w:r w:rsidRPr="00B41E66">
        <w:rPr>
          <w:i/>
          <w:iCs/>
          <w:color w:val="0000FF"/>
          <w:shd w:val="clear" w:color="auto" w:fill="FFFFFF"/>
        </w:rPr>
        <w:t>Journal of Risk and Financial Management</w:t>
      </w:r>
      <w:r w:rsidRPr="00B41E66">
        <w:rPr>
          <w:color w:val="0000FF"/>
          <w:shd w:val="clear" w:color="auto" w:fill="FFFFFF"/>
        </w:rPr>
        <w:t>, </w:t>
      </w:r>
      <w:r w:rsidRPr="00B41E66">
        <w:rPr>
          <w:i/>
          <w:iCs/>
          <w:color w:val="0000FF"/>
          <w:shd w:val="clear" w:color="auto" w:fill="FFFFFF"/>
        </w:rPr>
        <w:t>14</w:t>
      </w:r>
      <w:r w:rsidRPr="00B41E66">
        <w:rPr>
          <w:color w:val="0000FF"/>
          <w:shd w:val="clear" w:color="auto" w:fill="FFFFFF"/>
        </w:rPr>
        <w:t>(3), 132.</w:t>
      </w:r>
      <w:r w:rsidRPr="00B41E66">
        <w:rPr>
          <w:color w:val="0000FF"/>
          <w:shd w:val="clear" w:color="auto" w:fill="FFFFFF"/>
          <w:rtl/>
        </w:rPr>
        <w:t>‏</w:t>
      </w:r>
    </w:p>
    <w:bookmarkEnd w:id="26"/>
    <w:p w14:paraId="4296C4E1" w14:textId="77777777" w:rsidR="00EE0499" w:rsidRPr="00B41E66" w:rsidRDefault="00EE0499" w:rsidP="00113FED">
      <w:pPr>
        <w:spacing w:line="360" w:lineRule="auto"/>
        <w:jc w:val="both"/>
      </w:pPr>
    </w:p>
    <w:p w14:paraId="2D0BD16B" w14:textId="77777777" w:rsidR="00113FED" w:rsidRPr="00B41E66" w:rsidRDefault="00113FED" w:rsidP="00113FED">
      <w:pPr>
        <w:spacing w:line="360" w:lineRule="auto"/>
        <w:jc w:val="both"/>
      </w:pPr>
      <w:r w:rsidRPr="00B41E66">
        <w:t>Loughran, T., &amp; Ritter, J. R. (1995). The new issues puzzle. The Journal of finance, 50(1), 23-51.</w:t>
      </w:r>
      <w:r w:rsidRPr="00B41E66">
        <w:rPr>
          <w:rtl/>
        </w:rPr>
        <w:t>‏</w:t>
      </w:r>
    </w:p>
    <w:p w14:paraId="67A79E15" w14:textId="77777777" w:rsidR="00D02AED" w:rsidRPr="00B41E66" w:rsidRDefault="00D02AED" w:rsidP="00D02AED">
      <w:pPr>
        <w:spacing w:line="360" w:lineRule="auto"/>
        <w:rPr>
          <w:rStyle w:val="tlid-translation"/>
          <w:color w:val="0000FF"/>
          <w:lang w:val="en"/>
        </w:rPr>
      </w:pPr>
      <w:bookmarkStart w:id="27" w:name="_Hlk80612673"/>
      <w:r w:rsidRPr="00B41E66">
        <w:rPr>
          <w:rStyle w:val="tlid-translation"/>
          <w:color w:val="0000FF"/>
          <w:lang w:val="en"/>
        </w:rPr>
        <w:t>Mello, A. S., &amp; Parsons, J. E. (1998). Going public and the ownership structure of the firm. Journal of financial economics, 49(1), 79-109.</w:t>
      </w:r>
      <w:r w:rsidRPr="00B41E66">
        <w:rPr>
          <w:rStyle w:val="tlid-translation"/>
          <w:color w:val="0000FF"/>
          <w:rtl/>
          <w:lang w:val="en"/>
        </w:rPr>
        <w:t>‏</w:t>
      </w:r>
    </w:p>
    <w:p w14:paraId="396DBC01" w14:textId="0E646C19" w:rsidR="00113FED" w:rsidRPr="00B41E66" w:rsidRDefault="00113FED" w:rsidP="00113FED">
      <w:pPr>
        <w:spacing w:line="360" w:lineRule="auto"/>
        <w:jc w:val="both"/>
        <w:rPr>
          <w:color w:val="0000FF"/>
        </w:rPr>
      </w:pPr>
    </w:p>
    <w:bookmarkEnd w:id="27"/>
    <w:p w14:paraId="3D93BC32" w14:textId="77777777" w:rsidR="00D02AED" w:rsidRPr="00B41E66" w:rsidRDefault="00D02AED" w:rsidP="00113FED">
      <w:pPr>
        <w:spacing w:line="360" w:lineRule="auto"/>
        <w:jc w:val="both"/>
      </w:pPr>
    </w:p>
    <w:p w14:paraId="41D24CCD" w14:textId="77777777" w:rsidR="00113FED" w:rsidRPr="00B41E66" w:rsidRDefault="00113FED" w:rsidP="00113FED">
      <w:pPr>
        <w:spacing w:line="360" w:lineRule="auto"/>
        <w:jc w:val="both"/>
      </w:pPr>
      <w:r w:rsidRPr="00B41E66">
        <w:t>Merton, R. C. (1987). A simple model of capital market equilibrium with incomplete information. The journal of finance, 42(3), 483-510.</w:t>
      </w:r>
      <w:r w:rsidRPr="00B41E66">
        <w:rPr>
          <w:rtl/>
        </w:rPr>
        <w:t>‏</w:t>
      </w:r>
      <w:r w:rsidRPr="00B41E66">
        <w:t xml:space="preserve"> </w:t>
      </w:r>
    </w:p>
    <w:p w14:paraId="3BD93787" w14:textId="77777777" w:rsidR="00113FED" w:rsidRPr="00B41E66" w:rsidRDefault="00113FED" w:rsidP="00113FED">
      <w:pPr>
        <w:spacing w:line="360" w:lineRule="auto"/>
        <w:jc w:val="both"/>
      </w:pPr>
    </w:p>
    <w:p w14:paraId="173414D4" w14:textId="77777777" w:rsidR="00113FED" w:rsidRPr="00B41E66" w:rsidRDefault="00FC21DA" w:rsidP="00113FED">
      <w:pPr>
        <w:spacing w:line="360" w:lineRule="auto"/>
        <w:jc w:val="both"/>
        <w:rPr>
          <w:color w:val="0000FF"/>
        </w:rPr>
      </w:pPr>
      <w:r w:rsidRPr="00B41E66">
        <w:rPr>
          <w:color w:val="0000FF"/>
          <w:shd w:val="clear" w:color="auto" w:fill="FFFFFF"/>
        </w:rPr>
        <w:t>Ritter, J. R. (2020). “IPO Statistics for 2020 and Earlier Years.</w:t>
      </w:r>
      <w:r w:rsidRPr="00B41E66">
        <w:rPr>
          <w:color w:val="0000FF"/>
          <w:shd w:val="clear" w:color="auto" w:fill="FFFFFF"/>
          <w:rtl/>
        </w:rPr>
        <w:t>‏</w:t>
      </w:r>
      <w:r w:rsidRPr="00B41E66">
        <w:rPr>
          <w:color w:val="0000FF"/>
        </w:rPr>
        <w:t xml:space="preserve"> Ritter, J. R, web site </w:t>
      </w:r>
      <w:hyperlink r:id="rId14" w:history="1">
        <w:r w:rsidRPr="00B41E66">
          <w:rPr>
            <w:rStyle w:val="Hyperlink"/>
          </w:rPr>
          <w:t>https://site.warrington.ufl.edu/ritter/ipo-data/</w:t>
        </w:r>
      </w:hyperlink>
    </w:p>
    <w:p w14:paraId="440FDA3D" w14:textId="77777777" w:rsidR="00FC21DA" w:rsidRPr="00B41E66" w:rsidRDefault="00FC21DA" w:rsidP="00113FED">
      <w:pPr>
        <w:spacing w:line="360" w:lineRule="auto"/>
        <w:jc w:val="both"/>
      </w:pPr>
    </w:p>
    <w:p w14:paraId="2F342C1B" w14:textId="77777777" w:rsidR="00113FED" w:rsidRPr="00B41E66" w:rsidRDefault="00113FED" w:rsidP="00113FED">
      <w:pPr>
        <w:spacing w:line="360" w:lineRule="auto"/>
        <w:jc w:val="both"/>
      </w:pPr>
      <w:r w:rsidRPr="00B41E66">
        <w:t>Ritter, J. R., &amp; Welch, I. (2002). A review of IPO activity, pricing, and allocations. The journal of Finance, 57(4), 1795-1828.</w:t>
      </w:r>
      <w:r w:rsidRPr="00B41E66">
        <w:rPr>
          <w:rtl/>
        </w:rPr>
        <w:t>‏</w:t>
      </w:r>
    </w:p>
    <w:p w14:paraId="7F8CC865" w14:textId="77777777" w:rsidR="00113FED" w:rsidRPr="00B41E66" w:rsidRDefault="00113FED" w:rsidP="00113FED">
      <w:pPr>
        <w:spacing w:line="360" w:lineRule="auto"/>
        <w:jc w:val="both"/>
      </w:pPr>
    </w:p>
    <w:p w14:paraId="56F0BA8F" w14:textId="77777777" w:rsidR="00113FED" w:rsidRPr="00B41E66" w:rsidRDefault="00113FED" w:rsidP="00113FED">
      <w:pPr>
        <w:spacing w:line="360" w:lineRule="auto"/>
        <w:jc w:val="both"/>
      </w:pPr>
      <w:r w:rsidRPr="00B41E66">
        <w:t>SEC ECG regulations link (2017) https://www.sec.gov/smallbusiness/goingpublic/EGC</w:t>
      </w:r>
    </w:p>
    <w:p w14:paraId="6C31E121" w14:textId="77777777" w:rsidR="00113FED" w:rsidRPr="00B41E66" w:rsidRDefault="00113FED" w:rsidP="00113FED">
      <w:pPr>
        <w:spacing w:line="360" w:lineRule="auto"/>
        <w:jc w:val="both"/>
      </w:pPr>
    </w:p>
    <w:p w14:paraId="50969F61" w14:textId="77777777" w:rsidR="00113FED" w:rsidRPr="00B41E66" w:rsidRDefault="00113FED" w:rsidP="00113FED">
      <w:pPr>
        <w:spacing w:line="360" w:lineRule="auto"/>
        <w:jc w:val="both"/>
      </w:pPr>
      <w:r w:rsidRPr="00B41E66">
        <w:t>Shiller, R. J. (2000). Measuring bubble expectations and investor confidence. The Journal of Psychology and Financial Markets, 1(1), 49-60.</w:t>
      </w:r>
      <w:r w:rsidRPr="00B41E66">
        <w:rPr>
          <w:rtl/>
        </w:rPr>
        <w:t>‏</w:t>
      </w:r>
    </w:p>
    <w:p w14:paraId="3D6D37C3" w14:textId="77777777" w:rsidR="009C51E3" w:rsidRPr="00B41E66" w:rsidRDefault="009C51E3" w:rsidP="00113FED">
      <w:pPr>
        <w:spacing w:line="360" w:lineRule="auto"/>
        <w:jc w:val="both"/>
      </w:pPr>
    </w:p>
    <w:p w14:paraId="2201006B" w14:textId="77777777" w:rsidR="00113FED" w:rsidRPr="00B41E66" w:rsidRDefault="009C51E3" w:rsidP="00113FED">
      <w:pPr>
        <w:spacing w:line="360" w:lineRule="auto"/>
        <w:jc w:val="both"/>
        <w:rPr>
          <w:color w:val="0000FF"/>
          <w:shd w:val="clear" w:color="auto" w:fill="FFFFFF"/>
        </w:rPr>
      </w:pPr>
      <w:bookmarkStart w:id="28" w:name="_Hlk80104874"/>
      <w:r w:rsidRPr="00B41E66">
        <w:rPr>
          <w:color w:val="0000FF"/>
          <w:shd w:val="clear" w:color="auto" w:fill="FFFFFF"/>
        </w:rPr>
        <w:t>Shimizu, Y., &amp; Takei, H. (2016). Examining the Existence of Long-run Initial Public Offering (IPO) Underperformance at Three Different Stock Exchange Markets in Japan. </w:t>
      </w:r>
      <w:r w:rsidRPr="00B41E66">
        <w:rPr>
          <w:i/>
          <w:iCs/>
          <w:color w:val="0000FF"/>
          <w:shd w:val="clear" w:color="auto" w:fill="FFFFFF"/>
        </w:rPr>
        <w:t>Business Management and Strategy</w:t>
      </w:r>
      <w:r w:rsidRPr="00B41E66">
        <w:rPr>
          <w:color w:val="0000FF"/>
          <w:shd w:val="clear" w:color="auto" w:fill="FFFFFF"/>
        </w:rPr>
        <w:t>, </w:t>
      </w:r>
      <w:r w:rsidRPr="00B41E66">
        <w:rPr>
          <w:i/>
          <w:iCs/>
          <w:color w:val="0000FF"/>
          <w:shd w:val="clear" w:color="auto" w:fill="FFFFFF"/>
        </w:rPr>
        <w:t>7</w:t>
      </w:r>
      <w:r w:rsidRPr="00B41E66">
        <w:rPr>
          <w:color w:val="0000FF"/>
          <w:shd w:val="clear" w:color="auto" w:fill="FFFFFF"/>
        </w:rPr>
        <w:t>(2), 190-206.</w:t>
      </w:r>
      <w:r w:rsidRPr="00B41E66">
        <w:rPr>
          <w:color w:val="0000FF"/>
          <w:shd w:val="clear" w:color="auto" w:fill="FFFFFF"/>
          <w:rtl/>
        </w:rPr>
        <w:t>‏</w:t>
      </w:r>
    </w:p>
    <w:bookmarkEnd w:id="28"/>
    <w:p w14:paraId="1B79D4C7" w14:textId="77777777" w:rsidR="009C51E3" w:rsidRPr="00B41E66" w:rsidRDefault="009C51E3" w:rsidP="00113FED">
      <w:pPr>
        <w:spacing w:line="360" w:lineRule="auto"/>
        <w:jc w:val="both"/>
      </w:pPr>
    </w:p>
    <w:p w14:paraId="2BE489D8" w14:textId="77777777" w:rsidR="00113FED" w:rsidRPr="00B41E66" w:rsidRDefault="00113FED" w:rsidP="00113FED">
      <w:pPr>
        <w:spacing w:line="360" w:lineRule="auto"/>
        <w:jc w:val="both"/>
      </w:pPr>
      <w:r w:rsidRPr="00B41E66">
        <w:t>Siev, S. (2014). The PR Premium. Journal of Behavioral Finance, 15(1), 43-55.</w:t>
      </w:r>
      <w:r w:rsidRPr="00B41E66">
        <w:rPr>
          <w:rtl/>
        </w:rPr>
        <w:t>‏</w:t>
      </w:r>
      <w:r w:rsidRPr="00B41E66">
        <w:t xml:space="preserve"> </w:t>
      </w:r>
    </w:p>
    <w:p w14:paraId="7988FC1B" w14:textId="77777777" w:rsidR="009C51E3" w:rsidRPr="00B41E66" w:rsidRDefault="009C51E3" w:rsidP="00113FED">
      <w:pPr>
        <w:spacing w:line="360" w:lineRule="auto"/>
        <w:jc w:val="both"/>
      </w:pPr>
    </w:p>
    <w:p w14:paraId="173C9371" w14:textId="77777777" w:rsidR="00113FED" w:rsidRPr="00B41E66" w:rsidRDefault="00EE58AE" w:rsidP="00113FED">
      <w:pPr>
        <w:spacing w:line="360" w:lineRule="auto"/>
        <w:jc w:val="both"/>
      </w:pPr>
      <w:r w:rsidRPr="00B41E66">
        <w:rPr>
          <w:rFonts w:eastAsia="Calibri"/>
          <w:color w:val="455F7C"/>
          <w:shd w:val="clear" w:color="auto" w:fill="FFFFFF"/>
          <w:lang w:bidi="he-IL"/>
        </w:rPr>
        <w:t>statistica</w:t>
      </w:r>
      <w:r w:rsidRPr="00B41E66">
        <w:rPr>
          <w:rFonts w:eastAsia="Calibri"/>
          <w:lang w:val="en-IL" w:bidi="he-IL"/>
        </w:rPr>
        <w:t xml:space="preserve"> </w:t>
      </w:r>
      <w:hyperlink r:id="rId15" w:history="1">
        <w:r w:rsidRPr="00B41E66">
          <w:rPr>
            <w:rFonts w:eastAsia="Calibri"/>
            <w:color w:val="0000FF"/>
            <w:u w:val="single"/>
            <w:shd w:val="clear" w:color="auto" w:fill="FFFFFF"/>
            <w:lang w:bidi="he-IL"/>
          </w:rPr>
          <w:t>https://www.statista.com/topics/1764/global-pharmaceutical-industry/</w:t>
        </w:r>
      </w:hyperlink>
    </w:p>
    <w:p w14:paraId="09F124CE" w14:textId="77777777" w:rsidR="00113FED" w:rsidRPr="00B41E66" w:rsidRDefault="00113FED" w:rsidP="00113FED">
      <w:pPr>
        <w:spacing w:line="360" w:lineRule="auto"/>
        <w:jc w:val="both"/>
      </w:pPr>
      <w:r w:rsidRPr="00B41E66">
        <w:t xml:space="preserve">Sul, H. K., Dennis, A. R., </w:t>
      </w:r>
      <w:bookmarkStart w:id="29" w:name="_GoBack"/>
      <w:bookmarkEnd w:id="29"/>
      <w:r w:rsidRPr="00B41E66">
        <w:t xml:space="preserve">&amp; Yuan, L. I. (2014, January). Trading on Twitter: The financial information content of emotion in social media. In System Sciences (HICSS), 2014 47th Hawaii International Conference on (pp. 806-815). IEEE. </w:t>
      </w:r>
    </w:p>
    <w:p w14:paraId="031DA2A5" w14:textId="77777777" w:rsidR="009C51E3" w:rsidRPr="00B41E66" w:rsidRDefault="009C51E3" w:rsidP="00113FED">
      <w:pPr>
        <w:spacing w:line="360" w:lineRule="auto"/>
        <w:jc w:val="both"/>
      </w:pPr>
    </w:p>
    <w:p w14:paraId="22F54313" w14:textId="77777777" w:rsidR="00E42397" w:rsidRPr="00B41E66" w:rsidRDefault="00E42397" w:rsidP="00E42397">
      <w:pPr>
        <w:spacing w:line="360" w:lineRule="auto"/>
        <w:rPr>
          <w:color w:val="0000FF"/>
          <w:rtl/>
        </w:rPr>
      </w:pPr>
      <w:bookmarkStart w:id="30" w:name="_Hlk80105002"/>
      <w:r w:rsidRPr="00B41E66">
        <w:rPr>
          <w:color w:val="0000FF"/>
        </w:rPr>
        <w:t>Thakor, R. T., Anaya, N., Zhang, Y., Vilanilam, C., Siah, K. W., Wong, C. H., &amp; Lo, A. W. (2017). Just how good an investment is the biopharmaceutical sector? Nature biotechnology, 35(12), 1149</w:t>
      </w:r>
    </w:p>
    <w:bookmarkEnd w:id="30"/>
    <w:p w14:paraId="361AED0C" w14:textId="77777777" w:rsidR="009005F2" w:rsidRPr="00B41E66" w:rsidRDefault="009005F2" w:rsidP="00113FED">
      <w:pPr>
        <w:spacing w:line="360" w:lineRule="auto"/>
        <w:jc w:val="both"/>
      </w:pPr>
    </w:p>
    <w:p w14:paraId="4204B83B" w14:textId="77777777" w:rsidR="009005F2" w:rsidRPr="00B41E66" w:rsidRDefault="009005F2" w:rsidP="009005F2">
      <w:pPr>
        <w:spacing w:line="480" w:lineRule="auto"/>
        <w:rPr>
          <w:rFonts w:eastAsia="Calibri"/>
          <w:lang w:bidi="he-IL"/>
        </w:rPr>
      </w:pPr>
      <w:r w:rsidRPr="00B41E66">
        <w:rPr>
          <w:rFonts w:eastAsia="Calibri"/>
          <w:lang w:bidi="he-IL"/>
        </w:rPr>
        <w:t>Tuttle</w:t>
      </w:r>
      <w:r w:rsidRPr="00B41E66">
        <w:rPr>
          <w:i/>
          <w:iCs/>
          <w:kern w:val="36"/>
          <w:lang w:bidi="he-IL"/>
        </w:rPr>
        <w:t xml:space="preserve">, </w:t>
      </w:r>
      <w:r w:rsidRPr="00B41E66">
        <w:rPr>
          <w:rFonts w:eastAsia="Calibri"/>
          <w:lang w:bidi="he-IL"/>
        </w:rPr>
        <w:t xml:space="preserve">Kris </w:t>
      </w:r>
      <w:r w:rsidRPr="00B41E66">
        <w:rPr>
          <w:kern w:val="36"/>
          <w:lang w:bidi="he-IL"/>
        </w:rPr>
        <w:t>(2019, Mar. 13)</w:t>
      </w:r>
      <w:r w:rsidRPr="00B41E66">
        <w:rPr>
          <w:i/>
          <w:iCs/>
          <w:kern w:val="36"/>
          <w:lang w:bidi="he-IL"/>
        </w:rPr>
        <w:t xml:space="preserve"> Quiet Periods</w:t>
      </w:r>
      <w:r w:rsidRPr="00B41E66">
        <w:rPr>
          <w:kern w:val="36"/>
          <w:lang w:bidi="he-IL"/>
        </w:rPr>
        <w:t>,</w:t>
      </w:r>
      <w:r w:rsidRPr="00B41E66">
        <w:rPr>
          <w:rFonts w:eastAsia="Calibri"/>
          <w:lang w:bidi="he-IL"/>
        </w:rPr>
        <w:t xml:space="preserve"> Retrieved from </w:t>
      </w:r>
      <w:hyperlink r:id="rId16" w:history="1">
        <w:r w:rsidRPr="00B41E66">
          <w:rPr>
            <w:rFonts w:eastAsia="Calibri"/>
            <w:u w:val="single"/>
            <w:lang w:bidi="he-IL"/>
          </w:rPr>
          <w:t>https://ipocandy.com/quiet-periods</w:t>
        </w:r>
      </w:hyperlink>
    </w:p>
    <w:p w14:paraId="4A1C853A" w14:textId="77777777" w:rsidR="00113FED" w:rsidRPr="00B41E66" w:rsidRDefault="00113FED" w:rsidP="00113FED">
      <w:pPr>
        <w:spacing w:line="360" w:lineRule="auto"/>
        <w:jc w:val="both"/>
      </w:pPr>
      <w:r w:rsidRPr="00B41E66">
        <w:t xml:space="preserve">Wysocki, P. (1998). Cheap talk on the web: The determinants of postings on stock message boards </w:t>
      </w:r>
    </w:p>
    <w:p w14:paraId="0AD1813C" w14:textId="77777777" w:rsidR="00D02AED" w:rsidRPr="00B41E66" w:rsidRDefault="00D02AED" w:rsidP="00D02AED">
      <w:pPr>
        <w:spacing w:line="360" w:lineRule="auto"/>
        <w:rPr>
          <w:color w:val="0000FF"/>
        </w:rPr>
      </w:pPr>
      <w:bookmarkStart w:id="31" w:name="_Hlk80612601"/>
      <w:r w:rsidRPr="00B41E66">
        <w:rPr>
          <w:color w:val="0000FF"/>
        </w:rPr>
        <w:lastRenderedPageBreak/>
        <w:t>Zingales, L. (1995). Insider ownership and the decision to go public. The review of economic studies, 62(3), 425-448.</w:t>
      </w:r>
      <w:r w:rsidRPr="00B41E66">
        <w:rPr>
          <w:color w:val="0000FF"/>
          <w:rtl/>
        </w:rPr>
        <w:t>‏</w:t>
      </w:r>
    </w:p>
    <w:bookmarkEnd w:id="31"/>
    <w:p w14:paraId="432FDB16" w14:textId="77777777" w:rsidR="00113FED" w:rsidRPr="00B41E66" w:rsidRDefault="00113FED" w:rsidP="00113FED">
      <w:pPr>
        <w:spacing w:line="360" w:lineRule="auto"/>
        <w:jc w:val="both"/>
      </w:pPr>
    </w:p>
    <w:p w14:paraId="1DF4ACBE" w14:textId="77777777" w:rsidR="00AB655B" w:rsidRPr="00B41E66" w:rsidRDefault="00113FED" w:rsidP="002E2F70">
      <w:pPr>
        <w:spacing w:line="360" w:lineRule="auto"/>
        <w:jc w:val="both"/>
        <w:rPr>
          <w:b/>
          <w:bCs/>
        </w:rPr>
      </w:pPr>
      <w:r w:rsidRPr="00B41E66">
        <w:t>Zhang, X., Fuehres, H., &amp; Gloor, P. A. (2011). Predicting stock market indicators through twitter “I hope it is not as bad as I fear”. Procedia-Social and Behavioral Sciences, 26, 55-62.</w:t>
      </w:r>
    </w:p>
    <w:p w14:paraId="4E93AF04" w14:textId="77777777" w:rsidR="005D2B84" w:rsidRPr="00B41E66" w:rsidRDefault="005D2B84" w:rsidP="00BC622F">
      <w:pPr>
        <w:spacing w:line="360" w:lineRule="auto"/>
        <w:rPr>
          <w:b/>
          <w:bCs/>
        </w:rPr>
      </w:pPr>
    </w:p>
    <w:p w14:paraId="12AE1CEC" w14:textId="77777777" w:rsidR="005D2B84" w:rsidRPr="00B41E66" w:rsidRDefault="005D2B84" w:rsidP="00BC622F">
      <w:pPr>
        <w:spacing w:line="360" w:lineRule="auto"/>
        <w:rPr>
          <w:b/>
          <w:bCs/>
        </w:rPr>
      </w:pPr>
    </w:p>
    <w:p w14:paraId="3C9855DD" w14:textId="77777777" w:rsidR="009005F2" w:rsidRPr="00B41E66" w:rsidRDefault="009005F2" w:rsidP="00BC622F">
      <w:pPr>
        <w:spacing w:line="360" w:lineRule="auto"/>
        <w:rPr>
          <w:b/>
          <w:bCs/>
        </w:rPr>
      </w:pPr>
    </w:p>
    <w:p w14:paraId="3B22C7BE" w14:textId="77777777" w:rsidR="005D2B84" w:rsidRPr="00B41E66" w:rsidRDefault="005D2B84" w:rsidP="00BC622F">
      <w:pPr>
        <w:spacing w:line="360" w:lineRule="auto"/>
        <w:rPr>
          <w:b/>
          <w:bCs/>
        </w:rPr>
      </w:pPr>
    </w:p>
    <w:p w14:paraId="4055904D" w14:textId="77777777" w:rsidR="005D2B84" w:rsidRPr="00B41E66" w:rsidRDefault="005D2B84" w:rsidP="00BC622F">
      <w:pPr>
        <w:spacing w:line="360" w:lineRule="auto"/>
        <w:rPr>
          <w:b/>
          <w:bCs/>
        </w:rPr>
      </w:pPr>
    </w:p>
    <w:p w14:paraId="2D8DB05E" w14:textId="77777777" w:rsidR="002A7E90" w:rsidRPr="00B41E66" w:rsidRDefault="002A7E90" w:rsidP="00BC622F">
      <w:pPr>
        <w:spacing w:line="360" w:lineRule="auto"/>
        <w:rPr>
          <w:b/>
          <w:bCs/>
        </w:rPr>
      </w:pPr>
    </w:p>
    <w:p w14:paraId="2FB3CA2F" w14:textId="77777777" w:rsidR="002A7E90" w:rsidRPr="00B41E66" w:rsidRDefault="002A7E90" w:rsidP="00BC622F">
      <w:pPr>
        <w:spacing w:line="360" w:lineRule="auto"/>
        <w:rPr>
          <w:b/>
          <w:bCs/>
        </w:rPr>
      </w:pPr>
    </w:p>
    <w:p w14:paraId="1F604438" w14:textId="77777777" w:rsidR="002A7E90" w:rsidRPr="00B41E66" w:rsidRDefault="002A7E90" w:rsidP="00BC622F">
      <w:pPr>
        <w:spacing w:line="360" w:lineRule="auto"/>
        <w:rPr>
          <w:b/>
          <w:bCs/>
        </w:rPr>
      </w:pPr>
    </w:p>
    <w:p w14:paraId="4B25D556" w14:textId="77777777" w:rsidR="002A7E90" w:rsidRPr="00B41E66" w:rsidRDefault="002A7E90" w:rsidP="00BC622F">
      <w:pPr>
        <w:spacing w:line="360" w:lineRule="auto"/>
        <w:rPr>
          <w:b/>
          <w:bCs/>
        </w:rPr>
      </w:pPr>
    </w:p>
    <w:p w14:paraId="0576188A" w14:textId="77777777" w:rsidR="002A7E90" w:rsidRPr="00B41E66" w:rsidRDefault="002A7E90" w:rsidP="00BC622F">
      <w:pPr>
        <w:spacing w:line="360" w:lineRule="auto"/>
        <w:rPr>
          <w:b/>
          <w:bCs/>
        </w:rPr>
      </w:pPr>
    </w:p>
    <w:p w14:paraId="1E9826E0" w14:textId="77777777" w:rsidR="002A7E90" w:rsidRPr="00B41E66" w:rsidRDefault="002A7E90" w:rsidP="00BC622F">
      <w:pPr>
        <w:spacing w:line="360" w:lineRule="auto"/>
        <w:rPr>
          <w:b/>
          <w:bCs/>
        </w:rPr>
      </w:pPr>
    </w:p>
    <w:p w14:paraId="4E181074" w14:textId="77777777" w:rsidR="002A7E90" w:rsidRPr="00B41E66" w:rsidRDefault="002A7E90" w:rsidP="00BC622F">
      <w:pPr>
        <w:spacing w:line="360" w:lineRule="auto"/>
        <w:rPr>
          <w:b/>
          <w:bCs/>
        </w:rPr>
      </w:pPr>
    </w:p>
    <w:p w14:paraId="0C3C0B02" w14:textId="77777777" w:rsidR="002A7E90" w:rsidRPr="00B41E66" w:rsidRDefault="002A7E90" w:rsidP="00BC622F">
      <w:pPr>
        <w:spacing w:line="360" w:lineRule="auto"/>
        <w:rPr>
          <w:b/>
          <w:bCs/>
        </w:rPr>
      </w:pPr>
    </w:p>
    <w:p w14:paraId="767F0F89" w14:textId="77777777" w:rsidR="002A7E90" w:rsidRPr="00B41E66" w:rsidRDefault="002A7E90" w:rsidP="00BC622F">
      <w:pPr>
        <w:spacing w:line="360" w:lineRule="auto"/>
        <w:rPr>
          <w:b/>
          <w:bCs/>
        </w:rPr>
      </w:pPr>
      <w:r w:rsidRPr="00B41E66">
        <w:rPr>
          <w:b/>
          <w:bCs/>
        </w:rPr>
        <w:t>Appendix A</w:t>
      </w:r>
    </w:p>
    <w:p w14:paraId="0383E360" w14:textId="77777777" w:rsidR="002A7E90" w:rsidRPr="00B41E66" w:rsidRDefault="002A7E90" w:rsidP="00BC622F">
      <w:pPr>
        <w:spacing w:line="360" w:lineRule="auto"/>
        <w:rPr>
          <w:b/>
          <w:bCs/>
        </w:rPr>
      </w:pPr>
    </w:p>
    <w:p w14:paraId="75B67CDD" w14:textId="77777777" w:rsidR="002A7E90" w:rsidRPr="00B41E66" w:rsidRDefault="002A7E90" w:rsidP="00BC622F">
      <w:pPr>
        <w:spacing w:line="360" w:lineRule="auto"/>
        <w:rPr>
          <w:b/>
          <w:bCs/>
        </w:rPr>
      </w:pPr>
    </w:p>
    <w:p w14:paraId="74E123D1" w14:textId="77777777" w:rsidR="002A7E90" w:rsidRPr="00B41E66" w:rsidRDefault="002A7E90" w:rsidP="002A7E90">
      <w:pPr>
        <w:spacing w:line="360" w:lineRule="auto"/>
        <w:rPr>
          <w:color w:val="0000FF"/>
          <w:lang w:eastAsia="en-IL" w:bidi="he-IL"/>
        </w:rPr>
      </w:pPr>
      <w:r w:rsidRPr="00B41E66">
        <w:rPr>
          <w:color w:val="0000FF"/>
          <w:lang w:eastAsia="en-IL" w:bidi="he-IL"/>
        </w:rPr>
        <w:t>Table A: CAAR for “large-sized” firm using different separation market values</w:t>
      </w:r>
    </w:p>
    <w:p w14:paraId="7C27FABD" w14:textId="77777777" w:rsidR="002A7E90" w:rsidRPr="00B41E66" w:rsidRDefault="002A7E90" w:rsidP="002A7E90">
      <w:pPr>
        <w:spacing w:line="360" w:lineRule="auto"/>
        <w:rPr>
          <w:color w:val="0000FF"/>
          <w:lang w:eastAsia="en-IL" w:bidi="he-IL"/>
        </w:rPr>
      </w:pPr>
    </w:p>
    <w:tbl>
      <w:tblPr>
        <w:tblW w:w="9400" w:type="dxa"/>
        <w:tblLook w:val="04A0" w:firstRow="1" w:lastRow="0" w:firstColumn="1" w:lastColumn="0" w:noHBand="0" w:noVBand="1"/>
      </w:tblPr>
      <w:tblGrid>
        <w:gridCol w:w="1403"/>
        <w:gridCol w:w="977"/>
        <w:gridCol w:w="724"/>
        <w:gridCol w:w="956"/>
        <w:gridCol w:w="640"/>
        <w:gridCol w:w="956"/>
        <w:gridCol w:w="756"/>
        <w:gridCol w:w="943"/>
        <w:gridCol w:w="680"/>
        <w:gridCol w:w="956"/>
        <w:gridCol w:w="756"/>
      </w:tblGrid>
      <w:tr w:rsidR="002A7E90" w:rsidRPr="00B41E66" w14:paraId="35436DF0" w14:textId="77777777" w:rsidTr="00580CA8">
        <w:trPr>
          <w:trHeight w:val="315"/>
        </w:trPr>
        <w:tc>
          <w:tcPr>
            <w:tcW w:w="14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4CB2191" w14:textId="77777777" w:rsidR="002A7E90" w:rsidRPr="00B41E66" w:rsidRDefault="002A7E90" w:rsidP="002A7E90">
            <w:pPr>
              <w:rPr>
                <w:color w:val="0000FF"/>
                <w:lang w:eastAsia="en-IL" w:bidi="he-IL"/>
              </w:rPr>
            </w:pPr>
            <w:r w:rsidRPr="00B41E66">
              <w:rPr>
                <w:color w:val="0000FF"/>
                <w:lang w:val="en-IL" w:eastAsia="en-IL" w:bidi="he-IL"/>
              </w:rPr>
              <w:t>Market Value</w:t>
            </w:r>
            <w:r w:rsidRPr="00B41E66">
              <w:rPr>
                <w:color w:val="0000FF"/>
                <w:lang w:eastAsia="en-IL" w:bidi="he-IL"/>
              </w:rPr>
              <w:t xml:space="preserve"> above</w:t>
            </w:r>
          </w:p>
        </w:tc>
        <w:tc>
          <w:tcPr>
            <w:tcW w:w="1701" w:type="dxa"/>
            <w:gridSpan w:val="2"/>
            <w:tcBorders>
              <w:top w:val="single" w:sz="12" w:space="0" w:color="auto"/>
              <w:left w:val="nil"/>
              <w:bottom w:val="single" w:sz="12" w:space="0" w:color="auto"/>
              <w:right w:val="nil"/>
            </w:tcBorders>
            <w:shd w:val="clear" w:color="auto" w:fill="auto"/>
            <w:noWrap/>
            <w:vAlign w:val="bottom"/>
            <w:hideMark/>
          </w:tcPr>
          <w:p w14:paraId="1FD389B9" w14:textId="77777777" w:rsidR="002A7E90" w:rsidRPr="00B41E66" w:rsidRDefault="002A7E90" w:rsidP="002A7E90">
            <w:pPr>
              <w:jc w:val="center"/>
              <w:rPr>
                <w:b/>
                <w:bCs/>
                <w:color w:val="0000FF"/>
                <w:lang w:val="en-IL" w:eastAsia="en-IL" w:bidi="he-IL"/>
              </w:rPr>
            </w:pPr>
            <w:r w:rsidRPr="00B41E66">
              <w:rPr>
                <w:b/>
                <w:bCs/>
                <w:color w:val="0000FF"/>
                <w:lang w:val="en-IL" w:eastAsia="en-IL" w:bidi="he-IL"/>
              </w:rPr>
              <w:t>$100M</w:t>
            </w:r>
          </w:p>
        </w:tc>
        <w:tc>
          <w:tcPr>
            <w:tcW w:w="1576" w:type="dxa"/>
            <w:gridSpan w:val="2"/>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11575414" w14:textId="77777777" w:rsidR="002A7E90" w:rsidRPr="00B41E66" w:rsidRDefault="002A7E90" w:rsidP="002A7E90">
            <w:pPr>
              <w:jc w:val="center"/>
              <w:rPr>
                <w:b/>
                <w:bCs/>
                <w:color w:val="0000FF"/>
                <w:lang w:val="en-IL" w:eastAsia="en-IL" w:bidi="he-IL"/>
              </w:rPr>
            </w:pPr>
            <w:r w:rsidRPr="00B41E66">
              <w:rPr>
                <w:b/>
                <w:bCs/>
                <w:color w:val="0000FF"/>
                <w:lang w:val="en-IL" w:eastAsia="en-IL" w:bidi="he-IL"/>
              </w:rPr>
              <w:t>$200M</w:t>
            </w:r>
          </w:p>
        </w:tc>
        <w:tc>
          <w:tcPr>
            <w:tcW w:w="1600" w:type="dxa"/>
            <w:gridSpan w:val="2"/>
            <w:tcBorders>
              <w:top w:val="single" w:sz="12" w:space="0" w:color="auto"/>
              <w:left w:val="nil"/>
              <w:bottom w:val="single" w:sz="12" w:space="0" w:color="auto"/>
              <w:right w:val="nil"/>
            </w:tcBorders>
            <w:shd w:val="clear" w:color="auto" w:fill="auto"/>
            <w:noWrap/>
            <w:vAlign w:val="bottom"/>
            <w:hideMark/>
          </w:tcPr>
          <w:p w14:paraId="5E413CE2" w14:textId="77777777" w:rsidR="002A7E90" w:rsidRPr="00B41E66" w:rsidRDefault="002A7E90" w:rsidP="002A7E90">
            <w:pPr>
              <w:jc w:val="center"/>
              <w:rPr>
                <w:b/>
                <w:bCs/>
                <w:color w:val="0000FF"/>
                <w:lang w:val="en-IL" w:eastAsia="en-IL" w:bidi="he-IL"/>
              </w:rPr>
            </w:pPr>
            <w:r w:rsidRPr="00B41E66">
              <w:rPr>
                <w:b/>
                <w:bCs/>
                <w:color w:val="0000FF"/>
                <w:lang w:val="en-IL" w:eastAsia="en-IL" w:bidi="he-IL"/>
              </w:rPr>
              <w:t>$300M</w:t>
            </w:r>
          </w:p>
        </w:tc>
        <w:tc>
          <w:tcPr>
            <w:tcW w:w="1500" w:type="dxa"/>
            <w:gridSpan w:val="2"/>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07C99E18" w14:textId="77777777" w:rsidR="002A7E90" w:rsidRPr="00B41E66" w:rsidRDefault="002A7E90" w:rsidP="002A7E90">
            <w:pPr>
              <w:jc w:val="center"/>
              <w:rPr>
                <w:b/>
                <w:bCs/>
                <w:color w:val="0000FF"/>
                <w:lang w:val="en-IL" w:eastAsia="en-IL" w:bidi="he-IL"/>
              </w:rPr>
            </w:pPr>
            <w:r w:rsidRPr="00B41E66">
              <w:rPr>
                <w:b/>
                <w:bCs/>
                <w:color w:val="0000FF"/>
                <w:lang w:val="en-IL" w:eastAsia="en-IL" w:bidi="he-IL"/>
              </w:rPr>
              <w:t>$400M</w:t>
            </w:r>
          </w:p>
        </w:tc>
        <w:tc>
          <w:tcPr>
            <w:tcW w:w="1620" w:type="dxa"/>
            <w:gridSpan w:val="2"/>
            <w:tcBorders>
              <w:top w:val="single" w:sz="12" w:space="0" w:color="auto"/>
              <w:left w:val="nil"/>
              <w:bottom w:val="single" w:sz="12" w:space="0" w:color="auto"/>
              <w:right w:val="single" w:sz="12" w:space="0" w:color="000000"/>
            </w:tcBorders>
            <w:shd w:val="clear" w:color="auto" w:fill="auto"/>
            <w:noWrap/>
            <w:vAlign w:val="bottom"/>
            <w:hideMark/>
          </w:tcPr>
          <w:p w14:paraId="5CC2B916" w14:textId="77777777" w:rsidR="002A7E90" w:rsidRPr="00B41E66" w:rsidRDefault="002A7E90" w:rsidP="002A7E90">
            <w:pPr>
              <w:jc w:val="center"/>
              <w:rPr>
                <w:b/>
                <w:bCs/>
                <w:color w:val="0000FF"/>
                <w:lang w:val="en-IL" w:eastAsia="en-IL" w:bidi="he-IL"/>
              </w:rPr>
            </w:pPr>
            <w:r w:rsidRPr="00B41E66">
              <w:rPr>
                <w:b/>
                <w:bCs/>
                <w:color w:val="0000FF"/>
                <w:lang w:val="en-IL" w:eastAsia="en-IL" w:bidi="he-IL"/>
              </w:rPr>
              <w:t>$500M</w:t>
            </w:r>
          </w:p>
        </w:tc>
      </w:tr>
      <w:tr w:rsidR="002A7E90" w:rsidRPr="00B41E66" w14:paraId="5F53E27E" w14:textId="77777777" w:rsidTr="00580CA8">
        <w:trPr>
          <w:trHeight w:val="630"/>
        </w:trPr>
        <w:tc>
          <w:tcPr>
            <w:tcW w:w="1403" w:type="dxa"/>
            <w:tcBorders>
              <w:top w:val="single" w:sz="12" w:space="0" w:color="auto"/>
              <w:left w:val="single" w:sz="12" w:space="0" w:color="auto"/>
              <w:bottom w:val="single" w:sz="12" w:space="0" w:color="auto"/>
              <w:right w:val="nil"/>
            </w:tcBorders>
            <w:shd w:val="clear" w:color="auto" w:fill="auto"/>
            <w:vAlign w:val="bottom"/>
            <w:hideMark/>
          </w:tcPr>
          <w:p w14:paraId="76DD6E12" w14:textId="77777777" w:rsidR="002A7E90" w:rsidRPr="00B41E66" w:rsidRDefault="002A7E90" w:rsidP="002A7E90">
            <w:pPr>
              <w:rPr>
                <w:color w:val="0000FF"/>
                <w:lang w:val="en-IL" w:eastAsia="en-IL" w:bidi="he-IL"/>
              </w:rPr>
            </w:pPr>
            <w:r w:rsidRPr="00B41E66">
              <w:rPr>
                <w:color w:val="0000FF"/>
                <w:lang w:val="en-IL" w:eastAsia="en-IL" w:bidi="he-IL"/>
              </w:rPr>
              <w:t>Days relative to event</w:t>
            </w:r>
          </w:p>
        </w:tc>
        <w:tc>
          <w:tcPr>
            <w:tcW w:w="977" w:type="dxa"/>
            <w:tcBorders>
              <w:top w:val="nil"/>
              <w:left w:val="single" w:sz="12" w:space="0" w:color="auto"/>
              <w:bottom w:val="single" w:sz="8" w:space="0" w:color="auto"/>
              <w:right w:val="nil"/>
            </w:tcBorders>
            <w:shd w:val="clear" w:color="auto" w:fill="auto"/>
            <w:noWrap/>
            <w:vAlign w:val="bottom"/>
            <w:hideMark/>
          </w:tcPr>
          <w:p w14:paraId="27D4993C" w14:textId="77777777" w:rsidR="002A7E90" w:rsidRPr="00B41E66" w:rsidRDefault="002A7E90" w:rsidP="002A7E90">
            <w:pPr>
              <w:rPr>
                <w:color w:val="0000FF"/>
                <w:lang w:val="en-IL" w:eastAsia="en-IL" w:bidi="he-IL"/>
              </w:rPr>
            </w:pPr>
            <w:r w:rsidRPr="00B41E66">
              <w:rPr>
                <w:color w:val="0000FF"/>
                <w:lang w:val="en-IL" w:eastAsia="en-IL" w:bidi="he-IL"/>
              </w:rPr>
              <w:t>CAAR, %</w:t>
            </w:r>
          </w:p>
        </w:tc>
        <w:tc>
          <w:tcPr>
            <w:tcW w:w="724" w:type="dxa"/>
            <w:tcBorders>
              <w:top w:val="nil"/>
              <w:left w:val="nil"/>
              <w:bottom w:val="single" w:sz="8" w:space="0" w:color="auto"/>
              <w:right w:val="single" w:sz="12" w:space="0" w:color="auto"/>
            </w:tcBorders>
            <w:shd w:val="clear" w:color="auto" w:fill="auto"/>
            <w:noWrap/>
            <w:vAlign w:val="bottom"/>
            <w:hideMark/>
          </w:tcPr>
          <w:p w14:paraId="22074D78" w14:textId="77777777" w:rsidR="002A7E90" w:rsidRPr="00B41E66" w:rsidRDefault="002A7E90" w:rsidP="002A7E90">
            <w:pPr>
              <w:rPr>
                <w:color w:val="0000FF"/>
                <w:lang w:val="en-IL" w:eastAsia="en-IL" w:bidi="he-IL"/>
              </w:rPr>
            </w:pPr>
            <w:r w:rsidRPr="00B41E66">
              <w:rPr>
                <w:color w:val="0000FF"/>
                <w:lang w:val="en-IL" w:eastAsia="en-IL" w:bidi="he-IL"/>
              </w:rPr>
              <w:t>t-stat.</w:t>
            </w:r>
          </w:p>
        </w:tc>
        <w:tc>
          <w:tcPr>
            <w:tcW w:w="936" w:type="dxa"/>
            <w:tcBorders>
              <w:top w:val="nil"/>
              <w:left w:val="nil"/>
              <w:bottom w:val="single" w:sz="8" w:space="0" w:color="auto"/>
              <w:right w:val="nil"/>
            </w:tcBorders>
            <w:shd w:val="clear" w:color="auto" w:fill="auto"/>
            <w:noWrap/>
            <w:vAlign w:val="bottom"/>
            <w:hideMark/>
          </w:tcPr>
          <w:p w14:paraId="0D33B0B1" w14:textId="77777777" w:rsidR="002A7E90" w:rsidRPr="00B41E66" w:rsidRDefault="002A7E90" w:rsidP="002A7E90">
            <w:pPr>
              <w:rPr>
                <w:color w:val="0000FF"/>
                <w:lang w:val="en-IL" w:eastAsia="en-IL" w:bidi="he-IL"/>
              </w:rPr>
            </w:pPr>
            <w:r w:rsidRPr="00B41E66">
              <w:rPr>
                <w:color w:val="0000FF"/>
                <w:lang w:val="en-IL" w:eastAsia="en-IL" w:bidi="he-IL"/>
              </w:rPr>
              <w:t>CAAR, %</w:t>
            </w:r>
          </w:p>
        </w:tc>
        <w:tc>
          <w:tcPr>
            <w:tcW w:w="640" w:type="dxa"/>
            <w:tcBorders>
              <w:top w:val="nil"/>
              <w:left w:val="nil"/>
              <w:bottom w:val="single" w:sz="8" w:space="0" w:color="auto"/>
              <w:right w:val="nil"/>
            </w:tcBorders>
            <w:shd w:val="clear" w:color="auto" w:fill="auto"/>
            <w:noWrap/>
            <w:vAlign w:val="bottom"/>
            <w:hideMark/>
          </w:tcPr>
          <w:p w14:paraId="130E1D57" w14:textId="77777777" w:rsidR="002A7E90" w:rsidRPr="00B41E66" w:rsidRDefault="002A7E90" w:rsidP="002A7E90">
            <w:pPr>
              <w:rPr>
                <w:color w:val="0000FF"/>
                <w:lang w:val="en-IL" w:eastAsia="en-IL" w:bidi="he-IL"/>
              </w:rPr>
            </w:pPr>
            <w:r w:rsidRPr="00B41E66">
              <w:rPr>
                <w:color w:val="0000FF"/>
                <w:lang w:val="en-IL" w:eastAsia="en-IL" w:bidi="he-IL"/>
              </w:rPr>
              <w:t>t-stat.</w:t>
            </w:r>
          </w:p>
        </w:tc>
        <w:tc>
          <w:tcPr>
            <w:tcW w:w="860" w:type="dxa"/>
            <w:tcBorders>
              <w:top w:val="nil"/>
              <w:left w:val="single" w:sz="12" w:space="0" w:color="auto"/>
              <w:bottom w:val="single" w:sz="8" w:space="0" w:color="auto"/>
              <w:right w:val="nil"/>
            </w:tcBorders>
            <w:shd w:val="clear" w:color="auto" w:fill="auto"/>
            <w:noWrap/>
            <w:vAlign w:val="bottom"/>
            <w:hideMark/>
          </w:tcPr>
          <w:p w14:paraId="1F885E6F" w14:textId="77777777" w:rsidR="002A7E90" w:rsidRPr="00B41E66" w:rsidRDefault="002A7E90" w:rsidP="002A7E90">
            <w:pPr>
              <w:rPr>
                <w:color w:val="0000FF"/>
                <w:lang w:val="en-IL" w:eastAsia="en-IL" w:bidi="he-IL"/>
              </w:rPr>
            </w:pPr>
            <w:r w:rsidRPr="00B41E66">
              <w:rPr>
                <w:color w:val="0000FF"/>
                <w:lang w:val="en-IL" w:eastAsia="en-IL" w:bidi="he-IL"/>
              </w:rPr>
              <w:t>CAAR, %</w:t>
            </w:r>
          </w:p>
        </w:tc>
        <w:tc>
          <w:tcPr>
            <w:tcW w:w="740" w:type="dxa"/>
            <w:tcBorders>
              <w:top w:val="nil"/>
              <w:left w:val="nil"/>
              <w:bottom w:val="single" w:sz="8" w:space="0" w:color="auto"/>
              <w:right w:val="single" w:sz="12" w:space="0" w:color="auto"/>
            </w:tcBorders>
            <w:shd w:val="clear" w:color="auto" w:fill="auto"/>
            <w:noWrap/>
            <w:vAlign w:val="bottom"/>
            <w:hideMark/>
          </w:tcPr>
          <w:p w14:paraId="4D9B9B45" w14:textId="77777777" w:rsidR="002A7E90" w:rsidRPr="00B41E66" w:rsidRDefault="002A7E90" w:rsidP="002A7E90">
            <w:pPr>
              <w:rPr>
                <w:color w:val="0000FF"/>
                <w:lang w:val="en-IL" w:eastAsia="en-IL" w:bidi="he-IL"/>
              </w:rPr>
            </w:pPr>
            <w:r w:rsidRPr="00B41E66">
              <w:rPr>
                <w:color w:val="0000FF"/>
                <w:lang w:val="en-IL" w:eastAsia="en-IL" w:bidi="he-IL"/>
              </w:rPr>
              <w:t>t-stat.</w:t>
            </w:r>
          </w:p>
        </w:tc>
        <w:tc>
          <w:tcPr>
            <w:tcW w:w="820" w:type="dxa"/>
            <w:tcBorders>
              <w:top w:val="nil"/>
              <w:left w:val="nil"/>
              <w:bottom w:val="single" w:sz="8" w:space="0" w:color="auto"/>
              <w:right w:val="nil"/>
            </w:tcBorders>
            <w:shd w:val="clear" w:color="auto" w:fill="auto"/>
            <w:noWrap/>
            <w:vAlign w:val="bottom"/>
            <w:hideMark/>
          </w:tcPr>
          <w:p w14:paraId="65A082D3" w14:textId="77777777" w:rsidR="002A7E90" w:rsidRPr="00B41E66" w:rsidRDefault="002A7E90" w:rsidP="002A7E90">
            <w:pPr>
              <w:rPr>
                <w:color w:val="0000FF"/>
                <w:lang w:val="en-IL" w:eastAsia="en-IL" w:bidi="he-IL"/>
              </w:rPr>
            </w:pPr>
            <w:r w:rsidRPr="00B41E66">
              <w:rPr>
                <w:color w:val="0000FF"/>
                <w:lang w:val="en-IL" w:eastAsia="en-IL" w:bidi="he-IL"/>
              </w:rPr>
              <w:t>CAAR, %</w:t>
            </w:r>
          </w:p>
        </w:tc>
        <w:tc>
          <w:tcPr>
            <w:tcW w:w="680" w:type="dxa"/>
            <w:tcBorders>
              <w:top w:val="nil"/>
              <w:left w:val="nil"/>
              <w:bottom w:val="single" w:sz="8" w:space="0" w:color="auto"/>
              <w:right w:val="nil"/>
            </w:tcBorders>
            <w:shd w:val="clear" w:color="auto" w:fill="auto"/>
            <w:noWrap/>
            <w:vAlign w:val="bottom"/>
            <w:hideMark/>
          </w:tcPr>
          <w:p w14:paraId="59C7D3E8" w14:textId="77777777" w:rsidR="002A7E90" w:rsidRPr="00B41E66" w:rsidRDefault="002A7E90" w:rsidP="002A7E90">
            <w:pPr>
              <w:rPr>
                <w:color w:val="0000FF"/>
                <w:lang w:val="en-IL" w:eastAsia="en-IL" w:bidi="he-IL"/>
              </w:rPr>
            </w:pPr>
            <w:r w:rsidRPr="00B41E66">
              <w:rPr>
                <w:color w:val="0000FF"/>
                <w:lang w:val="en-IL" w:eastAsia="en-IL" w:bidi="he-IL"/>
              </w:rPr>
              <w:t>t-stat.</w:t>
            </w:r>
          </w:p>
        </w:tc>
        <w:tc>
          <w:tcPr>
            <w:tcW w:w="900" w:type="dxa"/>
            <w:tcBorders>
              <w:top w:val="nil"/>
              <w:left w:val="single" w:sz="12" w:space="0" w:color="auto"/>
              <w:bottom w:val="single" w:sz="8" w:space="0" w:color="auto"/>
              <w:right w:val="nil"/>
            </w:tcBorders>
            <w:shd w:val="clear" w:color="auto" w:fill="auto"/>
            <w:noWrap/>
            <w:vAlign w:val="bottom"/>
            <w:hideMark/>
          </w:tcPr>
          <w:p w14:paraId="621963C4" w14:textId="77777777" w:rsidR="002A7E90" w:rsidRPr="00B41E66" w:rsidRDefault="002A7E90" w:rsidP="002A7E90">
            <w:pPr>
              <w:rPr>
                <w:color w:val="0000FF"/>
                <w:lang w:val="en-IL" w:eastAsia="en-IL" w:bidi="he-IL"/>
              </w:rPr>
            </w:pPr>
            <w:r w:rsidRPr="00B41E66">
              <w:rPr>
                <w:color w:val="0000FF"/>
                <w:lang w:val="en-IL" w:eastAsia="en-IL" w:bidi="he-IL"/>
              </w:rPr>
              <w:t>CAAR, %</w:t>
            </w:r>
          </w:p>
        </w:tc>
        <w:tc>
          <w:tcPr>
            <w:tcW w:w="720" w:type="dxa"/>
            <w:tcBorders>
              <w:top w:val="nil"/>
              <w:left w:val="nil"/>
              <w:bottom w:val="single" w:sz="8" w:space="0" w:color="auto"/>
              <w:right w:val="single" w:sz="12" w:space="0" w:color="auto"/>
            </w:tcBorders>
            <w:shd w:val="clear" w:color="auto" w:fill="auto"/>
            <w:noWrap/>
            <w:vAlign w:val="bottom"/>
            <w:hideMark/>
          </w:tcPr>
          <w:p w14:paraId="0315330B" w14:textId="77777777" w:rsidR="002A7E90" w:rsidRPr="00B41E66" w:rsidRDefault="002A7E90" w:rsidP="002A7E90">
            <w:pPr>
              <w:rPr>
                <w:color w:val="0000FF"/>
                <w:lang w:val="en-IL" w:eastAsia="en-IL" w:bidi="he-IL"/>
              </w:rPr>
            </w:pPr>
            <w:r w:rsidRPr="00B41E66">
              <w:rPr>
                <w:color w:val="0000FF"/>
                <w:lang w:val="en-IL" w:eastAsia="en-IL" w:bidi="he-IL"/>
              </w:rPr>
              <w:t>t-stat.</w:t>
            </w:r>
          </w:p>
        </w:tc>
      </w:tr>
      <w:tr w:rsidR="002A7E90" w:rsidRPr="00B41E66" w14:paraId="656F393D" w14:textId="77777777" w:rsidTr="00580CA8">
        <w:trPr>
          <w:trHeight w:val="315"/>
        </w:trPr>
        <w:tc>
          <w:tcPr>
            <w:tcW w:w="1403" w:type="dxa"/>
            <w:tcBorders>
              <w:top w:val="nil"/>
              <w:left w:val="single" w:sz="12" w:space="0" w:color="auto"/>
              <w:bottom w:val="nil"/>
              <w:right w:val="nil"/>
            </w:tcBorders>
            <w:shd w:val="clear" w:color="auto" w:fill="auto"/>
            <w:noWrap/>
            <w:vAlign w:val="bottom"/>
            <w:hideMark/>
          </w:tcPr>
          <w:p w14:paraId="3024F024" w14:textId="77777777" w:rsidR="002A7E90" w:rsidRPr="00B41E66" w:rsidRDefault="002A7E90" w:rsidP="002A7E90">
            <w:pPr>
              <w:rPr>
                <w:color w:val="0000FF"/>
                <w:lang w:val="en-IL" w:eastAsia="en-IL" w:bidi="he-IL"/>
              </w:rPr>
            </w:pPr>
            <w:r w:rsidRPr="00B41E66">
              <w:rPr>
                <w:color w:val="0000FF"/>
                <w:lang w:val="en-IL" w:eastAsia="en-IL" w:bidi="he-IL"/>
              </w:rPr>
              <w:t>1 to 10</w:t>
            </w:r>
          </w:p>
        </w:tc>
        <w:tc>
          <w:tcPr>
            <w:tcW w:w="977" w:type="dxa"/>
            <w:tcBorders>
              <w:top w:val="nil"/>
              <w:left w:val="single" w:sz="12" w:space="0" w:color="auto"/>
              <w:bottom w:val="nil"/>
              <w:right w:val="nil"/>
            </w:tcBorders>
            <w:shd w:val="clear" w:color="auto" w:fill="auto"/>
            <w:vAlign w:val="center"/>
            <w:hideMark/>
          </w:tcPr>
          <w:p w14:paraId="141D62EE" w14:textId="77777777" w:rsidR="002A7E90" w:rsidRPr="00B41E66" w:rsidRDefault="002A7E90" w:rsidP="002A7E90">
            <w:pPr>
              <w:jc w:val="center"/>
              <w:rPr>
                <w:color w:val="0000FF"/>
                <w:lang w:val="en-IL" w:eastAsia="en-IL" w:bidi="he-IL"/>
              </w:rPr>
            </w:pPr>
            <w:r w:rsidRPr="00B41E66">
              <w:rPr>
                <w:color w:val="0000FF"/>
                <w:lang w:val="en-IL" w:eastAsia="en-IL" w:bidi="he-IL"/>
              </w:rPr>
              <w:t>1.70%</w:t>
            </w:r>
          </w:p>
        </w:tc>
        <w:tc>
          <w:tcPr>
            <w:tcW w:w="724" w:type="dxa"/>
            <w:tcBorders>
              <w:top w:val="nil"/>
              <w:left w:val="nil"/>
              <w:bottom w:val="nil"/>
              <w:right w:val="single" w:sz="12" w:space="0" w:color="auto"/>
            </w:tcBorders>
            <w:shd w:val="clear" w:color="auto" w:fill="auto"/>
            <w:noWrap/>
            <w:vAlign w:val="center"/>
            <w:hideMark/>
          </w:tcPr>
          <w:p w14:paraId="466913BC" w14:textId="77777777" w:rsidR="002A7E90" w:rsidRPr="00B41E66" w:rsidRDefault="002A7E90" w:rsidP="002A7E90">
            <w:pPr>
              <w:jc w:val="center"/>
              <w:rPr>
                <w:color w:val="0000FF"/>
                <w:lang w:val="en-IL" w:eastAsia="en-IL" w:bidi="he-IL"/>
              </w:rPr>
            </w:pPr>
            <w:r w:rsidRPr="00B41E66">
              <w:rPr>
                <w:color w:val="0000FF"/>
                <w:lang w:val="en-IL" w:eastAsia="en-IL" w:bidi="he-IL"/>
              </w:rPr>
              <w:t>0.31</w:t>
            </w:r>
          </w:p>
        </w:tc>
        <w:tc>
          <w:tcPr>
            <w:tcW w:w="936" w:type="dxa"/>
            <w:tcBorders>
              <w:top w:val="nil"/>
              <w:left w:val="nil"/>
              <w:bottom w:val="nil"/>
              <w:right w:val="nil"/>
            </w:tcBorders>
            <w:shd w:val="clear" w:color="auto" w:fill="auto"/>
            <w:vAlign w:val="center"/>
            <w:hideMark/>
          </w:tcPr>
          <w:p w14:paraId="4826F3E1" w14:textId="77777777" w:rsidR="002A7E90" w:rsidRPr="00B41E66" w:rsidRDefault="002A7E90" w:rsidP="002A7E90">
            <w:pPr>
              <w:jc w:val="center"/>
              <w:rPr>
                <w:color w:val="0000FF"/>
                <w:lang w:val="en-IL" w:eastAsia="en-IL" w:bidi="he-IL"/>
              </w:rPr>
            </w:pPr>
            <w:r w:rsidRPr="00B41E66">
              <w:rPr>
                <w:color w:val="0000FF"/>
                <w:lang w:val="en-IL" w:eastAsia="en-IL" w:bidi="he-IL"/>
              </w:rPr>
              <w:t>3.15%</w:t>
            </w:r>
          </w:p>
        </w:tc>
        <w:tc>
          <w:tcPr>
            <w:tcW w:w="640" w:type="dxa"/>
            <w:tcBorders>
              <w:top w:val="nil"/>
              <w:left w:val="nil"/>
              <w:bottom w:val="nil"/>
              <w:right w:val="nil"/>
            </w:tcBorders>
            <w:shd w:val="clear" w:color="auto" w:fill="auto"/>
            <w:noWrap/>
            <w:vAlign w:val="center"/>
            <w:hideMark/>
          </w:tcPr>
          <w:p w14:paraId="1966DDC0" w14:textId="77777777" w:rsidR="002A7E90" w:rsidRPr="00B41E66" w:rsidRDefault="002A7E90" w:rsidP="002A7E90">
            <w:pPr>
              <w:jc w:val="center"/>
              <w:rPr>
                <w:color w:val="0000FF"/>
                <w:lang w:val="en-IL" w:eastAsia="en-IL" w:bidi="he-IL"/>
              </w:rPr>
            </w:pPr>
            <w:r w:rsidRPr="00B41E66">
              <w:rPr>
                <w:color w:val="0000FF"/>
                <w:lang w:val="en-IL" w:eastAsia="en-IL" w:bidi="he-IL"/>
              </w:rPr>
              <w:t>0.58</w:t>
            </w:r>
          </w:p>
        </w:tc>
        <w:tc>
          <w:tcPr>
            <w:tcW w:w="860" w:type="dxa"/>
            <w:tcBorders>
              <w:top w:val="nil"/>
              <w:left w:val="single" w:sz="12" w:space="0" w:color="auto"/>
              <w:bottom w:val="nil"/>
              <w:right w:val="nil"/>
            </w:tcBorders>
            <w:shd w:val="clear" w:color="auto" w:fill="auto"/>
            <w:vAlign w:val="center"/>
            <w:hideMark/>
          </w:tcPr>
          <w:p w14:paraId="1A55CE84" w14:textId="77777777" w:rsidR="002A7E90" w:rsidRPr="00B41E66" w:rsidRDefault="002A7E90" w:rsidP="002A7E90">
            <w:pPr>
              <w:jc w:val="center"/>
              <w:rPr>
                <w:color w:val="0000FF"/>
                <w:lang w:val="en-IL" w:eastAsia="en-IL" w:bidi="he-IL"/>
              </w:rPr>
            </w:pPr>
            <w:r w:rsidRPr="00B41E66">
              <w:rPr>
                <w:color w:val="0000FF"/>
                <w:lang w:val="en-IL" w:eastAsia="en-IL" w:bidi="he-IL"/>
              </w:rPr>
              <w:t>3.10%</w:t>
            </w:r>
          </w:p>
        </w:tc>
        <w:tc>
          <w:tcPr>
            <w:tcW w:w="740" w:type="dxa"/>
            <w:tcBorders>
              <w:top w:val="nil"/>
              <w:left w:val="nil"/>
              <w:bottom w:val="nil"/>
              <w:right w:val="single" w:sz="12" w:space="0" w:color="auto"/>
            </w:tcBorders>
            <w:shd w:val="clear" w:color="auto" w:fill="auto"/>
            <w:noWrap/>
            <w:vAlign w:val="center"/>
            <w:hideMark/>
          </w:tcPr>
          <w:p w14:paraId="68E06788" w14:textId="77777777" w:rsidR="002A7E90" w:rsidRPr="00B41E66" w:rsidRDefault="002A7E90" w:rsidP="002A7E90">
            <w:pPr>
              <w:jc w:val="center"/>
              <w:rPr>
                <w:color w:val="0000FF"/>
                <w:lang w:val="en-IL" w:eastAsia="en-IL" w:bidi="he-IL"/>
              </w:rPr>
            </w:pPr>
            <w:r w:rsidRPr="00B41E66">
              <w:rPr>
                <w:color w:val="0000FF"/>
                <w:lang w:val="en-IL" w:eastAsia="en-IL" w:bidi="he-IL"/>
              </w:rPr>
              <w:t>0.56</w:t>
            </w:r>
          </w:p>
        </w:tc>
        <w:tc>
          <w:tcPr>
            <w:tcW w:w="820" w:type="dxa"/>
            <w:tcBorders>
              <w:top w:val="nil"/>
              <w:left w:val="nil"/>
              <w:bottom w:val="nil"/>
              <w:right w:val="nil"/>
            </w:tcBorders>
            <w:shd w:val="clear" w:color="auto" w:fill="auto"/>
            <w:vAlign w:val="center"/>
            <w:hideMark/>
          </w:tcPr>
          <w:p w14:paraId="03F0B47C" w14:textId="77777777" w:rsidR="002A7E90" w:rsidRPr="00B41E66" w:rsidRDefault="002A7E90" w:rsidP="002A7E90">
            <w:pPr>
              <w:jc w:val="center"/>
              <w:rPr>
                <w:color w:val="0000FF"/>
                <w:lang w:val="en-IL" w:eastAsia="en-IL" w:bidi="he-IL"/>
              </w:rPr>
            </w:pPr>
            <w:r w:rsidRPr="00B41E66">
              <w:rPr>
                <w:color w:val="0000FF"/>
                <w:lang w:val="en-IL" w:eastAsia="en-IL" w:bidi="he-IL"/>
              </w:rPr>
              <w:t>2.59%</w:t>
            </w:r>
          </w:p>
        </w:tc>
        <w:tc>
          <w:tcPr>
            <w:tcW w:w="680" w:type="dxa"/>
            <w:tcBorders>
              <w:top w:val="nil"/>
              <w:left w:val="nil"/>
              <w:bottom w:val="nil"/>
              <w:right w:val="nil"/>
            </w:tcBorders>
            <w:shd w:val="clear" w:color="auto" w:fill="auto"/>
            <w:noWrap/>
            <w:vAlign w:val="center"/>
            <w:hideMark/>
          </w:tcPr>
          <w:p w14:paraId="4448B7FD" w14:textId="77777777" w:rsidR="002A7E90" w:rsidRPr="00B41E66" w:rsidRDefault="002A7E90" w:rsidP="002A7E90">
            <w:pPr>
              <w:jc w:val="center"/>
              <w:rPr>
                <w:color w:val="0000FF"/>
                <w:lang w:val="en-IL" w:eastAsia="en-IL" w:bidi="he-IL"/>
              </w:rPr>
            </w:pPr>
            <w:r w:rsidRPr="00B41E66">
              <w:rPr>
                <w:color w:val="0000FF"/>
                <w:lang w:val="en-IL" w:eastAsia="en-IL" w:bidi="he-IL"/>
              </w:rPr>
              <w:t>0.47</w:t>
            </w:r>
          </w:p>
        </w:tc>
        <w:tc>
          <w:tcPr>
            <w:tcW w:w="900" w:type="dxa"/>
            <w:tcBorders>
              <w:top w:val="nil"/>
              <w:left w:val="single" w:sz="12" w:space="0" w:color="auto"/>
              <w:bottom w:val="nil"/>
              <w:right w:val="nil"/>
            </w:tcBorders>
            <w:shd w:val="clear" w:color="auto" w:fill="auto"/>
            <w:vAlign w:val="center"/>
            <w:hideMark/>
          </w:tcPr>
          <w:p w14:paraId="34C72E91" w14:textId="77777777" w:rsidR="002A7E90" w:rsidRPr="00B41E66" w:rsidRDefault="002A7E90" w:rsidP="002A7E90">
            <w:pPr>
              <w:jc w:val="center"/>
              <w:rPr>
                <w:color w:val="0000FF"/>
                <w:lang w:val="en-IL" w:eastAsia="en-IL" w:bidi="he-IL"/>
              </w:rPr>
            </w:pPr>
            <w:r w:rsidRPr="00B41E66">
              <w:rPr>
                <w:color w:val="0000FF"/>
                <w:lang w:val="en-IL" w:eastAsia="en-IL" w:bidi="he-IL"/>
              </w:rPr>
              <w:t>2.54%</w:t>
            </w:r>
          </w:p>
        </w:tc>
        <w:tc>
          <w:tcPr>
            <w:tcW w:w="720" w:type="dxa"/>
            <w:tcBorders>
              <w:top w:val="nil"/>
              <w:left w:val="nil"/>
              <w:bottom w:val="nil"/>
              <w:right w:val="single" w:sz="12" w:space="0" w:color="auto"/>
            </w:tcBorders>
            <w:shd w:val="clear" w:color="auto" w:fill="auto"/>
            <w:noWrap/>
            <w:vAlign w:val="center"/>
            <w:hideMark/>
          </w:tcPr>
          <w:p w14:paraId="5852395B" w14:textId="77777777" w:rsidR="002A7E90" w:rsidRPr="00B41E66" w:rsidRDefault="002A7E90" w:rsidP="002A7E90">
            <w:pPr>
              <w:jc w:val="center"/>
              <w:rPr>
                <w:color w:val="0000FF"/>
                <w:lang w:val="en-IL" w:eastAsia="en-IL" w:bidi="he-IL"/>
              </w:rPr>
            </w:pPr>
            <w:r w:rsidRPr="00B41E66">
              <w:rPr>
                <w:color w:val="0000FF"/>
                <w:lang w:val="en-IL" w:eastAsia="en-IL" w:bidi="he-IL"/>
              </w:rPr>
              <w:t>0.46</w:t>
            </w:r>
          </w:p>
        </w:tc>
      </w:tr>
      <w:tr w:rsidR="002A7E90" w:rsidRPr="00B41E66" w14:paraId="2C008512" w14:textId="77777777" w:rsidTr="00580CA8">
        <w:trPr>
          <w:trHeight w:val="300"/>
        </w:trPr>
        <w:tc>
          <w:tcPr>
            <w:tcW w:w="1403" w:type="dxa"/>
            <w:tcBorders>
              <w:top w:val="nil"/>
              <w:left w:val="single" w:sz="12" w:space="0" w:color="auto"/>
              <w:bottom w:val="nil"/>
              <w:right w:val="nil"/>
            </w:tcBorders>
            <w:shd w:val="clear" w:color="auto" w:fill="auto"/>
            <w:noWrap/>
            <w:vAlign w:val="bottom"/>
            <w:hideMark/>
          </w:tcPr>
          <w:p w14:paraId="76F3C98D" w14:textId="77777777" w:rsidR="002A7E90" w:rsidRPr="00B41E66" w:rsidRDefault="002A7E90" w:rsidP="002A7E90">
            <w:pPr>
              <w:rPr>
                <w:color w:val="0000FF"/>
                <w:lang w:val="en-IL" w:eastAsia="en-IL" w:bidi="he-IL"/>
              </w:rPr>
            </w:pPr>
            <w:r w:rsidRPr="00B41E66">
              <w:rPr>
                <w:color w:val="0000FF"/>
                <w:lang w:val="en-IL" w:eastAsia="en-IL" w:bidi="he-IL"/>
              </w:rPr>
              <w:t>1 to 20</w:t>
            </w:r>
          </w:p>
        </w:tc>
        <w:tc>
          <w:tcPr>
            <w:tcW w:w="977" w:type="dxa"/>
            <w:tcBorders>
              <w:top w:val="nil"/>
              <w:left w:val="single" w:sz="12" w:space="0" w:color="auto"/>
              <w:bottom w:val="nil"/>
              <w:right w:val="nil"/>
            </w:tcBorders>
            <w:shd w:val="clear" w:color="auto" w:fill="auto"/>
            <w:vAlign w:val="center"/>
            <w:hideMark/>
          </w:tcPr>
          <w:p w14:paraId="018811C0" w14:textId="77777777" w:rsidR="002A7E90" w:rsidRPr="00B41E66" w:rsidRDefault="002A7E90" w:rsidP="002A7E90">
            <w:pPr>
              <w:jc w:val="center"/>
              <w:rPr>
                <w:color w:val="0000FF"/>
                <w:lang w:val="en-IL" w:eastAsia="en-IL" w:bidi="he-IL"/>
              </w:rPr>
            </w:pPr>
            <w:r w:rsidRPr="00B41E66">
              <w:rPr>
                <w:color w:val="0000FF"/>
                <w:lang w:val="en-IL" w:eastAsia="en-IL" w:bidi="he-IL"/>
              </w:rPr>
              <w:t>4.25%</w:t>
            </w:r>
          </w:p>
        </w:tc>
        <w:tc>
          <w:tcPr>
            <w:tcW w:w="724" w:type="dxa"/>
            <w:tcBorders>
              <w:top w:val="nil"/>
              <w:left w:val="nil"/>
              <w:bottom w:val="nil"/>
              <w:right w:val="single" w:sz="12" w:space="0" w:color="auto"/>
            </w:tcBorders>
            <w:shd w:val="clear" w:color="auto" w:fill="auto"/>
            <w:noWrap/>
            <w:vAlign w:val="center"/>
            <w:hideMark/>
          </w:tcPr>
          <w:p w14:paraId="5C1D9909" w14:textId="77777777" w:rsidR="002A7E90" w:rsidRPr="00B41E66" w:rsidRDefault="002A7E90" w:rsidP="002A7E90">
            <w:pPr>
              <w:jc w:val="center"/>
              <w:rPr>
                <w:color w:val="0000FF"/>
                <w:lang w:val="en-IL" w:eastAsia="en-IL" w:bidi="he-IL"/>
              </w:rPr>
            </w:pPr>
            <w:r w:rsidRPr="00B41E66">
              <w:rPr>
                <w:color w:val="0000FF"/>
                <w:lang w:val="en-IL" w:eastAsia="en-IL" w:bidi="he-IL"/>
              </w:rPr>
              <w:t>0.88</w:t>
            </w:r>
          </w:p>
        </w:tc>
        <w:tc>
          <w:tcPr>
            <w:tcW w:w="936" w:type="dxa"/>
            <w:tcBorders>
              <w:top w:val="nil"/>
              <w:left w:val="nil"/>
              <w:bottom w:val="nil"/>
              <w:right w:val="nil"/>
            </w:tcBorders>
            <w:shd w:val="clear" w:color="auto" w:fill="auto"/>
            <w:vAlign w:val="center"/>
            <w:hideMark/>
          </w:tcPr>
          <w:p w14:paraId="7684E780" w14:textId="77777777" w:rsidR="002A7E90" w:rsidRPr="00B41E66" w:rsidRDefault="002A7E90" w:rsidP="002A7E90">
            <w:pPr>
              <w:jc w:val="center"/>
              <w:rPr>
                <w:color w:val="0000FF"/>
                <w:lang w:val="en-IL" w:eastAsia="en-IL" w:bidi="he-IL"/>
              </w:rPr>
            </w:pPr>
            <w:r w:rsidRPr="00B41E66">
              <w:rPr>
                <w:color w:val="0000FF"/>
                <w:lang w:val="en-IL" w:eastAsia="en-IL" w:bidi="he-IL"/>
              </w:rPr>
              <w:t>6.16%</w:t>
            </w:r>
          </w:p>
        </w:tc>
        <w:tc>
          <w:tcPr>
            <w:tcW w:w="640" w:type="dxa"/>
            <w:tcBorders>
              <w:top w:val="nil"/>
              <w:left w:val="nil"/>
              <w:bottom w:val="nil"/>
              <w:right w:val="nil"/>
            </w:tcBorders>
            <w:shd w:val="clear" w:color="auto" w:fill="auto"/>
            <w:noWrap/>
            <w:vAlign w:val="center"/>
            <w:hideMark/>
          </w:tcPr>
          <w:p w14:paraId="63B2211E" w14:textId="77777777" w:rsidR="002A7E90" w:rsidRPr="00B41E66" w:rsidRDefault="002A7E90" w:rsidP="002A7E90">
            <w:pPr>
              <w:jc w:val="center"/>
              <w:rPr>
                <w:color w:val="0000FF"/>
                <w:lang w:val="en-IL" w:eastAsia="en-IL" w:bidi="he-IL"/>
              </w:rPr>
            </w:pPr>
            <w:r w:rsidRPr="00B41E66">
              <w:rPr>
                <w:color w:val="0000FF"/>
                <w:lang w:val="en-IL" w:eastAsia="en-IL" w:bidi="he-IL"/>
              </w:rPr>
              <w:t>1.37</w:t>
            </w:r>
          </w:p>
        </w:tc>
        <w:tc>
          <w:tcPr>
            <w:tcW w:w="860" w:type="dxa"/>
            <w:tcBorders>
              <w:top w:val="nil"/>
              <w:left w:val="single" w:sz="12" w:space="0" w:color="auto"/>
              <w:bottom w:val="nil"/>
              <w:right w:val="nil"/>
            </w:tcBorders>
            <w:shd w:val="clear" w:color="auto" w:fill="auto"/>
            <w:vAlign w:val="center"/>
            <w:hideMark/>
          </w:tcPr>
          <w:p w14:paraId="43AD7369" w14:textId="77777777" w:rsidR="002A7E90" w:rsidRPr="00B41E66" w:rsidRDefault="002A7E90" w:rsidP="002A7E90">
            <w:pPr>
              <w:jc w:val="center"/>
              <w:rPr>
                <w:color w:val="0000FF"/>
                <w:lang w:val="en-IL" w:eastAsia="en-IL" w:bidi="he-IL"/>
              </w:rPr>
            </w:pPr>
            <w:r w:rsidRPr="00B41E66">
              <w:rPr>
                <w:color w:val="0000FF"/>
                <w:lang w:val="en-IL" w:eastAsia="en-IL" w:bidi="he-IL"/>
              </w:rPr>
              <w:t>5.76%</w:t>
            </w:r>
          </w:p>
        </w:tc>
        <w:tc>
          <w:tcPr>
            <w:tcW w:w="740" w:type="dxa"/>
            <w:tcBorders>
              <w:top w:val="nil"/>
              <w:left w:val="nil"/>
              <w:bottom w:val="nil"/>
              <w:right w:val="single" w:sz="12" w:space="0" w:color="auto"/>
            </w:tcBorders>
            <w:shd w:val="clear" w:color="auto" w:fill="auto"/>
            <w:noWrap/>
            <w:vAlign w:val="center"/>
            <w:hideMark/>
          </w:tcPr>
          <w:p w14:paraId="7031521E" w14:textId="77777777" w:rsidR="002A7E90" w:rsidRPr="00B41E66" w:rsidRDefault="002A7E90" w:rsidP="002A7E90">
            <w:pPr>
              <w:jc w:val="center"/>
              <w:rPr>
                <w:color w:val="0000FF"/>
                <w:lang w:val="en-IL" w:eastAsia="en-IL" w:bidi="he-IL"/>
              </w:rPr>
            </w:pPr>
            <w:r w:rsidRPr="00B41E66">
              <w:rPr>
                <w:color w:val="0000FF"/>
                <w:lang w:val="en-IL" w:eastAsia="en-IL" w:bidi="he-IL"/>
              </w:rPr>
              <w:t>1.28</w:t>
            </w:r>
          </w:p>
        </w:tc>
        <w:tc>
          <w:tcPr>
            <w:tcW w:w="820" w:type="dxa"/>
            <w:tcBorders>
              <w:top w:val="nil"/>
              <w:left w:val="nil"/>
              <w:bottom w:val="nil"/>
              <w:right w:val="nil"/>
            </w:tcBorders>
            <w:shd w:val="clear" w:color="auto" w:fill="auto"/>
            <w:vAlign w:val="center"/>
            <w:hideMark/>
          </w:tcPr>
          <w:p w14:paraId="2F2833F9" w14:textId="77777777" w:rsidR="002A7E90" w:rsidRPr="00B41E66" w:rsidRDefault="002A7E90" w:rsidP="002A7E90">
            <w:pPr>
              <w:jc w:val="center"/>
              <w:rPr>
                <w:color w:val="0000FF"/>
                <w:lang w:val="en-IL" w:eastAsia="en-IL" w:bidi="he-IL"/>
              </w:rPr>
            </w:pPr>
            <w:r w:rsidRPr="00B41E66">
              <w:rPr>
                <w:color w:val="0000FF"/>
                <w:lang w:val="en-IL" w:eastAsia="en-IL" w:bidi="he-IL"/>
              </w:rPr>
              <w:t>5.50%</w:t>
            </w:r>
          </w:p>
        </w:tc>
        <w:tc>
          <w:tcPr>
            <w:tcW w:w="680" w:type="dxa"/>
            <w:tcBorders>
              <w:top w:val="nil"/>
              <w:left w:val="nil"/>
              <w:bottom w:val="nil"/>
              <w:right w:val="nil"/>
            </w:tcBorders>
            <w:shd w:val="clear" w:color="auto" w:fill="auto"/>
            <w:noWrap/>
            <w:vAlign w:val="center"/>
            <w:hideMark/>
          </w:tcPr>
          <w:p w14:paraId="345EA0AA" w14:textId="77777777" w:rsidR="002A7E90" w:rsidRPr="00B41E66" w:rsidRDefault="002A7E90" w:rsidP="002A7E90">
            <w:pPr>
              <w:jc w:val="center"/>
              <w:rPr>
                <w:color w:val="0000FF"/>
                <w:lang w:val="en-IL" w:eastAsia="en-IL" w:bidi="he-IL"/>
              </w:rPr>
            </w:pPr>
            <w:r w:rsidRPr="00B41E66">
              <w:rPr>
                <w:color w:val="0000FF"/>
                <w:lang w:val="en-IL" w:eastAsia="en-IL" w:bidi="he-IL"/>
              </w:rPr>
              <w:t>1.18</w:t>
            </w:r>
          </w:p>
        </w:tc>
        <w:tc>
          <w:tcPr>
            <w:tcW w:w="900" w:type="dxa"/>
            <w:tcBorders>
              <w:top w:val="nil"/>
              <w:left w:val="single" w:sz="12" w:space="0" w:color="auto"/>
              <w:bottom w:val="nil"/>
              <w:right w:val="nil"/>
            </w:tcBorders>
            <w:shd w:val="clear" w:color="auto" w:fill="auto"/>
            <w:vAlign w:val="center"/>
            <w:hideMark/>
          </w:tcPr>
          <w:p w14:paraId="2D465EFE" w14:textId="77777777" w:rsidR="002A7E90" w:rsidRPr="00B41E66" w:rsidRDefault="002A7E90" w:rsidP="002A7E90">
            <w:pPr>
              <w:jc w:val="center"/>
              <w:rPr>
                <w:color w:val="0000FF"/>
                <w:lang w:val="en-IL" w:eastAsia="en-IL" w:bidi="he-IL"/>
              </w:rPr>
            </w:pPr>
            <w:r w:rsidRPr="00B41E66">
              <w:rPr>
                <w:color w:val="0000FF"/>
                <w:lang w:val="en-IL" w:eastAsia="en-IL" w:bidi="he-IL"/>
              </w:rPr>
              <w:t>5.69%</w:t>
            </w:r>
          </w:p>
        </w:tc>
        <w:tc>
          <w:tcPr>
            <w:tcW w:w="720" w:type="dxa"/>
            <w:tcBorders>
              <w:top w:val="nil"/>
              <w:left w:val="nil"/>
              <w:bottom w:val="nil"/>
              <w:right w:val="single" w:sz="12" w:space="0" w:color="auto"/>
            </w:tcBorders>
            <w:shd w:val="clear" w:color="auto" w:fill="auto"/>
            <w:noWrap/>
            <w:vAlign w:val="center"/>
            <w:hideMark/>
          </w:tcPr>
          <w:p w14:paraId="7FB709D1" w14:textId="77777777" w:rsidR="002A7E90" w:rsidRPr="00B41E66" w:rsidRDefault="002A7E90" w:rsidP="002A7E90">
            <w:pPr>
              <w:jc w:val="center"/>
              <w:rPr>
                <w:color w:val="0000FF"/>
                <w:lang w:val="en-IL" w:eastAsia="en-IL" w:bidi="he-IL"/>
              </w:rPr>
            </w:pPr>
            <w:r w:rsidRPr="00B41E66">
              <w:rPr>
                <w:color w:val="0000FF"/>
                <w:lang w:val="en-IL" w:eastAsia="en-IL" w:bidi="he-IL"/>
              </w:rPr>
              <w:t>1.21</w:t>
            </w:r>
          </w:p>
        </w:tc>
      </w:tr>
      <w:tr w:rsidR="002A7E90" w:rsidRPr="00B41E66" w14:paraId="30C35747" w14:textId="77777777" w:rsidTr="00580CA8">
        <w:trPr>
          <w:trHeight w:val="300"/>
        </w:trPr>
        <w:tc>
          <w:tcPr>
            <w:tcW w:w="1403" w:type="dxa"/>
            <w:tcBorders>
              <w:top w:val="nil"/>
              <w:left w:val="single" w:sz="12" w:space="0" w:color="auto"/>
              <w:bottom w:val="nil"/>
              <w:right w:val="nil"/>
            </w:tcBorders>
            <w:shd w:val="clear" w:color="auto" w:fill="auto"/>
            <w:noWrap/>
            <w:vAlign w:val="bottom"/>
            <w:hideMark/>
          </w:tcPr>
          <w:p w14:paraId="2AFDDDFB" w14:textId="77777777" w:rsidR="002A7E90" w:rsidRPr="00B41E66" w:rsidRDefault="002A7E90" w:rsidP="002A7E90">
            <w:pPr>
              <w:rPr>
                <w:color w:val="0000FF"/>
                <w:lang w:val="en-IL" w:eastAsia="en-IL" w:bidi="he-IL"/>
              </w:rPr>
            </w:pPr>
            <w:r w:rsidRPr="00B41E66">
              <w:rPr>
                <w:color w:val="0000FF"/>
                <w:lang w:val="en-IL" w:eastAsia="en-IL" w:bidi="he-IL"/>
              </w:rPr>
              <w:t>1 to 50</w:t>
            </w:r>
          </w:p>
        </w:tc>
        <w:tc>
          <w:tcPr>
            <w:tcW w:w="977" w:type="dxa"/>
            <w:tcBorders>
              <w:top w:val="nil"/>
              <w:left w:val="single" w:sz="12" w:space="0" w:color="auto"/>
              <w:bottom w:val="nil"/>
              <w:right w:val="nil"/>
            </w:tcBorders>
            <w:shd w:val="clear" w:color="auto" w:fill="auto"/>
            <w:vAlign w:val="center"/>
            <w:hideMark/>
          </w:tcPr>
          <w:p w14:paraId="6839A2E0" w14:textId="77777777" w:rsidR="002A7E90" w:rsidRPr="00B41E66" w:rsidRDefault="002A7E90" w:rsidP="002A7E90">
            <w:pPr>
              <w:jc w:val="center"/>
              <w:rPr>
                <w:color w:val="0000FF"/>
                <w:lang w:val="en-IL" w:eastAsia="en-IL" w:bidi="he-IL"/>
              </w:rPr>
            </w:pPr>
            <w:r w:rsidRPr="00B41E66">
              <w:rPr>
                <w:color w:val="0000FF"/>
                <w:lang w:val="en-IL" w:eastAsia="en-IL" w:bidi="he-IL"/>
              </w:rPr>
              <w:t>3.08%</w:t>
            </w:r>
          </w:p>
        </w:tc>
        <w:tc>
          <w:tcPr>
            <w:tcW w:w="724" w:type="dxa"/>
            <w:tcBorders>
              <w:top w:val="nil"/>
              <w:left w:val="nil"/>
              <w:bottom w:val="nil"/>
              <w:right w:val="single" w:sz="12" w:space="0" w:color="auto"/>
            </w:tcBorders>
            <w:shd w:val="clear" w:color="auto" w:fill="auto"/>
            <w:noWrap/>
            <w:vAlign w:val="center"/>
            <w:hideMark/>
          </w:tcPr>
          <w:p w14:paraId="062A4A2A" w14:textId="77777777" w:rsidR="002A7E90" w:rsidRPr="00B41E66" w:rsidRDefault="002A7E90" w:rsidP="002A7E90">
            <w:pPr>
              <w:jc w:val="center"/>
              <w:rPr>
                <w:color w:val="0000FF"/>
                <w:lang w:val="en-IL" w:eastAsia="en-IL" w:bidi="he-IL"/>
              </w:rPr>
            </w:pPr>
            <w:r w:rsidRPr="00B41E66">
              <w:rPr>
                <w:color w:val="0000FF"/>
                <w:lang w:val="en-IL" w:eastAsia="en-IL" w:bidi="he-IL"/>
              </w:rPr>
              <w:t>0.62</w:t>
            </w:r>
          </w:p>
        </w:tc>
        <w:tc>
          <w:tcPr>
            <w:tcW w:w="936" w:type="dxa"/>
            <w:tcBorders>
              <w:top w:val="nil"/>
              <w:left w:val="nil"/>
              <w:bottom w:val="nil"/>
              <w:right w:val="nil"/>
            </w:tcBorders>
            <w:shd w:val="clear" w:color="auto" w:fill="auto"/>
            <w:vAlign w:val="center"/>
            <w:hideMark/>
          </w:tcPr>
          <w:p w14:paraId="1F6BD81E" w14:textId="77777777" w:rsidR="002A7E90" w:rsidRPr="00B41E66" w:rsidRDefault="002A7E90" w:rsidP="002A7E90">
            <w:pPr>
              <w:jc w:val="center"/>
              <w:rPr>
                <w:color w:val="0000FF"/>
                <w:lang w:val="en-IL" w:eastAsia="en-IL" w:bidi="he-IL"/>
              </w:rPr>
            </w:pPr>
            <w:r w:rsidRPr="00B41E66">
              <w:rPr>
                <w:color w:val="0000FF"/>
                <w:lang w:val="en-IL" w:eastAsia="en-IL" w:bidi="he-IL"/>
              </w:rPr>
              <w:t>6.01%</w:t>
            </w:r>
          </w:p>
        </w:tc>
        <w:tc>
          <w:tcPr>
            <w:tcW w:w="640" w:type="dxa"/>
            <w:tcBorders>
              <w:top w:val="nil"/>
              <w:left w:val="nil"/>
              <w:bottom w:val="nil"/>
              <w:right w:val="nil"/>
            </w:tcBorders>
            <w:shd w:val="clear" w:color="auto" w:fill="auto"/>
            <w:noWrap/>
            <w:vAlign w:val="center"/>
            <w:hideMark/>
          </w:tcPr>
          <w:p w14:paraId="074ECCD8" w14:textId="77777777" w:rsidR="002A7E90" w:rsidRPr="00B41E66" w:rsidRDefault="002A7E90" w:rsidP="002A7E90">
            <w:pPr>
              <w:jc w:val="center"/>
              <w:rPr>
                <w:color w:val="0000FF"/>
                <w:lang w:val="en-IL" w:eastAsia="en-IL" w:bidi="he-IL"/>
              </w:rPr>
            </w:pPr>
            <w:r w:rsidRPr="00B41E66">
              <w:rPr>
                <w:color w:val="0000FF"/>
                <w:lang w:val="en-IL" w:eastAsia="en-IL" w:bidi="he-IL"/>
              </w:rPr>
              <w:t>1.22</w:t>
            </w:r>
          </w:p>
        </w:tc>
        <w:tc>
          <w:tcPr>
            <w:tcW w:w="860" w:type="dxa"/>
            <w:tcBorders>
              <w:top w:val="nil"/>
              <w:left w:val="single" w:sz="12" w:space="0" w:color="auto"/>
              <w:bottom w:val="nil"/>
              <w:right w:val="nil"/>
            </w:tcBorders>
            <w:shd w:val="clear" w:color="auto" w:fill="auto"/>
            <w:vAlign w:val="center"/>
            <w:hideMark/>
          </w:tcPr>
          <w:p w14:paraId="75153B0E" w14:textId="77777777" w:rsidR="002A7E90" w:rsidRPr="00B41E66" w:rsidRDefault="002A7E90" w:rsidP="002A7E90">
            <w:pPr>
              <w:jc w:val="center"/>
              <w:rPr>
                <w:color w:val="0000FF"/>
                <w:lang w:val="en-IL" w:eastAsia="en-IL" w:bidi="he-IL"/>
              </w:rPr>
            </w:pPr>
            <w:r w:rsidRPr="00B41E66">
              <w:rPr>
                <w:color w:val="0000FF"/>
                <w:lang w:val="en-IL" w:eastAsia="en-IL" w:bidi="he-IL"/>
              </w:rPr>
              <w:t>9.99%</w:t>
            </w:r>
          </w:p>
        </w:tc>
        <w:tc>
          <w:tcPr>
            <w:tcW w:w="740" w:type="dxa"/>
            <w:tcBorders>
              <w:top w:val="nil"/>
              <w:left w:val="nil"/>
              <w:bottom w:val="nil"/>
              <w:right w:val="single" w:sz="12" w:space="0" w:color="auto"/>
            </w:tcBorders>
            <w:shd w:val="clear" w:color="auto" w:fill="auto"/>
            <w:noWrap/>
            <w:vAlign w:val="center"/>
            <w:hideMark/>
          </w:tcPr>
          <w:p w14:paraId="4A8777F4" w14:textId="77777777" w:rsidR="002A7E90" w:rsidRPr="00B41E66" w:rsidRDefault="002A7E90" w:rsidP="002A7E90">
            <w:pPr>
              <w:jc w:val="center"/>
              <w:rPr>
                <w:color w:val="0000FF"/>
                <w:lang w:val="en-IL" w:eastAsia="en-IL" w:bidi="he-IL"/>
              </w:rPr>
            </w:pPr>
            <w:r w:rsidRPr="00B41E66">
              <w:rPr>
                <w:color w:val="0000FF"/>
                <w:lang w:val="en-IL" w:eastAsia="en-IL" w:bidi="he-IL"/>
              </w:rPr>
              <w:t>2.07</w:t>
            </w:r>
          </w:p>
        </w:tc>
        <w:tc>
          <w:tcPr>
            <w:tcW w:w="820" w:type="dxa"/>
            <w:tcBorders>
              <w:top w:val="nil"/>
              <w:left w:val="nil"/>
              <w:bottom w:val="nil"/>
              <w:right w:val="nil"/>
            </w:tcBorders>
            <w:shd w:val="clear" w:color="auto" w:fill="auto"/>
            <w:vAlign w:val="center"/>
            <w:hideMark/>
          </w:tcPr>
          <w:p w14:paraId="4A11ACD3" w14:textId="77777777" w:rsidR="002A7E90" w:rsidRPr="00B41E66" w:rsidRDefault="002A7E90" w:rsidP="002A7E90">
            <w:pPr>
              <w:jc w:val="center"/>
              <w:rPr>
                <w:color w:val="0000FF"/>
                <w:lang w:val="en-IL" w:eastAsia="en-IL" w:bidi="he-IL"/>
              </w:rPr>
            </w:pPr>
            <w:r w:rsidRPr="00B41E66">
              <w:rPr>
                <w:color w:val="0000FF"/>
                <w:lang w:val="en-IL" w:eastAsia="en-IL" w:bidi="he-IL"/>
              </w:rPr>
              <w:t>9.48%</w:t>
            </w:r>
          </w:p>
        </w:tc>
        <w:tc>
          <w:tcPr>
            <w:tcW w:w="680" w:type="dxa"/>
            <w:tcBorders>
              <w:top w:val="nil"/>
              <w:left w:val="nil"/>
              <w:bottom w:val="nil"/>
              <w:right w:val="nil"/>
            </w:tcBorders>
            <w:shd w:val="clear" w:color="auto" w:fill="auto"/>
            <w:noWrap/>
            <w:vAlign w:val="center"/>
            <w:hideMark/>
          </w:tcPr>
          <w:p w14:paraId="231FE4AF" w14:textId="77777777" w:rsidR="002A7E90" w:rsidRPr="00B41E66" w:rsidRDefault="002A7E90" w:rsidP="002A7E90">
            <w:pPr>
              <w:jc w:val="center"/>
              <w:rPr>
                <w:color w:val="0000FF"/>
                <w:lang w:val="en-IL" w:eastAsia="en-IL" w:bidi="he-IL"/>
              </w:rPr>
            </w:pPr>
            <w:r w:rsidRPr="00B41E66">
              <w:rPr>
                <w:color w:val="0000FF"/>
                <w:lang w:val="en-IL" w:eastAsia="en-IL" w:bidi="he-IL"/>
              </w:rPr>
              <w:t>1.94</w:t>
            </w:r>
          </w:p>
        </w:tc>
        <w:tc>
          <w:tcPr>
            <w:tcW w:w="900" w:type="dxa"/>
            <w:tcBorders>
              <w:top w:val="nil"/>
              <w:left w:val="single" w:sz="12" w:space="0" w:color="auto"/>
              <w:bottom w:val="nil"/>
              <w:right w:val="nil"/>
            </w:tcBorders>
            <w:shd w:val="clear" w:color="auto" w:fill="auto"/>
            <w:vAlign w:val="center"/>
            <w:hideMark/>
          </w:tcPr>
          <w:p w14:paraId="1994D2BC" w14:textId="77777777" w:rsidR="002A7E90" w:rsidRPr="00B41E66" w:rsidRDefault="002A7E90" w:rsidP="002A7E90">
            <w:pPr>
              <w:jc w:val="center"/>
              <w:rPr>
                <w:color w:val="0000FF"/>
                <w:lang w:val="en-IL" w:eastAsia="en-IL" w:bidi="he-IL"/>
              </w:rPr>
            </w:pPr>
            <w:r w:rsidRPr="00B41E66">
              <w:rPr>
                <w:color w:val="0000FF"/>
                <w:lang w:val="en-IL" w:eastAsia="en-IL" w:bidi="he-IL"/>
              </w:rPr>
              <w:t>9.60%</w:t>
            </w:r>
          </w:p>
        </w:tc>
        <w:tc>
          <w:tcPr>
            <w:tcW w:w="720" w:type="dxa"/>
            <w:tcBorders>
              <w:top w:val="nil"/>
              <w:left w:val="nil"/>
              <w:bottom w:val="nil"/>
              <w:right w:val="single" w:sz="12" w:space="0" w:color="auto"/>
            </w:tcBorders>
            <w:shd w:val="clear" w:color="auto" w:fill="auto"/>
            <w:noWrap/>
            <w:vAlign w:val="center"/>
            <w:hideMark/>
          </w:tcPr>
          <w:p w14:paraId="7D6542DF" w14:textId="77777777" w:rsidR="002A7E90" w:rsidRPr="00B41E66" w:rsidRDefault="002A7E90" w:rsidP="002A7E90">
            <w:pPr>
              <w:jc w:val="center"/>
              <w:rPr>
                <w:color w:val="0000FF"/>
                <w:lang w:val="en-IL" w:eastAsia="en-IL" w:bidi="he-IL"/>
              </w:rPr>
            </w:pPr>
            <w:r w:rsidRPr="00B41E66">
              <w:rPr>
                <w:color w:val="0000FF"/>
                <w:lang w:val="en-IL" w:eastAsia="en-IL" w:bidi="he-IL"/>
              </w:rPr>
              <w:t>1.88</w:t>
            </w:r>
          </w:p>
        </w:tc>
      </w:tr>
      <w:tr w:rsidR="002A7E90" w:rsidRPr="00B41E66" w14:paraId="1EBF9C9E" w14:textId="77777777" w:rsidTr="00580CA8">
        <w:trPr>
          <w:trHeight w:val="300"/>
        </w:trPr>
        <w:tc>
          <w:tcPr>
            <w:tcW w:w="1403" w:type="dxa"/>
            <w:tcBorders>
              <w:top w:val="nil"/>
              <w:left w:val="single" w:sz="12" w:space="0" w:color="auto"/>
              <w:bottom w:val="nil"/>
              <w:right w:val="nil"/>
            </w:tcBorders>
            <w:shd w:val="clear" w:color="auto" w:fill="auto"/>
            <w:noWrap/>
            <w:vAlign w:val="bottom"/>
            <w:hideMark/>
          </w:tcPr>
          <w:p w14:paraId="50F818C8" w14:textId="77777777" w:rsidR="002A7E90" w:rsidRPr="00B41E66" w:rsidRDefault="002A7E90" w:rsidP="002A7E90">
            <w:pPr>
              <w:rPr>
                <w:color w:val="0000FF"/>
                <w:lang w:val="en-IL" w:eastAsia="en-IL" w:bidi="he-IL"/>
              </w:rPr>
            </w:pPr>
            <w:r w:rsidRPr="00B41E66">
              <w:rPr>
                <w:color w:val="0000FF"/>
                <w:lang w:val="en-IL" w:eastAsia="en-IL" w:bidi="he-IL"/>
              </w:rPr>
              <w:t>1 to 100</w:t>
            </w:r>
          </w:p>
        </w:tc>
        <w:tc>
          <w:tcPr>
            <w:tcW w:w="977" w:type="dxa"/>
            <w:tcBorders>
              <w:top w:val="nil"/>
              <w:left w:val="single" w:sz="12" w:space="0" w:color="auto"/>
              <w:bottom w:val="nil"/>
              <w:right w:val="nil"/>
            </w:tcBorders>
            <w:shd w:val="clear" w:color="auto" w:fill="auto"/>
            <w:vAlign w:val="center"/>
            <w:hideMark/>
          </w:tcPr>
          <w:p w14:paraId="58DB9043" w14:textId="77777777" w:rsidR="002A7E90" w:rsidRPr="00B41E66" w:rsidRDefault="002A7E90" w:rsidP="002A7E90">
            <w:pPr>
              <w:jc w:val="center"/>
              <w:rPr>
                <w:color w:val="0000FF"/>
                <w:lang w:val="en-IL" w:eastAsia="en-IL" w:bidi="he-IL"/>
              </w:rPr>
            </w:pPr>
            <w:r w:rsidRPr="00B41E66">
              <w:rPr>
                <w:color w:val="0000FF"/>
                <w:lang w:val="en-IL" w:eastAsia="en-IL" w:bidi="he-IL"/>
              </w:rPr>
              <w:t>1.16%</w:t>
            </w:r>
          </w:p>
        </w:tc>
        <w:tc>
          <w:tcPr>
            <w:tcW w:w="724" w:type="dxa"/>
            <w:tcBorders>
              <w:top w:val="nil"/>
              <w:left w:val="nil"/>
              <w:bottom w:val="nil"/>
              <w:right w:val="single" w:sz="12" w:space="0" w:color="auto"/>
            </w:tcBorders>
            <w:shd w:val="clear" w:color="auto" w:fill="auto"/>
            <w:noWrap/>
            <w:vAlign w:val="center"/>
            <w:hideMark/>
          </w:tcPr>
          <w:p w14:paraId="7A3A51D9" w14:textId="77777777" w:rsidR="002A7E90" w:rsidRPr="00B41E66" w:rsidRDefault="002A7E90" w:rsidP="002A7E90">
            <w:pPr>
              <w:jc w:val="center"/>
              <w:rPr>
                <w:color w:val="0000FF"/>
                <w:lang w:val="en-IL" w:eastAsia="en-IL" w:bidi="he-IL"/>
              </w:rPr>
            </w:pPr>
            <w:r w:rsidRPr="00B41E66">
              <w:rPr>
                <w:color w:val="0000FF"/>
                <w:lang w:val="en-IL" w:eastAsia="en-IL" w:bidi="he-IL"/>
              </w:rPr>
              <w:t>0.25</w:t>
            </w:r>
          </w:p>
        </w:tc>
        <w:tc>
          <w:tcPr>
            <w:tcW w:w="936" w:type="dxa"/>
            <w:tcBorders>
              <w:top w:val="nil"/>
              <w:left w:val="nil"/>
              <w:bottom w:val="nil"/>
              <w:right w:val="nil"/>
            </w:tcBorders>
            <w:shd w:val="clear" w:color="auto" w:fill="auto"/>
            <w:vAlign w:val="center"/>
            <w:hideMark/>
          </w:tcPr>
          <w:p w14:paraId="2A62E72C" w14:textId="77777777" w:rsidR="002A7E90" w:rsidRPr="00B41E66" w:rsidRDefault="002A7E90" w:rsidP="002A7E90">
            <w:pPr>
              <w:jc w:val="center"/>
              <w:rPr>
                <w:color w:val="0000FF"/>
                <w:lang w:val="en-IL" w:eastAsia="en-IL" w:bidi="he-IL"/>
              </w:rPr>
            </w:pPr>
            <w:r w:rsidRPr="00B41E66">
              <w:rPr>
                <w:color w:val="0000FF"/>
                <w:lang w:val="en-IL" w:eastAsia="en-IL" w:bidi="he-IL"/>
              </w:rPr>
              <w:t>4.87%</w:t>
            </w:r>
          </w:p>
        </w:tc>
        <w:tc>
          <w:tcPr>
            <w:tcW w:w="640" w:type="dxa"/>
            <w:tcBorders>
              <w:top w:val="nil"/>
              <w:left w:val="nil"/>
              <w:bottom w:val="nil"/>
              <w:right w:val="nil"/>
            </w:tcBorders>
            <w:shd w:val="clear" w:color="auto" w:fill="auto"/>
            <w:noWrap/>
            <w:vAlign w:val="center"/>
            <w:hideMark/>
          </w:tcPr>
          <w:p w14:paraId="2F4B47D8" w14:textId="77777777" w:rsidR="002A7E90" w:rsidRPr="00B41E66" w:rsidRDefault="002A7E90" w:rsidP="002A7E90">
            <w:pPr>
              <w:jc w:val="center"/>
              <w:rPr>
                <w:color w:val="0000FF"/>
                <w:lang w:val="en-IL" w:eastAsia="en-IL" w:bidi="he-IL"/>
              </w:rPr>
            </w:pPr>
            <w:r w:rsidRPr="00B41E66">
              <w:rPr>
                <w:color w:val="0000FF"/>
                <w:lang w:val="en-IL" w:eastAsia="en-IL" w:bidi="he-IL"/>
              </w:rPr>
              <w:t>1.10</w:t>
            </w:r>
          </w:p>
        </w:tc>
        <w:tc>
          <w:tcPr>
            <w:tcW w:w="860" w:type="dxa"/>
            <w:tcBorders>
              <w:top w:val="nil"/>
              <w:left w:val="single" w:sz="12" w:space="0" w:color="auto"/>
              <w:bottom w:val="nil"/>
              <w:right w:val="nil"/>
            </w:tcBorders>
            <w:shd w:val="clear" w:color="auto" w:fill="auto"/>
            <w:vAlign w:val="center"/>
            <w:hideMark/>
          </w:tcPr>
          <w:p w14:paraId="76100088" w14:textId="77777777" w:rsidR="002A7E90" w:rsidRPr="00B41E66" w:rsidRDefault="002A7E90" w:rsidP="002A7E90">
            <w:pPr>
              <w:jc w:val="center"/>
              <w:rPr>
                <w:color w:val="0000FF"/>
                <w:lang w:val="en-IL" w:eastAsia="en-IL" w:bidi="he-IL"/>
              </w:rPr>
            </w:pPr>
            <w:r w:rsidRPr="00B41E66">
              <w:rPr>
                <w:color w:val="0000FF"/>
                <w:lang w:val="en-IL" w:eastAsia="en-IL" w:bidi="he-IL"/>
              </w:rPr>
              <w:t>10.23%</w:t>
            </w:r>
          </w:p>
        </w:tc>
        <w:tc>
          <w:tcPr>
            <w:tcW w:w="740" w:type="dxa"/>
            <w:tcBorders>
              <w:top w:val="nil"/>
              <w:left w:val="nil"/>
              <w:bottom w:val="nil"/>
              <w:right w:val="single" w:sz="12" w:space="0" w:color="auto"/>
            </w:tcBorders>
            <w:shd w:val="clear" w:color="auto" w:fill="auto"/>
            <w:noWrap/>
            <w:vAlign w:val="center"/>
            <w:hideMark/>
          </w:tcPr>
          <w:p w14:paraId="5EF16428" w14:textId="77777777" w:rsidR="002A7E90" w:rsidRPr="00B41E66" w:rsidRDefault="002A7E90" w:rsidP="002A7E90">
            <w:pPr>
              <w:jc w:val="center"/>
              <w:rPr>
                <w:color w:val="0000FF"/>
                <w:lang w:val="en-IL" w:eastAsia="en-IL" w:bidi="he-IL"/>
              </w:rPr>
            </w:pPr>
            <w:r w:rsidRPr="00B41E66">
              <w:rPr>
                <w:color w:val="0000FF"/>
                <w:lang w:val="en-IL" w:eastAsia="en-IL" w:bidi="he-IL"/>
              </w:rPr>
              <w:t>2.32</w:t>
            </w:r>
          </w:p>
        </w:tc>
        <w:tc>
          <w:tcPr>
            <w:tcW w:w="820" w:type="dxa"/>
            <w:tcBorders>
              <w:top w:val="nil"/>
              <w:left w:val="nil"/>
              <w:bottom w:val="nil"/>
              <w:right w:val="nil"/>
            </w:tcBorders>
            <w:shd w:val="clear" w:color="auto" w:fill="auto"/>
            <w:vAlign w:val="center"/>
            <w:hideMark/>
          </w:tcPr>
          <w:p w14:paraId="6D9C2B05" w14:textId="77777777" w:rsidR="002A7E90" w:rsidRPr="00B41E66" w:rsidRDefault="002A7E90" w:rsidP="002A7E90">
            <w:pPr>
              <w:jc w:val="center"/>
              <w:rPr>
                <w:color w:val="0000FF"/>
                <w:lang w:val="en-IL" w:eastAsia="en-IL" w:bidi="he-IL"/>
              </w:rPr>
            </w:pPr>
            <w:r w:rsidRPr="00B41E66">
              <w:rPr>
                <w:color w:val="0000FF"/>
                <w:lang w:val="en-IL" w:eastAsia="en-IL" w:bidi="he-IL"/>
              </w:rPr>
              <w:t>9.38%</w:t>
            </w:r>
          </w:p>
        </w:tc>
        <w:tc>
          <w:tcPr>
            <w:tcW w:w="680" w:type="dxa"/>
            <w:tcBorders>
              <w:top w:val="nil"/>
              <w:left w:val="nil"/>
              <w:bottom w:val="nil"/>
              <w:right w:val="nil"/>
            </w:tcBorders>
            <w:shd w:val="clear" w:color="auto" w:fill="auto"/>
            <w:noWrap/>
            <w:vAlign w:val="center"/>
            <w:hideMark/>
          </w:tcPr>
          <w:p w14:paraId="1B2B4C84" w14:textId="77777777" w:rsidR="002A7E90" w:rsidRPr="00B41E66" w:rsidRDefault="002A7E90" w:rsidP="002A7E90">
            <w:pPr>
              <w:jc w:val="center"/>
              <w:rPr>
                <w:color w:val="0000FF"/>
                <w:lang w:val="en-IL" w:eastAsia="en-IL" w:bidi="he-IL"/>
              </w:rPr>
            </w:pPr>
            <w:r w:rsidRPr="00B41E66">
              <w:rPr>
                <w:color w:val="0000FF"/>
                <w:lang w:val="en-IL" w:eastAsia="en-IL" w:bidi="he-IL"/>
              </w:rPr>
              <w:t>2.11</w:t>
            </w:r>
          </w:p>
        </w:tc>
        <w:tc>
          <w:tcPr>
            <w:tcW w:w="900" w:type="dxa"/>
            <w:tcBorders>
              <w:top w:val="nil"/>
              <w:left w:val="single" w:sz="12" w:space="0" w:color="auto"/>
              <w:bottom w:val="nil"/>
              <w:right w:val="nil"/>
            </w:tcBorders>
            <w:shd w:val="clear" w:color="auto" w:fill="auto"/>
            <w:vAlign w:val="center"/>
            <w:hideMark/>
          </w:tcPr>
          <w:p w14:paraId="6723146E" w14:textId="77777777" w:rsidR="002A7E90" w:rsidRPr="00B41E66" w:rsidRDefault="002A7E90" w:rsidP="002A7E90">
            <w:pPr>
              <w:jc w:val="center"/>
              <w:rPr>
                <w:color w:val="0000FF"/>
                <w:lang w:val="en-IL" w:eastAsia="en-IL" w:bidi="he-IL"/>
              </w:rPr>
            </w:pPr>
            <w:r w:rsidRPr="00B41E66">
              <w:rPr>
                <w:color w:val="0000FF"/>
                <w:lang w:val="en-IL" w:eastAsia="en-IL" w:bidi="he-IL"/>
              </w:rPr>
              <w:t>13.78%</w:t>
            </w:r>
          </w:p>
        </w:tc>
        <w:tc>
          <w:tcPr>
            <w:tcW w:w="720" w:type="dxa"/>
            <w:tcBorders>
              <w:top w:val="nil"/>
              <w:left w:val="nil"/>
              <w:bottom w:val="nil"/>
              <w:right w:val="single" w:sz="12" w:space="0" w:color="auto"/>
            </w:tcBorders>
            <w:shd w:val="clear" w:color="auto" w:fill="auto"/>
            <w:noWrap/>
            <w:vAlign w:val="center"/>
            <w:hideMark/>
          </w:tcPr>
          <w:p w14:paraId="47D3ADCE" w14:textId="77777777" w:rsidR="002A7E90" w:rsidRPr="00B41E66" w:rsidRDefault="002A7E90" w:rsidP="002A7E90">
            <w:pPr>
              <w:jc w:val="center"/>
              <w:rPr>
                <w:color w:val="0000FF"/>
                <w:lang w:val="en-IL" w:eastAsia="en-IL" w:bidi="he-IL"/>
              </w:rPr>
            </w:pPr>
            <w:r w:rsidRPr="00B41E66">
              <w:rPr>
                <w:color w:val="0000FF"/>
                <w:lang w:val="en-IL" w:eastAsia="en-IL" w:bidi="he-IL"/>
              </w:rPr>
              <w:t>3.25</w:t>
            </w:r>
          </w:p>
        </w:tc>
      </w:tr>
      <w:tr w:rsidR="002A7E90" w:rsidRPr="00B41E66" w14:paraId="73D04E68" w14:textId="77777777" w:rsidTr="00580CA8">
        <w:trPr>
          <w:trHeight w:val="300"/>
        </w:trPr>
        <w:tc>
          <w:tcPr>
            <w:tcW w:w="1403" w:type="dxa"/>
            <w:tcBorders>
              <w:top w:val="nil"/>
              <w:left w:val="single" w:sz="12" w:space="0" w:color="auto"/>
              <w:bottom w:val="nil"/>
              <w:right w:val="nil"/>
            </w:tcBorders>
            <w:shd w:val="clear" w:color="auto" w:fill="auto"/>
            <w:noWrap/>
            <w:vAlign w:val="bottom"/>
            <w:hideMark/>
          </w:tcPr>
          <w:p w14:paraId="37E818A4" w14:textId="77777777" w:rsidR="002A7E90" w:rsidRPr="00B41E66" w:rsidRDefault="002A7E90" w:rsidP="002A7E90">
            <w:pPr>
              <w:rPr>
                <w:color w:val="0000FF"/>
                <w:lang w:val="en-IL" w:eastAsia="en-IL" w:bidi="he-IL"/>
              </w:rPr>
            </w:pPr>
            <w:r w:rsidRPr="00B41E66">
              <w:rPr>
                <w:color w:val="0000FF"/>
                <w:lang w:val="en-IL" w:eastAsia="en-IL" w:bidi="he-IL"/>
              </w:rPr>
              <w:t>1 to 150</w:t>
            </w:r>
          </w:p>
        </w:tc>
        <w:tc>
          <w:tcPr>
            <w:tcW w:w="977" w:type="dxa"/>
            <w:tcBorders>
              <w:top w:val="nil"/>
              <w:left w:val="single" w:sz="12" w:space="0" w:color="auto"/>
              <w:bottom w:val="nil"/>
              <w:right w:val="nil"/>
            </w:tcBorders>
            <w:shd w:val="clear" w:color="auto" w:fill="auto"/>
            <w:vAlign w:val="center"/>
            <w:hideMark/>
          </w:tcPr>
          <w:p w14:paraId="5E060ABE" w14:textId="77777777" w:rsidR="002A7E90" w:rsidRPr="00B41E66" w:rsidRDefault="002A7E90" w:rsidP="002A7E90">
            <w:pPr>
              <w:jc w:val="center"/>
              <w:rPr>
                <w:color w:val="0000FF"/>
                <w:lang w:val="en-IL" w:eastAsia="en-IL" w:bidi="he-IL"/>
              </w:rPr>
            </w:pPr>
            <w:r w:rsidRPr="00B41E66">
              <w:rPr>
                <w:color w:val="0000FF"/>
                <w:lang w:val="en-IL" w:eastAsia="en-IL" w:bidi="he-IL"/>
              </w:rPr>
              <w:t>-5.75%</w:t>
            </w:r>
          </w:p>
        </w:tc>
        <w:tc>
          <w:tcPr>
            <w:tcW w:w="724" w:type="dxa"/>
            <w:tcBorders>
              <w:top w:val="nil"/>
              <w:left w:val="nil"/>
              <w:bottom w:val="nil"/>
              <w:right w:val="single" w:sz="12" w:space="0" w:color="auto"/>
            </w:tcBorders>
            <w:shd w:val="clear" w:color="auto" w:fill="auto"/>
            <w:noWrap/>
            <w:vAlign w:val="center"/>
            <w:hideMark/>
          </w:tcPr>
          <w:p w14:paraId="28D6F996" w14:textId="77777777" w:rsidR="002A7E90" w:rsidRPr="00B41E66" w:rsidRDefault="002A7E90" w:rsidP="002A7E90">
            <w:pPr>
              <w:jc w:val="center"/>
              <w:rPr>
                <w:color w:val="0000FF"/>
                <w:lang w:val="en-IL" w:eastAsia="en-IL" w:bidi="he-IL"/>
              </w:rPr>
            </w:pPr>
            <w:r w:rsidRPr="00B41E66">
              <w:rPr>
                <w:color w:val="0000FF"/>
                <w:lang w:val="en-IL" w:eastAsia="en-IL" w:bidi="he-IL"/>
              </w:rPr>
              <w:t>-1.30</w:t>
            </w:r>
          </w:p>
        </w:tc>
        <w:tc>
          <w:tcPr>
            <w:tcW w:w="936" w:type="dxa"/>
            <w:tcBorders>
              <w:top w:val="nil"/>
              <w:left w:val="nil"/>
              <w:bottom w:val="nil"/>
              <w:right w:val="nil"/>
            </w:tcBorders>
            <w:shd w:val="clear" w:color="auto" w:fill="auto"/>
            <w:vAlign w:val="center"/>
            <w:hideMark/>
          </w:tcPr>
          <w:p w14:paraId="5A31ABCF" w14:textId="77777777" w:rsidR="002A7E90" w:rsidRPr="00B41E66" w:rsidRDefault="002A7E90" w:rsidP="002A7E90">
            <w:pPr>
              <w:jc w:val="center"/>
              <w:rPr>
                <w:color w:val="0000FF"/>
                <w:lang w:val="en-IL" w:eastAsia="en-IL" w:bidi="he-IL"/>
              </w:rPr>
            </w:pPr>
            <w:r w:rsidRPr="00B41E66">
              <w:rPr>
                <w:color w:val="0000FF"/>
                <w:lang w:val="en-IL" w:eastAsia="en-IL" w:bidi="he-IL"/>
              </w:rPr>
              <w:t>-1.49%</w:t>
            </w:r>
          </w:p>
        </w:tc>
        <w:tc>
          <w:tcPr>
            <w:tcW w:w="640" w:type="dxa"/>
            <w:tcBorders>
              <w:top w:val="nil"/>
              <w:left w:val="nil"/>
              <w:bottom w:val="nil"/>
              <w:right w:val="nil"/>
            </w:tcBorders>
            <w:shd w:val="clear" w:color="auto" w:fill="auto"/>
            <w:noWrap/>
            <w:vAlign w:val="center"/>
            <w:hideMark/>
          </w:tcPr>
          <w:p w14:paraId="3E990681" w14:textId="77777777" w:rsidR="002A7E90" w:rsidRPr="00B41E66" w:rsidRDefault="002A7E90" w:rsidP="002A7E90">
            <w:pPr>
              <w:jc w:val="center"/>
              <w:rPr>
                <w:color w:val="0000FF"/>
                <w:lang w:val="en-IL" w:eastAsia="en-IL" w:bidi="he-IL"/>
              </w:rPr>
            </w:pPr>
            <w:r w:rsidRPr="00B41E66">
              <w:rPr>
                <w:color w:val="0000FF"/>
                <w:lang w:val="en-IL" w:eastAsia="en-IL" w:bidi="he-IL"/>
              </w:rPr>
              <w:t>-0.35</w:t>
            </w:r>
          </w:p>
        </w:tc>
        <w:tc>
          <w:tcPr>
            <w:tcW w:w="860" w:type="dxa"/>
            <w:tcBorders>
              <w:top w:val="nil"/>
              <w:left w:val="single" w:sz="12" w:space="0" w:color="auto"/>
              <w:bottom w:val="nil"/>
              <w:right w:val="nil"/>
            </w:tcBorders>
            <w:shd w:val="clear" w:color="auto" w:fill="auto"/>
            <w:vAlign w:val="center"/>
            <w:hideMark/>
          </w:tcPr>
          <w:p w14:paraId="0F9B68B2" w14:textId="77777777" w:rsidR="002A7E90" w:rsidRPr="00B41E66" w:rsidRDefault="002A7E90" w:rsidP="002A7E90">
            <w:pPr>
              <w:jc w:val="center"/>
              <w:rPr>
                <w:color w:val="0000FF"/>
                <w:lang w:val="en-IL" w:eastAsia="en-IL" w:bidi="he-IL"/>
              </w:rPr>
            </w:pPr>
            <w:r w:rsidRPr="00B41E66">
              <w:rPr>
                <w:color w:val="0000FF"/>
                <w:lang w:val="en-IL" w:eastAsia="en-IL" w:bidi="he-IL"/>
              </w:rPr>
              <w:t>5.42%</w:t>
            </w:r>
          </w:p>
        </w:tc>
        <w:tc>
          <w:tcPr>
            <w:tcW w:w="740" w:type="dxa"/>
            <w:tcBorders>
              <w:top w:val="nil"/>
              <w:left w:val="nil"/>
              <w:bottom w:val="nil"/>
              <w:right w:val="single" w:sz="12" w:space="0" w:color="auto"/>
            </w:tcBorders>
            <w:shd w:val="clear" w:color="auto" w:fill="auto"/>
            <w:noWrap/>
            <w:vAlign w:val="center"/>
            <w:hideMark/>
          </w:tcPr>
          <w:p w14:paraId="580C225F" w14:textId="77777777" w:rsidR="002A7E90" w:rsidRPr="00B41E66" w:rsidRDefault="002A7E90" w:rsidP="002A7E90">
            <w:pPr>
              <w:jc w:val="center"/>
              <w:rPr>
                <w:color w:val="0000FF"/>
                <w:lang w:val="en-IL" w:eastAsia="en-IL" w:bidi="he-IL"/>
              </w:rPr>
            </w:pPr>
            <w:r w:rsidRPr="00B41E66">
              <w:rPr>
                <w:color w:val="0000FF"/>
                <w:lang w:val="en-IL" w:eastAsia="en-IL" w:bidi="he-IL"/>
              </w:rPr>
              <w:t>1.27</w:t>
            </w:r>
          </w:p>
        </w:tc>
        <w:tc>
          <w:tcPr>
            <w:tcW w:w="820" w:type="dxa"/>
            <w:tcBorders>
              <w:top w:val="nil"/>
              <w:left w:val="nil"/>
              <w:bottom w:val="nil"/>
              <w:right w:val="nil"/>
            </w:tcBorders>
            <w:shd w:val="clear" w:color="auto" w:fill="auto"/>
            <w:vAlign w:val="center"/>
            <w:hideMark/>
          </w:tcPr>
          <w:p w14:paraId="648F68B5" w14:textId="77777777" w:rsidR="002A7E90" w:rsidRPr="00B41E66" w:rsidRDefault="002A7E90" w:rsidP="002A7E90">
            <w:pPr>
              <w:jc w:val="center"/>
              <w:rPr>
                <w:color w:val="0000FF"/>
                <w:lang w:val="en-IL" w:eastAsia="en-IL" w:bidi="he-IL"/>
              </w:rPr>
            </w:pPr>
            <w:r w:rsidRPr="00B41E66">
              <w:rPr>
                <w:color w:val="0000FF"/>
                <w:lang w:val="en-IL" w:eastAsia="en-IL" w:bidi="he-IL"/>
              </w:rPr>
              <w:t>4.27%</w:t>
            </w:r>
          </w:p>
        </w:tc>
        <w:tc>
          <w:tcPr>
            <w:tcW w:w="680" w:type="dxa"/>
            <w:tcBorders>
              <w:top w:val="nil"/>
              <w:left w:val="nil"/>
              <w:bottom w:val="nil"/>
              <w:right w:val="nil"/>
            </w:tcBorders>
            <w:shd w:val="clear" w:color="auto" w:fill="auto"/>
            <w:noWrap/>
            <w:vAlign w:val="center"/>
            <w:hideMark/>
          </w:tcPr>
          <w:p w14:paraId="6CB0CB8E" w14:textId="77777777" w:rsidR="002A7E90" w:rsidRPr="00B41E66" w:rsidRDefault="002A7E90" w:rsidP="002A7E90">
            <w:pPr>
              <w:jc w:val="center"/>
              <w:rPr>
                <w:color w:val="0000FF"/>
                <w:lang w:val="en-IL" w:eastAsia="en-IL" w:bidi="he-IL"/>
              </w:rPr>
            </w:pPr>
            <w:r w:rsidRPr="00B41E66">
              <w:rPr>
                <w:color w:val="0000FF"/>
                <w:lang w:val="en-IL" w:eastAsia="en-IL" w:bidi="he-IL"/>
              </w:rPr>
              <w:t>0.99</w:t>
            </w:r>
          </w:p>
        </w:tc>
        <w:tc>
          <w:tcPr>
            <w:tcW w:w="900" w:type="dxa"/>
            <w:tcBorders>
              <w:top w:val="nil"/>
              <w:left w:val="single" w:sz="12" w:space="0" w:color="auto"/>
              <w:bottom w:val="nil"/>
              <w:right w:val="nil"/>
            </w:tcBorders>
            <w:shd w:val="clear" w:color="auto" w:fill="auto"/>
            <w:vAlign w:val="center"/>
            <w:hideMark/>
          </w:tcPr>
          <w:p w14:paraId="557E04B0" w14:textId="77777777" w:rsidR="002A7E90" w:rsidRPr="00B41E66" w:rsidRDefault="002A7E90" w:rsidP="002A7E90">
            <w:pPr>
              <w:jc w:val="center"/>
              <w:rPr>
                <w:color w:val="0000FF"/>
                <w:lang w:val="en-IL" w:eastAsia="en-IL" w:bidi="he-IL"/>
              </w:rPr>
            </w:pPr>
            <w:r w:rsidRPr="00B41E66">
              <w:rPr>
                <w:color w:val="0000FF"/>
                <w:lang w:val="en-IL" w:eastAsia="en-IL" w:bidi="he-IL"/>
              </w:rPr>
              <w:t>10.20%</w:t>
            </w:r>
          </w:p>
        </w:tc>
        <w:tc>
          <w:tcPr>
            <w:tcW w:w="720" w:type="dxa"/>
            <w:tcBorders>
              <w:top w:val="nil"/>
              <w:left w:val="nil"/>
              <w:bottom w:val="nil"/>
              <w:right w:val="single" w:sz="12" w:space="0" w:color="auto"/>
            </w:tcBorders>
            <w:shd w:val="clear" w:color="auto" w:fill="auto"/>
            <w:noWrap/>
            <w:vAlign w:val="center"/>
            <w:hideMark/>
          </w:tcPr>
          <w:p w14:paraId="5E86C8C0" w14:textId="77777777" w:rsidR="002A7E90" w:rsidRPr="00B41E66" w:rsidRDefault="002A7E90" w:rsidP="002A7E90">
            <w:pPr>
              <w:jc w:val="center"/>
              <w:rPr>
                <w:color w:val="0000FF"/>
                <w:lang w:val="en-IL" w:eastAsia="en-IL" w:bidi="he-IL"/>
              </w:rPr>
            </w:pPr>
            <w:r w:rsidRPr="00B41E66">
              <w:rPr>
                <w:color w:val="0000FF"/>
                <w:lang w:val="en-IL" w:eastAsia="en-IL" w:bidi="he-IL"/>
              </w:rPr>
              <w:t>2.47</w:t>
            </w:r>
          </w:p>
        </w:tc>
      </w:tr>
      <w:tr w:rsidR="002A7E90" w:rsidRPr="00B41E66" w14:paraId="62AFBCFB" w14:textId="77777777" w:rsidTr="00580CA8">
        <w:trPr>
          <w:trHeight w:val="300"/>
        </w:trPr>
        <w:tc>
          <w:tcPr>
            <w:tcW w:w="1403" w:type="dxa"/>
            <w:tcBorders>
              <w:top w:val="nil"/>
              <w:left w:val="single" w:sz="12" w:space="0" w:color="auto"/>
              <w:bottom w:val="nil"/>
              <w:right w:val="nil"/>
            </w:tcBorders>
            <w:shd w:val="clear" w:color="auto" w:fill="auto"/>
            <w:noWrap/>
            <w:vAlign w:val="bottom"/>
            <w:hideMark/>
          </w:tcPr>
          <w:p w14:paraId="195CD1C3" w14:textId="77777777" w:rsidR="002A7E90" w:rsidRPr="00B41E66" w:rsidRDefault="002A7E90" w:rsidP="002A7E90">
            <w:pPr>
              <w:rPr>
                <w:color w:val="0000FF"/>
                <w:lang w:val="en-IL" w:eastAsia="en-IL" w:bidi="he-IL"/>
              </w:rPr>
            </w:pPr>
            <w:r w:rsidRPr="00B41E66">
              <w:rPr>
                <w:color w:val="0000FF"/>
                <w:lang w:val="en-IL" w:eastAsia="en-IL" w:bidi="he-IL"/>
              </w:rPr>
              <w:t>1 to 200</w:t>
            </w:r>
          </w:p>
        </w:tc>
        <w:tc>
          <w:tcPr>
            <w:tcW w:w="977" w:type="dxa"/>
            <w:tcBorders>
              <w:top w:val="nil"/>
              <w:left w:val="single" w:sz="12" w:space="0" w:color="auto"/>
              <w:bottom w:val="nil"/>
              <w:right w:val="nil"/>
            </w:tcBorders>
            <w:shd w:val="clear" w:color="auto" w:fill="auto"/>
            <w:vAlign w:val="center"/>
            <w:hideMark/>
          </w:tcPr>
          <w:p w14:paraId="18E7E18F" w14:textId="77777777" w:rsidR="002A7E90" w:rsidRPr="00B41E66" w:rsidRDefault="002A7E90" w:rsidP="002A7E90">
            <w:pPr>
              <w:jc w:val="center"/>
              <w:rPr>
                <w:color w:val="0000FF"/>
                <w:lang w:val="en-IL" w:eastAsia="en-IL" w:bidi="he-IL"/>
              </w:rPr>
            </w:pPr>
            <w:r w:rsidRPr="00B41E66">
              <w:rPr>
                <w:color w:val="0000FF"/>
                <w:lang w:val="en-IL" w:eastAsia="en-IL" w:bidi="he-IL"/>
              </w:rPr>
              <w:t>-9.59%</w:t>
            </w:r>
          </w:p>
        </w:tc>
        <w:tc>
          <w:tcPr>
            <w:tcW w:w="724" w:type="dxa"/>
            <w:tcBorders>
              <w:top w:val="nil"/>
              <w:left w:val="nil"/>
              <w:bottom w:val="nil"/>
              <w:right w:val="single" w:sz="12" w:space="0" w:color="auto"/>
            </w:tcBorders>
            <w:shd w:val="clear" w:color="auto" w:fill="auto"/>
            <w:noWrap/>
            <w:vAlign w:val="center"/>
            <w:hideMark/>
          </w:tcPr>
          <w:p w14:paraId="12C4FBE0" w14:textId="77777777" w:rsidR="002A7E90" w:rsidRPr="00B41E66" w:rsidRDefault="002A7E90" w:rsidP="002A7E90">
            <w:pPr>
              <w:jc w:val="center"/>
              <w:rPr>
                <w:color w:val="0000FF"/>
                <w:lang w:val="en-IL" w:eastAsia="en-IL" w:bidi="he-IL"/>
              </w:rPr>
            </w:pPr>
            <w:r w:rsidRPr="00B41E66">
              <w:rPr>
                <w:color w:val="0000FF"/>
                <w:lang w:val="en-IL" w:eastAsia="en-IL" w:bidi="he-IL"/>
              </w:rPr>
              <w:t>-2.08</w:t>
            </w:r>
          </w:p>
        </w:tc>
        <w:tc>
          <w:tcPr>
            <w:tcW w:w="936" w:type="dxa"/>
            <w:tcBorders>
              <w:top w:val="nil"/>
              <w:left w:val="nil"/>
              <w:bottom w:val="nil"/>
              <w:right w:val="nil"/>
            </w:tcBorders>
            <w:shd w:val="clear" w:color="auto" w:fill="auto"/>
            <w:vAlign w:val="center"/>
            <w:hideMark/>
          </w:tcPr>
          <w:p w14:paraId="29FF7A72" w14:textId="77777777" w:rsidR="002A7E90" w:rsidRPr="00B41E66" w:rsidRDefault="002A7E90" w:rsidP="002A7E90">
            <w:pPr>
              <w:jc w:val="center"/>
              <w:rPr>
                <w:color w:val="0000FF"/>
                <w:lang w:val="en-IL" w:eastAsia="en-IL" w:bidi="he-IL"/>
              </w:rPr>
            </w:pPr>
            <w:r w:rsidRPr="00B41E66">
              <w:rPr>
                <w:color w:val="0000FF"/>
                <w:lang w:val="en-IL" w:eastAsia="en-IL" w:bidi="he-IL"/>
              </w:rPr>
              <w:t>-3.24%</w:t>
            </w:r>
          </w:p>
        </w:tc>
        <w:tc>
          <w:tcPr>
            <w:tcW w:w="640" w:type="dxa"/>
            <w:tcBorders>
              <w:top w:val="nil"/>
              <w:left w:val="nil"/>
              <w:bottom w:val="nil"/>
              <w:right w:val="nil"/>
            </w:tcBorders>
            <w:shd w:val="clear" w:color="auto" w:fill="auto"/>
            <w:noWrap/>
            <w:vAlign w:val="center"/>
            <w:hideMark/>
          </w:tcPr>
          <w:p w14:paraId="4909387C" w14:textId="77777777" w:rsidR="002A7E90" w:rsidRPr="00B41E66" w:rsidRDefault="002A7E90" w:rsidP="002A7E90">
            <w:pPr>
              <w:jc w:val="center"/>
              <w:rPr>
                <w:color w:val="0000FF"/>
                <w:lang w:val="en-IL" w:eastAsia="en-IL" w:bidi="he-IL"/>
              </w:rPr>
            </w:pPr>
            <w:r w:rsidRPr="00B41E66">
              <w:rPr>
                <w:color w:val="0000FF"/>
                <w:lang w:val="en-IL" w:eastAsia="en-IL" w:bidi="he-IL"/>
              </w:rPr>
              <w:t>-</w:t>
            </w:r>
            <w:r w:rsidRPr="00B41E66">
              <w:rPr>
                <w:color w:val="0000FF"/>
                <w:lang w:val="en-IL" w:eastAsia="en-IL" w:bidi="he-IL"/>
              </w:rPr>
              <w:lastRenderedPageBreak/>
              <w:t>0.73</w:t>
            </w:r>
          </w:p>
        </w:tc>
        <w:tc>
          <w:tcPr>
            <w:tcW w:w="860" w:type="dxa"/>
            <w:tcBorders>
              <w:top w:val="nil"/>
              <w:left w:val="single" w:sz="12" w:space="0" w:color="auto"/>
              <w:bottom w:val="nil"/>
              <w:right w:val="nil"/>
            </w:tcBorders>
            <w:shd w:val="clear" w:color="auto" w:fill="auto"/>
            <w:vAlign w:val="center"/>
            <w:hideMark/>
          </w:tcPr>
          <w:p w14:paraId="01C8DB6C" w14:textId="77777777" w:rsidR="002A7E90" w:rsidRPr="00B41E66" w:rsidRDefault="002A7E90" w:rsidP="002A7E90">
            <w:pPr>
              <w:jc w:val="center"/>
              <w:rPr>
                <w:color w:val="0000FF"/>
                <w:lang w:val="en-IL" w:eastAsia="en-IL" w:bidi="he-IL"/>
              </w:rPr>
            </w:pPr>
            <w:r w:rsidRPr="00B41E66">
              <w:rPr>
                <w:color w:val="0000FF"/>
                <w:lang w:val="en-IL" w:eastAsia="en-IL" w:bidi="he-IL"/>
              </w:rPr>
              <w:lastRenderedPageBreak/>
              <w:t>5.33%</w:t>
            </w:r>
          </w:p>
        </w:tc>
        <w:tc>
          <w:tcPr>
            <w:tcW w:w="740" w:type="dxa"/>
            <w:tcBorders>
              <w:top w:val="nil"/>
              <w:left w:val="nil"/>
              <w:bottom w:val="nil"/>
              <w:right w:val="single" w:sz="12" w:space="0" w:color="auto"/>
            </w:tcBorders>
            <w:shd w:val="clear" w:color="auto" w:fill="auto"/>
            <w:noWrap/>
            <w:vAlign w:val="center"/>
            <w:hideMark/>
          </w:tcPr>
          <w:p w14:paraId="119660B4" w14:textId="77777777" w:rsidR="002A7E90" w:rsidRPr="00B41E66" w:rsidRDefault="002A7E90" w:rsidP="002A7E90">
            <w:pPr>
              <w:jc w:val="center"/>
              <w:rPr>
                <w:color w:val="0000FF"/>
                <w:lang w:val="en-IL" w:eastAsia="en-IL" w:bidi="he-IL"/>
              </w:rPr>
            </w:pPr>
            <w:r w:rsidRPr="00B41E66">
              <w:rPr>
                <w:color w:val="0000FF"/>
                <w:lang w:val="en-IL" w:eastAsia="en-IL" w:bidi="he-IL"/>
              </w:rPr>
              <w:t>1.24</w:t>
            </w:r>
          </w:p>
        </w:tc>
        <w:tc>
          <w:tcPr>
            <w:tcW w:w="820" w:type="dxa"/>
            <w:tcBorders>
              <w:top w:val="nil"/>
              <w:left w:val="nil"/>
              <w:bottom w:val="nil"/>
              <w:right w:val="nil"/>
            </w:tcBorders>
            <w:shd w:val="clear" w:color="auto" w:fill="auto"/>
            <w:vAlign w:val="center"/>
            <w:hideMark/>
          </w:tcPr>
          <w:p w14:paraId="5108A226" w14:textId="77777777" w:rsidR="002A7E90" w:rsidRPr="00B41E66" w:rsidRDefault="002A7E90" w:rsidP="002A7E90">
            <w:pPr>
              <w:jc w:val="center"/>
              <w:rPr>
                <w:color w:val="0000FF"/>
                <w:lang w:val="en-IL" w:eastAsia="en-IL" w:bidi="he-IL"/>
              </w:rPr>
            </w:pPr>
            <w:r w:rsidRPr="00B41E66">
              <w:rPr>
                <w:color w:val="0000FF"/>
                <w:lang w:val="en-IL" w:eastAsia="en-IL" w:bidi="he-IL"/>
              </w:rPr>
              <w:t>5.29%</w:t>
            </w:r>
          </w:p>
        </w:tc>
        <w:tc>
          <w:tcPr>
            <w:tcW w:w="680" w:type="dxa"/>
            <w:tcBorders>
              <w:top w:val="nil"/>
              <w:left w:val="nil"/>
              <w:bottom w:val="nil"/>
              <w:right w:val="nil"/>
            </w:tcBorders>
            <w:shd w:val="clear" w:color="auto" w:fill="auto"/>
            <w:noWrap/>
            <w:vAlign w:val="center"/>
            <w:hideMark/>
          </w:tcPr>
          <w:p w14:paraId="53416498" w14:textId="77777777" w:rsidR="002A7E90" w:rsidRPr="00B41E66" w:rsidRDefault="002A7E90" w:rsidP="002A7E90">
            <w:pPr>
              <w:jc w:val="center"/>
              <w:rPr>
                <w:color w:val="0000FF"/>
                <w:lang w:val="en-IL" w:eastAsia="en-IL" w:bidi="he-IL"/>
              </w:rPr>
            </w:pPr>
            <w:r w:rsidRPr="00B41E66">
              <w:rPr>
                <w:color w:val="0000FF"/>
                <w:lang w:val="en-IL" w:eastAsia="en-IL" w:bidi="he-IL"/>
              </w:rPr>
              <w:t>1.21</w:t>
            </w:r>
          </w:p>
        </w:tc>
        <w:tc>
          <w:tcPr>
            <w:tcW w:w="900" w:type="dxa"/>
            <w:tcBorders>
              <w:top w:val="nil"/>
              <w:left w:val="single" w:sz="12" w:space="0" w:color="auto"/>
              <w:bottom w:val="nil"/>
              <w:right w:val="nil"/>
            </w:tcBorders>
            <w:shd w:val="clear" w:color="auto" w:fill="auto"/>
            <w:vAlign w:val="center"/>
            <w:hideMark/>
          </w:tcPr>
          <w:p w14:paraId="0EBCFE6D" w14:textId="77777777" w:rsidR="002A7E90" w:rsidRPr="00B41E66" w:rsidRDefault="002A7E90" w:rsidP="002A7E90">
            <w:pPr>
              <w:jc w:val="center"/>
              <w:rPr>
                <w:color w:val="0000FF"/>
                <w:lang w:val="en-IL" w:eastAsia="en-IL" w:bidi="he-IL"/>
              </w:rPr>
            </w:pPr>
            <w:r w:rsidRPr="00B41E66">
              <w:rPr>
                <w:color w:val="0000FF"/>
                <w:lang w:val="en-IL" w:eastAsia="en-IL" w:bidi="he-IL"/>
              </w:rPr>
              <w:t>13.88%</w:t>
            </w:r>
          </w:p>
        </w:tc>
        <w:tc>
          <w:tcPr>
            <w:tcW w:w="720" w:type="dxa"/>
            <w:tcBorders>
              <w:top w:val="nil"/>
              <w:left w:val="nil"/>
              <w:bottom w:val="nil"/>
              <w:right w:val="single" w:sz="12" w:space="0" w:color="auto"/>
            </w:tcBorders>
            <w:shd w:val="clear" w:color="auto" w:fill="auto"/>
            <w:noWrap/>
            <w:vAlign w:val="center"/>
            <w:hideMark/>
          </w:tcPr>
          <w:p w14:paraId="037961F6" w14:textId="77777777" w:rsidR="002A7E90" w:rsidRPr="00B41E66" w:rsidRDefault="002A7E90" w:rsidP="002A7E90">
            <w:pPr>
              <w:jc w:val="center"/>
              <w:rPr>
                <w:color w:val="0000FF"/>
                <w:lang w:val="en-IL" w:eastAsia="en-IL" w:bidi="he-IL"/>
              </w:rPr>
            </w:pPr>
            <w:r w:rsidRPr="00B41E66">
              <w:rPr>
                <w:color w:val="0000FF"/>
                <w:lang w:val="en-IL" w:eastAsia="en-IL" w:bidi="he-IL"/>
              </w:rPr>
              <w:t>3.55</w:t>
            </w:r>
          </w:p>
        </w:tc>
      </w:tr>
      <w:tr w:rsidR="002A7E90" w:rsidRPr="00B41E66" w14:paraId="5E3B8A04" w14:textId="77777777" w:rsidTr="00580CA8">
        <w:trPr>
          <w:trHeight w:val="300"/>
        </w:trPr>
        <w:tc>
          <w:tcPr>
            <w:tcW w:w="1403" w:type="dxa"/>
            <w:tcBorders>
              <w:top w:val="nil"/>
              <w:left w:val="single" w:sz="12" w:space="0" w:color="auto"/>
              <w:bottom w:val="nil"/>
              <w:right w:val="nil"/>
            </w:tcBorders>
            <w:shd w:val="clear" w:color="auto" w:fill="auto"/>
            <w:noWrap/>
            <w:vAlign w:val="bottom"/>
            <w:hideMark/>
          </w:tcPr>
          <w:p w14:paraId="0AF1E63E" w14:textId="77777777" w:rsidR="002A7E90" w:rsidRPr="00B41E66" w:rsidRDefault="002A7E90" w:rsidP="002A7E90">
            <w:pPr>
              <w:rPr>
                <w:color w:val="0000FF"/>
                <w:lang w:val="en-IL" w:eastAsia="en-IL" w:bidi="he-IL"/>
              </w:rPr>
            </w:pPr>
            <w:r w:rsidRPr="00B41E66">
              <w:rPr>
                <w:color w:val="0000FF"/>
                <w:lang w:val="en-IL" w:eastAsia="en-IL" w:bidi="he-IL"/>
              </w:rPr>
              <w:t>1 to 250</w:t>
            </w:r>
          </w:p>
        </w:tc>
        <w:tc>
          <w:tcPr>
            <w:tcW w:w="977" w:type="dxa"/>
            <w:tcBorders>
              <w:top w:val="nil"/>
              <w:left w:val="single" w:sz="12" w:space="0" w:color="auto"/>
              <w:bottom w:val="nil"/>
              <w:right w:val="nil"/>
            </w:tcBorders>
            <w:shd w:val="clear" w:color="auto" w:fill="auto"/>
            <w:vAlign w:val="center"/>
            <w:hideMark/>
          </w:tcPr>
          <w:p w14:paraId="7D1A9211" w14:textId="77777777" w:rsidR="002A7E90" w:rsidRPr="00B41E66" w:rsidRDefault="002A7E90" w:rsidP="002A7E90">
            <w:pPr>
              <w:jc w:val="center"/>
              <w:rPr>
                <w:color w:val="0000FF"/>
                <w:lang w:val="en-IL" w:eastAsia="en-IL" w:bidi="he-IL"/>
              </w:rPr>
            </w:pPr>
            <w:r w:rsidRPr="00B41E66">
              <w:rPr>
                <w:color w:val="0000FF"/>
                <w:lang w:val="en-IL" w:eastAsia="en-IL" w:bidi="he-IL"/>
              </w:rPr>
              <w:t>-15.43%</w:t>
            </w:r>
          </w:p>
        </w:tc>
        <w:tc>
          <w:tcPr>
            <w:tcW w:w="724" w:type="dxa"/>
            <w:tcBorders>
              <w:top w:val="nil"/>
              <w:left w:val="nil"/>
              <w:bottom w:val="nil"/>
              <w:right w:val="single" w:sz="12" w:space="0" w:color="auto"/>
            </w:tcBorders>
            <w:shd w:val="clear" w:color="auto" w:fill="auto"/>
            <w:noWrap/>
            <w:vAlign w:val="center"/>
            <w:hideMark/>
          </w:tcPr>
          <w:p w14:paraId="7F628331" w14:textId="77777777" w:rsidR="002A7E90" w:rsidRPr="00B41E66" w:rsidRDefault="002A7E90" w:rsidP="002A7E90">
            <w:pPr>
              <w:jc w:val="center"/>
              <w:rPr>
                <w:color w:val="0000FF"/>
                <w:lang w:val="en-IL" w:eastAsia="en-IL" w:bidi="he-IL"/>
              </w:rPr>
            </w:pPr>
            <w:r w:rsidRPr="00B41E66">
              <w:rPr>
                <w:color w:val="0000FF"/>
                <w:lang w:val="en-IL" w:eastAsia="en-IL" w:bidi="he-IL"/>
              </w:rPr>
              <w:t>-3.31</w:t>
            </w:r>
          </w:p>
        </w:tc>
        <w:tc>
          <w:tcPr>
            <w:tcW w:w="936" w:type="dxa"/>
            <w:tcBorders>
              <w:top w:val="nil"/>
              <w:left w:val="nil"/>
              <w:bottom w:val="nil"/>
              <w:right w:val="nil"/>
            </w:tcBorders>
            <w:shd w:val="clear" w:color="auto" w:fill="auto"/>
            <w:vAlign w:val="center"/>
            <w:hideMark/>
          </w:tcPr>
          <w:p w14:paraId="014FFA19" w14:textId="77777777" w:rsidR="002A7E90" w:rsidRPr="00B41E66" w:rsidRDefault="002A7E90" w:rsidP="002A7E90">
            <w:pPr>
              <w:jc w:val="center"/>
              <w:rPr>
                <w:color w:val="0000FF"/>
                <w:lang w:val="en-IL" w:eastAsia="en-IL" w:bidi="he-IL"/>
              </w:rPr>
            </w:pPr>
            <w:r w:rsidRPr="00B41E66">
              <w:rPr>
                <w:color w:val="0000FF"/>
                <w:lang w:val="en-IL" w:eastAsia="en-IL" w:bidi="he-IL"/>
              </w:rPr>
              <w:t>-7.14%</w:t>
            </w:r>
          </w:p>
        </w:tc>
        <w:tc>
          <w:tcPr>
            <w:tcW w:w="640" w:type="dxa"/>
            <w:tcBorders>
              <w:top w:val="nil"/>
              <w:left w:val="nil"/>
              <w:bottom w:val="nil"/>
              <w:right w:val="nil"/>
            </w:tcBorders>
            <w:shd w:val="clear" w:color="auto" w:fill="auto"/>
            <w:noWrap/>
            <w:vAlign w:val="center"/>
            <w:hideMark/>
          </w:tcPr>
          <w:p w14:paraId="743A37F8" w14:textId="77777777" w:rsidR="002A7E90" w:rsidRPr="00B41E66" w:rsidRDefault="002A7E90" w:rsidP="002A7E90">
            <w:pPr>
              <w:jc w:val="center"/>
              <w:rPr>
                <w:color w:val="0000FF"/>
                <w:lang w:val="en-IL" w:eastAsia="en-IL" w:bidi="he-IL"/>
              </w:rPr>
            </w:pPr>
            <w:r w:rsidRPr="00B41E66">
              <w:rPr>
                <w:color w:val="0000FF"/>
                <w:lang w:val="en-IL" w:eastAsia="en-IL" w:bidi="he-IL"/>
              </w:rPr>
              <w:t>-1.67</w:t>
            </w:r>
          </w:p>
        </w:tc>
        <w:tc>
          <w:tcPr>
            <w:tcW w:w="860" w:type="dxa"/>
            <w:tcBorders>
              <w:top w:val="nil"/>
              <w:left w:val="single" w:sz="12" w:space="0" w:color="auto"/>
              <w:bottom w:val="nil"/>
              <w:right w:val="nil"/>
            </w:tcBorders>
            <w:shd w:val="clear" w:color="auto" w:fill="auto"/>
            <w:vAlign w:val="center"/>
            <w:hideMark/>
          </w:tcPr>
          <w:p w14:paraId="78820959" w14:textId="77777777" w:rsidR="002A7E90" w:rsidRPr="00B41E66" w:rsidRDefault="002A7E90" w:rsidP="002A7E90">
            <w:pPr>
              <w:jc w:val="center"/>
              <w:rPr>
                <w:color w:val="0000FF"/>
                <w:lang w:val="en-IL" w:eastAsia="en-IL" w:bidi="he-IL"/>
              </w:rPr>
            </w:pPr>
            <w:r w:rsidRPr="00B41E66">
              <w:rPr>
                <w:color w:val="0000FF"/>
                <w:lang w:val="en-IL" w:eastAsia="en-IL" w:bidi="he-IL"/>
              </w:rPr>
              <w:t>0.44%</w:t>
            </w:r>
          </w:p>
        </w:tc>
        <w:tc>
          <w:tcPr>
            <w:tcW w:w="740" w:type="dxa"/>
            <w:tcBorders>
              <w:top w:val="nil"/>
              <w:left w:val="nil"/>
              <w:bottom w:val="nil"/>
              <w:right w:val="single" w:sz="12" w:space="0" w:color="auto"/>
            </w:tcBorders>
            <w:shd w:val="clear" w:color="auto" w:fill="auto"/>
            <w:noWrap/>
            <w:vAlign w:val="center"/>
            <w:hideMark/>
          </w:tcPr>
          <w:p w14:paraId="2FAD820F" w14:textId="77777777" w:rsidR="002A7E90" w:rsidRPr="00B41E66" w:rsidRDefault="002A7E90" w:rsidP="002A7E90">
            <w:pPr>
              <w:jc w:val="center"/>
              <w:rPr>
                <w:color w:val="0000FF"/>
                <w:lang w:val="en-IL" w:eastAsia="en-IL" w:bidi="he-IL"/>
              </w:rPr>
            </w:pPr>
            <w:r w:rsidRPr="00B41E66">
              <w:rPr>
                <w:color w:val="0000FF"/>
                <w:lang w:val="en-IL" w:eastAsia="en-IL" w:bidi="he-IL"/>
              </w:rPr>
              <w:t>0.10</w:t>
            </w:r>
          </w:p>
        </w:tc>
        <w:tc>
          <w:tcPr>
            <w:tcW w:w="820" w:type="dxa"/>
            <w:tcBorders>
              <w:top w:val="nil"/>
              <w:left w:val="nil"/>
              <w:bottom w:val="nil"/>
              <w:right w:val="nil"/>
            </w:tcBorders>
            <w:shd w:val="clear" w:color="auto" w:fill="auto"/>
            <w:vAlign w:val="center"/>
            <w:hideMark/>
          </w:tcPr>
          <w:p w14:paraId="2E63547D" w14:textId="77777777" w:rsidR="002A7E90" w:rsidRPr="00B41E66" w:rsidRDefault="002A7E90" w:rsidP="002A7E90">
            <w:pPr>
              <w:jc w:val="center"/>
              <w:rPr>
                <w:color w:val="0000FF"/>
                <w:lang w:val="en-IL" w:eastAsia="en-IL" w:bidi="he-IL"/>
              </w:rPr>
            </w:pPr>
            <w:r w:rsidRPr="00B41E66">
              <w:rPr>
                <w:color w:val="0000FF"/>
                <w:lang w:val="en-IL" w:eastAsia="en-IL" w:bidi="he-IL"/>
              </w:rPr>
              <w:t>-1.61%</w:t>
            </w:r>
          </w:p>
        </w:tc>
        <w:tc>
          <w:tcPr>
            <w:tcW w:w="680" w:type="dxa"/>
            <w:tcBorders>
              <w:top w:val="nil"/>
              <w:left w:val="nil"/>
              <w:bottom w:val="nil"/>
              <w:right w:val="nil"/>
            </w:tcBorders>
            <w:shd w:val="clear" w:color="auto" w:fill="auto"/>
            <w:noWrap/>
            <w:vAlign w:val="center"/>
            <w:hideMark/>
          </w:tcPr>
          <w:p w14:paraId="33AD0D7D" w14:textId="77777777" w:rsidR="002A7E90" w:rsidRPr="00B41E66" w:rsidRDefault="002A7E90" w:rsidP="002A7E90">
            <w:pPr>
              <w:jc w:val="center"/>
              <w:rPr>
                <w:color w:val="0000FF"/>
                <w:lang w:val="en-IL" w:eastAsia="en-IL" w:bidi="he-IL"/>
              </w:rPr>
            </w:pPr>
            <w:r w:rsidRPr="00B41E66">
              <w:rPr>
                <w:color w:val="0000FF"/>
                <w:lang w:val="en-IL" w:eastAsia="en-IL" w:bidi="he-IL"/>
              </w:rPr>
              <w:t>-0.37</w:t>
            </w:r>
          </w:p>
        </w:tc>
        <w:tc>
          <w:tcPr>
            <w:tcW w:w="900" w:type="dxa"/>
            <w:tcBorders>
              <w:top w:val="nil"/>
              <w:left w:val="single" w:sz="12" w:space="0" w:color="auto"/>
              <w:bottom w:val="nil"/>
              <w:right w:val="nil"/>
            </w:tcBorders>
            <w:shd w:val="clear" w:color="auto" w:fill="auto"/>
            <w:vAlign w:val="center"/>
            <w:hideMark/>
          </w:tcPr>
          <w:p w14:paraId="10EB323B" w14:textId="77777777" w:rsidR="002A7E90" w:rsidRPr="00B41E66" w:rsidRDefault="002A7E90" w:rsidP="002A7E90">
            <w:pPr>
              <w:jc w:val="center"/>
              <w:rPr>
                <w:color w:val="0000FF"/>
                <w:lang w:val="en-IL" w:eastAsia="en-IL" w:bidi="he-IL"/>
              </w:rPr>
            </w:pPr>
            <w:r w:rsidRPr="00B41E66">
              <w:rPr>
                <w:color w:val="0000FF"/>
                <w:lang w:val="en-IL" w:eastAsia="en-IL" w:bidi="he-IL"/>
              </w:rPr>
              <w:t>7.81%</w:t>
            </w:r>
          </w:p>
        </w:tc>
        <w:tc>
          <w:tcPr>
            <w:tcW w:w="720" w:type="dxa"/>
            <w:tcBorders>
              <w:top w:val="nil"/>
              <w:left w:val="nil"/>
              <w:bottom w:val="nil"/>
              <w:right w:val="single" w:sz="12" w:space="0" w:color="auto"/>
            </w:tcBorders>
            <w:shd w:val="clear" w:color="auto" w:fill="auto"/>
            <w:noWrap/>
            <w:vAlign w:val="center"/>
            <w:hideMark/>
          </w:tcPr>
          <w:p w14:paraId="29F2AF4B" w14:textId="77777777" w:rsidR="002A7E90" w:rsidRPr="00B41E66" w:rsidRDefault="002A7E90" w:rsidP="002A7E90">
            <w:pPr>
              <w:jc w:val="center"/>
              <w:rPr>
                <w:color w:val="0000FF"/>
                <w:lang w:val="en-IL" w:eastAsia="en-IL" w:bidi="he-IL"/>
              </w:rPr>
            </w:pPr>
            <w:r w:rsidRPr="00B41E66">
              <w:rPr>
                <w:color w:val="0000FF"/>
                <w:lang w:val="en-IL" w:eastAsia="en-IL" w:bidi="he-IL"/>
              </w:rPr>
              <w:t>2.03</w:t>
            </w:r>
          </w:p>
        </w:tc>
      </w:tr>
      <w:tr w:rsidR="002A7E90" w:rsidRPr="00B41E66" w14:paraId="636D2AFB" w14:textId="77777777" w:rsidTr="00580CA8">
        <w:trPr>
          <w:trHeight w:val="300"/>
        </w:trPr>
        <w:tc>
          <w:tcPr>
            <w:tcW w:w="1403" w:type="dxa"/>
            <w:tcBorders>
              <w:top w:val="nil"/>
              <w:left w:val="single" w:sz="12" w:space="0" w:color="auto"/>
              <w:bottom w:val="nil"/>
              <w:right w:val="nil"/>
            </w:tcBorders>
            <w:shd w:val="clear" w:color="auto" w:fill="auto"/>
            <w:noWrap/>
            <w:vAlign w:val="bottom"/>
            <w:hideMark/>
          </w:tcPr>
          <w:p w14:paraId="2D2A9704" w14:textId="77777777" w:rsidR="002A7E90" w:rsidRPr="00B41E66" w:rsidRDefault="002A7E90" w:rsidP="002A7E90">
            <w:pPr>
              <w:rPr>
                <w:color w:val="0000FF"/>
                <w:lang w:val="en-IL" w:eastAsia="en-IL" w:bidi="he-IL"/>
              </w:rPr>
            </w:pPr>
            <w:r w:rsidRPr="00B41E66">
              <w:rPr>
                <w:color w:val="0000FF"/>
                <w:lang w:val="en-IL" w:eastAsia="en-IL" w:bidi="he-IL"/>
              </w:rPr>
              <w:t>1 to 375</w:t>
            </w:r>
          </w:p>
        </w:tc>
        <w:tc>
          <w:tcPr>
            <w:tcW w:w="977" w:type="dxa"/>
            <w:tcBorders>
              <w:top w:val="nil"/>
              <w:left w:val="single" w:sz="12" w:space="0" w:color="auto"/>
              <w:bottom w:val="nil"/>
              <w:right w:val="nil"/>
            </w:tcBorders>
            <w:shd w:val="clear" w:color="auto" w:fill="auto"/>
            <w:vAlign w:val="center"/>
            <w:hideMark/>
          </w:tcPr>
          <w:p w14:paraId="55F04CF1" w14:textId="77777777" w:rsidR="002A7E90" w:rsidRPr="00B41E66" w:rsidRDefault="002A7E90" w:rsidP="002A7E90">
            <w:pPr>
              <w:jc w:val="center"/>
              <w:rPr>
                <w:color w:val="0000FF"/>
                <w:lang w:val="en-IL" w:eastAsia="en-IL" w:bidi="he-IL"/>
              </w:rPr>
            </w:pPr>
            <w:r w:rsidRPr="00B41E66">
              <w:rPr>
                <w:color w:val="0000FF"/>
                <w:lang w:val="en-IL" w:eastAsia="en-IL" w:bidi="he-IL"/>
              </w:rPr>
              <w:t>-27.48%</w:t>
            </w:r>
          </w:p>
        </w:tc>
        <w:tc>
          <w:tcPr>
            <w:tcW w:w="724" w:type="dxa"/>
            <w:tcBorders>
              <w:top w:val="nil"/>
              <w:left w:val="nil"/>
              <w:bottom w:val="nil"/>
              <w:right w:val="single" w:sz="12" w:space="0" w:color="auto"/>
            </w:tcBorders>
            <w:shd w:val="clear" w:color="auto" w:fill="auto"/>
            <w:noWrap/>
            <w:vAlign w:val="center"/>
            <w:hideMark/>
          </w:tcPr>
          <w:p w14:paraId="7EC4A73E" w14:textId="77777777" w:rsidR="002A7E90" w:rsidRPr="00B41E66" w:rsidRDefault="002A7E90" w:rsidP="002A7E90">
            <w:pPr>
              <w:jc w:val="center"/>
              <w:rPr>
                <w:color w:val="0000FF"/>
                <w:lang w:val="en-IL" w:eastAsia="en-IL" w:bidi="he-IL"/>
              </w:rPr>
            </w:pPr>
            <w:r w:rsidRPr="00B41E66">
              <w:rPr>
                <w:color w:val="0000FF"/>
                <w:lang w:val="en-IL" w:eastAsia="en-IL" w:bidi="he-IL"/>
              </w:rPr>
              <w:t>-5.85</w:t>
            </w:r>
          </w:p>
        </w:tc>
        <w:tc>
          <w:tcPr>
            <w:tcW w:w="936" w:type="dxa"/>
            <w:tcBorders>
              <w:top w:val="nil"/>
              <w:left w:val="nil"/>
              <w:bottom w:val="nil"/>
              <w:right w:val="nil"/>
            </w:tcBorders>
            <w:shd w:val="clear" w:color="auto" w:fill="auto"/>
            <w:vAlign w:val="center"/>
            <w:hideMark/>
          </w:tcPr>
          <w:p w14:paraId="5950F2BA" w14:textId="77777777" w:rsidR="002A7E90" w:rsidRPr="00B41E66" w:rsidRDefault="002A7E90" w:rsidP="002A7E90">
            <w:pPr>
              <w:jc w:val="center"/>
              <w:rPr>
                <w:color w:val="0000FF"/>
                <w:lang w:val="en-IL" w:eastAsia="en-IL" w:bidi="he-IL"/>
              </w:rPr>
            </w:pPr>
            <w:r w:rsidRPr="00B41E66">
              <w:rPr>
                <w:color w:val="0000FF"/>
                <w:lang w:val="en-IL" w:eastAsia="en-IL" w:bidi="he-IL"/>
              </w:rPr>
              <w:t>-15.69%</w:t>
            </w:r>
          </w:p>
        </w:tc>
        <w:tc>
          <w:tcPr>
            <w:tcW w:w="640" w:type="dxa"/>
            <w:tcBorders>
              <w:top w:val="nil"/>
              <w:left w:val="nil"/>
              <w:bottom w:val="nil"/>
              <w:right w:val="nil"/>
            </w:tcBorders>
            <w:shd w:val="clear" w:color="auto" w:fill="auto"/>
            <w:noWrap/>
            <w:vAlign w:val="center"/>
            <w:hideMark/>
          </w:tcPr>
          <w:p w14:paraId="117CB77E" w14:textId="77777777" w:rsidR="002A7E90" w:rsidRPr="00B41E66" w:rsidRDefault="002A7E90" w:rsidP="002A7E90">
            <w:pPr>
              <w:jc w:val="center"/>
              <w:rPr>
                <w:color w:val="0000FF"/>
                <w:lang w:val="en-IL" w:eastAsia="en-IL" w:bidi="he-IL"/>
              </w:rPr>
            </w:pPr>
            <w:r w:rsidRPr="00B41E66">
              <w:rPr>
                <w:color w:val="0000FF"/>
                <w:lang w:val="en-IL" w:eastAsia="en-IL" w:bidi="he-IL"/>
              </w:rPr>
              <w:t>-3.49</w:t>
            </w:r>
          </w:p>
        </w:tc>
        <w:tc>
          <w:tcPr>
            <w:tcW w:w="860" w:type="dxa"/>
            <w:tcBorders>
              <w:top w:val="nil"/>
              <w:left w:val="single" w:sz="12" w:space="0" w:color="auto"/>
              <w:bottom w:val="nil"/>
              <w:right w:val="nil"/>
            </w:tcBorders>
            <w:shd w:val="clear" w:color="auto" w:fill="auto"/>
            <w:vAlign w:val="center"/>
            <w:hideMark/>
          </w:tcPr>
          <w:p w14:paraId="78982227" w14:textId="77777777" w:rsidR="002A7E90" w:rsidRPr="00B41E66" w:rsidRDefault="002A7E90" w:rsidP="002A7E90">
            <w:pPr>
              <w:jc w:val="center"/>
              <w:rPr>
                <w:color w:val="0000FF"/>
                <w:lang w:val="en-IL" w:eastAsia="en-IL" w:bidi="he-IL"/>
              </w:rPr>
            </w:pPr>
            <w:r w:rsidRPr="00B41E66">
              <w:rPr>
                <w:color w:val="0000FF"/>
                <w:lang w:val="en-IL" w:eastAsia="en-IL" w:bidi="he-IL"/>
              </w:rPr>
              <w:t>-3.00%</w:t>
            </w:r>
          </w:p>
        </w:tc>
        <w:tc>
          <w:tcPr>
            <w:tcW w:w="740" w:type="dxa"/>
            <w:tcBorders>
              <w:top w:val="nil"/>
              <w:left w:val="nil"/>
              <w:bottom w:val="nil"/>
              <w:right w:val="single" w:sz="12" w:space="0" w:color="auto"/>
            </w:tcBorders>
            <w:shd w:val="clear" w:color="auto" w:fill="auto"/>
            <w:noWrap/>
            <w:vAlign w:val="center"/>
            <w:hideMark/>
          </w:tcPr>
          <w:p w14:paraId="7F633A02" w14:textId="77777777" w:rsidR="002A7E90" w:rsidRPr="00B41E66" w:rsidRDefault="002A7E90" w:rsidP="002A7E90">
            <w:pPr>
              <w:jc w:val="center"/>
              <w:rPr>
                <w:color w:val="0000FF"/>
                <w:lang w:val="en-IL" w:eastAsia="en-IL" w:bidi="he-IL"/>
              </w:rPr>
            </w:pPr>
            <w:r w:rsidRPr="00B41E66">
              <w:rPr>
                <w:color w:val="0000FF"/>
                <w:lang w:val="en-IL" w:eastAsia="en-IL" w:bidi="he-IL"/>
              </w:rPr>
              <w:t>-0.67</w:t>
            </w:r>
          </w:p>
        </w:tc>
        <w:tc>
          <w:tcPr>
            <w:tcW w:w="820" w:type="dxa"/>
            <w:tcBorders>
              <w:top w:val="nil"/>
              <w:left w:val="nil"/>
              <w:bottom w:val="nil"/>
              <w:right w:val="nil"/>
            </w:tcBorders>
            <w:shd w:val="clear" w:color="auto" w:fill="auto"/>
            <w:vAlign w:val="center"/>
            <w:hideMark/>
          </w:tcPr>
          <w:p w14:paraId="1CB56B12" w14:textId="77777777" w:rsidR="002A7E90" w:rsidRPr="00B41E66" w:rsidRDefault="002A7E90" w:rsidP="002A7E90">
            <w:pPr>
              <w:jc w:val="center"/>
              <w:rPr>
                <w:color w:val="0000FF"/>
                <w:lang w:val="en-IL" w:eastAsia="en-IL" w:bidi="he-IL"/>
              </w:rPr>
            </w:pPr>
            <w:r w:rsidRPr="00B41E66">
              <w:rPr>
                <w:color w:val="0000FF"/>
                <w:lang w:val="en-IL" w:eastAsia="en-IL" w:bidi="he-IL"/>
              </w:rPr>
              <w:t>-3.03%</w:t>
            </w:r>
          </w:p>
        </w:tc>
        <w:tc>
          <w:tcPr>
            <w:tcW w:w="680" w:type="dxa"/>
            <w:tcBorders>
              <w:top w:val="nil"/>
              <w:left w:val="nil"/>
              <w:bottom w:val="nil"/>
              <w:right w:val="nil"/>
            </w:tcBorders>
            <w:shd w:val="clear" w:color="auto" w:fill="auto"/>
            <w:noWrap/>
            <w:vAlign w:val="center"/>
            <w:hideMark/>
          </w:tcPr>
          <w:p w14:paraId="76D94D41" w14:textId="77777777" w:rsidR="002A7E90" w:rsidRPr="00B41E66" w:rsidRDefault="002A7E90" w:rsidP="002A7E90">
            <w:pPr>
              <w:jc w:val="center"/>
              <w:rPr>
                <w:color w:val="0000FF"/>
                <w:lang w:val="en-IL" w:eastAsia="en-IL" w:bidi="he-IL"/>
              </w:rPr>
            </w:pPr>
            <w:r w:rsidRPr="00B41E66">
              <w:rPr>
                <w:color w:val="0000FF"/>
                <w:lang w:val="en-IL" w:eastAsia="en-IL" w:bidi="he-IL"/>
              </w:rPr>
              <w:t>-0.66</w:t>
            </w:r>
          </w:p>
        </w:tc>
        <w:tc>
          <w:tcPr>
            <w:tcW w:w="900" w:type="dxa"/>
            <w:tcBorders>
              <w:top w:val="nil"/>
              <w:left w:val="single" w:sz="12" w:space="0" w:color="auto"/>
              <w:bottom w:val="nil"/>
              <w:right w:val="nil"/>
            </w:tcBorders>
            <w:shd w:val="clear" w:color="auto" w:fill="auto"/>
            <w:vAlign w:val="center"/>
            <w:hideMark/>
          </w:tcPr>
          <w:p w14:paraId="0975ADE7" w14:textId="77777777" w:rsidR="002A7E90" w:rsidRPr="00B41E66" w:rsidRDefault="002A7E90" w:rsidP="002A7E90">
            <w:pPr>
              <w:jc w:val="center"/>
              <w:rPr>
                <w:color w:val="0000FF"/>
                <w:lang w:val="en-IL" w:eastAsia="en-IL" w:bidi="he-IL"/>
              </w:rPr>
            </w:pPr>
            <w:r w:rsidRPr="00B41E66">
              <w:rPr>
                <w:color w:val="0000FF"/>
                <w:lang w:val="en-IL" w:eastAsia="en-IL" w:bidi="he-IL"/>
              </w:rPr>
              <w:t>6.26%</w:t>
            </w:r>
          </w:p>
        </w:tc>
        <w:tc>
          <w:tcPr>
            <w:tcW w:w="720" w:type="dxa"/>
            <w:tcBorders>
              <w:top w:val="nil"/>
              <w:left w:val="nil"/>
              <w:bottom w:val="nil"/>
              <w:right w:val="single" w:sz="12" w:space="0" w:color="auto"/>
            </w:tcBorders>
            <w:shd w:val="clear" w:color="auto" w:fill="auto"/>
            <w:noWrap/>
            <w:vAlign w:val="center"/>
            <w:hideMark/>
          </w:tcPr>
          <w:p w14:paraId="029D30FE" w14:textId="77777777" w:rsidR="002A7E90" w:rsidRPr="00B41E66" w:rsidRDefault="002A7E90" w:rsidP="002A7E90">
            <w:pPr>
              <w:jc w:val="center"/>
              <w:rPr>
                <w:color w:val="0000FF"/>
                <w:lang w:val="en-IL" w:eastAsia="en-IL" w:bidi="he-IL"/>
              </w:rPr>
            </w:pPr>
            <w:r w:rsidRPr="00B41E66">
              <w:rPr>
                <w:color w:val="0000FF"/>
                <w:lang w:val="en-IL" w:eastAsia="en-IL" w:bidi="he-IL"/>
              </w:rPr>
              <w:t>1.54</w:t>
            </w:r>
          </w:p>
        </w:tc>
      </w:tr>
      <w:tr w:rsidR="002A7E90" w:rsidRPr="00B41E66" w14:paraId="5B0C9B4F" w14:textId="77777777" w:rsidTr="00580CA8">
        <w:trPr>
          <w:trHeight w:val="300"/>
        </w:trPr>
        <w:tc>
          <w:tcPr>
            <w:tcW w:w="1403" w:type="dxa"/>
            <w:tcBorders>
              <w:top w:val="nil"/>
              <w:left w:val="single" w:sz="12" w:space="0" w:color="auto"/>
              <w:bottom w:val="nil"/>
              <w:right w:val="nil"/>
            </w:tcBorders>
            <w:shd w:val="clear" w:color="auto" w:fill="auto"/>
            <w:noWrap/>
            <w:vAlign w:val="bottom"/>
            <w:hideMark/>
          </w:tcPr>
          <w:p w14:paraId="6E16CD8E" w14:textId="77777777" w:rsidR="002A7E90" w:rsidRPr="00B41E66" w:rsidRDefault="002A7E90" w:rsidP="002A7E90">
            <w:pPr>
              <w:rPr>
                <w:color w:val="0000FF"/>
                <w:lang w:val="en-IL" w:eastAsia="en-IL" w:bidi="he-IL"/>
              </w:rPr>
            </w:pPr>
            <w:r w:rsidRPr="00B41E66">
              <w:rPr>
                <w:color w:val="0000FF"/>
                <w:lang w:val="en-IL" w:eastAsia="en-IL" w:bidi="he-IL"/>
              </w:rPr>
              <w:t>1 to 550</w:t>
            </w:r>
          </w:p>
        </w:tc>
        <w:tc>
          <w:tcPr>
            <w:tcW w:w="977" w:type="dxa"/>
            <w:tcBorders>
              <w:top w:val="nil"/>
              <w:left w:val="single" w:sz="12" w:space="0" w:color="auto"/>
              <w:bottom w:val="nil"/>
              <w:right w:val="nil"/>
            </w:tcBorders>
            <w:shd w:val="clear" w:color="auto" w:fill="auto"/>
            <w:vAlign w:val="center"/>
            <w:hideMark/>
          </w:tcPr>
          <w:p w14:paraId="7BD8A06A" w14:textId="77777777" w:rsidR="002A7E90" w:rsidRPr="00B41E66" w:rsidRDefault="002A7E90" w:rsidP="002A7E90">
            <w:pPr>
              <w:jc w:val="center"/>
              <w:rPr>
                <w:color w:val="0000FF"/>
                <w:lang w:val="en-IL" w:eastAsia="en-IL" w:bidi="he-IL"/>
              </w:rPr>
            </w:pPr>
            <w:r w:rsidRPr="00B41E66">
              <w:rPr>
                <w:color w:val="0000FF"/>
                <w:lang w:val="en-IL" w:eastAsia="en-IL" w:bidi="he-IL"/>
              </w:rPr>
              <w:t>-48.65%</w:t>
            </w:r>
          </w:p>
        </w:tc>
        <w:tc>
          <w:tcPr>
            <w:tcW w:w="724" w:type="dxa"/>
            <w:tcBorders>
              <w:top w:val="nil"/>
              <w:left w:val="nil"/>
              <w:bottom w:val="nil"/>
              <w:right w:val="single" w:sz="12" w:space="0" w:color="auto"/>
            </w:tcBorders>
            <w:shd w:val="clear" w:color="auto" w:fill="auto"/>
            <w:noWrap/>
            <w:vAlign w:val="center"/>
            <w:hideMark/>
          </w:tcPr>
          <w:p w14:paraId="408F0F00" w14:textId="77777777" w:rsidR="002A7E90" w:rsidRPr="00B41E66" w:rsidRDefault="002A7E90" w:rsidP="002A7E90">
            <w:pPr>
              <w:jc w:val="center"/>
              <w:rPr>
                <w:color w:val="0000FF"/>
                <w:lang w:val="en-IL" w:eastAsia="en-IL" w:bidi="he-IL"/>
              </w:rPr>
            </w:pPr>
            <w:r w:rsidRPr="00B41E66">
              <w:rPr>
                <w:color w:val="0000FF"/>
                <w:lang w:val="en-IL" w:eastAsia="en-IL" w:bidi="he-IL"/>
              </w:rPr>
              <w:t>-9.76</w:t>
            </w:r>
          </w:p>
        </w:tc>
        <w:tc>
          <w:tcPr>
            <w:tcW w:w="936" w:type="dxa"/>
            <w:tcBorders>
              <w:top w:val="nil"/>
              <w:left w:val="nil"/>
              <w:bottom w:val="nil"/>
              <w:right w:val="nil"/>
            </w:tcBorders>
            <w:shd w:val="clear" w:color="auto" w:fill="auto"/>
            <w:vAlign w:val="center"/>
            <w:hideMark/>
          </w:tcPr>
          <w:p w14:paraId="4B3F3CA7" w14:textId="77777777" w:rsidR="002A7E90" w:rsidRPr="00B41E66" w:rsidRDefault="002A7E90" w:rsidP="002A7E90">
            <w:pPr>
              <w:jc w:val="center"/>
              <w:rPr>
                <w:color w:val="0000FF"/>
                <w:lang w:val="en-IL" w:eastAsia="en-IL" w:bidi="he-IL"/>
              </w:rPr>
            </w:pPr>
            <w:r w:rsidRPr="00B41E66">
              <w:rPr>
                <w:color w:val="0000FF"/>
                <w:lang w:val="en-IL" w:eastAsia="en-IL" w:bidi="he-IL"/>
              </w:rPr>
              <w:t>-38.58%</w:t>
            </w:r>
          </w:p>
        </w:tc>
        <w:tc>
          <w:tcPr>
            <w:tcW w:w="640" w:type="dxa"/>
            <w:tcBorders>
              <w:top w:val="nil"/>
              <w:left w:val="nil"/>
              <w:bottom w:val="nil"/>
              <w:right w:val="nil"/>
            </w:tcBorders>
            <w:shd w:val="clear" w:color="auto" w:fill="auto"/>
            <w:noWrap/>
            <w:vAlign w:val="center"/>
            <w:hideMark/>
          </w:tcPr>
          <w:p w14:paraId="5406C1B6" w14:textId="77777777" w:rsidR="002A7E90" w:rsidRPr="00B41E66" w:rsidRDefault="002A7E90" w:rsidP="002A7E90">
            <w:pPr>
              <w:jc w:val="center"/>
              <w:rPr>
                <w:color w:val="0000FF"/>
                <w:lang w:val="en-IL" w:eastAsia="en-IL" w:bidi="he-IL"/>
              </w:rPr>
            </w:pPr>
            <w:r w:rsidRPr="00B41E66">
              <w:rPr>
                <w:color w:val="0000FF"/>
                <w:lang w:val="en-IL" w:eastAsia="en-IL" w:bidi="he-IL"/>
              </w:rPr>
              <w:t>-7.71</w:t>
            </w:r>
          </w:p>
        </w:tc>
        <w:tc>
          <w:tcPr>
            <w:tcW w:w="860" w:type="dxa"/>
            <w:tcBorders>
              <w:top w:val="nil"/>
              <w:left w:val="single" w:sz="12" w:space="0" w:color="auto"/>
              <w:bottom w:val="nil"/>
              <w:right w:val="nil"/>
            </w:tcBorders>
            <w:shd w:val="clear" w:color="auto" w:fill="auto"/>
            <w:vAlign w:val="center"/>
            <w:hideMark/>
          </w:tcPr>
          <w:p w14:paraId="2242444D" w14:textId="77777777" w:rsidR="002A7E90" w:rsidRPr="00B41E66" w:rsidRDefault="002A7E90" w:rsidP="002A7E90">
            <w:pPr>
              <w:jc w:val="center"/>
              <w:rPr>
                <w:color w:val="0000FF"/>
                <w:lang w:val="en-IL" w:eastAsia="en-IL" w:bidi="he-IL"/>
              </w:rPr>
            </w:pPr>
            <w:r w:rsidRPr="00B41E66">
              <w:rPr>
                <w:color w:val="0000FF"/>
                <w:lang w:val="en-IL" w:eastAsia="en-IL" w:bidi="he-IL"/>
              </w:rPr>
              <w:t>-19.47%</w:t>
            </w:r>
          </w:p>
        </w:tc>
        <w:tc>
          <w:tcPr>
            <w:tcW w:w="740" w:type="dxa"/>
            <w:tcBorders>
              <w:top w:val="nil"/>
              <w:left w:val="nil"/>
              <w:bottom w:val="nil"/>
              <w:right w:val="single" w:sz="12" w:space="0" w:color="auto"/>
            </w:tcBorders>
            <w:shd w:val="clear" w:color="auto" w:fill="auto"/>
            <w:noWrap/>
            <w:vAlign w:val="center"/>
            <w:hideMark/>
          </w:tcPr>
          <w:p w14:paraId="63430800" w14:textId="77777777" w:rsidR="002A7E90" w:rsidRPr="00B41E66" w:rsidRDefault="002A7E90" w:rsidP="002A7E90">
            <w:pPr>
              <w:jc w:val="center"/>
              <w:rPr>
                <w:color w:val="0000FF"/>
                <w:lang w:val="en-IL" w:eastAsia="en-IL" w:bidi="he-IL"/>
              </w:rPr>
            </w:pPr>
            <w:r w:rsidRPr="00B41E66">
              <w:rPr>
                <w:color w:val="0000FF"/>
                <w:lang w:val="en-IL" w:eastAsia="en-IL" w:bidi="he-IL"/>
              </w:rPr>
              <w:t>-3.99</w:t>
            </w:r>
          </w:p>
        </w:tc>
        <w:tc>
          <w:tcPr>
            <w:tcW w:w="820" w:type="dxa"/>
            <w:tcBorders>
              <w:top w:val="nil"/>
              <w:left w:val="nil"/>
              <w:bottom w:val="nil"/>
              <w:right w:val="nil"/>
            </w:tcBorders>
            <w:shd w:val="clear" w:color="auto" w:fill="auto"/>
            <w:vAlign w:val="center"/>
            <w:hideMark/>
          </w:tcPr>
          <w:p w14:paraId="1D96D386" w14:textId="77777777" w:rsidR="002A7E90" w:rsidRPr="00B41E66" w:rsidRDefault="002A7E90" w:rsidP="002A7E90">
            <w:pPr>
              <w:jc w:val="center"/>
              <w:rPr>
                <w:color w:val="0000FF"/>
                <w:lang w:val="en-IL" w:eastAsia="en-IL" w:bidi="he-IL"/>
              </w:rPr>
            </w:pPr>
            <w:r w:rsidRPr="00B41E66">
              <w:rPr>
                <w:color w:val="0000FF"/>
                <w:lang w:val="en-IL" w:eastAsia="en-IL" w:bidi="he-IL"/>
              </w:rPr>
              <w:t>-11.</w:t>
            </w:r>
            <w:r w:rsidRPr="00B41E66">
              <w:rPr>
                <w:color w:val="0000FF"/>
                <w:lang w:eastAsia="en-IL" w:bidi="he-IL"/>
              </w:rPr>
              <w:t>8</w:t>
            </w:r>
            <w:r w:rsidRPr="00B41E66">
              <w:rPr>
                <w:color w:val="0000FF"/>
                <w:lang w:val="en-IL" w:eastAsia="en-IL" w:bidi="he-IL"/>
              </w:rPr>
              <w:t>%</w:t>
            </w:r>
          </w:p>
        </w:tc>
        <w:tc>
          <w:tcPr>
            <w:tcW w:w="680" w:type="dxa"/>
            <w:tcBorders>
              <w:top w:val="nil"/>
              <w:left w:val="nil"/>
              <w:bottom w:val="nil"/>
              <w:right w:val="nil"/>
            </w:tcBorders>
            <w:shd w:val="clear" w:color="auto" w:fill="auto"/>
            <w:noWrap/>
            <w:vAlign w:val="center"/>
            <w:hideMark/>
          </w:tcPr>
          <w:p w14:paraId="3E3D8842" w14:textId="77777777" w:rsidR="002A7E90" w:rsidRPr="00B41E66" w:rsidRDefault="002A7E90" w:rsidP="002A7E90">
            <w:pPr>
              <w:jc w:val="center"/>
              <w:rPr>
                <w:color w:val="0000FF"/>
                <w:lang w:val="en-IL" w:eastAsia="en-IL" w:bidi="he-IL"/>
              </w:rPr>
            </w:pPr>
            <w:r w:rsidRPr="00B41E66">
              <w:rPr>
                <w:color w:val="0000FF"/>
                <w:lang w:val="en-IL" w:eastAsia="en-IL" w:bidi="he-IL"/>
              </w:rPr>
              <w:t>-2.83</w:t>
            </w:r>
          </w:p>
        </w:tc>
        <w:tc>
          <w:tcPr>
            <w:tcW w:w="900" w:type="dxa"/>
            <w:tcBorders>
              <w:top w:val="nil"/>
              <w:left w:val="single" w:sz="12" w:space="0" w:color="auto"/>
              <w:bottom w:val="nil"/>
              <w:right w:val="nil"/>
            </w:tcBorders>
            <w:shd w:val="clear" w:color="auto" w:fill="auto"/>
            <w:vAlign w:val="center"/>
            <w:hideMark/>
          </w:tcPr>
          <w:p w14:paraId="59A117E1" w14:textId="77777777" w:rsidR="002A7E90" w:rsidRPr="00B41E66" w:rsidRDefault="002A7E90" w:rsidP="002A7E90">
            <w:pPr>
              <w:jc w:val="center"/>
              <w:rPr>
                <w:color w:val="0000FF"/>
                <w:lang w:val="en-IL" w:eastAsia="en-IL" w:bidi="he-IL"/>
              </w:rPr>
            </w:pPr>
            <w:r w:rsidRPr="00B41E66">
              <w:rPr>
                <w:color w:val="0000FF"/>
                <w:lang w:val="en-IL" w:eastAsia="en-IL" w:bidi="he-IL"/>
              </w:rPr>
              <w:t>-5.62%</w:t>
            </w:r>
          </w:p>
        </w:tc>
        <w:tc>
          <w:tcPr>
            <w:tcW w:w="720" w:type="dxa"/>
            <w:tcBorders>
              <w:top w:val="nil"/>
              <w:left w:val="nil"/>
              <w:bottom w:val="nil"/>
              <w:right w:val="single" w:sz="12" w:space="0" w:color="auto"/>
            </w:tcBorders>
            <w:shd w:val="clear" w:color="auto" w:fill="auto"/>
            <w:noWrap/>
            <w:vAlign w:val="center"/>
            <w:hideMark/>
          </w:tcPr>
          <w:p w14:paraId="141DECA8" w14:textId="77777777" w:rsidR="002A7E90" w:rsidRPr="00B41E66" w:rsidRDefault="002A7E90" w:rsidP="002A7E90">
            <w:pPr>
              <w:jc w:val="center"/>
              <w:rPr>
                <w:color w:val="0000FF"/>
                <w:lang w:val="en-IL" w:eastAsia="en-IL" w:bidi="he-IL"/>
              </w:rPr>
            </w:pPr>
            <w:r w:rsidRPr="00B41E66">
              <w:rPr>
                <w:color w:val="0000FF"/>
                <w:lang w:val="en-IL" w:eastAsia="en-IL" w:bidi="he-IL"/>
              </w:rPr>
              <w:t>-1.51</w:t>
            </w:r>
          </w:p>
        </w:tc>
      </w:tr>
      <w:tr w:rsidR="002A7E90" w:rsidRPr="00B41E66" w14:paraId="6C7C7398" w14:textId="77777777" w:rsidTr="00580CA8">
        <w:trPr>
          <w:trHeight w:val="315"/>
        </w:trPr>
        <w:tc>
          <w:tcPr>
            <w:tcW w:w="1403" w:type="dxa"/>
            <w:tcBorders>
              <w:top w:val="nil"/>
              <w:left w:val="single" w:sz="12" w:space="0" w:color="auto"/>
              <w:bottom w:val="single" w:sz="12" w:space="0" w:color="auto"/>
              <w:right w:val="nil"/>
            </w:tcBorders>
            <w:shd w:val="clear" w:color="auto" w:fill="auto"/>
            <w:noWrap/>
            <w:vAlign w:val="bottom"/>
            <w:hideMark/>
          </w:tcPr>
          <w:p w14:paraId="0DAEFAF9" w14:textId="77777777" w:rsidR="002A7E90" w:rsidRPr="00B41E66" w:rsidRDefault="002A7E90" w:rsidP="002A7E90">
            <w:pPr>
              <w:rPr>
                <w:color w:val="0000FF"/>
                <w:lang w:val="en-IL" w:eastAsia="en-IL" w:bidi="he-IL"/>
              </w:rPr>
            </w:pPr>
            <w:r w:rsidRPr="00B41E66">
              <w:rPr>
                <w:color w:val="0000FF"/>
                <w:lang w:val="en-IL" w:eastAsia="en-IL" w:bidi="he-IL"/>
              </w:rPr>
              <w:t>1 to 755</w:t>
            </w:r>
          </w:p>
        </w:tc>
        <w:tc>
          <w:tcPr>
            <w:tcW w:w="977" w:type="dxa"/>
            <w:tcBorders>
              <w:top w:val="nil"/>
              <w:left w:val="single" w:sz="12" w:space="0" w:color="auto"/>
              <w:bottom w:val="single" w:sz="12" w:space="0" w:color="auto"/>
              <w:right w:val="nil"/>
            </w:tcBorders>
            <w:shd w:val="clear" w:color="auto" w:fill="auto"/>
            <w:vAlign w:val="center"/>
            <w:hideMark/>
          </w:tcPr>
          <w:p w14:paraId="0CDECAB2" w14:textId="77777777" w:rsidR="002A7E90" w:rsidRPr="00B41E66" w:rsidRDefault="002A7E90" w:rsidP="002A7E90">
            <w:pPr>
              <w:jc w:val="center"/>
              <w:rPr>
                <w:color w:val="0000FF"/>
                <w:lang w:val="en-IL" w:eastAsia="en-IL" w:bidi="he-IL"/>
              </w:rPr>
            </w:pPr>
            <w:r w:rsidRPr="00B41E66">
              <w:rPr>
                <w:color w:val="0000FF"/>
                <w:lang w:val="en-IL" w:eastAsia="en-IL" w:bidi="he-IL"/>
              </w:rPr>
              <w:t>-77.80%</w:t>
            </w:r>
          </w:p>
        </w:tc>
        <w:tc>
          <w:tcPr>
            <w:tcW w:w="724" w:type="dxa"/>
            <w:tcBorders>
              <w:top w:val="nil"/>
              <w:left w:val="nil"/>
              <w:bottom w:val="single" w:sz="12" w:space="0" w:color="auto"/>
              <w:right w:val="single" w:sz="12" w:space="0" w:color="auto"/>
            </w:tcBorders>
            <w:shd w:val="clear" w:color="auto" w:fill="auto"/>
            <w:noWrap/>
            <w:vAlign w:val="center"/>
            <w:hideMark/>
          </w:tcPr>
          <w:p w14:paraId="5A12D6E5" w14:textId="77777777" w:rsidR="002A7E90" w:rsidRPr="00B41E66" w:rsidRDefault="002A7E90" w:rsidP="002A7E90">
            <w:pPr>
              <w:jc w:val="center"/>
              <w:rPr>
                <w:color w:val="0000FF"/>
                <w:lang w:val="en-IL" w:eastAsia="en-IL" w:bidi="he-IL"/>
              </w:rPr>
            </w:pPr>
            <w:r w:rsidRPr="00B41E66">
              <w:rPr>
                <w:color w:val="0000FF"/>
                <w:lang w:val="en-IL" w:eastAsia="en-IL" w:bidi="he-IL"/>
              </w:rPr>
              <w:t>-17.7</w:t>
            </w:r>
          </w:p>
        </w:tc>
        <w:tc>
          <w:tcPr>
            <w:tcW w:w="936" w:type="dxa"/>
            <w:tcBorders>
              <w:top w:val="nil"/>
              <w:left w:val="nil"/>
              <w:bottom w:val="single" w:sz="12" w:space="0" w:color="auto"/>
              <w:right w:val="nil"/>
            </w:tcBorders>
            <w:shd w:val="clear" w:color="auto" w:fill="auto"/>
            <w:vAlign w:val="center"/>
            <w:hideMark/>
          </w:tcPr>
          <w:p w14:paraId="1FCAECEE" w14:textId="77777777" w:rsidR="002A7E90" w:rsidRPr="00B41E66" w:rsidRDefault="002A7E90" w:rsidP="002A7E90">
            <w:pPr>
              <w:jc w:val="center"/>
              <w:rPr>
                <w:color w:val="0000FF"/>
                <w:lang w:val="en-IL" w:eastAsia="en-IL" w:bidi="he-IL"/>
              </w:rPr>
            </w:pPr>
            <w:r w:rsidRPr="00B41E66">
              <w:rPr>
                <w:color w:val="0000FF"/>
                <w:lang w:val="en-IL" w:eastAsia="en-IL" w:bidi="he-IL"/>
              </w:rPr>
              <w:t>-68.63%</w:t>
            </w:r>
          </w:p>
        </w:tc>
        <w:tc>
          <w:tcPr>
            <w:tcW w:w="640" w:type="dxa"/>
            <w:tcBorders>
              <w:top w:val="nil"/>
              <w:left w:val="nil"/>
              <w:bottom w:val="single" w:sz="12" w:space="0" w:color="auto"/>
              <w:right w:val="nil"/>
            </w:tcBorders>
            <w:shd w:val="clear" w:color="auto" w:fill="auto"/>
            <w:noWrap/>
            <w:vAlign w:val="center"/>
            <w:hideMark/>
          </w:tcPr>
          <w:p w14:paraId="46F022DA" w14:textId="77777777" w:rsidR="002A7E90" w:rsidRPr="00B41E66" w:rsidRDefault="002A7E90" w:rsidP="002A7E90">
            <w:pPr>
              <w:jc w:val="center"/>
              <w:rPr>
                <w:color w:val="0000FF"/>
                <w:lang w:val="en-IL" w:eastAsia="en-IL" w:bidi="he-IL"/>
              </w:rPr>
            </w:pPr>
            <w:r w:rsidRPr="00B41E66">
              <w:rPr>
                <w:color w:val="0000FF"/>
                <w:lang w:val="en-IL" w:eastAsia="en-IL" w:bidi="he-IL"/>
              </w:rPr>
              <w:t>-14.9</w:t>
            </w:r>
          </w:p>
        </w:tc>
        <w:tc>
          <w:tcPr>
            <w:tcW w:w="860" w:type="dxa"/>
            <w:tcBorders>
              <w:top w:val="nil"/>
              <w:left w:val="single" w:sz="12" w:space="0" w:color="auto"/>
              <w:bottom w:val="single" w:sz="12" w:space="0" w:color="auto"/>
              <w:right w:val="nil"/>
            </w:tcBorders>
            <w:shd w:val="clear" w:color="auto" w:fill="auto"/>
            <w:vAlign w:val="center"/>
            <w:hideMark/>
          </w:tcPr>
          <w:p w14:paraId="0575EE79" w14:textId="77777777" w:rsidR="002A7E90" w:rsidRPr="00B41E66" w:rsidRDefault="002A7E90" w:rsidP="002A7E90">
            <w:pPr>
              <w:jc w:val="center"/>
              <w:rPr>
                <w:color w:val="0000FF"/>
                <w:lang w:val="en-IL" w:eastAsia="en-IL" w:bidi="he-IL"/>
              </w:rPr>
            </w:pPr>
            <w:r w:rsidRPr="00B41E66">
              <w:rPr>
                <w:color w:val="0000FF"/>
                <w:lang w:val="en-IL" w:eastAsia="en-IL" w:bidi="he-IL"/>
              </w:rPr>
              <w:t>-46.55%</w:t>
            </w:r>
          </w:p>
        </w:tc>
        <w:tc>
          <w:tcPr>
            <w:tcW w:w="740" w:type="dxa"/>
            <w:tcBorders>
              <w:top w:val="nil"/>
              <w:left w:val="nil"/>
              <w:bottom w:val="single" w:sz="12" w:space="0" w:color="auto"/>
              <w:right w:val="single" w:sz="12" w:space="0" w:color="auto"/>
            </w:tcBorders>
            <w:shd w:val="clear" w:color="auto" w:fill="auto"/>
            <w:noWrap/>
            <w:vAlign w:val="center"/>
            <w:hideMark/>
          </w:tcPr>
          <w:p w14:paraId="184A534E" w14:textId="77777777" w:rsidR="002A7E90" w:rsidRPr="00B41E66" w:rsidRDefault="002A7E90" w:rsidP="002A7E90">
            <w:pPr>
              <w:jc w:val="center"/>
              <w:rPr>
                <w:color w:val="0000FF"/>
                <w:lang w:val="en-IL" w:eastAsia="en-IL" w:bidi="he-IL"/>
              </w:rPr>
            </w:pPr>
            <w:r w:rsidRPr="00B41E66">
              <w:rPr>
                <w:color w:val="0000FF"/>
                <w:lang w:val="en-IL" w:eastAsia="en-IL" w:bidi="he-IL"/>
              </w:rPr>
              <w:t>-13.20</w:t>
            </w:r>
          </w:p>
        </w:tc>
        <w:tc>
          <w:tcPr>
            <w:tcW w:w="820" w:type="dxa"/>
            <w:tcBorders>
              <w:top w:val="nil"/>
              <w:left w:val="nil"/>
              <w:bottom w:val="single" w:sz="12" w:space="0" w:color="auto"/>
              <w:right w:val="nil"/>
            </w:tcBorders>
            <w:shd w:val="clear" w:color="auto" w:fill="auto"/>
            <w:vAlign w:val="center"/>
            <w:hideMark/>
          </w:tcPr>
          <w:p w14:paraId="766A856A" w14:textId="77777777" w:rsidR="002A7E90" w:rsidRPr="00B41E66" w:rsidRDefault="002A7E90" w:rsidP="002A7E90">
            <w:pPr>
              <w:jc w:val="center"/>
              <w:rPr>
                <w:color w:val="0000FF"/>
                <w:lang w:val="en-IL" w:eastAsia="en-IL" w:bidi="he-IL"/>
              </w:rPr>
            </w:pPr>
            <w:r w:rsidRPr="00B41E66">
              <w:rPr>
                <w:color w:val="0000FF"/>
                <w:lang w:val="en-IL" w:eastAsia="en-IL" w:bidi="he-IL"/>
              </w:rPr>
              <w:t>-37.4%</w:t>
            </w:r>
          </w:p>
        </w:tc>
        <w:tc>
          <w:tcPr>
            <w:tcW w:w="680" w:type="dxa"/>
            <w:tcBorders>
              <w:top w:val="nil"/>
              <w:left w:val="nil"/>
              <w:bottom w:val="single" w:sz="12" w:space="0" w:color="auto"/>
              <w:right w:val="nil"/>
            </w:tcBorders>
            <w:shd w:val="clear" w:color="auto" w:fill="auto"/>
            <w:noWrap/>
            <w:vAlign w:val="center"/>
            <w:hideMark/>
          </w:tcPr>
          <w:p w14:paraId="6F8D288B" w14:textId="77777777" w:rsidR="002A7E90" w:rsidRPr="00B41E66" w:rsidRDefault="002A7E90" w:rsidP="002A7E90">
            <w:pPr>
              <w:jc w:val="center"/>
              <w:rPr>
                <w:color w:val="0000FF"/>
                <w:lang w:val="en-IL" w:eastAsia="en-IL" w:bidi="he-IL"/>
              </w:rPr>
            </w:pPr>
            <w:r w:rsidRPr="00B41E66">
              <w:rPr>
                <w:color w:val="0000FF"/>
                <w:lang w:val="en-IL" w:eastAsia="en-IL" w:bidi="he-IL"/>
              </w:rPr>
              <w:t>-11. 7</w:t>
            </w:r>
          </w:p>
        </w:tc>
        <w:tc>
          <w:tcPr>
            <w:tcW w:w="900" w:type="dxa"/>
            <w:tcBorders>
              <w:top w:val="nil"/>
              <w:left w:val="single" w:sz="12" w:space="0" w:color="auto"/>
              <w:bottom w:val="single" w:sz="12" w:space="0" w:color="auto"/>
              <w:right w:val="nil"/>
            </w:tcBorders>
            <w:shd w:val="clear" w:color="auto" w:fill="auto"/>
            <w:vAlign w:val="center"/>
            <w:hideMark/>
          </w:tcPr>
          <w:p w14:paraId="15595236" w14:textId="77777777" w:rsidR="002A7E90" w:rsidRPr="00B41E66" w:rsidRDefault="002A7E90" w:rsidP="002A7E90">
            <w:pPr>
              <w:jc w:val="center"/>
              <w:rPr>
                <w:color w:val="0000FF"/>
                <w:lang w:val="en-IL" w:eastAsia="en-IL" w:bidi="he-IL"/>
              </w:rPr>
            </w:pPr>
            <w:r w:rsidRPr="00B41E66">
              <w:rPr>
                <w:color w:val="0000FF"/>
                <w:lang w:val="en-IL" w:eastAsia="en-IL" w:bidi="he-IL"/>
              </w:rPr>
              <w:t>-38.46%</w:t>
            </w:r>
          </w:p>
        </w:tc>
        <w:tc>
          <w:tcPr>
            <w:tcW w:w="720" w:type="dxa"/>
            <w:tcBorders>
              <w:top w:val="nil"/>
              <w:left w:val="nil"/>
              <w:bottom w:val="single" w:sz="12" w:space="0" w:color="auto"/>
              <w:right w:val="single" w:sz="12" w:space="0" w:color="auto"/>
            </w:tcBorders>
            <w:shd w:val="clear" w:color="auto" w:fill="auto"/>
            <w:noWrap/>
            <w:vAlign w:val="center"/>
            <w:hideMark/>
          </w:tcPr>
          <w:p w14:paraId="1EB3A2E2" w14:textId="77777777" w:rsidR="002A7E90" w:rsidRPr="00B41E66" w:rsidRDefault="002A7E90" w:rsidP="002A7E90">
            <w:pPr>
              <w:jc w:val="center"/>
              <w:rPr>
                <w:color w:val="0000FF"/>
                <w:lang w:val="en-IL" w:eastAsia="en-IL" w:bidi="he-IL"/>
              </w:rPr>
            </w:pPr>
            <w:r w:rsidRPr="00B41E66">
              <w:rPr>
                <w:color w:val="0000FF"/>
                <w:lang w:val="en-IL" w:eastAsia="en-IL" w:bidi="he-IL"/>
              </w:rPr>
              <w:t>-11.39</w:t>
            </w:r>
          </w:p>
        </w:tc>
      </w:tr>
    </w:tbl>
    <w:p w14:paraId="7D6B7099" w14:textId="77777777" w:rsidR="002A7E90" w:rsidRPr="00B41E66" w:rsidRDefault="002A7E90" w:rsidP="002A7E90">
      <w:pPr>
        <w:spacing w:after="160" w:line="360" w:lineRule="auto"/>
        <w:contextualSpacing/>
        <w:rPr>
          <w:color w:val="0000FF"/>
          <w:lang w:eastAsia="en-IL" w:bidi="he-IL"/>
        </w:rPr>
      </w:pPr>
      <w:r w:rsidRPr="00B41E66">
        <w:rPr>
          <w:color w:val="0000FF"/>
          <w:lang w:eastAsia="en-IL" w:bidi="he-IL"/>
        </w:rPr>
        <w:t>Note: this table present large-sized firm CAAR results, when using $100M, $200M, $300 and $400M as a separating value between small-sized and large-sized firms.</w:t>
      </w:r>
    </w:p>
    <w:p w14:paraId="1DCB8A75" w14:textId="77777777" w:rsidR="002A7E90" w:rsidRPr="00B41E66" w:rsidRDefault="002A7E90" w:rsidP="002A7E90">
      <w:pPr>
        <w:spacing w:after="160" w:line="259" w:lineRule="auto"/>
        <w:ind w:left="720"/>
        <w:contextualSpacing/>
        <w:rPr>
          <w:b/>
          <w:bCs/>
          <w:color w:val="0A0A0A"/>
          <w:lang w:eastAsia="en-IL" w:bidi="he-IL"/>
        </w:rPr>
      </w:pPr>
    </w:p>
    <w:p w14:paraId="248B5B22" w14:textId="77777777" w:rsidR="002A7E90" w:rsidRPr="00B41E66" w:rsidRDefault="002A7E90" w:rsidP="00BC622F">
      <w:pPr>
        <w:spacing w:line="360" w:lineRule="auto"/>
        <w:rPr>
          <w:b/>
          <w:bCs/>
        </w:rPr>
      </w:pPr>
    </w:p>
    <w:p w14:paraId="1133FCC6" w14:textId="77777777" w:rsidR="005D2B84" w:rsidRPr="00B41E66" w:rsidRDefault="005D2B84" w:rsidP="00BC622F">
      <w:pPr>
        <w:spacing w:line="360" w:lineRule="auto"/>
        <w:rPr>
          <w:b/>
          <w:bCs/>
        </w:rPr>
      </w:pPr>
    </w:p>
    <w:p w14:paraId="1274EE1B" w14:textId="77777777" w:rsidR="005D2B84" w:rsidRPr="00B41E66" w:rsidRDefault="005D2B84" w:rsidP="00BC622F">
      <w:pPr>
        <w:spacing w:line="360" w:lineRule="auto"/>
        <w:rPr>
          <w:b/>
          <w:bCs/>
        </w:rPr>
      </w:pPr>
    </w:p>
    <w:p w14:paraId="2ADF41CD" w14:textId="77777777" w:rsidR="005D2B84" w:rsidRPr="00B41E66" w:rsidRDefault="005D2B84" w:rsidP="00BC622F">
      <w:pPr>
        <w:spacing w:line="360" w:lineRule="auto"/>
        <w:rPr>
          <w:b/>
          <w:bCs/>
        </w:rPr>
      </w:pPr>
    </w:p>
    <w:p w14:paraId="51EC0D98" w14:textId="77777777" w:rsidR="005D2B84" w:rsidRPr="00B41E66" w:rsidRDefault="005D2B84" w:rsidP="00BC622F">
      <w:pPr>
        <w:spacing w:line="360" w:lineRule="auto"/>
        <w:rPr>
          <w:b/>
          <w:bCs/>
        </w:rPr>
      </w:pPr>
    </w:p>
    <w:p w14:paraId="67D25BEE" w14:textId="77777777" w:rsidR="00AB655B" w:rsidRPr="00B41E66" w:rsidRDefault="00AB655B" w:rsidP="00BC622F">
      <w:pPr>
        <w:spacing w:line="360" w:lineRule="auto"/>
        <w:rPr>
          <w:b/>
          <w:bCs/>
        </w:rPr>
      </w:pPr>
    </w:p>
    <w:sectPr w:rsidR="00AB655B" w:rsidRPr="00B41E66" w:rsidSect="007F17B3">
      <w:headerReference w:type="default" r:id="rId17"/>
      <w:footerReference w:type="default" r:id="rId18"/>
      <w:pgSz w:w="12240" w:h="15840"/>
      <w:pgMar w:top="1296" w:right="1310" w:bottom="1152" w:left="13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D3F5A" w14:textId="77777777" w:rsidR="00432737" w:rsidRDefault="00432737">
      <w:r>
        <w:separator/>
      </w:r>
    </w:p>
  </w:endnote>
  <w:endnote w:type="continuationSeparator" w:id="0">
    <w:p w14:paraId="3BA21AEA" w14:textId="77777777" w:rsidR="00432737" w:rsidRDefault="0043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Cambria Math">
    <w:panose1 w:val="02040503050406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901D0" w14:textId="77777777" w:rsidR="002A5445" w:rsidRDefault="002A5445" w:rsidP="00A034C1">
    <w:pPr>
      <w:pStyle w:val="Footer"/>
      <w:jc w:val="right"/>
    </w:pPr>
    <w:r>
      <w:rPr>
        <w:rStyle w:val="PageNumber"/>
      </w:rPr>
      <w:fldChar w:fldCharType="begin"/>
    </w:r>
    <w:r>
      <w:rPr>
        <w:rStyle w:val="PageNumber"/>
      </w:rPr>
      <w:instrText xml:space="preserve"> PAGE </w:instrText>
    </w:r>
    <w:r>
      <w:rPr>
        <w:rStyle w:val="PageNumber"/>
      </w:rPr>
      <w:fldChar w:fldCharType="separate"/>
    </w:r>
    <w:r w:rsidR="00907ABE">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A143F" w14:textId="77777777" w:rsidR="00432737" w:rsidRDefault="00432737">
      <w:r>
        <w:separator/>
      </w:r>
    </w:p>
  </w:footnote>
  <w:footnote w:type="continuationSeparator" w:id="0">
    <w:p w14:paraId="6C47EAFD" w14:textId="77777777" w:rsidR="00432737" w:rsidRDefault="00432737">
      <w:r>
        <w:continuationSeparator/>
      </w:r>
    </w:p>
  </w:footnote>
  <w:footnote w:id="1">
    <w:p w14:paraId="1FDC148E" w14:textId="77777777" w:rsidR="00A10A5B" w:rsidRDefault="00A10A5B">
      <w:pPr>
        <w:pStyle w:val="FootnoteText"/>
      </w:pPr>
      <w:r>
        <w:rPr>
          <w:rStyle w:val="FootnoteReference"/>
        </w:rPr>
        <w:footnoteRef/>
      </w:r>
      <w:r>
        <w:t xml:space="preserve"> </w:t>
      </w:r>
      <w:r>
        <w:rPr>
          <w:rFonts w:ascii="Arial" w:hAnsi="Arial" w:cs="Arial"/>
          <w:color w:val="222222"/>
          <w:shd w:val="clear" w:color="auto" w:fill="FFFFFF"/>
        </w:rPr>
        <w:t>Quoted in Bhattacharya, U., Galpin, N., Ray, R., &amp; Yu, X. (2009). The role of the media in the internet IPO bubble. </w:t>
      </w:r>
      <w:r>
        <w:rPr>
          <w:rFonts w:ascii="Arial" w:hAnsi="Arial" w:cs="Arial"/>
          <w:i/>
          <w:iCs/>
          <w:color w:val="222222"/>
          <w:shd w:val="clear" w:color="auto" w:fill="FFFFFF"/>
        </w:rPr>
        <w:t>Journal of Financial and Quantitative Analysis</w:t>
      </w:r>
      <w:r>
        <w:rPr>
          <w:rFonts w:ascii="Arial" w:hAnsi="Arial" w:cs="Arial"/>
          <w:color w:val="222222"/>
          <w:shd w:val="clear" w:color="auto" w:fill="FFFFFF"/>
        </w:rPr>
        <w:t>, </w:t>
      </w:r>
      <w:r>
        <w:rPr>
          <w:rFonts w:ascii="Arial" w:hAnsi="Arial" w:cs="Arial"/>
          <w:i/>
          <w:iCs/>
          <w:color w:val="222222"/>
          <w:shd w:val="clear" w:color="auto" w:fill="FFFFFF"/>
        </w:rPr>
        <w:t>44</w:t>
      </w:r>
      <w:r>
        <w:rPr>
          <w:rFonts w:ascii="Arial" w:hAnsi="Arial" w:cs="Arial"/>
          <w:color w:val="222222"/>
          <w:shd w:val="clear" w:color="auto" w:fill="FFFFFF"/>
        </w:rPr>
        <w:t>(3), 657-682., p1</w:t>
      </w:r>
    </w:p>
  </w:footnote>
  <w:footnote w:id="2">
    <w:p w14:paraId="590D43B5" w14:textId="77777777" w:rsidR="002A5445" w:rsidRDefault="002A5445" w:rsidP="00F96ED3">
      <w:pPr>
        <w:pStyle w:val="FootnoteText"/>
      </w:pPr>
      <w:r>
        <w:rPr>
          <w:rStyle w:val="FootnoteReference"/>
        </w:rPr>
        <w:footnoteRef/>
      </w:r>
      <w:r>
        <w:t xml:space="preserve"> </w:t>
      </w:r>
      <w:r w:rsidRPr="00715681">
        <w:rPr>
          <w:b/>
          <w:bCs/>
        </w:rPr>
        <w:t>VIX</w:t>
      </w:r>
      <w:r w:rsidRPr="00715681">
        <w:t xml:space="preserve">, is a popular measure of the </w:t>
      </w:r>
      <w:hyperlink r:id="rId1" w:tooltip="Stock market" w:history="1">
        <w:r w:rsidRPr="00715681">
          <w:t>stock market</w:t>
        </w:r>
      </w:hyperlink>
      <w:r w:rsidR="00A82CF3">
        <w:t>’</w:t>
      </w:r>
      <w:r w:rsidRPr="00715681">
        <w:t>s expectation of volatility implied by S&amp;P 500 index options. It is calculated and disseminated on a real-time basis by the Chicago Board Options Exchange (CBOE), and is commonly referred to as the fear index or the fear gauge</w:t>
      </w:r>
      <w:r w:rsidR="00DF2A4B">
        <w:rPr>
          <w:i/>
          <w:iCs/>
        </w:rPr>
        <w:t xml:space="preserve"> </w:t>
      </w:r>
      <w:r w:rsidRPr="00F96ED3">
        <w:t>(Wikipedia</w:t>
      </w:r>
      <w:r>
        <w:t>)</w:t>
      </w:r>
      <w:r w:rsidR="00DF2A4B">
        <w:t>.</w:t>
      </w:r>
    </w:p>
  </w:footnote>
  <w:footnote w:id="3">
    <w:p w14:paraId="6CEB5277" w14:textId="77777777" w:rsidR="002A5445" w:rsidRPr="00CF01C8" w:rsidRDefault="002A5445" w:rsidP="0074449C">
      <w:pPr>
        <w:pStyle w:val="FootnoteText"/>
        <w:rPr>
          <w:lang w:val="en-GB"/>
        </w:rPr>
      </w:pPr>
      <w:r>
        <w:rPr>
          <w:rStyle w:val="FootnoteReference"/>
        </w:rPr>
        <w:footnoteRef/>
      </w:r>
      <w:r>
        <w:t xml:space="preserve"> </w:t>
      </w:r>
      <w:r w:rsidRPr="00BF1E23">
        <w:rPr>
          <w:lang w:bidi="he-IL"/>
        </w:rPr>
        <w:t>EvaluatePharma database is one of the top global pharma database</w:t>
      </w:r>
      <w:r>
        <w:rPr>
          <w:lang w:bidi="he-IL"/>
        </w:rPr>
        <w:t>s:</w:t>
      </w:r>
      <w:r w:rsidRPr="00BF1E23">
        <w:rPr>
          <w:lang w:bidi="he-IL"/>
        </w:rPr>
        <w:t xml:space="preserve"> </w:t>
      </w:r>
      <w:hyperlink r:id="rId2" w:history="1">
        <w:r w:rsidRPr="00BF1E23">
          <w:rPr>
            <w:rStyle w:val="Hyperlink"/>
            <w:lang w:bidi="he-IL"/>
          </w:rPr>
          <w:t>http://www.evaluate.com/</w:t>
        </w:r>
      </w:hyperlink>
      <w:r w:rsidRPr="00BF1E23">
        <w:rPr>
          <w:lang w:bidi="he-IL"/>
        </w:rPr>
        <w:t xml:space="preserve"> </w:t>
      </w:r>
    </w:p>
  </w:footnote>
  <w:footnote w:id="4">
    <w:p w14:paraId="1AC785A9" w14:textId="77777777" w:rsidR="002A5445" w:rsidRDefault="002A5445" w:rsidP="00F96ED3">
      <w:pPr>
        <w:pStyle w:val="FootnoteText"/>
      </w:pPr>
      <w:r>
        <w:rPr>
          <w:rStyle w:val="FootnoteReference"/>
        </w:rPr>
        <w:footnoteRef/>
      </w:r>
      <w:r w:rsidRPr="00BF1E23">
        <w:t xml:space="preserve">A </w:t>
      </w:r>
      <w:r>
        <w:t xml:space="preserve">detailed </w:t>
      </w:r>
      <w:r w:rsidRPr="00BF1E23">
        <w:t xml:space="preserve">list of the companies </w:t>
      </w:r>
      <w:r>
        <w:t>can</w:t>
      </w:r>
      <w:r w:rsidRPr="00BF1E23">
        <w:t xml:space="preserve"> be provided upon request.</w:t>
      </w:r>
    </w:p>
  </w:footnote>
  <w:footnote w:id="5">
    <w:p w14:paraId="735F638E" w14:textId="77777777" w:rsidR="002A5445" w:rsidRPr="00E179D4" w:rsidRDefault="002A5445" w:rsidP="0074449C">
      <w:pPr>
        <w:pStyle w:val="FootnoteText"/>
        <w:rPr>
          <w:sz w:val="18"/>
          <w:szCs w:val="18"/>
        </w:rPr>
      </w:pPr>
      <w:r w:rsidRPr="00E179D4">
        <w:rPr>
          <w:rStyle w:val="FootnoteReference"/>
          <w:sz w:val="18"/>
          <w:szCs w:val="18"/>
        </w:rPr>
        <w:footnoteRef/>
      </w:r>
      <w:r w:rsidRPr="00E179D4">
        <w:rPr>
          <w:sz w:val="18"/>
          <w:szCs w:val="18"/>
        </w:rPr>
        <w:t xml:space="preserve"> Market capitalization for December of the IPO year calculated by </w:t>
      </w:r>
      <w:r>
        <w:rPr>
          <w:sz w:val="18"/>
          <w:szCs w:val="18"/>
        </w:rPr>
        <w:t xml:space="preserve">multiplying </w:t>
      </w:r>
      <w:r w:rsidRPr="00E179D4">
        <w:rPr>
          <w:sz w:val="18"/>
          <w:szCs w:val="18"/>
        </w:rPr>
        <w:t xml:space="preserve">the number of shares </w:t>
      </w:r>
      <w:r>
        <w:rPr>
          <w:sz w:val="18"/>
          <w:szCs w:val="18"/>
        </w:rPr>
        <w:t>appearing</w:t>
      </w:r>
      <w:r w:rsidRPr="00E179D4">
        <w:rPr>
          <w:sz w:val="18"/>
          <w:szCs w:val="18"/>
        </w:rPr>
        <w:t xml:space="preserve"> in the firms’ profit and loss statement by the stock price </w:t>
      </w:r>
      <w:r>
        <w:rPr>
          <w:sz w:val="18"/>
          <w:szCs w:val="18"/>
        </w:rPr>
        <w:t>on</w:t>
      </w:r>
      <w:r w:rsidRPr="00E179D4">
        <w:rPr>
          <w:sz w:val="18"/>
          <w:szCs w:val="18"/>
        </w:rPr>
        <w:t xml:space="preserve"> that day. The result was confirm</w:t>
      </w:r>
      <w:r>
        <w:rPr>
          <w:sz w:val="18"/>
          <w:szCs w:val="18"/>
        </w:rPr>
        <w:t>ed</w:t>
      </w:r>
      <w:r w:rsidRPr="00E179D4">
        <w:rPr>
          <w:sz w:val="18"/>
          <w:szCs w:val="18"/>
        </w:rPr>
        <w:t xml:space="preserve"> with the value appear</w:t>
      </w:r>
      <w:r>
        <w:rPr>
          <w:sz w:val="18"/>
          <w:szCs w:val="18"/>
        </w:rPr>
        <w:t>ing</w:t>
      </w:r>
      <w:r w:rsidRPr="00E179D4">
        <w:rPr>
          <w:sz w:val="18"/>
          <w:szCs w:val="18"/>
        </w:rPr>
        <w:t xml:space="preserve"> </w:t>
      </w:r>
      <w:r>
        <w:rPr>
          <w:sz w:val="18"/>
          <w:szCs w:val="18"/>
        </w:rPr>
        <w:t>on the</w:t>
      </w:r>
      <w:r w:rsidRPr="00E179D4">
        <w:rPr>
          <w:sz w:val="18"/>
          <w:szCs w:val="18"/>
        </w:rPr>
        <w:t xml:space="preserve"> stockraw.com website.  </w:t>
      </w:r>
    </w:p>
  </w:footnote>
  <w:footnote w:id="6">
    <w:p w14:paraId="2D7B4383" w14:textId="77777777" w:rsidR="00B22577" w:rsidRDefault="00B22577">
      <w:pPr>
        <w:pStyle w:val="FootnoteText"/>
        <w:rPr>
          <w:rtl/>
          <w:lang w:bidi="he-IL"/>
        </w:rPr>
      </w:pPr>
      <w:r>
        <w:rPr>
          <w:rStyle w:val="FootnoteReference"/>
        </w:rPr>
        <w:footnoteRef/>
      </w:r>
      <w:r>
        <w:t xml:space="preserve"> </w:t>
      </w:r>
      <w:bookmarkStart w:id="4" w:name="_Hlk80265752"/>
      <w:r w:rsidRPr="00B22577">
        <w:rPr>
          <w:color w:val="0000FF"/>
        </w:rPr>
        <w:t xml:space="preserve">The companies' market capitalization series is not normally distributed as evidenced by </w:t>
      </w:r>
      <w:r w:rsidRPr="00B22577">
        <w:rPr>
          <w:rFonts w:ascii="Calibri" w:hAnsi="Calibri" w:cs="Calibri"/>
          <w:color w:val="0000FF"/>
          <w:lang w:eastAsia="en-IL"/>
        </w:rPr>
        <w:t>Jarque-Bera Test</w:t>
      </w:r>
      <w:r w:rsidRPr="00B22577">
        <w:rPr>
          <w:color w:val="0000FF"/>
        </w:rPr>
        <w:t xml:space="preserve"> results</w:t>
      </w:r>
      <w:bookmarkEnd w:id="4"/>
      <w:r w:rsidR="00B622A4">
        <w:rPr>
          <w:color w:val="0000FF"/>
        </w:rPr>
        <w:t>.</w:t>
      </w:r>
    </w:p>
  </w:footnote>
  <w:footnote w:id="7">
    <w:p w14:paraId="6CD9B50E" w14:textId="77777777" w:rsidR="002A5445" w:rsidRPr="00E179D4" w:rsidRDefault="002A5445" w:rsidP="00F96ED3">
      <w:pPr>
        <w:spacing w:line="360" w:lineRule="auto"/>
        <w:rPr>
          <w:sz w:val="18"/>
          <w:szCs w:val="18"/>
          <w:rtl/>
          <w:lang w:bidi="he-IL"/>
        </w:rPr>
      </w:pPr>
      <w:r w:rsidRPr="00E179D4">
        <w:rPr>
          <w:rStyle w:val="FootnoteReference"/>
          <w:sz w:val="18"/>
          <w:szCs w:val="18"/>
        </w:rPr>
        <w:footnoteRef/>
      </w:r>
      <w:r w:rsidRPr="00E179D4">
        <w:rPr>
          <w:sz w:val="18"/>
          <w:szCs w:val="18"/>
        </w:rPr>
        <w:t xml:space="preserve"> One of our goals was to explore whether firms </w:t>
      </w:r>
      <w:r>
        <w:rPr>
          <w:sz w:val="18"/>
          <w:szCs w:val="18"/>
        </w:rPr>
        <w:t>that</w:t>
      </w:r>
      <w:r w:rsidRPr="00E179D4">
        <w:rPr>
          <w:sz w:val="18"/>
          <w:szCs w:val="18"/>
        </w:rPr>
        <w:t xml:space="preserve"> conduct </w:t>
      </w:r>
      <w:r>
        <w:rPr>
          <w:sz w:val="18"/>
          <w:szCs w:val="18"/>
        </w:rPr>
        <w:t xml:space="preserve">an </w:t>
      </w:r>
      <w:r w:rsidRPr="00E179D4">
        <w:rPr>
          <w:sz w:val="18"/>
          <w:szCs w:val="18"/>
        </w:rPr>
        <w:t>active tw</w:t>
      </w:r>
      <w:r>
        <w:rPr>
          <w:sz w:val="18"/>
          <w:szCs w:val="18"/>
        </w:rPr>
        <w:t>ee</w:t>
      </w:r>
      <w:r w:rsidRPr="00E179D4">
        <w:rPr>
          <w:sz w:val="18"/>
          <w:szCs w:val="18"/>
        </w:rPr>
        <w:t>ting policy had an advantage over these who do</w:t>
      </w:r>
      <w:r>
        <w:rPr>
          <w:sz w:val="18"/>
          <w:szCs w:val="18"/>
        </w:rPr>
        <w:t xml:space="preserve"> not</w:t>
      </w:r>
      <w:r w:rsidRPr="00E179D4">
        <w:rPr>
          <w:sz w:val="18"/>
          <w:szCs w:val="18"/>
        </w:rPr>
        <w:t xml:space="preserve"> with respect to returns. Surprisingly, </w:t>
      </w:r>
      <w:r>
        <w:rPr>
          <w:sz w:val="18"/>
          <w:szCs w:val="18"/>
        </w:rPr>
        <w:t xml:space="preserve">the </w:t>
      </w:r>
      <w:r w:rsidRPr="00E179D4">
        <w:rPr>
          <w:sz w:val="18"/>
          <w:szCs w:val="18"/>
        </w:rPr>
        <w:t xml:space="preserve">firms’ activity on Twitter </w:t>
      </w:r>
      <w:r w:rsidRPr="00E179D4">
        <w:rPr>
          <w:sz w:val="18"/>
          <w:szCs w:val="18"/>
          <w:lang w:bidi="he-IL"/>
        </w:rPr>
        <w:t>wa</w:t>
      </w:r>
      <w:r w:rsidRPr="00E179D4">
        <w:rPr>
          <w:sz w:val="18"/>
          <w:szCs w:val="18"/>
        </w:rPr>
        <w:t>s</w:t>
      </w:r>
      <w:r w:rsidR="00B4009A">
        <w:rPr>
          <w:sz w:val="18"/>
          <w:szCs w:val="18"/>
        </w:rPr>
        <w:t xml:space="preserve"> non-existent</w:t>
      </w:r>
      <w:r>
        <w:rPr>
          <w:sz w:val="18"/>
          <w:szCs w:val="18"/>
        </w:rPr>
        <w:t xml:space="preserve"> or </w:t>
      </w:r>
      <w:r w:rsidRPr="00E179D4">
        <w:rPr>
          <w:sz w:val="18"/>
          <w:szCs w:val="18"/>
        </w:rPr>
        <w:t xml:space="preserve">very low. For example, in the IPO year, </w:t>
      </w:r>
      <w:r>
        <w:rPr>
          <w:sz w:val="18"/>
          <w:szCs w:val="18"/>
        </w:rPr>
        <w:t xml:space="preserve">only </w:t>
      </w:r>
      <w:r w:rsidRPr="00E179D4">
        <w:rPr>
          <w:sz w:val="18"/>
          <w:szCs w:val="18"/>
        </w:rPr>
        <w:t>15 out of 182 companies</w:t>
      </w:r>
      <w:r>
        <w:rPr>
          <w:sz w:val="18"/>
          <w:szCs w:val="18"/>
        </w:rPr>
        <w:t xml:space="preserve"> used Twitter and were responsible for</w:t>
      </w:r>
      <w:r w:rsidRPr="00E179D4">
        <w:rPr>
          <w:sz w:val="18"/>
          <w:szCs w:val="18"/>
        </w:rPr>
        <w:t xml:space="preserve"> less than </w:t>
      </w:r>
      <w:r>
        <w:rPr>
          <w:sz w:val="18"/>
          <w:szCs w:val="18"/>
        </w:rPr>
        <w:t>0.6</w:t>
      </w:r>
      <w:r w:rsidRPr="00E179D4">
        <w:rPr>
          <w:sz w:val="18"/>
          <w:szCs w:val="18"/>
        </w:rPr>
        <w:t xml:space="preserve">% of the total number of tweets. This low participation rate </w:t>
      </w:r>
      <w:r>
        <w:rPr>
          <w:sz w:val="18"/>
          <w:szCs w:val="18"/>
        </w:rPr>
        <w:t>within the total number of</w:t>
      </w:r>
      <w:r w:rsidRPr="00E179D4">
        <w:rPr>
          <w:sz w:val="18"/>
          <w:szCs w:val="18"/>
        </w:rPr>
        <w:t xml:space="preserve"> tweets </w:t>
      </w:r>
      <w:r>
        <w:rPr>
          <w:sz w:val="18"/>
          <w:szCs w:val="18"/>
        </w:rPr>
        <w:t>rendered</w:t>
      </w:r>
      <w:r w:rsidRPr="00E179D4">
        <w:rPr>
          <w:sz w:val="18"/>
          <w:szCs w:val="18"/>
        </w:rPr>
        <w:t xml:space="preserve"> this analysis pointless</w:t>
      </w:r>
      <w:r>
        <w:rPr>
          <w:sz w:val="18"/>
          <w:szCs w:val="18"/>
        </w:rPr>
        <w:t>.</w:t>
      </w:r>
    </w:p>
    <w:p w14:paraId="7703CA53" w14:textId="77777777" w:rsidR="002A5445" w:rsidRPr="00E179D4" w:rsidRDefault="002A5445">
      <w:pPr>
        <w:pStyle w:val="FootnoteText"/>
        <w:rPr>
          <w:sz w:val="18"/>
          <w:szCs w:val="18"/>
          <w:lang w:bidi="he-IL"/>
        </w:rPr>
      </w:pPr>
    </w:p>
  </w:footnote>
  <w:footnote w:id="8">
    <w:p w14:paraId="6775D640" w14:textId="77777777" w:rsidR="00245445" w:rsidRDefault="00245445">
      <w:pPr>
        <w:pStyle w:val="FootnoteText"/>
      </w:pPr>
      <w:r>
        <w:rPr>
          <w:rStyle w:val="FootnoteReference"/>
        </w:rPr>
        <w:footnoteRef/>
      </w:r>
      <w:r>
        <w:t xml:space="preserve"> </w:t>
      </w:r>
      <w:r w:rsidR="00460D70" w:rsidRPr="00245445">
        <w:rPr>
          <w:color w:val="0000FF"/>
        </w:rPr>
        <w:t xml:space="preserve">Due to </w:t>
      </w:r>
      <w:r w:rsidR="00460D70">
        <w:rPr>
          <w:rFonts w:ascii="Calibri" w:hAnsi="Calibri" w:cs="Calibri"/>
          <w:color w:val="0000FF"/>
          <w:lang w:eastAsia="en-IL"/>
        </w:rPr>
        <w:t xml:space="preserve">limitations of using </w:t>
      </w:r>
      <w:r w:rsidR="00460D70">
        <w:rPr>
          <w:rFonts w:ascii="Calibri" w:hAnsi="Calibri" w:cs="Calibri" w:hint="cs"/>
          <w:color w:val="0000FF"/>
          <w:lang w:eastAsia="en-IL"/>
        </w:rPr>
        <w:t>T</w:t>
      </w:r>
      <w:r w:rsidR="00460D70">
        <w:rPr>
          <w:rFonts w:ascii="Calibri" w:hAnsi="Calibri" w:cs="Calibri"/>
          <w:color w:val="0000FF"/>
          <w:lang w:eastAsia="en-IL"/>
        </w:rPr>
        <w:t>witter API</w:t>
      </w:r>
      <w:r w:rsidR="00460D70">
        <w:rPr>
          <w:color w:val="0000FF"/>
        </w:rPr>
        <w:t>, w</w:t>
      </w:r>
      <w:r w:rsidR="00460D70" w:rsidRPr="00245445">
        <w:rPr>
          <w:color w:val="0000FF"/>
        </w:rPr>
        <w:t>e perform this analysis only for the years</w:t>
      </w:r>
      <w:r w:rsidR="00460D70">
        <w:rPr>
          <w:rFonts w:ascii="Arial" w:hAnsi="Arial" w:cs="Arial"/>
          <w:b/>
          <w:bCs/>
          <w:color w:val="0A0A0A"/>
          <w:lang w:eastAsia="en-IL"/>
        </w:rPr>
        <w:t xml:space="preserve"> </w:t>
      </w:r>
      <w:r w:rsidR="00460D70" w:rsidRPr="00245445">
        <w:rPr>
          <w:color w:val="0000FF"/>
        </w:rPr>
        <w:t>2013</w:t>
      </w:r>
      <w:r w:rsidR="00460D70">
        <w:rPr>
          <w:color w:val="0000FF"/>
        </w:rPr>
        <w:t xml:space="preserve"> to </w:t>
      </w:r>
      <w:r w:rsidR="00460D70" w:rsidRPr="00245445">
        <w:rPr>
          <w:color w:val="0000FF"/>
        </w:rPr>
        <w:t>2017</w:t>
      </w:r>
      <w:r>
        <w:t>.</w:t>
      </w:r>
    </w:p>
  </w:footnote>
  <w:footnote w:id="9">
    <w:p w14:paraId="2EA93815" w14:textId="77777777" w:rsidR="002A5445" w:rsidRPr="00E179D4" w:rsidRDefault="002A5445" w:rsidP="002B046F">
      <w:pPr>
        <w:pStyle w:val="FootnoteText"/>
        <w:rPr>
          <w:sz w:val="18"/>
          <w:szCs w:val="18"/>
        </w:rPr>
      </w:pPr>
      <w:r w:rsidRPr="00E179D4">
        <w:rPr>
          <w:rStyle w:val="FootnoteReference"/>
          <w:sz w:val="18"/>
          <w:szCs w:val="18"/>
        </w:rPr>
        <w:footnoteRef/>
      </w:r>
      <w:r w:rsidRPr="00E179D4">
        <w:rPr>
          <w:sz w:val="18"/>
          <w:szCs w:val="18"/>
        </w:rPr>
        <w:t xml:space="preserve"> </w:t>
      </w:r>
      <w:r w:rsidRPr="00E179D4">
        <w:rPr>
          <w:rStyle w:val="shorttext"/>
          <w:sz w:val="18"/>
          <w:szCs w:val="18"/>
        </w:rPr>
        <w:t xml:space="preserve">Market capitalization is calculated for December </w:t>
      </w:r>
      <w:r>
        <w:rPr>
          <w:rStyle w:val="shorttext"/>
          <w:sz w:val="18"/>
          <w:szCs w:val="18"/>
        </w:rPr>
        <w:t xml:space="preserve">of each year relative to </w:t>
      </w:r>
      <w:r w:rsidR="00D823B5">
        <w:rPr>
          <w:rStyle w:val="shorttext"/>
          <w:sz w:val="18"/>
          <w:szCs w:val="18"/>
        </w:rPr>
        <w:t xml:space="preserve">the </w:t>
      </w:r>
      <w:r>
        <w:rPr>
          <w:rStyle w:val="shorttext"/>
          <w:sz w:val="18"/>
          <w:szCs w:val="18"/>
        </w:rPr>
        <w:t>IPO date.</w:t>
      </w:r>
    </w:p>
  </w:footnote>
  <w:footnote w:id="10">
    <w:p w14:paraId="0DDB2522" w14:textId="0B0269EE" w:rsidR="008A5398" w:rsidRDefault="008A5398">
      <w:pPr>
        <w:pStyle w:val="FootnoteText"/>
      </w:pPr>
      <w:r>
        <w:rPr>
          <w:rStyle w:val="FootnoteReference"/>
        </w:rPr>
        <w:footnoteRef/>
      </w:r>
      <w:r>
        <w:t xml:space="preserve"> </w:t>
      </w:r>
      <w:r w:rsidRPr="00513171">
        <w:rPr>
          <w:color w:val="0000FF"/>
        </w:rPr>
        <w:t xml:space="preserve">Despite the relative simplicity of the regression models offered, </w:t>
      </w:r>
      <w:r w:rsidR="00513171">
        <w:rPr>
          <w:color w:val="0000FF"/>
        </w:rPr>
        <w:t>they are well specifie</w:t>
      </w:r>
      <w:r w:rsidR="00003EE2">
        <w:rPr>
          <w:color w:val="0000FF"/>
        </w:rPr>
        <w:t>d</w:t>
      </w:r>
      <w:r w:rsidR="00513171">
        <w:rPr>
          <w:color w:val="0000FF"/>
        </w:rPr>
        <w:t xml:space="preserve"> as was proved by heteroscedasticity tests</w:t>
      </w:r>
      <w:r w:rsidR="00513171" w:rsidRPr="00513171">
        <w:rPr>
          <w:color w:val="0000FF"/>
        </w:rPr>
        <w:t>.</w:t>
      </w:r>
      <w:r w:rsidR="0051317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96CC" w14:textId="77777777" w:rsidR="002A5445" w:rsidRDefault="002A5445" w:rsidP="00166ED6">
    <w:pPr>
      <w:pStyle w:val="Header"/>
    </w:pPr>
  </w:p>
  <w:p w14:paraId="2DAAB7D3" w14:textId="77777777" w:rsidR="002A5445" w:rsidRDefault="002A5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4402"/>
    <w:multiLevelType w:val="hybridMultilevel"/>
    <w:tmpl w:val="0696FE4A"/>
    <w:lvl w:ilvl="0" w:tplc="490CD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24A1C"/>
    <w:multiLevelType w:val="multilevel"/>
    <w:tmpl w:val="92A075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896355"/>
    <w:multiLevelType w:val="multilevel"/>
    <w:tmpl w:val="EDCE89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778DF"/>
    <w:multiLevelType w:val="hybridMultilevel"/>
    <w:tmpl w:val="DB8E6C3A"/>
    <w:lvl w:ilvl="0" w:tplc="D0B09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94D0D"/>
    <w:multiLevelType w:val="hybridMultilevel"/>
    <w:tmpl w:val="31A84DB4"/>
    <w:lvl w:ilvl="0" w:tplc="45E4C94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84035"/>
    <w:multiLevelType w:val="hybridMultilevel"/>
    <w:tmpl w:val="65CA9266"/>
    <w:lvl w:ilvl="0" w:tplc="3372E6CA">
      <w:start w:val="1"/>
      <w:numFmt w:val="decimal"/>
      <w:lvlText w:val="(%1)"/>
      <w:lvlJc w:val="left"/>
      <w:pPr>
        <w:ind w:left="643" w:hanging="360"/>
      </w:pPr>
      <w:rPr>
        <w:rFonts w:ascii="Arial" w:hAnsi="Arial"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44251081"/>
    <w:multiLevelType w:val="hybridMultilevel"/>
    <w:tmpl w:val="A350E5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87CC7"/>
    <w:multiLevelType w:val="hybridMultilevel"/>
    <w:tmpl w:val="6582B3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520A9"/>
    <w:multiLevelType w:val="hybridMultilevel"/>
    <w:tmpl w:val="3392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1D01E7"/>
    <w:multiLevelType w:val="hybridMultilevel"/>
    <w:tmpl w:val="39E4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94050"/>
    <w:multiLevelType w:val="hybridMultilevel"/>
    <w:tmpl w:val="799AA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A7B25"/>
    <w:multiLevelType w:val="hybridMultilevel"/>
    <w:tmpl w:val="2A28BC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41112FD"/>
    <w:multiLevelType w:val="hybridMultilevel"/>
    <w:tmpl w:val="D3423064"/>
    <w:lvl w:ilvl="0" w:tplc="85F22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E3742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3"/>
  </w:num>
  <w:num w:numId="2">
    <w:abstractNumId w:val="4"/>
  </w:num>
  <w:num w:numId="3">
    <w:abstractNumId w:val="2"/>
  </w:num>
  <w:num w:numId="4">
    <w:abstractNumId w:val="7"/>
  </w:num>
  <w:num w:numId="5">
    <w:abstractNumId w:val="6"/>
  </w:num>
  <w:num w:numId="6">
    <w:abstractNumId w:val="5"/>
  </w:num>
  <w:num w:numId="7">
    <w:abstractNumId w:val="0"/>
  </w:num>
  <w:num w:numId="8">
    <w:abstractNumId w:val="3"/>
  </w:num>
  <w:num w:numId="9">
    <w:abstractNumId w:val="12"/>
  </w:num>
  <w:num w:numId="10">
    <w:abstractNumId w:val="8"/>
  </w:num>
  <w:num w:numId="11">
    <w:abstractNumId w:val="10"/>
  </w:num>
  <w:num w:numId="12">
    <w:abstractNumId w:val="9"/>
  </w:num>
  <w:num w:numId="13">
    <w:abstractNumId w:val="1"/>
  </w:num>
  <w:num w:numId="1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IL" w:vendorID="64" w:dllVersion="0" w:nlCheck="1" w:checkStyle="0"/>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01"/>
    <w:rsid w:val="00000035"/>
    <w:rsid w:val="0000019C"/>
    <w:rsid w:val="00000E2A"/>
    <w:rsid w:val="0000140F"/>
    <w:rsid w:val="000016EB"/>
    <w:rsid w:val="0000324B"/>
    <w:rsid w:val="000033C8"/>
    <w:rsid w:val="000034FD"/>
    <w:rsid w:val="0000363C"/>
    <w:rsid w:val="0000383B"/>
    <w:rsid w:val="00003B7E"/>
    <w:rsid w:val="00003CBF"/>
    <w:rsid w:val="00003D9F"/>
    <w:rsid w:val="00003DFB"/>
    <w:rsid w:val="00003EE2"/>
    <w:rsid w:val="000040BD"/>
    <w:rsid w:val="00004738"/>
    <w:rsid w:val="000048A8"/>
    <w:rsid w:val="000048C4"/>
    <w:rsid w:val="00004A96"/>
    <w:rsid w:val="00004D4A"/>
    <w:rsid w:val="00005237"/>
    <w:rsid w:val="000052EC"/>
    <w:rsid w:val="00005A12"/>
    <w:rsid w:val="000063D1"/>
    <w:rsid w:val="00006A3A"/>
    <w:rsid w:val="00006F74"/>
    <w:rsid w:val="000078F9"/>
    <w:rsid w:val="0001014E"/>
    <w:rsid w:val="000103BF"/>
    <w:rsid w:val="0001094F"/>
    <w:rsid w:val="00010DF4"/>
    <w:rsid w:val="00010E7D"/>
    <w:rsid w:val="00010EAF"/>
    <w:rsid w:val="00010EE1"/>
    <w:rsid w:val="00011552"/>
    <w:rsid w:val="00011CFF"/>
    <w:rsid w:val="00011D69"/>
    <w:rsid w:val="000122AD"/>
    <w:rsid w:val="00012E18"/>
    <w:rsid w:val="00013093"/>
    <w:rsid w:val="000135E9"/>
    <w:rsid w:val="00013895"/>
    <w:rsid w:val="00013E73"/>
    <w:rsid w:val="00013EB6"/>
    <w:rsid w:val="00014215"/>
    <w:rsid w:val="00014D10"/>
    <w:rsid w:val="00014DC3"/>
    <w:rsid w:val="00014EFF"/>
    <w:rsid w:val="00015640"/>
    <w:rsid w:val="0001574B"/>
    <w:rsid w:val="00015E1B"/>
    <w:rsid w:val="00016CB2"/>
    <w:rsid w:val="00016DC5"/>
    <w:rsid w:val="00017022"/>
    <w:rsid w:val="000179D3"/>
    <w:rsid w:val="00017E42"/>
    <w:rsid w:val="000200FB"/>
    <w:rsid w:val="00020C0A"/>
    <w:rsid w:val="00020C1B"/>
    <w:rsid w:val="00020EBB"/>
    <w:rsid w:val="00020EC8"/>
    <w:rsid w:val="000216D7"/>
    <w:rsid w:val="00022749"/>
    <w:rsid w:val="000231CC"/>
    <w:rsid w:val="0002373E"/>
    <w:rsid w:val="000240CE"/>
    <w:rsid w:val="00024A97"/>
    <w:rsid w:val="00024F6B"/>
    <w:rsid w:val="000255C2"/>
    <w:rsid w:val="00025BEB"/>
    <w:rsid w:val="00025C67"/>
    <w:rsid w:val="0002634E"/>
    <w:rsid w:val="00027455"/>
    <w:rsid w:val="00027551"/>
    <w:rsid w:val="000276B7"/>
    <w:rsid w:val="000276BE"/>
    <w:rsid w:val="00027C2F"/>
    <w:rsid w:val="00027CDB"/>
    <w:rsid w:val="00027DC6"/>
    <w:rsid w:val="00030088"/>
    <w:rsid w:val="000309D9"/>
    <w:rsid w:val="000314AC"/>
    <w:rsid w:val="000314C7"/>
    <w:rsid w:val="00031F29"/>
    <w:rsid w:val="00032308"/>
    <w:rsid w:val="00032D82"/>
    <w:rsid w:val="0003307F"/>
    <w:rsid w:val="00033435"/>
    <w:rsid w:val="0003344F"/>
    <w:rsid w:val="000337B7"/>
    <w:rsid w:val="00033D95"/>
    <w:rsid w:val="00033D96"/>
    <w:rsid w:val="0003400F"/>
    <w:rsid w:val="00034AF0"/>
    <w:rsid w:val="00034B04"/>
    <w:rsid w:val="00034C69"/>
    <w:rsid w:val="00034D5F"/>
    <w:rsid w:val="00034DF3"/>
    <w:rsid w:val="00036568"/>
    <w:rsid w:val="000367CA"/>
    <w:rsid w:val="00036AA6"/>
    <w:rsid w:val="00036B70"/>
    <w:rsid w:val="00036CED"/>
    <w:rsid w:val="000370AC"/>
    <w:rsid w:val="00037171"/>
    <w:rsid w:val="00040466"/>
    <w:rsid w:val="0004075F"/>
    <w:rsid w:val="00041747"/>
    <w:rsid w:val="00042E80"/>
    <w:rsid w:val="000431DD"/>
    <w:rsid w:val="000435D3"/>
    <w:rsid w:val="00043938"/>
    <w:rsid w:val="0004420F"/>
    <w:rsid w:val="00044C99"/>
    <w:rsid w:val="000451CF"/>
    <w:rsid w:val="0004560E"/>
    <w:rsid w:val="00045999"/>
    <w:rsid w:val="00045C63"/>
    <w:rsid w:val="000464A2"/>
    <w:rsid w:val="000466DD"/>
    <w:rsid w:val="00047013"/>
    <w:rsid w:val="00047015"/>
    <w:rsid w:val="000473DE"/>
    <w:rsid w:val="000479CA"/>
    <w:rsid w:val="00050102"/>
    <w:rsid w:val="000506B4"/>
    <w:rsid w:val="000507F9"/>
    <w:rsid w:val="00050856"/>
    <w:rsid w:val="00050C84"/>
    <w:rsid w:val="00050DFD"/>
    <w:rsid w:val="0005111A"/>
    <w:rsid w:val="00051471"/>
    <w:rsid w:val="000518D2"/>
    <w:rsid w:val="000518F5"/>
    <w:rsid w:val="00051AFC"/>
    <w:rsid w:val="00051F34"/>
    <w:rsid w:val="0005219F"/>
    <w:rsid w:val="000524AE"/>
    <w:rsid w:val="00052521"/>
    <w:rsid w:val="000528B8"/>
    <w:rsid w:val="00053363"/>
    <w:rsid w:val="000538BE"/>
    <w:rsid w:val="00053908"/>
    <w:rsid w:val="00053A7C"/>
    <w:rsid w:val="00053C02"/>
    <w:rsid w:val="0005449C"/>
    <w:rsid w:val="00054852"/>
    <w:rsid w:val="0005560E"/>
    <w:rsid w:val="000557C2"/>
    <w:rsid w:val="00055E73"/>
    <w:rsid w:val="00056310"/>
    <w:rsid w:val="0005674B"/>
    <w:rsid w:val="00056C53"/>
    <w:rsid w:val="00056D7A"/>
    <w:rsid w:val="000573B1"/>
    <w:rsid w:val="000578BB"/>
    <w:rsid w:val="000578CB"/>
    <w:rsid w:val="00057D85"/>
    <w:rsid w:val="00057E5A"/>
    <w:rsid w:val="00057E9E"/>
    <w:rsid w:val="00061DE8"/>
    <w:rsid w:val="00062B77"/>
    <w:rsid w:val="00062B8C"/>
    <w:rsid w:val="00062E32"/>
    <w:rsid w:val="00063187"/>
    <w:rsid w:val="000631D6"/>
    <w:rsid w:val="00063E68"/>
    <w:rsid w:val="000651CD"/>
    <w:rsid w:val="00065303"/>
    <w:rsid w:val="00065B5D"/>
    <w:rsid w:val="0006639F"/>
    <w:rsid w:val="000667D5"/>
    <w:rsid w:val="00066B46"/>
    <w:rsid w:val="00066EB4"/>
    <w:rsid w:val="000675CB"/>
    <w:rsid w:val="000676C8"/>
    <w:rsid w:val="000677EA"/>
    <w:rsid w:val="0007012B"/>
    <w:rsid w:val="000702D5"/>
    <w:rsid w:val="00070672"/>
    <w:rsid w:val="00070B44"/>
    <w:rsid w:val="00070F1E"/>
    <w:rsid w:val="000711A0"/>
    <w:rsid w:val="000711DE"/>
    <w:rsid w:val="0007123F"/>
    <w:rsid w:val="0007138A"/>
    <w:rsid w:val="0007182A"/>
    <w:rsid w:val="000719A9"/>
    <w:rsid w:val="0007231F"/>
    <w:rsid w:val="00072890"/>
    <w:rsid w:val="000728EE"/>
    <w:rsid w:val="00072BD4"/>
    <w:rsid w:val="00073180"/>
    <w:rsid w:val="0007353B"/>
    <w:rsid w:val="00073658"/>
    <w:rsid w:val="0007368D"/>
    <w:rsid w:val="00074776"/>
    <w:rsid w:val="00074AB9"/>
    <w:rsid w:val="00074C3A"/>
    <w:rsid w:val="00074DEF"/>
    <w:rsid w:val="00074E09"/>
    <w:rsid w:val="0007571D"/>
    <w:rsid w:val="00076569"/>
    <w:rsid w:val="0007670B"/>
    <w:rsid w:val="00076FEE"/>
    <w:rsid w:val="00077575"/>
    <w:rsid w:val="000778EA"/>
    <w:rsid w:val="00077C03"/>
    <w:rsid w:val="00077E21"/>
    <w:rsid w:val="00080198"/>
    <w:rsid w:val="0008037D"/>
    <w:rsid w:val="00080A92"/>
    <w:rsid w:val="00081438"/>
    <w:rsid w:val="000815A3"/>
    <w:rsid w:val="0008192F"/>
    <w:rsid w:val="00081F07"/>
    <w:rsid w:val="0008227B"/>
    <w:rsid w:val="0008231F"/>
    <w:rsid w:val="00082C31"/>
    <w:rsid w:val="0008342A"/>
    <w:rsid w:val="0008397D"/>
    <w:rsid w:val="00084998"/>
    <w:rsid w:val="00084F60"/>
    <w:rsid w:val="000852E4"/>
    <w:rsid w:val="00085D07"/>
    <w:rsid w:val="00085DB1"/>
    <w:rsid w:val="00086195"/>
    <w:rsid w:val="000864C4"/>
    <w:rsid w:val="00086888"/>
    <w:rsid w:val="00086982"/>
    <w:rsid w:val="00086C20"/>
    <w:rsid w:val="00087247"/>
    <w:rsid w:val="00087D28"/>
    <w:rsid w:val="00087F6D"/>
    <w:rsid w:val="000903CE"/>
    <w:rsid w:val="00091488"/>
    <w:rsid w:val="00091DA2"/>
    <w:rsid w:val="00092153"/>
    <w:rsid w:val="00092477"/>
    <w:rsid w:val="00092631"/>
    <w:rsid w:val="000929EE"/>
    <w:rsid w:val="00092E08"/>
    <w:rsid w:val="00092EB4"/>
    <w:rsid w:val="0009324F"/>
    <w:rsid w:val="00093892"/>
    <w:rsid w:val="00093A9C"/>
    <w:rsid w:val="00093EB3"/>
    <w:rsid w:val="00095948"/>
    <w:rsid w:val="000960FB"/>
    <w:rsid w:val="000962AD"/>
    <w:rsid w:val="000964C3"/>
    <w:rsid w:val="00096F72"/>
    <w:rsid w:val="00097227"/>
    <w:rsid w:val="000A0D11"/>
    <w:rsid w:val="000A0E76"/>
    <w:rsid w:val="000A15B2"/>
    <w:rsid w:val="000A20D7"/>
    <w:rsid w:val="000A26F8"/>
    <w:rsid w:val="000A2746"/>
    <w:rsid w:val="000A2DEA"/>
    <w:rsid w:val="000A40FB"/>
    <w:rsid w:val="000A41FA"/>
    <w:rsid w:val="000A4686"/>
    <w:rsid w:val="000A4AA9"/>
    <w:rsid w:val="000A4F5A"/>
    <w:rsid w:val="000A5BE7"/>
    <w:rsid w:val="000A7BF4"/>
    <w:rsid w:val="000B04E1"/>
    <w:rsid w:val="000B064B"/>
    <w:rsid w:val="000B081D"/>
    <w:rsid w:val="000B0FA3"/>
    <w:rsid w:val="000B14C4"/>
    <w:rsid w:val="000B17B8"/>
    <w:rsid w:val="000B240D"/>
    <w:rsid w:val="000B2417"/>
    <w:rsid w:val="000B2CEA"/>
    <w:rsid w:val="000B2FD3"/>
    <w:rsid w:val="000B3A70"/>
    <w:rsid w:val="000B3AB1"/>
    <w:rsid w:val="000B4133"/>
    <w:rsid w:val="000B45D3"/>
    <w:rsid w:val="000B51FF"/>
    <w:rsid w:val="000B5484"/>
    <w:rsid w:val="000B59B6"/>
    <w:rsid w:val="000B5E66"/>
    <w:rsid w:val="000B5F17"/>
    <w:rsid w:val="000B60A1"/>
    <w:rsid w:val="000B682C"/>
    <w:rsid w:val="000B6B42"/>
    <w:rsid w:val="000B6D1D"/>
    <w:rsid w:val="000B6D81"/>
    <w:rsid w:val="000B7E7A"/>
    <w:rsid w:val="000B7F72"/>
    <w:rsid w:val="000C03CD"/>
    <w:rsid w:val="000C044D"/>
    <w:rsid w:val="000C059C"/>
    <w:rsid w:val="000C0AA3"/>
    <w:rsid w:val="000C0E76"/>
    <w:rsid w:val="000C117F"/>
    <w:rsid w:val="000C16E6"/>
    <w:rsid w:val="000C1711"/>
    <w:rsid w:val="000C1A9C"/>
    <w:rsid w:val="000C1C50"/>
    <w:rsid w:val="000C2769"/>
    <w:rsid w:val="000C2B0E"/>
    <w:rsid w:val="000C3176"/>
    <w:rsid w:val="000C3C74"/>
    <w:rsid w:val="000C4459"/>
    <w:rsid w:val="000C5B8B"/>
    <w:rsid w:val="000C5ECA"/>
    <w:rsid w:val="000C6236"/>
    <w:rsid w:val="000C65C9"/>
    <w:rsid w:val="000C6ADD"/>
    <w:rsid w:val="000C761A"/>
    <w:rsid w:val="000C78F0"/>
    <w:rsid w:val="000C7C2E"/>
    <w:rsid w:val="000C7F0F"/>
    <w:rsid w:val="000D027F"/>
    <w:rsid w:val="000D0913"/>
    <w:rsid w:val="000D1208"/>
    <w:rsid w:val="000D1866"/>
    <w:rsid w:val="000D1C56"/>
    <w:rsid w:val="000D1F75"/>
    <w:rsid w:val="000D27AD"/>
    <w:rsid w:val="000D2901"/>
    <w:rsid w:val="000D314D"/>
    <w:rsid w:val="000D4477"/>
    <w:rsid w:val="000D4CCE"/>
    <w:rsid w:val="000D4D18"/>
    <w:rsid w:val="000D518B"/>
    <w:rsid w:val="000D5CA5"/>
    <w:rsid w:val="000D5D96"/>
    <w:rsid w:val="000D62AF"/>
    <w:rsid w:val="000D6790"/>
    <w:rsid w:val="000D6B8B"/>
    <w:rsid w:val="000D6BC2"/>
    <w:rsid w:val="000D6C98"/>
    <w:rsid w:val="000D6DD1"/>
    <w:rsid w:val="000D6E57"/>
    <w:rsid w:val="000D6ECE"/>
    <w:rsid w:val="000D6FA1"/>
    <w:rsid w:val="000D71B1"/>
    <w:rsid w:val="000D797E"/>
    <w:rsid w:val="000E01EA"/>
    <w:rsid w:val="000E04FE"/>
    <w:rsid w:val="000E0770"/>
    <w:rsid w:val="000E0BA0"/>
    <w:rsid w:val="000E112C"/>
    <w:rsid w:val="000E1272"/>
    <w:rsid w:val="000E1794"/>
    <w:rsid w:val="000E2491"/>
    <w:rsid w:val="000E346B"/>
    <w:rsid w:val="000E4188"/>
    <w:rsid w:val="000E4AE8"/>
    <w:rsid w:val="000E4EEF"/>
    <w:rsid w:val="000E58BD"/>
    <w:rsid w:val="000E58ED"/>
    <w:rsid w:val="000E60F2"/>
    <w:rsid w:val="000E63DE"/>
    <w:rsid w:val="000E66FC"/>
    <w:rsid w:val="000E6D00"/>
    <w:rsid w:val="000E7140"/>
    <w:rsid w:val="000E746E"/>
    <w:rsid w:val="000E7AAF"/>
    <w:rsid w:val="000E7F39"/>
    <w:rsid w:val="000F05F9"/>
    <w:rsid w:val="000F0C82"/>
    <w:rsid w:val="000F0F43"/>
    <w:rsid w:val="000F12B4"/>
    <w:rsid w:val="000F151F"/>
    <w:rsid w:val="000F1AF5"/>
    <w:rsid w:val="000F20F3"/>
    <w:rsid w:val="000F214C"/>
    <w:rsid w:val="000F2E1D"/>
    <w:rsid w:val="000F2E25"/>
    <w:rsid w:val="000F300C"/>
    <w:rsid w:val="000F3267"/>
    <w:rsid w:val="000F3666"/>
    <w:rsid w:val="000F36DB"/>
    <w:rsid w:val="000F39F2"/>
    <w:rsid w:val="000F3BA1"/>
    <w:rsid w:val="000F432A"/>
    <w:rsid w:val="000F45CA"/>
    <w:rsid w:val="000F45CC"/>
    <w:rsid w:val="000F48E0"/>
    <w:rsid w:val="000F4C5D"/>
    <w:rsid w:val="000F4CD2"/>
    <w:rsid w:val="000F5910"/>
    <w:rsid w:val="000F63BA"/>
    <w:rsid w:val="000F6496"/>
    <w:rsid w:val="000F6844"/>
    <w:rsid w:val="000F69BD"/>
    <w:rsid w:val="000F74CB"/>
    <w:rsid w:val="000F74E1"/>
    <w:rsid w:val="00100459"/>
    <w:rsid w:val="0010133C"/>
    <w:rsid w:val="0010162E"/>
    <w:rsid w:val="0010175B"/>
    <w:rsid w:val="0010180C"/>
    <w:rsid w:val="001019E9"/>
    <w:rsid w:val="00101E3B"/>
    <w:rsid w:val="00102A22"/>
    <w:rsid w:val="00102B9F"/>
    <w:rsid w:val="00103620"/>
    <w:rsid w:val="00103BF4"/>
    <w:rsid w:val="00103D5C"/>
    <w:rsid w:val="00103E7E"/>
    <w:rsid w:val="00103F99"/>
    <w:rsid w:val="001040CC"/>
    <w:rsid w:val="001048B2"/>
    <w:rsid w:val="00104DDC"/>
    <w:rsid w:val="00105DCC"/>
    <w:rsid w:val="00105EEC"/>
    <w:rsid w:val="001067B6"/>
    <w:rsid w:val="00106E98"/>
    <w:rsid w:val="00107150"/>
    <w:rsid w:val="00107185"/>
    <w:rsid w:val="00107245"/>
    <w:rsid w:val="001072ED"/>
    <w:rsid w:val="00107BE3"/>
    <w:rsid w:val="00107DF4"/>
    <w:rsid w:val="001104A7"/>
    <w:rsid w:val="001105B5"/>
    <w:rsid w:val="0011107D"/>
    <w:rsid w:val="00111299"/>
    <w:rsid w:val="001119A2"/>
    <w:rsid w:val="0011306F"/>
    <w:rsid w:val="0011342B"/>
    <w:rsid w:val="00113C35"/>
    <w:rsid w:val="00113FED"/>
    <w:rsid w:val="00114234"/>
    <w:rsid w:val="00114B35"/>
    <w:rsid w:val="00114D94"/>
    <w:rsid w:val="00115A18"/>
    <w:rsid w:val="00116218"/>
    <w:rsid w:val="001164EC"/>
    <w:rsid w:val="00116BDA"/>
    <w:rsid w:val="00116C38"/>
    <w:rsid w:val="00116D5B"/>
    <w:rsid w:val="0011742D"/>
    <w:rsid w:val="001175F7"/>
    <w:rsid w:val="00120B95"/>
    <w:rsid w:val="00120C26"/>
    <w:rsid w:val="00120F32"/>
    <w:rsid w:val="00121BFB"/>
    <w:rsid w:val="00121F1B"/>
    <w:rsid w:val="0012258C"/>
    <w:rsid w:val="001229E7"/>
    <w:rsid w:val="00122BB2"/>
    <w:rsid w:val="00122FFC"/>
    <w:rsid w:val="00123BB6"/>
    <w:rsid w:val="0012409B"/>
    <w:rsid w:val="00124149"/>
    <w:rsid w:val="001244C7"/>
    <w:rsid w:val="0012475E"/>
    <w:rsid w:val="0012489E"/>
    <w:rsid w:val="00125114"/>
    <w:rsid w:val="001256A5"/>
    <w:rsid w:val="001257E9"/>
    <w:rsid w:val="00125839"/>
    <w:rsid w:val="00125F4C"/>
    <w:rsid w:val="001265E9"/>
    <w:rsid w:val="0012796B"/>
    <w:rsid w:val="00127E60"/>
    <w:rsid w:val="00130171"/>
    <w:rsid w:val="00130327"/>
    <w:rsid w:val="00130528"/>
    <w:rsid w:val="00130C6E"/>
    <w:rsid w:val="00131041"/>
    <w:rsid w:val="00131418"/>
    <w:rsid w:val="00131483"/>
    <w:rsid w:val="0013194D"/>
    <w:rsid w:val="00131A97"/>
    <w:rsid w:val="001324D1"/>
    <w:rsid w:val="001326B4"/>
    <w:rsid w:val="00132E13"/>
    <w:rsid w:val="001332B1"/>
    <w:rsid w:val="00134630"/>
    <w:rsid w:val="0013533B"/>
    <w:rsid w:val="001353A3"/>
    <w:rsid w:val="001354D6"/>
    <w:rsid w:val="00136056"/>
    <w:rsid w:val="001362A2"/>
    <w:rsid w:val="001369CF"/>
    <w:rsid w:val="00136A2B"/>
    <w:rsid w:val="0013705A"/>
    <w:rsid w:val="00137C43"/>
    <w:rsid w:val="00137D40"/>
    <w:rsid w:val="00137EF8"/>
    <w:rsid w:val="001402A2"/>
    <w:rsid w:val="00140400"/>
    <w:rsid w:val="00140C9B"/>
    <w:rsid w:val="00140DA0"/>
    <w:rsid w:val="0014170D"/>
    <w:rsid w:val="00141D6E"/>
    <w:rsid w:val="001425B2"/>
    <w:rsid w:val="00142A7E"/>
    <w:rsid w:val="001433FD"/>
    <w:rsid w:val="00143E44"/>
    <w:rsid w:val="00144839"/>
    <w:rsid w:val="00144EFD"/>
    <w:rsid w:val="00144FDA"/>
    <w:rsid w:val="00145AB8"/>
    <w:rsid w:val="00145BD6"/>
    <w:rsid w:val="0014680C"/>
    <w:rsid w:val="00146812"/>
    <w:rsid w:val="00146A2F"/>
    <w:rsid w:val="00146B07"/>
    <w:rsid w:val="00146D41"/>
    <w:rsid w:val="00146D46"/>
    <w:rsid w:val="0014744C"/>
    <w:rsid w:val="00147A36"/>
    <w:rsid w:val="00147C12"/>
    <w:rsid w:val="00150510"/>
    <w:rsid w:val="00150691"/>
    <w:rsid w:val="001509F3"/>
    <w:rsid w:val="00150A5D"/>
    <w:rsid w:val="00151217"/>
    <w:rsid w:val="001514DE"/>
    <w:rsid w:val="00151573"/>
    <w:rsid w:val="00151B3C"/>
    <w:rsid w:val="00152AFC"/>
    <w:rsid w:val="00152B37"/>
    <w:rsid w:val="00152C1D"/>
    <w:rsid w:val="00153D7B"/>
    <w:rsid w:val="00154E32"/>
    <w:rsid w:val="00155627"/>
    <w:rsid w:val="00155AFA"/>
    <w:rsid w:val="00155CC7"/>
    <w:rsid w:val="00155F3D"/>
    <w:rsid w:val="0015699E"/>
    <w:rsid w:val="00156ED2"/>
    <w:rsid w:val="00157474"/>
    <w:rsid w:val="00157815"/>
    <w:rsid w:val="00157885"/>
    <w:rsid w:val="001579F7"/>
    <w:rsid w:val="00157DB4"/>
    <w:rsid w:val="00160279"/>
    <w:rsid w:val="001608F4"/>
    <w:rsid w:val="00160C43"/>
    <w:rsid w:val="00161335"/>
    <w:rsid w:val="0016168D"/>
    <w:rsid w:val="00161A8F"/>
    <w:rsid w:val="00162051"/>
    <w:rsid w:val="00162A85"/>
    <w:rsid w:val="00162AA1"/>
    <w:rsid w:val="00162B60"/>
    <w:rsid w:val="00162E5E"/>
    <w:rsid w:val="001630DB"/>
    <w:rsid w:val="00163FA2"/>
    <w:rsid w:val="00164087"/>
    <w:rsid w:val="0016450C"/>
    <w:rsid w:val="00164AC4"/>
    <w:rsid w:val="00164C47"/>
    <w:rsid w:val="00164D02"/>
    <w:rsid w:val="00165F0A"/>
    <w:rsid w:val="00165F9E"/>
    <w:rsid w:val="00165FCD"/>
    <w:rsid w:val="0016630E"/>
    <w:rsid w:val="001666B8"/>
    <w:rsid w:val="0016687A"/>
    <w:rsid w:val="00166DB1"/>
    <w:rsid w:val="00166E3D"/>
    <w:rsid w:val="00166ED6"/>
    <w:rsid w:val="001670CD"/>
    <w:rsid w:val="00167599"/>
    <w:rsid w:val="00167C0C"/>
    <w:rsid w:val="00167D3F"/>
    <w:rsid w:val="00170C2D"/>
    <w:rsid w:val="00170E3D"/>
    <w:rsid w:val="001717C3"/>
    <w:rsid w:val="00171CA6"/>
    <w:rsid w:val="00171D2D"/>
    <w:rsid w:val="00171EA1"/>
    <w:rsid w:val="00172138"/>
    <w:rsid w:val="001722A3"/>
    <w:rsid w:val="00172CFB"/>
    <w:rsid w:val="0017347D"/>
    <w:rsid w:val="0017366E"/>
    <w:rsid w:val="00173CC2"/>
    <w:rsid w:val="00173F69"/>
    <w:rsid w:val="00174B85"/>
    <w:rsid w:val="00175DF0"/>
    <w:rsid w:val="00175E37"/>
    <w:rsid w:val="00176371"/>
    <w:rsid w:val="0017651F"/>
    <w:rsid w:val="001777FF"/>
    <w:rsid w:val="00177C5E"/>
    <w:rsid w:val="00180165"/>
    <w:rsid w:val="00180355"/>
    <w:rsid w:val="0018035A"/>
    <w:rsid w:val="0018051B"/>
    <w:rsid w:val="001805E8"/>
    <w:rsid w:val="0018071F"/>
    <w:rsid w:val="001809EE"/>
    <w:rsid w:val="00181024"/>
    <w:rsid w:val="0018114E"/>
    <w:rsid w:val="00181765"/>
    <w:rsid w:val="00181BB2"/>
    <w:rsid w:val="00182235"/>
    <w:rsid w:val="0018242C"/>
    <w:rsid w:val="00182563"/>
    <w:rsid w:val="0018278C"/>
    <w:rsid w:val="00182D7D"/>
    <w:rsid w:val="00182DCE"/>
    <w:rsid w:val="00183342"/>
    <w:rsid w:val="00183AF0"/>
    <w:rsid w:val="00183CE3"/>
    <w:rsid w:val="00183CE7"/>
    <w:rsid w:val="00184103"/>
    <w:rsid w:val="00184114"/>
    <w:rsid w:val="00184F5B"/>
    <w:rsid w:val="00185587"/>
    <w:rsid w:val="00185C1D"/>
    <w:rsid w:val="001862E0"/>
    <w:rsid w:val="00186453"/>
    <w:rsid w:val="00186464"/>
    <w:rsid w:val="001866B9"/>
    <w:rsid w:val="00186A55"/>
    <w:rsid w:val="00186C40"/>
    <w:rsid w:val="001874A8"/>
    <w:rsid w:val="00187CE3"/>
    <w:rsid w:val="00190175"/>
    <w:rsid w:val="00190262"/>
    <w:rsid w:val="00190941"/>
    <w:rsid w:val="00190F7C"/>
    <w:rsid w:val="00190FEC"/>
    <w:rsid w:val="00191364"/>
    <w:rsid w:val="001915D8"/>
    <w:rsid w:val="00191A75"/>
    <w:rsid w:val="00192B14"/>
    <w:rsid w:val="00192B68"/>
    <w:rsid w:val="00192C13"/>
    <w:rsid w:val="001933E5"/>
    <w:rsid w:val="00193455"/>
    <w:rsid w:val="0019346C"/>
    <w:rsid w:val="00193818"/>
    <w:rsid w:val="00193A72"/>
    <w:rsid w:val="00193CC3"/>
    <w:rsid w:val="00194C9D"/>
    <w:rsid w:val="0019507A"/>
    <w:rsid w:val="001954EE"/>
    <w:rsid w:val="00195D4F"/>
    <w:rsid w:val="00195D88"/>
    <w:rsid w:val="00196193"/>
    <w:rsid w:val="001963B5"/>
    <w:rsid w:val="00196850"/>
    <w:rsid w:val="00196858"/>
    <w:rsid w:val="00196DEA"/>
    <w:rsid w:val="00196E0F"/>
    <w:rsid w:val="00197701"/>
    <w:rsid w:val="001977B4"/>
    <w:rsid w:val="001979B8"/>
    <w:rsid w:val="001A0358"/>
    <w:rsid w:val="001A0402"/>
    <w:rsid w:val="001A0843"/>
    <w:rsid w:val="001A138C"/>
    <w:rsid w:val="001A1511"/>
    <w:rsid w:val="001A195F"/>
    <w:rsid w:val="001A1BDB"/>
    <w:rsid w:val="001A229D"/>
    <w:rsid w:val="001A2430"/>
    <w:rsid w:val="001A2512"/>
    <w:rsid w:val="001A251C"/>
    <w:rsid w:val="001A2D99"/>
    <w:rsid w:val="001A4085"/>
    <w:rsid w:val="001A46D4"/>
    <w:rsid w:val="001A490A"/>
    <w:rsid w:val="001A4CB4"/>
    <w:rsid w:val="001A4DD6"/>
    <w:rsid w:val="001A4F7C"/>
    <w:rsid w:val="001A5536"/>
    <w:rsid w:val="001A58B3"/>
    <w:rsid w:val="001A5A3E"/>
    <w:rsid w:val="001A5C69"/>
    <w:rsid w:val="001A5EBF"/>
    <w:rsid w:val="001A5FF4"/>
    <w:rsid w:val="001A66CC"/>
    <w:rsid w:val="001A6991"/>
    <w:rsid w:val="001A7872"/>
    <w:rsid w:val="001B0FBA"/>
    <w:rsid w:val="001B13F0"/>
    <w:rsid w:val="001B15BC"/>
    <w:rsid w:val="001B2646"/>
    <w:rsid w:val="001B284C"/>
    <w:rsid w:val="001B2C65"/>
    <w:rsid w:val="001B2EB3"/>
    <w:rsid w:val="001B34FD"/>
    <w:rsid w:val="001B3AE3"/>
    <w:rsid w:val="001B3C88"/>
    <w:rsid w:val="001B461C"/>
    <w:rsid w:val="001B4CEE"/>
    <w:rsid w:val="001B4D5C"/>
    <w:rsid w:val="001B514E"/>
    <w:rsid w:val="001B59F2"/>
    <w:rsid w:val="001B5BA9"/>
    <w:rsid w:val="001B5DF5"/>
    <w:rsid w:val="001B5E2D"/>
    <w:rsid w:val="001B6272"/>
    <w:rsid w:val="001B6367"/>
    <w:rsid w:val="001B6760"/>
    <w:rsid w:val="001B6915"/>
    <w:rsid w:val="001B69D9"/>
    <w:rsid w:val="001B6D86"/>
    <w:rsid w:val="001B6E8C"/>
    <w:rsid w:val="001B7090"/>
    <w:rsid w:val="001B785A"/>
    <w:rsid w:val="001B7969"/>
    <w:rsid w:val="001C04F0"/>
    <w:rsid w:val="001C11DA"/>
    <w:rsid w:val="001C1AB4"/>
    <w:rsid w:val="001C2392"/>
    <w:rsid w:val="001C28BA"/>
    <w:rsid w:val="001C2C8D"/>
    <w:rsid w:val="001C3A01"/>
    <w:rsid w:val="001C3A8E"/>
    <w:rsid w:val="001C41C0"/>
    <w:rsid w:val="001C48CA"/>
    <w:rsid w:val="001C4C39"/>
    <w:rsid w:val="001C4FB4"/>
    <w:rsid w:val="001C5071"/>
    <w:rsid w:val="001C5BA9"/>
    <w:rsid w:val="001C5F59"/>
    <w:rsid w:val="001C60EF"/>
    <w:rsid w:val="001C62C4"/>
    <w:rsid w:val="001C67E4"/>
    <w:rsid w:val="001C7B70"/>
    <w:rsid w:val="001D02A4"/>
    <w:rsid w:val="001D1378"/>
    <w:rsid w:val="001D154E"/>
    <w:rsid w:val="001D15E9"/>
    <w:rsid w:val="001D207A"/>
    <w:rsid w:val="001D31D5"/>
    <w:rsid w:val="001D366A"/>
    <w:rsid w:val="001D3972"/>
    <w:rsid w:val="001D3DB1"/>
    <w:rsid w:val="001D4364"/>
    <w:rsid w:val="001D4569"/>
    <w:rsid w:val="001D46CA"/>
    <w:rsid w:val="001D4995"/>
    <w:rsid w:val="001D5258"/>
    <w:rsid w:val="001D52AA"/>
    <w:rsid w:val="001D52D9"/>
    <w:rsid w:val="001D59BE"/>
    <w:rsid w:val="001D5C0B"/>
    <w:rsid w:val="001D5CDF"/>
    <w:rsid w:val="001D6D4A"/>
    <w:rsid w:val="001D7391"/>
    <w:rsid w:val="001D790D"/>
    <w:rsid w:val="001D7C89"/>
    <w:rsid w:val="001D7FAF"/>
    <w:rsid w:val="001E045D"/>
    <w:rsid w:val="001E09A1"/>
    <w:rsid w:val="001E1887"/>
    <w:rsid w:val="001E1C69"/>
    <w:rsid w:val="001E1EE9"/>
    <w:rsid w:val="001E2130"/>
    <w:rsid w:val="001E23A5"/>
    <w:rsid w:val="001E26A9"/>
    <w:rsid w:val="001E27A2"/>
    <w:rsid w:val="001E2F86"/>
    <w:rsid w:val="001E35A1"/>
    <w:rsid w:val="001E389F"/>
    <w:rsid w:val="001E3A99"/>
    <w:rsid w:val="001E3BAD"/>
    <w:rsid w:val="001E3BE4"/>
    <w:rsid w:val="001E45FF"/>
    <w:rsid w:val="001E4626"/>
    <w:rsid w:val="001E5495"/>
    <w:rsid w:val="001E5633"/>
    <w:rsid w:val="001E6D14"/>
    <w:rsid w:val="001E731C"/>
    <w:rsid w:val="001E7832"/>
    <w:rsid w:val="001E7E96"/>
    <w:rsid w:val="001F0009"/>
    <w:rsid w:val="001F0074"/>
    <w:rsid w:val="001F08BA"/>
    <w:rsid w:val="001F0B06"/>
    <w:rsid w:val="001F1255"/>
    <w:rsid w:val="001F13D5"/>
    <w:rsid w:val="001F23D7"/>
    <w:rsid w:val="001F2B2F"/>
    <w:rsid w:val="001F2BEE"/>
    <w:rsid w:val="001F2C3D"/>
    <w:rsid w:val="001F2D7F"/>
    <w:rsid w:val="001F2E59"/>
    <w:rsid w:val="001F3299"/>
    <w:rsid w:val="001F3305"/>
    <w:rsid w:val="001F4531"/>
    <w:rsid w:val="001F4AED"/>
    <w:rsid w:val="001F5873"/>
    <w:rsid w:val="001F6409"/>
    <w:rsid w:val="001F644E"/>
    <w:rsid w:val="001F64C9"/>
    <w:rsid w:val="001F694D"/>
    <w:rsid w:val="001F74D1"/>
    <w:rsid w:val="001F7E10"/>
    <w:rsid w:val="0020026A"/>
    <w:rsid w:val="00200814"/>
    <w:rsid w:val="00201067"/>
    <w:rsid w:val="00201357"/>
    <w:rsid w:val="00201BE9"/>
    <w:rsid w:val="00202640"/>
    <w:rsid w:val="0020289F"/>
    <w:rsid w:val="00203945"/>
    <w:rsid w:val="00203A38"/>
    <w:rsid w:val="00203C56"/>
    <w:rsid w:val="00203C5D"/>
    <w:rsid w:val="00205587"/>
    <w:rsid w:val="00205663"/>
    <w:rsid w:val="0020612E"/>
    <w:rsid w:val="00206149"/>
    <w:rsid w:val="002063F4"/>
    <w:rsid w:val="002064E8"/>
    <w:rsid w:val="002069F1"/>
    <w:rsid w:val="00206DB8"/>
    <w:rsid w:val="00207319"/>
    <w:rsid w:val="002073E0"/>
    <w:rsid w:val="00207474"/>
    <w:rsid w:val="00207A83"/>
    <w:rsid w:val="00207A9C"/>
    <w:rsid w:val="00207B98"/>
    <w:rsid w:val="00207C88"/>
    <w:rsid w:val="00210271"/>
    <w:rsid w:val="00210DA6"/>
    <w:rsid w:val="002126F1"/>
    <w:rsid w:val="00212A7C"/>
    <w:rsid w:val="00212D2D"/>
    <w:rsid w:val="00213723"/>
    <w:rsid w:val="00213893"/>
    <w:rsid w:val="00213AB7"/>
    <w:rsid w:val="002141B5"/>
    <w:rsid w:val="002141D1"/>
    <w:rsid w:val="002147D3"/>
    <w:rsid w:val="00214BA6"/>
    <w:rsid w:val="00214C33"/>
    <w:rsid w:val="0021508B"/>
    <w:rsid w:val="002152BC"/>
    <w:rsid w:val="00215887"/>
    <w:rsid w:val="00215A08"/>
    <w:rsid w:val="00215E88"/>
    <w:rsid w:val="00216382"/>
    <w:rsid w:val="002165BC"/>
    <w:rsid w:val="00216616"/>
    <w:rsid w:val="0021735E"/>
    <w:rsid w:val="002176DC"/>
    <w:rsid w:val="00217AE9"/>
    <w:rsid w:val="0022006B"/>
    <w:rsid w:val="0022047C"/>
    <w:rsid w:val="002204B3"/>
    <w:rsid w:val="00220BC5"/>
    <w:rsid w:val="00220D25"/>
    <w:rsid w:val="002210E1"/>
    <w:rsid w:val="002218C2"/>
    <w:rsid w:val="00221BAD"/>
    <w:rsid w:val="00221E3C"/>
    <w:rsid w:val="002225CE"/>
    <w:rsid w:val="00222AD5"/>
    <w:rsid w:val="0022356A"/>
    <w:rsid w:val="00223D3C"/>
    <w:rsid w:val="0022470E"/>
    <w:rsid w:val="0022497B"/>
    <w:rsid w:val="00224D04"/>
    <w:rsid w:val="00225257"/>
    <w:rsid w:val="00225621"/>
    <w:rsid w:val="00225D3B"/>
    <w:rsid w:val="0022605E"/>
    <w:rsid w:val="00226BBF"/>
    <w:rsid w:val="002273E4"/>
    <w:rsid w:val="00227FD5"/>
    <w:rsid w:val="00230241"/>
    <w:rsid w:val="00230911"/>
    <w:rsid w:val="00230B38"/>
    <w:rsid w:val="002314BF"/>
    <w:rsid w:val="002317DC"/>
    <w:rsid w:val="002321CF"/>
    <w:rsid w:val="00232AA0"/>
    <w:rsid w:val="00232F89"/>
    <w:rsid w:val="00233585"/>
    <w:rsid w:val="00233D36"/>
    <w:rsid w:val="002358FB"/>
    <w:rsid w:val="002362D5"/>
    <w:rsid w:val="00236FF3"/>
    <w:rsid w:val="002370D2"/>
    <w:rsid w:val="002401A0"/>
    <w:rsid w:val="002407C5"/>
    <w:rsid w:val="00240806"/>
    <w:rsid w:val="00240A96"/>
    <w:rsid w:val="00242568"/>
    <w:rsid w:val="002432A1"/>
    <w:rsid w:val="002437B4"/>
    <w:rsid w:val="00243816"/>
    <w:rsid w:val="00243CA2"/>
    <w:rsid w:val="00243D58"/>
    <w:rsid w:val="00244D23"/>
    <w:rsid w:val="00244D28"/>
    <w:rsid w:val="00245445"/>
    <w:rsid w:val="002455AC"/>
    <w:rsid w:val="0024562B"/>
    <w:rsid w:val="0024569F"/>
    <w:rsid w:val="00246018"/>
    <w:rsid w:val="002467C7"/>
    <w:rsid w:val="00246890"/>
    <w:rsid w:val="00246FB0"/>
    <w:rsid w:val="0024708E"/>
    <w:rsid w:val="00247B62"/>
    <w:rsid w:val="00247C29"/>
    <w:rsid w:val="00247DEB"/>
    <w:rsid w:val="002500F5"/>
    <w:rsid w:val="00250DB4"/>
    <w:rsid w:val="00250F5B"/>
    <w:rsid w:val="002528FB"/>
    <w:rsid w:val="002534F9"/>
    <w:rsid w:val="00253636"/>
    <w:rsid w:val="0025425F"/>
    <w:rsid w:val="0025476E"/>
    <w:rsid w:val="00254DC1"/>
    <w:rsid w:val="00254EC3"/>
    <w:rsid w:val="00254FC6"/>
    <w:rsid w:val="002559D1"/>
    <w:rsid w:val="00256564"/>
    <w:rsid w:val="002566BC"/>
    <w:rsid w:val="002566FC"/>
    <w:rsid w:val="00256C07"/>
    <w:rsid w:val="0025770D"/>
    <w:rsid w:val="00260EC7"/>
    <w:rsid w:val="002611DF"/>
    <w:rsid w:val="00261824"/>
    <w:rsid w:val="00261980"/>
    <w:rsid w:val="00261E97"/>
    <w:rsid w:val="00262543"/>
    <w:rsid w:val="00263118"/>
    <w:rsid w:val="0026311F"/>
    <w:rsid w:val="0026390E"/>
    <w:rsid w:val="002639CE"/>
    <w:rsid w:val="00264A25"/>
    <w:rsid w:val="00264B47"/>
    <w:rsid w:val="00264E1D"/>
    <w:rsid w:val="00265DBE"/>
    <w:rsid w:val="00265DC6"/>
    <w:rsid w:val="00266567"/>
    <w:rsid w:val="0026657B"/>
    <w:rsid w:val="00266817"/>
    <w:rsid w:val="00266C37"/>
    <w:rsid w:val="00266DCC"/>
    <w:rsid w:val="00266FDF"/>
    <w:rsid w:val="00267C8B"/>
    <w:rsid w:val="00267D51"/>
    <w:rsid w:val="0027001B"/>
    <w:rsid w:val="002705B1"/>
    <w:rsid w:val="002710D0"/>
    <w:rsid w:val="00271C03"/>
    <w:rsid w:val="002722DE"/>
    <w:rsid w:val="00272778"/>
    <w:rsid w:val="00272A10"/>
    <w:rsid w:val="00273352"/>
    <w:rsid w:val="00273434"/>
    <w:rsid w:val="002738B0"/>
    <w:rsid w:val="00273E50"/>
    <w:rsid w:val="002741AB"/>
    <w:rsid w:val="0027482B"/>
    <w:rsid w:val="00274E95"/>
    <w:rsid w:val="002751A4"/>
    <w:rsid w:val="00275B02"/>
    <w:rsid w:val="0027629A"/>
    <w:rsid w:val="002768E9"/>
    <w:rsid w:val="00276CB6"/>
    <w:rsid w:val="002777B6"/>
    <w:rsid w:val="002778F6"/>
    <w:rsid w:val="00277DCD"/>
    <w:rsid w:val="00280376"/>
    <w:rsid w:val="002807D7"/>
    <w:rsid w:val="0028089D"/>
    <w:rsid w:val="00280FF0"/>
    <w:rsid w:val="0028111B"/>
    <w:rsid w:val="002811B4"/>
    <w:rsid w:val="0028190D"/>
    <w:rsid w:val="00281E39"/>
    <w:rsid w:val="00281FC4"/>
    <w:rsid w:val="00282117"/>
    <w:rsid w:val="0028284A"/>
    <w:rsid w:val="002828B5"/>
    <w:rsid w:val="00282A73"/>
    <w:rsid w:val="00282C85"/>
    <w:rsid w:val="00282CA4"/>
    <w:rsid w:val="00282EB7"/>
    <w:rsid w:val="002831B5"/>
    <w:rsid w:val="00283568"/>
    <w:rsid w:val="00283833"/>
    <w:rsid w:val="00283C96"/>
    <w:rsid w:val="00284381"/>
    <w:rsid w:val="00284B16"/>
    <w:rsid w:val="00284E4C"/>
    <w:rsid w:val="00285725"/>
    <w:rsid w:val="00285FD0"/>
    <w:rsid w:val="00286688"/>
    <w:rsid w:val="00286908"/>
    <w:rsid w:val="00287148"/>
    <w:rsid w:val="00287866"/>
    <w:rsid w:val="00287927"/>
    <w:rsid w:val="00287D62"/>
    <w:rsid w:val="00287E91"/>
    <w:rsid w:val="002905EA"/>
    <w:rsid w:val="0029131C"/>
    <w:rsid w:val="002916F2"/>
    <w:rsid w:val="0029214B"/>
    <w:rsid w:val="002925FF"/>
    <w:rsid w:val="00293139"/>
    <w:rsid w:val="0029344D"/>
    <w:rsid w:val="00294060"/>
    <w:rsid w:val="0029415D"/>
    <w:rsid w:val="00294479"/>
    <w:rsid w:val="002945D8"/>
    <w:rsid w:val="00294EF2"/>
    <w:rsid w:val="00295113"/>
    <w:rsid w:val="0029557D"/>
    <w:rsid w:val="00295652"/>
    <w:rsid w:val="00295CC1"/>
    <w:rsid w:val="00295CD0"/>
    <w:rsid w:val="00296359"/>
    <w:rsid w:val="0029643D"/>
    <w:rsid w:val="002966D1"/>
    <w:rsid w:val="00296CAF"/>
    <w:rsid w:val="00297678"/>
    <w:rsid w:val="00297A13"/>
    <w:rsid w:val="00297AB4"/>
    <w:rsid w:val="002A0858"/>
    <w:rsid w:val="002A0998"/>
    <w:rsid w:val="002A0CE5"/>
    <w:rsid w:val="002A0E62"/>
    <w:rsid w:val="002A12E4"/>
    <w:rsid w:val="002A1302"/>
    <w:rsid w:val="002A17D1"/>
    <w:rsid w:val="002A18D3"/>
    <w:rsid w:val="002A1E44"/>
    <w:rsid w:val="002A2459"/>
    <w:rsid w:val="002A4C89"/>
    <w:rsid w:val="002A4CDB"/>
    <w:rsid w:val="002A51E2"/>
    <w:rsid w:val="002A52B2"/>
    <w:rsid w:val="002A5445"/>
    <w:rsid w:val="002A5500"/>
    <w:rsid w:val="002A550F"/>
    <w:rsid w:val="002A58C7"/>
    <w:rsid w:val="002A5F73"/>
    <w:rsid w:val="002A6657"/>
    <w:rsid w:val="002A6C0E"/>
    <w:rsid w:val="002A6FC1"/>
    <w:rsid w:val="002A718E"/>
    <w:rsid w:val="002A7BFC"/>
    <w:rsid w:val="002A7E90"/>
    <w:rsid w:val="002B0461"/>
    <w:rsid w:val="002B046F"/>
    <w:rsid w:val="002B0483"/>
    <w:rsid w:val="002B06FD"/>
    <w:rsid w:val="002B0D26"/>
    <w:rsid w:val="002B0D32"/>
    <w:rsid w:val="002B0F54"/>
    <w:rsid w:val="002B1831"/>
    <w:rsid w:val="002B1D99"/>
    <w:rsid w:val="002B1E66"/>
    <w:rsid w:val="002B265E"/>
    <w:rsid w:val="002B2B51"/>
    <w:rsid w:val="002B2BE8"/>
    <w:rsid w:val="002B31EB"/>
    <w:rsid w:val="002B33D1"/>
    <w:rsid w:val="002B3BB8"/>
    <w:rsid w:val="002B3D59"/>
    <w:rsid w:val="002B469E"/>
    <w:rsid w:val="002B4B30"/>
    <w:rsid w:val="002B4F4C"/>
    <w:rsid w:val="002B55D4"/>
    <w:rsid w:val="002B5672"/>
    <w:rsid w:val="002B5984"/>
    <w:rsid w:val="002B5FB5"/>
    <w:rsid w:val="002B60DA"/>
    <w:rsid w:val="002B6171"/>
    <w:rsid w:val="002B61E6"/>
    <w:rsid w:val="002B649F"/>
    <w:rsid w:val="002B6E6C"/>
    <w:rsid w:val="002B6EFB"/>
    <w:rsid w:val="002B7612"/>
    <w:rsid w:val="002B7B49"/>
    <w:rsid w:val="002C02FB"/>
    <w:rsid w:val="002C0BE1"/>
    <w:rsid w:val="002C0D38"/>
    <w:rsid w:val="002C1D06"/>
    <w:rsid w:val="002C1FA9"/>
    <w:rsid w:val="002C25BE"/>
    <w:rsid w:val="002C2655"/>
    <w:rsid w:val="002C2AA2"/>
    <w:rsid w:val="002C30B1"/>
    <w:rsid w:val="002C3310"/>
    <w:rsid w:val="002C39A7"/>
    <w:rsid w:val="002C3E84"/>
    <w:rsid w:val="002C4A7D"/>
    <w:rsid w:val="002C5224"/>
    <w:rsid w:val="002C6087"/>
    <w:rsid w:val="002C6F19"/>
    <w:rsid w:val="002C7B61"/>
    <w:rsid w:val="002D064B"/>
    <w:rsid w:val="002D186C"/>
    <w:rsid w:val="002D1900"/>
    <w:rsid w:val="002D1E39"/>
    <w:rsid w:val="002D2E74"/>
    <w:rsid w:val="002D304A"/>
    <w:rsid w:val="002D33BB"/>
    <w:rsid w:val="002D33CF"/>
    <w:rsid w:val="002D36A0"/>
    <w:rsid w:val="002D4077"/>
    <w:rsid w:val="002D4C82"/>
    <w:rsid w:val="002D4ECB"/>
    <w:rsid w:val="002D5405"/>
    <w:rsid w:val="002D5464"/>
    <w:rsid w:val="002D5572"/>
    <w:rsid w:val="002D5A76"/>
    <w:rsid w:val="002D5E46"/>
    <w:rsid w:val="002D6946"/>
    <w:rsid w:val="002D6DCE"/>
    <w:rsid w:val="002E02F7"/>
    <w:rsid w:val="002E046D"/>
    <w:rsid w:val="002E1045"/>
    <w:rsid w:val="002E24CB"/>
    <w:rsid w:val="002E2768"/>
    <w:rsid w:val="002E2CB0"/>
    <w:rsid w:val="002E2F70"/>
    <w:rsid w:val="002E3272"/>
    <w:rsid w:val="002E3402"/>
    <w:rsid w:val="002E3D2A"/>
    <w:rsid w:val="002E3DD0"/>
    <w:rsid w:val="002E431E"/>
    <w:rsid w:val="002E46D9"/>
    <w:rsid w:val="002E4A69"/>
    <w:rsid w:val="002E510A"/>
    <w:rsid w:val="002E56EA"/>
    <w:rsid w:val="002E593C"/>
    <w:rsid w:val="002E5B9A"/>
    <w:rsid w:val="002E601E"/>
    <w:rsid w:val="002E60DE"/>
    <w:rsid w:val="002E63D4"/>
    <w:rsid w:val="002E73E8"/>
    <w:rsid w:val="002E73EE"/>
    <w:rsid w:val="002E75A9"/>
    <w:rsid w:val="002F0032"/>
    <w:rsid w:val="002F07B0"/>
    <w:rsid w:val="002F1647"/>
    <w:rsid w:val="002F18F6"/>
    <w:rsid w:val="002F1DA4"/>
    <w:rsid w:val="002F1E0B"/>
    <w:rsid w:val="002F1E58"/>
    <w:rsid w:val="002F2007"/>
    <w:rsid w:val="002F2BA8"/>
    <w:rsid w:val="002F2BD7"/>
    <w:rsid w:val="002F330B"/>
    <w:rsid w:val="002F35AC"/>
    <w:rsid w:val="002F35D4"/>
    <w:rsid w:val="002F387F"/>
    <w:rsid w:val="002F392E"/>
    <w:rsid w:val="002F3F87"/>
    <w:rsid w:val="002F4434"/>
    <w:rsid w:val="002F44E2"/>
    <w:rsid w:val="002F45C5"/>
    <w:rsid w:val="002F4E4E"/>
    <w:rsid w:val="002F5FEF"/>
    <w:rsid w:val="002F6904"/>
    <w:rsid w:val="002F6B3C"/>
    <w:rsid w:val="002F70F6"/>
    <w:rsid w:val="002F780E"/>
    <w:rsid w:val="002F7B08"/>
    <w:rsid w:val="002F7B72"/>
    <w:rsid w:val="002F7E75"/>
    <w:rsid w:val="00300C34"/>
    <w:rsid w:val="003010A0"/>
    <w:rsid w:val="003015A0"/>
    <w:rsid w:val="00302341"/>
    <w:rsid w:val="00302589"/>
    <w:rsid w:val="00302CEB"/>
    <w:rsid w:val="00303025"/>
    <w:rsid w:val="0030305B"/>
    <w:rsid w:val="00303209"/>
    <w:rsid w:val="00303426"/>
    <w:rsid w:val="00303515"/>
    <w:rsid w:val="0030368C"/>
    <w:rsid w:val="003037B3"/>
    <w:rsid w:val="003037C2"/>
    <w:rsid w:val="003045AC"/>
    <w:rsid w:val="003045B2"/>
    <w:rsid w:val="00304BD3"/>
    <w:rsid w:val="00305068"/>
    <w:rsid w:val="0030557C"/>
    <w:rsid w:val="00305C01"/>
    <w:rsid w:val="00306184"/>
    <w:rsid w:val="00306CF9"/>
    <w:rsid w:val="00306D4C"/>
    <w:rsid w:val="00306DB0"/>
    <w:rsid w:val="00307594"/>
    <w:rsid w:val="0030799C"/>
    <w:rsid w:val="00307C22"/>
    <w:rsid w:val="00310024"/>
    <w:rsid w:val="00310AB8"/>
    <w:rsid w:val="00310BD0"/>
    <w:rsid w:val="00310C28"/>
    <w:rsid w:val="00310D97"/>
    <w:rsid w:val="003116B9"/>
    <w:rsid w:val="003116FD"/>
    <w:rsid w:val="00312348"/>
    <w:rsid w:val="00312B05"/>
    <w:rsid w:val="00313420"/>
    <w:rsid w:val="0031344D"/>
    <w:rsid w:val="00313605"/>
    <w:rsid w:val="0031489B"/>
    <w:rsid w:val="00314F9B"/>
    <w:rsid w:val="0031525E"/>
    <w:rsid w:val="0031571D"/>
    <w:rsid w:val="00315BC0"/>
    <w:rsid w:val="0031651D"/>
    <w:rsid w:val="003167FF"/>
    <w:rsid w:val="00316AA9"/>
    <w:rsid w:val="00317A49"/>
    <w:rsid w:val="00317DE3"/>
    <w:rsid w:val="00317E4A"/>
    <w:rsid w:val="00320053"/>
    <w:rsid w:val="003201C7"/>
    <w:rsid w:val="00320479"/>
    <w:rsid w:val="00320597"/>
    <w:rsid w:val="003207C9"/>
    <w:rsid w:val="003208E2"/>
    <w:rsid w:val="003210D7"/>
    <w:rsid w:val="00321253"/>
    <w:rsid w:val="00321949"/>
    <w:rsid w:val="00321B91"/>
    <w:rsid w:val="00322AA5"/>
    <w:rsid w:val="00322BC0"/>
    <w:rsid w:val="00322EA3"/>
    <w:rsid w:val="00322EA5"/>
    <w:rsid w:val="00323336"/>
    <w:rsid w:val="003238BB"/>
    <w:rsid w:val="00323F35"/>
    <w:rsid w:val="00324037"/>
    <w:rsid w:val="003259DB"/>
    <w:rsid w:val="00325BA9"/>
    <w:rsid w:val="00325F7F"/>
    <w:rsid w:val="0032746D"/>
    <w:rsid w:val="003278D0"/>
    <w:rsid w:val="003316B6"/>
    <w:rsid w:val="00331B37"/>
    <w:rsid w:val="00331E2E"/>
    <w:rsid w:val="0033201C"/>
    <w:rsid w:val="0033230A"/>
    <w:rsid w:val="00332394"/>
    <w:rsid w:val="003323B7"/>
    <w:rsid w:val="00332493"/>
    <w:rsid w:val="003335DB"/>
    <w:rsid w:val="003338FD"/>
    <w:rsid w:val="003342CD"/>
    <w:rsid w:val="003344DF"/>
    <w:rsid w:val="0033495E"/>
    <w:rsid w:val="00334BF3"/>
    <w:rsid w:val="00334F3D"/>
    <w:rsid w:val="00335724"/>
    <w:rsid w:val="00335BD8"/>
    <w:rsid w:val="003360CE"/>
    <w:rsid w:val="003362E1"/>
    <w:rsid w:val="0033749A"/>
    <w:rsid w:val="0033754A"/>
    <w:rsid w:val="00337696"/>
    <w:rsid w:val="00337CD8"/>
    <w:rsid w:val="00337D9E"/>
    <w:rsid w:val="00337DB2"/>
    <w:rsid w:val="00337F93"/>
    <w:rsid w:val="003407EC"/>
    <w:rsid w:val="003408A8"/>
    <w:rsid w:val="00340E3A"/>
    <w:rsid w:val="00341AC0"/>
    <w:rsid w:val="00342200"/>
    <w:rsid w:val="00342DB2"/>
    <w:rsid w:val="00343593"/>
    <w:rsid w:val="003435DA"/>
    <w:rsid w:val="0034423F"/>
    <w:rsid w:val="0034461C"/>
    <w:rsid w:val="00344D86"/>
    <w:rsid w:val="00345311"/>
    <w:rsid w:val="003453B4"/>
    <w:rsid w:val="00345C5D"/>
    <w:rsid w:val="003460B6"/>
    <w:rsid w:val="0034633C"/>
    <w:rsid w:val="003465A5"/>
    <w:rsid w:val="003467D6"/>
    <w:rsid w:val="00346AEB"/>
    <w:rsid w:val="00347C33"/>
    <w:rsid w:val="00350AF4"/>
    <w:rsid w:val="00350D7D"/>
    <w:rsid w:val="00350E3B"/>
    <w:rsid w:val="00351380"/>
    <w:rsid w:val="0035147E"/>
    <w:rsid w:val="0035168E"/>
    <w:rsid w:val="00351CA5"/>
    <w:rsid w:val="00352513"/>
    <w:rsid w:val="00352945"/>
    <w:rsid w:val="003529F0"/>
    <w:rsid w:val="00352A19"/>
    <w:rsid w:val="00352A6E"/>
    <w:rsid w:val="00353BC7"/>
    <w:rsid w:val="00353CEF"/>
    <w:rsid w:val="00353D4F"/>
    <w:rsid w:val="00354192"/>
    <w:rsid w:val="00354DCA"/>
    <w:rsid w:val="00354EE4"/>
    <w:rsid w:val="00355B30"/>
    <w:rsid w:val="00355BA3"/>
    <w:rsid w:val="00355F33"/>
    <w:rsid w:val="0035748C"/>
    <w:rsid w:val="00357849"/>
    <w:rsid w:val="0035784D"/>
    <w:rsid w:val="00360226"/>
    <w:rsid w:val="0036049F"/>
    <w:rsid w:val="00360D29"/>
    <w:rsid w:val="003610E4"/>
    <w:rsid w:val="003613A1"/>
    <w:rsid w:val="00361D75"/>
    <w:rsid w:val="00362094"/>
    <w:rsid w:val="003629E6"/>
    <w:rsid w:val="00363030"/>
    <w:rsid w:val="0036350D"/>
    <w:rsid w:val="00363BB1"/>
    <w:rsid w:val="00363F15"/>
    <w:rsid w:val="003642BB"/>
    <w:rsid w:val="00364B0E"/>
    <w:rsid w:val="00364FC2"/>
    <w:rsid w:val="00365134"/>
    <w:rsid w:val="00365716"/>
    <w:rsid w:val="00365B0B"/>
    <w:rsid w:val="00365BC4"/>
    <w:rsid w:val="00365C69"/>
    <w:rsid w:val="00365DBA"/>
    <w:rsid w:val="00366BD6"/>
    <w:rsid w:val="00366E8F"/>
    <w:rsid w:val="00366EE8"/>
    <w:rsid w:val="00366F06"/>
    <w:rsid w:val="00367854"/>
    <w:rsid w:val="00367971"/>
    <w:rsid w:val="00367B99"/>
    <w:rsid w:val="00367C76"/>
    <w:rsid w:val="00367E76"/>
    <w:rsid w:val="00367EA8"/>
    <w:rsid w:val="00370617"/>
    <w:rsid w:val="00370D1A"/>
    <w:rsid w:val="003711C7"/>
    <w:rsid w:val="003714D3"/>
    <w:rsid w:val="00372C0D"/>
    <w:rsid w:val="00375171"/>
    <w:rsid w:val="00375287"/>
    <w:rsid w:val="003755D1"/>
    <w:rsid w:val="00375992"/>
    <w:rsid w:val="00375E37"/>
    <w:rsid w:val="00375EC7"/>
    <w:rsid w:val="00376217"/>
    <w:rsid w:val="00376348"/>
    <w:rsid w:val="003767E4"/>
    <w:rsid w:val="0037680D"/>
    <w:rsid w:val="003770E6"/>
    <w:rsid w:val="00377122"/>
    <w:rsid w:val="0037765C"/>
    <w:rsid w:val="003776CF"/>
    <w:rsid w:val="00377C7E"/>
    <w:rsid w:val="00377D45"/>
    <w:rsid w:val="0038068E"/>
    <w:rsid w:val="003806E0"/>
    <w:rsid w:val="00380987"/>
    <w:rsid w:val="00380DED"/>
    <w:rsid w:val="00380F1F"/>
    <w:rsid w:val="003810D2"/>
    <w:rsid w:val="003812C9"/>
    <w:rsid w:val="0038161C"/>
    <w:rsid w:val="003816AA"/>
    <w:rsid w:val="0038176F"/>
    <w:rsid w:val="00381971"/>
    <w:rsid w:val="00381E3E"/>
    <w:rsid w:val="00381EFC"/>
    <w:rsid w:val="00381F73"/>
    <w:rsid w:val="00382090"/>
    <w:rsid w:val="00382D21"/>
    <w:rsid w:val="00383204"/>
    <w:rsid w:val="00383C33"/>
    <w:rsid w:val="00383FB2"/>
    <w:rsid w:val="0038413F"/>
    <w:rsid w:val="0038441A"/>
    <w:rsid w:val="00384E2D"/>
    <w:rsid w:val="00385271"/>
    <w:rsid w:val="003854C2"/>
    <w:rsid w:val="00385614"/>
    <w:rsid w:val="003856A8"/>
    <w:rsid w:val="00386A14"/>
    <w:rsid w:val="00386A34"/>
    <w:rsid w:val="00386A56"/>
    <w:rsid w:val="0038761E"/>
    <w:rsid w:val="003876A9"/>
    <w:rsid w:val="00387B73"/>
    <w:rsid w:val="00387C28"/>
    <w:rsid w:val="00390118"/>
    <w:rsid w:val="00390F5E"/>
    <w:rsid w:val="00391563"/>
    <w:rsid w:val="00391984"/>
    <w:rsid w:val="00391C33"/>
    <w:rsid w:val="00391C62"/>
    <w:rsid w:val="0039258D"/>
    <w:rsid w:val="003929E2"/>
    <w:rsid w:val="00392B76"/>
    <w:rsid w:val="00392C70"/>
    <w:rsid w:val="00392C96"/>
    <w:rsid w:val="00392E86"/>
    <w:rsid w:val="00393672"/>
    <w:rsid w:val="00393830"/>
    <w:rsid w:val="0039411C"/>
    <w:rsid w:val="0039459B"/>
    <w:rsid w:val="00394A70"/>
    <w:rsid w:val="0039631F"/>
    <w:rsid w:val="003963BE"/>
    <w:rsid w:val="0039658B"/>
    <w:rsid w:val="003967F5"/>
    <w:rsid w:val="00396A42"/>
    <w:rsid w:val="00396CC9"/>
    <w:rsid w:val="00396D22"/>
    <w:rsid w:val="003972C4"/>
    <w:rsid w:val="00397497"/>
    <w:rsid w:val="00397FD4"/>
    <w:rsid w:val="003A00CF"/>
    <w:rsid w:val="003A0AE6"/>
    <w:rsid w:val="003A0E0B"/>
    <w:rsid w:val="003A14D2"/>
    <w:rsid w:val="003A152E"/>
    <w:rsid w:val="003A1813"/>
    <w:rsid w:val="003A18C5"/>
    <w:rsid w:val="003A1A90"/>
    <w:rsid w:val="003A1F73"/>
    <w:rsid w:val="003A2718"/>
    <w:rsid w:val="003A278E"/>
    <w:rsid w:val="003A300F"/>
    <w:rsid w:val="003A3327"/>
    <w:rsid w:val="003A3D47"/>
    <w:rsid w:val="003A41C5"/>
    <w:rsid w:val="003A4312"/>
    <w:rsid w:val="003A4583"/>
    <w:rsid w:val="003A48D9"/>
    <w:rsid w:val="003A4BDB"/>
    <w:rsid w:val="003A50B6"/>
    <w:rsid w:val="003A56E2"/>
    <w:rsid w:val="003A575A"/>
    <w:rsid w:val="003A5BA9"/>
    <w:rsid w:val="003A5FA6"/>
    <w:rsid w:val="003A629B"/>
    <w:rsid w:val="003A658A"/>
    <w:rsid w:val="003A696A"/>
    <w:rsid w:val="003A7081"/>
    <w:rsid w:val="003A77B2"/>
    <w:rsid w:val="003A7BAC"/>
    <w:rsid w:val="003A7F68"/>
    <w:rsid w:val="003B006D"/>
    <w:rsid w:val="003B017E"/>
    <w:rsid w:val="003B03CD"/>
    <w:rsid w:val="003B040A"/>
    <w:rsid w:val="003B0667"/>
    <w:rsid w:val="003B0A00"/>
    <w:rsid w:val="003B0EC7"/>
    <w:rsid w:val="003B1A83"/>
    <w:rsid w:val="003B1D9D"/>
    <w:rsid w:val="003B2932"/>
    <w:rsid w:val="003B304D"/>
    <w:rsid w:val="003B3CDD"/>
    <w:rsid w:val="003B4270"/>
    <w:rsid w:val="003B484A"/>
    <w:rsid w:val="003B5250"/>
    <w:rsid w:val="003B5D28"/>
    <w:rsid w:val="003B64E9"/>
    <w:rsid w:val="003B64FC"/>
    <w:rsid w:val="003B6A9F"/>
    <w:rsid w:val="003B75C6"/>
    <w:rsid w:val="003B79AD"/>
    <w:rsid w:val="003B7D27"/>
    <w:rsid w:val="003B7F1C"/>
    <w:rsid w:val="003B7F53"/>
    <w:rsid w:val="003C02EF"/>
    <w:rsid w:val="003C0A07"/>
    <w:rsid w:val="003C0D8F"/>
    <w:rsid w:val="003C0FFB"/>
    <w:rsid w:val="003C156E"/>
    <w:rsid w:val="003C1E2E"/>
    <w:rsid w:val="003C2578"/>
    <w:rsid w:val="003C2CB4"/>
    <w:rsid w:val="003C380E"/>
    <w:rsid w:val="003C3B07"/>
    <w:rsid w:val="003C4A6B"/>
    <w:rsid w:val="003C4A70"/>
    <w:rsid w:val="003C4FBC"/>
    <w:rsid w:val="003C50D9"/>
    <w:rsid w:val="003C5331"/>
    <w:rsid w:val="003C5C88"/>
    <w:rsid w:val="003C5FB0"/>
    <w:rsid w:val="003C6468"/>
    <w:rsid w:val="003C64D0"/>
    <w:rsid w:val="003C6730"/>
    <w:rsid w:val="003C680B"/>
    <w:rsid w:val="003C693C"/>
    <w:rsid w:val="003C6A2D"/>
    <w:rsid w:val="003C6C21"/>
    <w:rsid w:val="003C70B3"/>
    <w:rsid w:val="003C7443"/>
    <w:rsid w:val="003C7487"/>
    <w:rsid w:val="003D06BD"/>
    <w:rsid w:val="003D081D"/>
    <w:rsid w:val="003D0BE1"/>
    <w:rsid w:val="003D1133"/>
    <w:rsid w:val="003D172D"/>
    <w:rsid w:val="003D1A94"/>
    <w:rsid w:val="003D2044"/>
    <w:rsid w:val="003D2172"/>
    <w:rsid w:val="003D24E7"/>
    <w:rsid w:val="003D2E4D"/>
    <w:rsid w:val="003D2E53"/>
    <w:rsid w:val="003D2E65"/>
    <w:rsid w:val="003D3070"/>
    <w:rsid w:val="003D30B2"/>
    <w:rsid w:val="003D41D6"/>
    <w:rsid w:val="003D47FC"/>
    <w:rsid w:val="003D516C"/>
    <w:rsid w:val="003D540E"/>
    <w:rsid w:val="003D5C8A"/>
    <w:rsid w:val="003D64B1"/>
    <w:rsid w:val="003D6802"/>
    <w:rsid w:val="003D69E3"/>
    <w:rsid w:val="003D7128"/>
    <w:rsid w:val="003D71C6"/>
    <w:rsid w:val="003D7764"/>
    <w:rsid w:val="003D7DF0"/>
    <w:rsid w:val="003D7E76"/>
    <w:rsid w:val="003E134D"/>
    <w:rsid w:val="003E1A34"/>
    <w:rsid w:val="003E1E23"/>
    <w:rsid w:val="003E1EA7"/>
    <w:rsid w:val="003E28AF"/>
    <w:rsid w:val="003E2A71"/>
    <w:rsid w:val="003E2E32"/>
    <w:rsid w:val="003E32D2"/>
    <w:rsid w:val="003E3476"/>
    <w:rsid w:val="003E3D03"/>
    <w:rsid w:val="003E3DF0"/>
    <w:rsid w:val="003E3F49"/>
    <w:rsid w:val="003E452A"/>
    <w:rsid w:val="003E48CA"/>
    <w:rsid w:val="003E6D28"/>
    <w:rsid w:val="003E6E0C"/>
    <w:rsid w:val="003E74BE"/>
    <w:rsid w:val="003E76BE"/>
    <w:rsid w:val="003F02B1"/>
    <w:rsid w:val="003F064C"/>
    <w:rsid w:val="003F2171"/>
    <w:rsid w:val="003F27BE"/>
    <w:rsid w:val="003F2910"/>
    <w:rsid w:val="003F2F29"/>
    <w:rsid w:val="003F3243"/>
    <w:rsid w:val="003F3995"/>
    <w:rsid w:val="003F3F39"/>
    <w:rsid w:val="003F45C3"/>
    <w:rsid w:val="003F4966"/>
    <w:rsid w:val="003F497C"/>
    <w:rsid w:val="003F49F6"/>
    <w:rsid w:val="003F510B"/>
    <w:rsid w:val="003F54F1"/>
    <w:rsid w:val="003F58BA"/>
    <w:rsid w:val="003F5FF8"/>
    <w:rsid w:val="003F6889"/>
    <w:rsid w:val="003F6E95"/>
    <w:rsid w:val="003F74E5"/>
    <w:rsid w:val="003F75AB"/>
    <w:rsid w:val="003F7651"/>
    <w:rsid w:val="003F778C"/>
    <w:rsid w:val="003F7DAE"/>
    <w:rsid w:val="0040021A"/>
    <w:rsid w:val="004007C6"/>
    <w:rsid w:val="00400836"/>
    <w:rsid w:val="00400C0B"/>
    <w:rsid w:val="00400DDC"/>
    <w:rsid w:val="00400FD8"/>
    <w:rsid w:val="004022C7"/>
    <w:rsid w:val="00402E30"/>
    <w:rsid w:val="004032B2"/>
    <w:rsid w:val="0040371C"/>
    <w:rsid w:val="00403C84"/>
    <w:rsid w:val="00403D97"/>
    <w:rsid w:val="00403EC4"/>
    <w:rsid w:val="004047A4"/>
    <w:rsid w:val="0040503E"/>
    <w:rsid w:val="004053B3"/>
    <w:rsid w:val="00405783"/>
    <w:rsid w:val="00405794"/>
    <w:rsid w:val="00405BF5"/>
    <w:rsid w:val="00405F77"/>
    <w:rsid w:val="0040631F"/>
    <w:rsid w:val="00406ABB"/>
    <w:rsid w:val="0040713E"/>
    <w:rsid w:val="0040784C"/>
    <w:rsid w:val="00410A5A"/>
    <w:rsid w:val="00410A78"/>
    <w:rsid w:val="00410AE8"/>
    <w:rsid w:val="0041139A"/>
    <w:rsid w:val="0041162A"/>
    <w:rsid w:val="00411788"/>
    <w:rsid w:val="00411E1D"/>
    <w:rsid w:val="004121F3"/>
    <w:rsid w:val="0041227A"/>
    <w:rsid w:val="004125E4"/>
    <w:rsid w:val="00412A7E"/>
    <w:rsid w:val="00412F10"/>
    <w:rsid w:val="00413AB7"/>
    <w:rsid w:val="004142DD"/>
    <w:rsid w:val="004144B7"/>
    <w:rsid w:val="00414F7F"/>
    <w:rsid w:val="0041553D"/>
    <w:rsid w:val="00415666"/>
    <w:rsid w:val="004162D9"/>
    <w:rsid w:val="004164EE"/>
    <w:rsid w:val="00416C23"/>
    <w:rsid w:val="00416FBD"/>
    <w:rsid w:val="00417927"/>
    <w:rsid w:val="00417CAC"/>
    <w:rsid w:val="00417CE6"/>
    <w:rsid w:val="00417F40"/>
    <w:rsid w:val="00420533"/>
    <w:rsid w:val="004208EE"/>
    <w:rsid w:val="004214F1"/>
    <w:rsid w:val="00421949"/>
    <w:rsid w:val="004220E6"/>
    <w:rsid w:val="00422342"/>
    <w:rsid w:val="004227AE"/>
    <w:rsid w:val="00422AA2"/>
    <w:rsid w:val="0042335D"/>
    <w:rsid w:val="004237F8"/>
    <w:rsid w:val="004239E5"/>
    <w:rsid w:val="00423CEC"/>
    <w:rsid w:val="004246FB"/>
    <w:rsid w:val="004247D9"/>
    <w:rsid w:val="00424DD8"/>
    <w:rsid w:val="004257C0"/>
    <w:rsid w:val="0042587D"/>
    <w:rsid w:val="00425CB2"/>
    <w:rsid w:val="00425D73"/>
    <w:rsid w:val="004261AC"/>
    <w:rsid w:val="004261E0"/>
    <w:rsid w:val="004263B3"/>
    <w:rsid w:val="0042687C"/>
    <w:rsid w:val="00426B15"/>
    <w:rsid w:val="00426BDB"/>
    <w:rsid w:val="00426E0B"/>
    <w:rsid w:val="00427717"/>
    <w:rsid w:val="00427B67"/>
    <w:rsid w:val="00430130"/>
    <w:rsid w:val="00430711"/>
    <w:rsid w:val="004307B2"/>
    <w:rsid w:val="00430FF8"/>
    <w:rsid w:val="0043109B"/>
    <w:rsid w:val="00431B5C"/>
    <w:rsid w:val="00431CA2"/>
    <w:rsid w:val="00432626"/>
    <w:rsid w:val="00432737"/>
    <w:rsid w:val="0043341D"/>
    <w:rsid w:val="00433C6F"/>
    <w:rsid w:val="0043422A"/>
    <w:rsid w:val="00434AC0"/>
    <w:rsid w:val="00435088"/>
    <w:rsid w:val="00435A88"/>
    <w:rsid w:val="004366D2"/>
    <w:rsid w:val="004371EE"/>
    <w:rsid w:val="00437816"/>
    <w:rsid w:val="004378A8"/>
    <w:rsid w:val="00437F67"/>
    <w:rsid w:val="0044005F"/>
    <w:rsid w:val="004403F7"/>
    <w:rsid w:val="004405F2"/>
    <w:rsid w:val="004407A2"/>
    <w:rsid w:val="00441672"/>
    <w:rsid w:val="00441731"/>
    <w:rsid w:val="00441BE8"/>
    <w:rsid w:val="00441E77"/>
    <w:rsid w:val="00441EB0"/>
    <w:rsid w:val="0044204F"/>
    <w:rsid w:val="00442540"/>
    <w:rsid w:val="004426BB"/>
    <w:rsid w:val="00442FF0"/>
    <w:rsid w:val="00443040"/>
    <w:rsid w:val="0044319E"/>
    <w:rsid w:val="00443988"/>
    <w:rsid w:val="00443C4B"/>
    <w:rsid w:val="00444721"/>
    <w:rsid w:val="00444D1F"/>
    <w:rsid w:val="00444FD3"/>
    <w:rsid w:val="00445652"/>
    <w:rsid w:val="0044586B"/>
    <w:rsid w:val="0044598F"/>
    <w:rsid w:val="00445DF0"/>
    <w:rsid w:val="00445F0D"/>
    <w:rsid w:val="00446372"/>
    <w:rsid w:val="00446397"/>
    <w:rsid w:val="00446A36"/>
    <w:rsid w:val="00447B76"/>
    <w:rsid w:val="00447C07"/>
    <w:rsid w:val="00447C90"/>
    <w:rsid w:val="00447CF1"/>
    <w:rsid w:val="00447DB8"/>
    <w:rsid w:val="00447E0C"/>
    <w:rsid w:val="00447FA3"/>
    <w:rsid w:val="0045093B"/>
    <w:rsid w:val="00450B7C"/>
    <w:rsid w:val="0045100E"/>
    <w:rsid w:val="00451AEA"/>
    <w:rsid w:val="00451C38"/>
    <w:rsid w:val="0045269D"/>
    <w:rsid w:val="004527C2"/>
    <w:rsid w:val="0045364A"/>
    <w:rsid w:val="004538D5"/>
    <w:rsid w:val="004546CF"/>
    <w:rsid w:val="0045506A"/>
    <w:rsid w:val="00455744"/>
    <w:rsid w:val="0045596D"/>
    <w:rsid w:val="00456DB6"/>
    <w:rsid w:val="00456FB8"/>
    <w:rsid w:val="00456FC0"/>
    <w:rsid w:val="004570ED"/>
    <w:rsid w:val="00457130"/>
    <w:rsid w:val="00457265"/>
    <w:rsid w:val="00457AF2"/>
    <w:rsid w:val="00457CBD"/>
    <w:rsid w:val="00457E1E"/>
    <w:rsid w:val="00457E25"/>
    <w:rsid w:val="004608CB"/>
    <w:rsid w:val="004609B9"/>
    <w:rsid w:val="00460D70"/>
    <w:rsid w:val="004611CC"/>
    <w:rsid w:val="00461504"/>
    <w:rsid w:val="0046181F"/>
    <w:rsid w:val="00461983"/>
    <w:rsid w:val="00461B2A"/>
    <w:rsid w:val="00461DDB"/>
    <w:rsid w:val="00461EF8"/>
    <w:rsid w:val="004621E1"/>
    <w:rsid w:val="00462F11"/>
    <w:rsid w:val="00462FED"/>
    <w:rsid w:val="004630BC"/>
    <w:rsid w:val="004639FE"/>
    <w:rsid w:val="00463A03"/>
    <w:rsid w:val="00463EBD"/>
    <w:rsid w:val="00464393"/>
    <w:rsid w:val="00464670"/>
    <w:rsid w:val="004649E6"/>
    <w:rsid w:val="00464A55"/>
    <w:rsid w:val="00464D2F"/>
    <w:rsid w:val="004660CD"/>
    <w:rsid w:val="004663F6"/>
    <w:rsid w:val="004675E4"/>
    <w:rsid w:val="0046782E"/>
    <w:rsid w:val="00467DBB"/>
    <w:rsid w:val="0047020D"/>
    <w:rsid w:val="004703A3"/>
    <w:rsid w:val="004706C7"/>
    <w:rsid w:val="00470929"/>
    <w:rsid w:val="00470C93"/>
    <w:rsid w:val="00470EFD"/>
    <w:rsid w:val="00471CF9"/>
    <w:rsid w:val="00471E09"/>
    <w:rsid w:val="00472AC3"/>
    <w:rsid w:val="00472B90"/>
    <w:rsid w:val="00472E00"/>
    <w:rsid w:val="00473721"/>
    <w:rsid w:val="00473AD9"/>
    <w:rsid w:val="00474A91"/>
    <w:rsid w:val="0047587E"/>
    <w:rsid w:val="00475966"/>
    <w:rsid w:val="00475ECC"/>
    <w:rsid w:val="00476257"/>
    <w:rsid w:val="00477AC9"/>
    <w:rsid w:val="00477BF9"/>
    <w:rsid w:val="00480CC6"/>
    <w:rsid w:val="00480E9B"/>
    <w:rsid w:val="004815E5"/>
    <w:rsid w:val="00481887"/>
    <w:rsid w:val="00481ABC"/>
    <w:rsid w:val="00481C26"/>
    <w:rsid w:val="00481CD1"/>
    <w:rsid w:val="0048225B"/>
    <w:rsid w:val="0048228F"/>
    <w:rsid w:val="00482538"/>
    <w:rsid w:val="00482788"/>
    <w:rsid w:val="00482B67"/>
    <w:rsid w:val="00482DFC"/>
    <w:rsid w:val="00483359"/>
    <w:rsid w:val="00483651"/>
    <w:rsid w:val="0048403B"/>
    <w:rsid w:val="00484834"/>
    <w:rsid w:val="0048490A"/>
    <w:rsid w:val="00484DCE"/>
    <w:rsid w:val="00485653"/>
    <w:rsid w:val="00485B55"/>
    <w:rsid w:val="00485EC9"/>
    <w:rsid w:val="0048680A"/>
    <w:rsid w:val="004868A7"/>
    <w:rsid w:val="00486FDD"/>
    <w:rsid w:val="004870B6"/>
    <w:rsid w:val="004873CF"/>
    <w:rsid w:val="00487937"/>
    <w:rsid w:val="004879BD"/>
    <w:rsid w:val="00490012"/>
    <w:rsid w:val="0049041D"/>
    <w:rsid w:val="0049041E"/>
    <w:rsid w:val="00490A4F"/>
    <w:rsid w:val="00490AE0"/>
    <w:rsid w:val="0049226E"/>
    <w:rsid w:val="00492945"/>
    <w:rsid w:val="0049300F"/>
    <w:rsid w:val="0049328D"/>
    <w:rsid w:val="00493C45"/>
    <w:rsid w:val="00493D6F"/>
    <w:rsid w:val="00494118"/>
    <w:rsid w:val="0049418C"/>
    <w:rsid w:val="00494808"/>
    <w:rsid w:val="00494A9C"/>
    <w:rsid w:val="0049537E"/>
    <w:rsid w:val="00495653"/>
    <w:rsid w:val="00495CB1"/>
    <w:rsid w:val="00495E0D"/>
    <w:rsid w:val="00497642"/>
    <w:rsid w:val="00497AA6"/>
    <w:rsid w:val="00497F00"/>
    <w:rsid w:val="004A0177"/>
    <w:rsid w:val="004A0729"/>
    <w:rsid w:val="004A21E2"/>
    <w:rsid w:val="004A23ED"/>
    <w:rsid w:val="004A3492"/>
    <w:rsid w:val="004A3753"/>
    <w:rsid w:val="004A3814"/>
    <w:rsid w:val="004A3909"/>
    <w:rsid w:val="004A497E"/>
    <w:rsid w:val="004A5292"/>
    <w:rsid w:val="004A55F7"/>
    <w:rsid w:val="004A5BC8"/>
    <w:rsid w:val="004A5F04"/>
    <w:rsid w:val="004A60B2"/>
    <w:rsid w:val="004A6236"/>
    <w:rsid w:val="004A679B"/>
    <w:rsid w:val="004A6815"/>
    <w:rsid w:val="004A6881"/>
    <w:rsid w:val="004A696D"/>
    <w:rsid w:val="004A72D4"/>
    <w:rsid w:val="004A7392"/>
    <w:rsid w:val="004A7809"/>
    <w:rsid w:val="004A7B67"/>
    <w:rsid w:val="004A7D5C"/>
    <w:rsid w:val="004B066B"/>
    <w:rsid w:val="004B0C15"/>
    <w:rsid w:val="004B0C67"/>
    <w:rsid w:val="004B0CC5"/>
    <w:rsid w:val="004B0E52"/>
    <w:rsid w:val="004B0F06"/>
    <w:rsid w:val="004B0F4C"/>
    <w:rsid w:val="004B1EE3"/>
    <w:rsid w:val="004B248D"/>
    <w:rsid w:val="004B33AB"/>
    <w:rsid w:val="004B34C9"/>
    <w:rsid w:val="004B370B"/>
    <w:rsid w:val="004B4285"/>
    <w:rsid w:val="004B43C7"/>
    <w:rsid w:val="004B43EC"/>
    <w:rsid w:val="004B4790"/>
    <w:rsid w:val="004B4A2C"/>
    <w:rsid w:val="004B4DD5"/>
    <w:rsid w:val="004B4FE8"/>
    <w:rsid w:val="004B5AD8"/>
    <w:rsid w:val="004B5D71"/>
    <w:rsid w:val="004B626B"/>
    <w:rsid w:val="004B69D4"/>
    <w:rsid w:val="004B7086"/>
    <w:rsid w:val="004C01AE"/>
    <w:rsid w:val="004C03AD"/>
    <w:rsid w:val="004C09C0"/>
    <w:rsid w:val="004C0D10"/>
    <w:rsid w:val="004C1445"/>
    <w:rsid w:val="004C1543"/>
    <w:rsid w:val="004C1E5A"/>
    <w:rsid w:val="004C2926"/>
    <w:rsid w:val="004C2A05"/>
    <w:rsid w:val="004C2C18"/>
    <w:rsid w:val="004C2EB4"/>
    <w:rsid w:val="004C372C"/>
    <w:rsid w:val="004C37DB"/>
    <w:rsid w:val="004C3C63"/>
    <w:rsid w:val="004C4A13"/>
    <w:rsid w:val="004C4DDC"/>
    <w:rsid w:val="004C5157"/>
    <w:rsid w:val="004C52B7"/>
    <w:rsid w:val="004C585B"/>
    <w:rsid w:val="004C5BD9"/>
    <w:rsid w:val="004C61AC"/>
    <w:rsid w:val="004C6401"/>
    <w:rsid w:val="004C6D38"/>
    <w:rsid w:val="004C7AAF"/>
    <w:rsid w:val="004C7B51"/>
    <w:rsid w:val="004D06EC"/>
    <w:rsid w:val="004D108B"/>
    <w:rsid w:val="004D14E5"/>
    <w:rsid w:val="004D15EE"/>
    <w:rsid w:val="004D1687"/>
    <w:rsid w:val="004D1727"/>
    <w:rsid w:val="004D1AE7"/>
    <w:rsid w:val="004D21F3"/>
    <w:rsid w:val="004D2F2F"/>
    <w:rsid w:val="004D3469"/>
    <w:rsid w:val="004D36F7"/>
    <w:rsid w:val="004D3CAE"/>
    <w:rsid w:val="004D4283"/>
    <w:rsid w:val="004D47A8"/>
    <w:rsid w:val="004D47CC"/>
    <w:rsid w:val="004D4F5F"/>
    <w:rsid w:val="004D50DE"/>
    <w:rsid w:val="004D50EB"/>
    <w:rsid w:val="004D53C4"/>
    <w:rsid w:val="004D5F94"/>
    <w:rsid w:val="004D6084"/>
    <w:rsid w:val="004D7698"/>
    <w:rsid w:val="004E0267"/>
    <w:rsid w:val="004E0AF0"/>
    <w:rsid w:val="004E0BD5"/>
    <w:rsid w:val="004E1718"/>
    <w:rsid w:val="004E1729"/>
    <w:rsid w:val="004E1880"/>
    <w:rsid w:val="004E1A78"/>
    <w:rsid w:val="004E1D57"/>
    <w:rsid w:val="004E21A5"/>
    <w:rsid w:val="004E22D8"/>
    <w:rsid w:val="004E25DD"/>
    <w:rsid w:val="004E338A"/>
    <w:rsid w:val="004E354F"/>
    <w:rsid w:val="004E45FA"/>
    <w:rsid w:val="004E4754"/>
    <w:rsid w:val="004E4BFD"/>
    <w:rsid w:val="004E563C"/>
    <w:rsid w:val="004E5921"/>
    <w:rsid w:val="004E5BFD"/>
    <w:rsid w:val="004E5DA1"/>
    <w:rsid w:val="004E61E7"/>
    <w:rsid w:val="004E624F"/>
    <w:rsid w:val="004E63DE"/>
    <w:rsid w:val="004E6408"/>
    <w:rsid w:val="004E679F"/>
    <w:rsid w:val="004E67AB"/>
    <w:rsid w:val="004E6DA5"/>
    <w:rsid w:val="004E7073"/>
    <w:rsid w:val="004E73E6"/>
    <w:rsid w:val="004E77A0"/>
    <w:rsid w:val="004E77FF"/>
    <w:rsid w:val="004E7AD9"/>
    <w:rsid w:val="004E7EDC"/>
    <w:rsid w:val="004F002D"/>
    <w:rsid w:val="004F00CB"/>
    <w:rsid w:val="004F01F2"/>
    <w:rsid w:val="004F0637"/>
    <w:rsid w:val="004F0664"/>
    <w:rsid w:val="004F08A5"/>
    <w:rsid w:val="004F11F2"/>
    <w:rsid w:val="004F14AA"/>
    <w:rsid w:val="004F1C96"/>
    <w:rsid w:val="004F21A1"/>
    <w:rsid w:val="004F25A2"/>
    <w:rsid w:val="004F2912"/>
    <w:rsid w:val="004F2F92"/>
    <w:rsid w:val="004F3105"/>
    <w:rsid w:val="004F3494"/>
    <w:rsid w:val="004F39F0"/>
    <w:rsid w:val="004F3B1C"/>
    <w:rsid w:val="004F484E"/>
    <w:rsid w:val="004F4889"/>
    <w:rsid w:val="004F53AC"/>
    <w:rsid w:val="004F60F1"/>
    <w:rsid w:val="004F6367"/>
    <w:rsid w:val="004F6718"/>
    <w:rsid w:val="004F6765"/>
    <w:rsid w:val="004F793A"/>
    <w:rsid w:val="004F7F6C"/>
    <w:rsid w:val="004F7F8F"/>
    <w:rsid w:val="005001A5"/>
    <w:rsid w:val="00500241"/>
    <w:rsid w:val="00500529"/>
    <w:rsid w:val="00500B21"/>
    <w:rsid w:val="00501554"/>
    <w:rsid w:val="00501798"/>
    <w:rsid w:val="0050186B"/>
    <w:rsid w:val="005025BF"/>
    <w:rsid w:val="005039D4"/>
    <w:rsid w:val="00504D48"/>
    <w:rsid w:val="0050521F"/>
    <w:rsid w:val="00505DC9"/>
    <w:rsid w:val="00506570"/>
    <w:rsid w:val="00506653"/>
    <w:rsid w:val="00507061"/>
    <w:rsid w:val="00507084"/>
    <w:rsid w:val="00507087"/>
    <w:rsid w:val="00507443"/>
    <w:rsid w:val="005075E4"/>
    <w:rsid w:val="00507737"/>
    <w:rsid w:val="005079A7"/>
    <w:rsid w:val="00510765"/>
    <w:rsid w:val="005107AD"/>
    <w:rsid w:val="00510832"/>
    <w:rsid w:val="00511AEB"/>
    <w:rsid w:val="00511B1E"/>
    <w:rsid w:val="00511CDD"/>
    <w:rsid w:val="00511F3B"/>
    <w:rsid w:val="00512651"/>
    <w:rsid w:val="00513157"/>
    <w:rsid w:val="00513171"/>
    <w:rsid w:val="00513C58"/>
    <w:rsid w:val="00513F2A"/>
    <w:rsid w:val="00514468"/>
    <w:rsid w:val="0051447E"/>
    <w:rsid w:val="00514D30"/>
    <w:rsid w:val="00515050"/>
    <w:rsid w:val="00515445"/>
    <w:rsid w:val="00515D6C"/>
    <w:rsid w:val="00515DEC"/>
    <w:rsid w:val="00515F30"/>
    <w:rsid w:val="0051602D"/>
    <w:rsid w:val="00516AC0"/>
    <w:rsid w:val="00516C04"/>
    <w:rsid w:val="0051733C"/>
    <w:rsid w:val="005178EB"/>
    <w:rsid w:val="00517F35"/>
    <w:rsid w:val="005203C4"/>
    <w:rsid w:val="005207BA"/>
    <w:rsid w:val="00520BCF"/>
    <w:rsid w:val="00521855"/>
    <w:rsid w:val="0052213C"/>
    <w:rsid w:val="0052233F"/>
    <w:rsid w:val="00522A7A"/>
    <w:rsid w:val="00522B33"/>
    <w:rsid w:val="00522F4C"/>
    <w:rsid w:val="00523307"/>
    <w:rsid w:val="005235F8"/>
    <w:rsid w:val="00523907"/>
    <w:rsid w:val="00523C75"/>
    <w:rsid w:val="00524850"/>
    <w:rsid w:val="00525515"/>
    <w:rsid w:val="005258E0"/>
    <w:rsid w:val="00525D02"/>
    <w:rsid w:val="00526D7F"/>
    <w:rsid w:val="00526FA1"/>
    <w:rsid w:val="00526FBA"/>
    <w:rsid w:val="0052722C"/>
    <w:rsid w:val="0052760B"/>
    <w:rsid w:val="00527B4A"/>
    <w:rsid w:val="00530558"/>
    <w:rsid w:val="00530874"/>
    <w:rsid w:val="00530C8E"/>
    <w:rsid w:val="00531947"/>
    <w:rsid w:val="00531B4C"/>
    <w:rsid w:val="0053229B"/>
    <w:rsid w:val="00532C7E"/>
    <w:rsid w:val="00533274"/>
    <w:rsid w:val="00533A15"/>
    <w:rsid w:val="005351AB"/>
    <w:rsid w:val="00535568"/>
    <w:rsid w:val="0053571A"/>
    <w:rsid w:val="0053599B"/>
    <w:rsid w:val="00535ECF"/>
    <w:rsid w:val="005362E4"/>
    <w:rsid w:val="005367A1"/>
    <w:rsid w:val="00536928"/>
    <w:rsid w:val="00536CC3"/>
    <w:rsid w:val="0053712C"/>
    <w:rsid w:val="005375E6"/>
    <w:rsid w:val="00541246"/>
    <w:rsid w:val="0054144C"/>
    <w:rsid w:val="00541467"/>
    <w:rsid w:val="00541BAF"/>
    <w:rsid w:val="00541EAA"/>
    <w:rsid w:val="005422AF"/>
    <w:rsid w:val="00542F51"/>
    <w:rsid w:val="00543C84"/>
    <w:rsid w:val="00543D3A"/>
    <w:rsid w:val="00543E51"/>
    <w:rsid w:val="0054533D"/>
    <w:rsid w:val="005453B2"/>
    <w:rsid w:val="005455D5"/>
    <w:rsid w:val="005456B7"/>
    <w:rsid w:val="005461F8"/>
    <w:rsid w:val="00546461"/>
    <w:rsid w:val="0054646D"/>
    <w:rsid w:val="005466D9"/>
    <w:rsid w:val="00546EF7"/>
    <w:rsid w:val="00547300"/>
    <w:rsid w:val="005478EB"/>
    <w:rsid w:val="0055001B"/>
    <w:rsid w:val="00550038"/>
    <w:rsid w:val="005501F6"/>
    <w:rsid w:val="005502E8"/>
    <w:rsid w:val="0055039A"/>
    <w:rsid w:val="00550631"/>
    <w:rsid w:val="00550812"/>
    <w:rsid w:val="00550835"/>
    <w:rsid w:val="00550A9B"/>
    <w:rsid w:val="005514E2"/>
    <w:rsid w:val="005515FB"/>
    <w:rsid w:val="00551623"/>
    <w:rsid w:val="00551B19"/>
    <w:rsid w:val="0055255C"/>
    <w:rsid w:val="0055285C"/>
    <w:rsid w:val="005530E0"/>
    <w:rsid w:val="005531CE"/>
    <w:rsid w:val="005534A0"/>
    <w:rsid w:val="005535E3"/>
    <w:rsid w:val="00553CD4"/>
    <w:rsid w:val="005548EB"/>
    <w:rsid w:val="00554C59"/>
    <w:rsid w:val="00554F7F"/>
    <w:rsid w:val="005554F0"/>
    <w:rsid w:val="00555554"/>
    <w:rsid w:val="005556DE"/>
    <w:rsid w:val="005557CD"/>
    <w:rsid w:val="00555C8B"/>
    <w:rsid w:val="0055625D"/>
    <w:rsid w:val="00556703"/>
    <w:rsid w:val="00556D29"/>
    <w:rsid w:val="00556DC9"/>
    <w:rsid w:val="00556F1B"/>
    <w:rsid w:val="00560175"/>
    <w:rsid w:val="005608E7"/>
    <w:rsid w:val="00560C09"/>
    <w:rsid w:val="00560E5B"/>
    <w:rsid w:val="005611F0"/>
    <w:rsid w:val="00561473"/>
    <w:rsid w:val="005615F2"/>
    <w:rsid w:val="00561786"/>
    <w:rsid w:val="00562BD4"/>
    <w:rsid w:val="00562FDB"/>
    <w:rsid w:val="00563392"/>
    <w:rsid w:val="00563FB3"/>
    <w:rsid w:val="00563FE5"/>
    <w:rsid w:val="005641A1"/>
    <w:rsid w:val="00564813"/>
    <w:rsid w:val="00564DE4"/>
    <w:rsid w:val="00564E7B"/>
    <w:rsid w:val="005654A9"/>
    <w:rsid w:val="0056649B"/>
    <w:rsid w:val="00566F59"/>
    <w:rsid w:val="00567223"/>
    <w:rsid w:val="005673D0"/>
    <w:rsid w:val="00567506"/>
    <w:rsid w:val="00570128"/>
    <w:rsid w:val="00570947"/>
    <w:rsid w:val="00570B53"/>
    <w:rsid w:val="00570D81"/>
    <w:rsid w:val="00570FB9"/>
    <w:rsid w:val="0057119D"/>
    <w:rsid w:val="00571390"/>
    <w:rsid w:val="00571B6E"/>
    <w:rsid w:val="00571C09"/>
    <w:rsid w:val="00571D97"/>
    <w:rsid w:val="00571E00"/>
    <w:rsid w:val="00572687"/>
    <w:rsid w:val="00572A03"/>
    <w:rsid w:val="0057300D"/>
    <w:rsid w:val="00573B90"/>
    <w:rsid w:val="00573CE1"/>
    <w:rsid w:val="00574195"/>
    <w:rsid w:val="0057445E"/>
    <w:rsid w:val="00574D94"/>
    <w:rsid w:val="00575005"/>
    <w:rsid w:val="0057554F"/>
    <w:rsid w:val="005755F0"/>
    <w:rsid w:val="005757ED"/>
    <w:rsid w:val="00575D4A"/>
    <w:rsid w:val="00575E21"/>
    <w:rsid w:val="00576181"/>
    <w:rsid w:val="005764EB"/>
    <w:rsid w:val="005773DD"/>
    <w:rsid w:val="0057765B"/>
    <w:rsid w:val="005779D1"/>
    <w:rsid w:val="00577B6A"/>
    <w:rsid w:val="00580245"/>
    <w:rsid w:val="00580CA8"/>
    <w:rsid w:val="00580EBF"/>
    <w:rsid w:val="00581D89"/>
    <w:rsid w:val="0058212F"/>
    <w:rsid w:val="00582273"/>
    <w:rsid w:val="005824BA"/>
    <w:rsid w:val="00582DDA"/>
    <w:rsid w:val="005838ED"/>
    <w:rsid w:val="00583E87"/>
    <w:rsid w:val="0058497E"/>
    <w:rsid w:val="00584F72"/>
    <w:rsid w:val="00584FA9"/>
    <w:rsid w:val="0058545B"/>
    <w:rsid w:val="00585F8C"/>
    <w:rsid w:val="0058671E"/>
    <w:rsid w:val="00586B5A"/>
    <w:rsid w:val="005871EE"/>
    <w:rsid w:val="005876AD"/>
    <w:rsid w:val="0058797A"/>
    <w:rsid w:val="005901CF"/>
    <w:rsid w:val="005902A8"/>
    <w:rsid w:val="005906CA"/>
    <w:rsid w:val="00590937"/>
    <w:rsid w:val="0059102E"/>
    <w:rsid w:val="00591112"/>
    <w:rsid w:val="00591379"/>
    <w:rsid w:val="00591A54"/>
    <w:rsid w:val="005926F3"/>
    <w:rsid w:val="005929FE"/>
    <w:rsid w:val="00592A5D"/>
    <w:rsid w:val="00593027"/>
    <w:rsid w:val="00593BFC"/>
    <w:rsid w:val="005940DF"/>
    <w:rsid w:val="005942A1"/>
    <w:rsid w:val="0059478B"/>
    <w:rsid w:val="00594F61"/>
    <w:rsid w:val="005957B5"/>
    <w:rsid w:val="00595804"/>
    <w:rsid w:val="0059600B"/>
    <w:rsid w:val="00596635"/>
    <w:rsid w:val="005967F4"/>
    <w:rsid w:val="00596D1D"/>
    <w:rsid w:val="005976E0"/>
    <w:rsid w:val="005979F0"/>
    <w:rsid w:val="005979F8"/>
    <w:rsid w:val="00597BD5"/>
    <w:rsid w:val="00597C10"/>
    <w:rsid w:val="005A08D2"/>
    <w:rsid w:val="005A0A4D"/>
    <w:rsid w:val="005A0DA3"/>
    <w:rsid w:val="005A0E7F"/>
    <w:rsid w:val="005A1E0D"/>
    <w:rsid w:val="005A2435"/>
    <w:rsid w:val="005A244D"/>
    <w:rsid w:val="005A28B1"/>
    <w:rsid w:val="005A3282"/>
    <w:rsid w:val="005A36D6"/>
    <w:rsid w:val="005A3DFC"/>
    <w:rsid w:val="005A3F4A"/>
    <w:rsid w:val="005A41F9"/>
    <w:rsid w:val="005A438F"/>
    <w:rsid w:val="005A46FD"/>
    <w:rsid w:val="005A4FDC"/>
    <w:rsid w:val="005A50AF"/>
    <w:rsid w:val="005A540E"/>
    <w:rsid w:val="005A571D"/>
    <w:rsid w:val="005A5E87"/>
    <w:rsid w:val="005A5F76"/>
    <w:rsid w:val="005A6175"/>
    <w:rsid w:val="005A7652"/>
    <w:rsid w:val="005A77AF"/>
    <w:rsid w:val="005A78AE"/>
    <w:rsid w:val="005A790D"/>
    <w:rsid w:val="005B0A39"/>
    <w:rsid w:val="005B1718"/>
    <w:rsid w:val="005B17E4"/>
    <w:rsid w:val="005B2817"/>
    <w:rsid w:val="005B2A0C"/>
    <w:rsid w:val="005B33AC"/>
    <w:rsid w:val="005B395C"/>
    <w:rsid w:val="005B4273"/>
    <w:rsid w:val="005B4481"/>
    <w:rsid w:val="005B4734"/>
    <w:rsid w:val="005B4C9A"/>
    <w:rsid w:val="005B51A1"/>
    <w:rsid w:val="005B5698"/>
    <w:rsid w:val="005B5889"/>
    <w:rsid w:val="005B5A14"/>
    <w:rsid w:val="005B5BCA"/>
    <w:rsid w:val="005B6226"/>
    <w:rsid w:val="005B6432"/>
    <w:rsid w:val="005B6FD8"/>
    <w:rsid w:val="005B75CB"/>
    <w:rsid w:val="005B7A16"/>
    <w:rsid w:val="005C000A"/>
    <w:rsid w:val="005C041B"/>
    <w:rsid w:val="005C0591"/>
    <w:rsid w:val="005C05FE"/>
    <w:rsid w:val="005C0A41"/>
    <w:rsid w:val="005C0D4A"/>
    <w:rsid w:val="005C0E54"/>
    <w:rsid w:val="005C0E61"/>
    <w:rsid w:val="005C0FF5"/>
    <w:rsid w:val="005C1F57"/>
    <w:rsid w:val="005C2196"/>
    <w:rsid w:val="005C2A05"/>
    <w:rsid w:val="005C2DDC"/>
    <w:rsid w:val="005C2E33"/>
    <w:rsid w:val="005C2F03"/>
    <w:rsid w:val="005C31EE"/>
    <w:rsid w:val="005C369D"/>
    <w:rsid w:val="005C36D8"/>
    <w:rsid w:val="005C3EDC"/>
    <w:rsid w:val="005C4065"/>
    <w:rsid w:val="005C40F3"/>
    <w:rsid w:val="005C486E"/>
    <w:rsid w:val="005C4EB8"/>
    <w:rsid w:val="005C50FA"/>
    <w:rsid w:val="005C52B2"/>
    <w:rsid w:val="005C57E2"/>
    <w:rsid w:val="005C5D28"/>
    <w:rsid w:val="005C5D46"/>
    <w:rsid w:val="005C5DD3"/>
    <w:rsid w:val="005C68B7"/>
    <w:rsid w:val="005C6AA2"/>
    <w:rsid w:val="005C734C"/>
    <w:rsid w:val="005C73EC"/>
    <w:rsid w:val="005C78EA"/>
    <w:rsid w:val="005C7A76"/>
    <w:rsid w:val="005D08CB"/>
    <w:rsid w:val="005D0911"/>
    <w:rsid w:val="005D1399"/>
    <w:rsid w:val="005D1629"/>
    <w:rsid w:val="005D18A1"/>
    <w:rsid w:val="005D271A"/>
    <w:rsid w:val="005D2B84"/>
    <w:rsid w:val="005D2C00"/>
    <w:rsid w:val="005D300B"/>
    <w:rsid w:val="005D35FB"/>
    <w:rsid w:val="005D3A64"/>
    <w:rsid w:val="005D463F"/>
    <w:rsid w:val="005D4D4F"/>
    <w:rsid w:val="005D53C5"/>
    <w:rsid w:val="005D550D"/>
    <w:rsid w:val="005D5678"/>
    <w:rsid w:val="005D5D87"/>
    <w:rsid w:val="005D66F6"/>
    <w:rsid w:val="005D6C43"/>
    <w:rsid w:val="005D6DB0"/>
    <w:rsid w:val="005D6EF3"/>
    <w:rsid w:val="005D7102"/>
    <w:rsid w:val="005D76D4"/>
    <w:rsid w:val="005D76E7"/>
    <w:rsid w:val="005E065D"/>
    <w:rsid w:val="005E08F7"/>
    <w:rsid w:val="005E1628"/>
    <w:rsid w:val="005E1D66"/>
    <w:rsid w:val="005E1F28"/>
    <w:rsid w:val="005E209C"/>
    <w:rsid w:val="005E2134"/>
    <w:rsid w:val="005E2320"/>
    <w:rsid w:val="005E285E"/>
    <w:rsid w:val="005E29E8"/>
    <w:rsid w:val="005E3577"/>
    <w:rsid w:val="005E4AFC"/>
    <w:rsid w:val="005E4E08"/>
    <w:rsid w:val="005E5209"/>
    <w:rsid w:val="005E5BBA"/>
    <w:rsid w:val="005E6486"/>
    <w:rsid w:val="005E64D5"/>
    <w:rsid w:val="005E6749"/>
    <w:rsid w:val="005E67E5"/>
    <w:rsid w:val="005E6823"/>
    <w:rsid w:val="005E70DA"/>
    <w:rsid w:val="005E75E6"/>
    <w:rsid w:val="005E76D6"/>
    <w:rsid w:val="005E792A"/>
    <w:rsid w:val="005E79BC"/>
    <w:rsid w:val="005E7F0E"/>
    <w:rsid w:val="005F038F"/>
    <w:rsid w:val="005F0A29"/>
    <w:rsid w:val="005F0C02"/>
    <w:rsid w:val="005F0F98"/>
    <w:rsid w:val="005F19A6"/>
    <w:rsid w:val="005F20A5"/>
    <w:rsid w:val="005F33E7"/>
    <w:rsid w:val="005F3618"/>
    <w:rsid w:val="005F3BAB"/>
    <w:rsid w:val="005F4287"/>
    <w:rsid w:val="005F4DF6"/>
    <w:rsid w:val="005F51F8"/>
    <w:rsid w:val="005F621D"/>
    <w:rsid w:val="005F6440"/>
    <w:rsid w:val="005F70AD"/>
    <w:rsid w:val="005F7100"/>
    <w:rsid w:val="005F7D13"/>
    <w:rsid w:val="006006AF"/>
    <w:rsid w:val="00600AE4"/>
    <w:rsid w:val="00600B64"/>
    <w:rsid w:val="00600D66"/>
    <w:rsid w:val="00600F56"/>
    <w:rsid w:val="00601CB9"/>
    <w:rsid w:val="00601E5E"/>
    <w:rsid w:val="0060224C"/>
    <w:rsid w:val="0060225B"/>
    <w:rsid w:val="006025AA"/>
    <w:rsid w:val="0060266D"/>
    <w:rsid w:val="00602964"/>
    <w:rsid w:val="0060307D"/>
    <w:rsid w:val="0060316B"/>
    <w:rsid w:val="006037CD"/>
    <w:rsid w:val="00603896"/>
    <w:rsid w:val="00604198"/>
    <w:rsid w:val="00604360"/>
    <w:rsid w:val="006044A5"/>
    <w:rsid w:val="006048C6"/>
    <w:rsid w:val="00604983"/>
    <w:rsid w:val="00604B7E"/>
    <w:rsid w:val="00604F68"/>
    <w:rsid w:val="00605013"/>
    <w:rsid w:val="0060563D"/>
    <w:rsid w:val="00605DD8"/>
    <w:rsid w:val="006062DC"/>
    <w:rsid w:val="0060661B"/>
    <w:rsid w:val="0060730A"/>
    <w:rsid w:val="00607ADF"/>
    <w:rsid w:val="00610089"/>
    <w:rsid w:val="00610278"/>
    <w:rsid w:val="006106C5"/>
    <w:rsid w:val="0061072E"/>
    <w:rsid w:val="00610CD5"/>
    <w:rsid w:val="00610D5C"/>
    <w:rsid w:val="00610D92"/>
    <w:rsid w:val="00610E71"/>
    <w:rsid w:val="00610F05"/>
    <w:rsid w:val="00611049"/>
    <w:rsid w:val="00611FE5"/>
    <w:rsid w:val="00612254"/>
    <w:rsid w:val="006124C1"/>
    <w:rsid w:val="00612978"/>
    <w:rsid w:val="00613259"/>
    <w:rsid w:val="006135CB"/>
    <w:rsid w:val="0061387E"/>
    <w:rsid w:val="00613A4E"/>
    <w:rsid w:val="00613D1E"/>
    <w:rsid w:val="00613DBE"/>
    <w:rsid w:val="00614A28"/>
    <w:rsid w:val="00614C04"/>
    <w:rsid w:val="00614FF2"/>
    <w:rsid w:val="00615980"/>
    <w:rsid w:val="00615F08"/>
    <w:rsid w:val="00615F6F"/>
    <w:rsid w:val="00616445"/>
    <w:rsid w:val="00616494"/>
    <w:rsid w:val="00616684"/>
    <w:rsid w:val="00616CA5"/>
    <w:rsid w:val="00616EEE"/>
    <w:rsid w:val="00616F2D"/>
    <w:rsid w:val="00617A5B"/>
    <w:rsid w:val="00620019"/>
    <w:rsid w:val="006200DF"/>
    <w:rsid w:val="00620361"/>
    <w:rsid w:val="00620C70"/>
    <w:rsid w:val="00621322"/>
    <w:rsid w:val="00621712"/>
    <w:rsid w:val="006219E3"/>
    <w:rsid w:val="00621BD5"/>
    <w:rsid w:val="00622026"/>
    <w:rsid w:val="00622779"/>
    <w:rsid w:val="00622A86"/>
    <w:rsid w:val="006240D1"/>
    <w:rsid w:val="0062456C"/>
    <w:rsid w:val="00624705"/>
    <w:rsid w:val="00624719"/>
    <w:rsid w:val="00624BA4"/>
    <w:rsid w:val="00625EA0"/>
    <w:rsid w:val="00626015"/>
    <w:rsid w:val="006261D0"/>
    <w:rsid w:val="00626348"/>
    <w:rsid w:val="00626544"/>
    <w:rsid w:val="006268DE"/>
    <w:rsid w:val="00626DB6"/>
    <w:rsid w:val="006272B7"/>
    <w:rsid w:val="00627CE2"/>
    <w:rsid w:val="006303C7"/>
    <w:rsid w:val="00630526"/>
    <w:rsid w:val="00630580"/>
    <w:rsid w:val="00630B91"/>
    <w:rsid w:val="0063100D"/>
    <w:rsid w:val="00631040"/>
    <w:rsid w:val="00631DB3"/>
    <w:rsid w:val="00631E04"/>
    <w:rsid w:val="00632237"/>
    <w:rsid w:val="00632531"/>
    <w:rsid w:val="00632746"/>
    <w:rsid w:val="006328D9"/>
    <w:rsid w:val="00633864"/>
    <w:rsid w:val="006338DB"/>
    <w:rsid w:val="00633BF4"/>
    <w:rsid w:val="00634C87"/>
    <w:rsid w:val="006354BD"/>
    <w:rsid w:val="00635A2C"/>
    <w:rsid w:val="00635A6B"/>
    <w:rsid w:val="00635F77"/>
    <w:rsid w:val="00636A2D"/>
    <w:rsid w:val="00636F8C"/>
    <w:rsid w:val="00637078"/>
    <w:rsid w:val="00637A1B"/>
    <w:rsid w:val="00637FC9"/>
    <w:rsid w:val="006404E1"/>
    <w:rsid w:val="00640C9C"/>
    <w:rsid w:val="006427DB"/>
    <w:rsid w:val="00643952"/>
    <w:rsid w:val="006439F3"/>
    <w:rsid w:val="00643E02"/>
    <w:rsid w:val="00644F95"/>
    <w:rsid w:val="0064563D"/>
    <w:rsid w:val="00645967"/>
    <w:rsid w:val="00646318"/>
    <w:rsid w:val="006463DF"/>
    <w:rsid w:val="006465DA"/>
    <w:rsid w:val="00646847"/>
    <w:rsid w:val="00646B18"/>
    <w:rsid w:val="00647448"/>
    <w:rsid w:val="0065037D"/>
    <w:rsid w:val="006504C1"/>
    <w:rsid w:val="00650644"/>
    <w:rsid w:val="00650AC3"/>
    <w:rsid w:val="00650B49"/>
    <w:rsid w:val="00650B4B"/>
    <w:rsid w:val="00650F66"/>
    <w:rsid w:val="006520AC"/>
    <w:rsid w:val="00652AC9"/>
    <w:rsid w:val="006534F2"/>
    <w:rsid w:val="00653607"/>
    <w:rsid w:val="00653C04"/>
    <w:rsid w:val="006540AB"/>
    <w:rsid w:val="0065445A"/>
    <w:rsid w:val="006554F3"/>
    <w:rsid w:val="006555A8"/>
    <w:rsid w:val="00655876"/>
    <w:rsid w:val="00655E3D"/>
    <w:rsid w:val="006561B3"/>
    <w:rsid w:val="00656B00"/>
    <w:rsid w:val="00656BD3"/>
    <w:rsid w:val="00657231"/>
    <w:rsid w:val="0065748B"/>
    <w:rsid w:val="00660652"/>
    <w:rsid w:val="00660A47"/>
    <w:rsid w:val="00661687"/>
    <w:rsid w:val="0066179C"/>
    <w:rsid w:val="006620BB"/>
    <w:rsid w:val="00662268"/>
    <w:rsid w:val="00662551"/>
    <w:rsid w:val="006627B0"/>
    <w:rsid w:val="00663084"/>
    <w:rsid w:val="00663E27"/>
    <w:rsid w:val="006643FC"/>
    <w:rsid w:val="00664616"/>
    <w:rsid w:val="006652A7"/>
    <w:rsid w:val="006652B3"/>
    <w:rsid w:val="006657B9"/>
    <w:rsid w:val="006663A7"/>
    <w:rsid w:val="00666555"/>
    <w:rsid w:val="00666A92"/>
    <w:rsid w:val="00667598"/>
    <w:rsid w:val="00667698"/>
    <w:rsid w:val="006677B1"/>
    <w:rsid w:val="00667E34"/>
    <w:rsid w:val="00670138"/>
    <w:rsid w:val="006704F9"/>
    <w:rsid w:val="006705A8"/>
    <w:rsid w:val="0067078F"/>
    <w:rsid w:val="006709F2"/>
    <w:rsid w:val="00670A23"/>
    <w:rsid w:val="006712E8"/>
    <w:rsid w:val="00671797"/>
    <w:rsid w:val="00672404"/>
    <w:rsid w:val="0067257E"/>
    <w:rsid w:val="00672825"/>
    <w:rsid w:val="0067291B"/>
    <w:rsid w:val="00672E26"/>
    <w:rsid w:val="00673085"/>
    <w:rsid w:val="00673771"/>
    <w:rsid w:val="00673A8E"/>
    <w:rsid w:val="0067525B"/>
    <w:rsid w:val="0067529D"/>
    <w:rsid w:val="00675CBF"/>
    <w:rsid w:val="006765DC"/>
    <w:rsid w:val="00676E8F"/>
    <w:rsid w:val="0067736C"/>
    <w:rsid w:val="00677881"/>
    <w:rsid w:val="00680895"/>
    <w:rsid w:val="00680A9B"/>
    <w:rsid w:val="00680CB8"/>
    <w:rsid w:val="006813C0"/>
    <w:rsid w:val="00681954"/>
    <w:rsid w:val="00681B75"/>
    <w:rsid w:val="00681B8D"/>
    <w:rsid w:val="00682666"/>
    <w:rsid w:val="0068307D"/>
    <w:rsid w:val="006835C7"/>
    <w:rsid w:val="006835D8"/>
    <w:rsid w:val="00683907"/>
    <w:rsid w:val="00683FAF"/>
    <w:rsid w:val="006852E5"/>
    <w:rsid w:val="0068573A"/>
    <w:rsid w:val="00685DAC"/>
    <w:rsid w:val="00685E40"/>
    <w:rsid w:val="00685FAC"/>
    <w:rsid w:val="0068601D"/>
    <w:rsid w:val="00686281"/>
    <w:rsid w:val="00686AB5"/>
    <w:rsid w:val="00686F21"/>
    <w:rsid w:val="0068721A"/>
    <w:rsid w:val="006873B7"/>
    <w:rsid w:val="006874F1"/>
    <w:rsid w:val="00687DAF"/>
    <w:rsid w:val="00687F82"/>
    <w:rsid w:val="00687F94"/>
    <w:rsid w:val="00690101"/>
    <w:rsid w:val="00690D45"/>
    <w:rsid w:val="00691230"/>
    <w:rsid w:val="00691CC0"/>
    <w:rsid w:val="00691E5A"/>
    <w:rsid w:val="00692279"/>
    <w:rsid w:val="0069238A"/>
    <w:rsid w:val="0069300E"/>
    <w:rsid w:val="00693370"/>
    <w:rsid w:val="006942DA"/>
    <w:rsid w:val="00694D28"/>
    <w:rsid w:val="006951AD"/>
    <w:rsid w:val="006959A5"/>
    <w:rsid w:val="00695A3C"/>
    <w:rsid w:val="00695CC7"/>
    <w:rsid w:val="00696462"/>
    <w:rsid w:val="0069676F"/>
    <w:rsid w:val="00696B9A"/>
    <w:rsid w:val="00696CB3"/>
    <w:rsid w:val="00696D63"/>
    <w:rsid w:val="00697242"/>
    <w:rsid w:val="0069734E"/>
    <w:rsid w:val="006976D8"/>
    <w:rsid w:val="006978D2"/>
    <w:rsid w:val="00697F8F"/>
    <w:rsid w:val="006A052D"/>
    <w:rsid w:val="006A0562"/>
    <w:rsid w:val="006A0B4A"/>
    <w:rsid w:val="006A115E"/>
    <w:rsid w:val="006A12C9"/>
    <w:rsid w:val="006A148A"/>
    <w:rsid w:val="006A151B"/>
    <w:rsid w:val="006A180D"/>
    <w:rsid w:val="006A1F92"/>
    <w:rsid w:val="006A208B"/>
    <w:rsid w:val="006A2214"/>
    <w:rsid w:val="006A342C"/>
    <w:rsid w:val="006A5FC6"/>
    <w:rsid w:val="006A6043"/>
    <w:rsid w:val="006A625E"/>
    <w:rsid w:val="006A64F0"/>
    <w:rsid w:val="006A6B9F"/>
    <w:rsid w:val="006A6D40"/>
    <w:rsid w:val="006A7154"/>
    <w:rsid w:val="006A7A95"/>
    <w:rsid w:val="006A7CC6"/>
    <w:rsid w:val="006B067E"/>
    <w:rsid w:val="006B09A2"/>
    <w:rsid w:val="006B1085"/>
    <w:rsid w:val="006B12C7"/>
    <w:rsid w:val="006B16EE"/>
    <w:rsid w:val="006B1768"/>
    <w:rsid w:val="006B1B24"/>
    <w:rsid w:val="006B1F97"/>
    <w:rsid w:val="006B2015"/>
    <w:rsid w:val="006B24A7"/>
    <w:rsid w:val="006B2DD1"/>
    <w:rsid w:val="006B2E12"/>
    <w:rsid w:val="006B2E6D"/>
    <w:rsid w:val="006B2EE3"/>
    <w:rsid w:val="006B34A2"/>
    <w:rsid w:val="006B3B24"/>
    <w:rsid w:val="006B3EA7"/>
    <w:rsid w:val="006B4DCA"/>
    <w:rsid w:val="006B4E0B"/>
    <w:rsid w:val="006B4F99"/>
    <w:rsid w:val="006B55DF"/>
    <w:rsid w:val="006B5D5A"/>
    <w:rsid w:val="006B5EC4"/>
    <w:rsid w:val="006B6029"/>
    <w:rsid w:val="006B6046"/>
    <w:rsid w:val="006B623B"/>
    <w:rsid w:val="006B663D"/>
    <w:rsid w:val="006B66BA"/>
    <w:rsid w:val="006B6BA9"/>
    <w:rsid w:val="006B6ED3"/>
    <w:rsid w:val="006B70F6"/>
    <w:rsid w:val="006B7232"/>
    <w:rsid w:val="006B73C4"/>
    <w:rsid w:val="006C0183"/>
    <w:rsid w:val="006C0538"/>
    <w:rsid w:val="006C05CD"/>
    <w:rsid w:val="006C0D65"/>
    <w:rsid w:val="006C143D"/>
    <w:rsid w:val="006C1EB9"/>
    <w:rsid w:val="006C1EE2"/>
    <w:rsid w:val="006C271E"/>
    <w:rsid w:val="006C2E26"/>
    <w:rsid w:val="006C30BA"/>
    <w:rsid w:val="006C3946"/>
    <w:rsid w:val="006C39A3"/>
    <w:rsid w:val="006C3E91"/>
    <w:rsid w:val="006C5102"/>
    <w:rsid w:val="006C5B07"/>
    <w:rsid w:val="006C5B6D"/>
    <w:rsid w:val="006C6668"/>
    <w:rsid w:val="006C66BE"/>
    <w:rsid w:val="006C695F"/>
    <w:rsid w:val="006C6B04"/>
    <w:rsid w:val="006C6EC4"/>
    <w:rsid w:val="006C748E"/>
    <w:rsid w:val="006D03FC"/>
    <w:rsid w:val="006D06FB"/>
    <w:rsid w:val="006D1320"/>
    <w:rsid w:val="006D198C"/>
    <w:rsid w:val="006D1ADB"/>
    <w:rsid w:val="006D22C7"/>
    <w:rsid w:val="006D299B"/>
    <w:rsid w:val="006D2A2B"/>
    <w:rsid w:val="006D2CA2"/>
    <w:rsid w:val="006D4C19"/>
    <w:rsid w:val="006D4EAF"/>
    <w:rsid w:val="006D4F92"/>
    <w:rsid w:val="006D5005"/>
    <w:rsid w:val="006D5642"/>
    <w:rsid w:val="006D5889"/>
    <w:rsid w:val="006D5C80"/>
    <w:rsid w:val="006D660E"/>
    <w:rsid w:val="006D68A8"/>
    <w:rsid w:val="006D73FF"/>
    <w:rsid w:val="006D77A2"/>
    <w:rsid w:val="006D7845"/>
    <w:rsid w:val="006D7E5A"/>
    <w:rsid w:val="006D7EEE"/>
    <w:rsid w:val="006E0034"/>
    <w:rsid w:val="006E0242"/>
    <w:rsid w:val="006E0F2C"/>
    <w:rsid w:val="006E10F4"/>
    <w:rsid w:val="006E1151"/>
    <w:rsid w:val="006E116A"/>
    <w:rsid w:val="006E1355"/>
    <w:rsid w:val="006E172D"/>
    <w:rsid w:val="006E1A4F"/>
    <w:rsid w:val="006E1B14"/>
    <w:rsid w:val="006E2032"/>
    <w:rsid w:val="006E285C"/>
    <w:rsid w:val="006E29CF"/>
    <w:rsid w:val="006E324A"/>
    <w:rsid w:val="006E36B7"/>
    <w:rsid w:val="006E3B23"/>
    <w:rsid w:val="006E425C"/>
    <w:rsid w:val="006E468C"/>
    <w:rsid w:val="006E4B2C"/>
    <w:rsid w:val="006E571E"/>
    <w:rsid w:val="006E6142"/>
    <w:rsid w:val="006E64D3"/>
    <w:rsid w:val="006E65E5"/>
    <w:rsid w:val="006E67D1"/>
    <w:rsid w:val="006E6B52"/>
    <w:rsid w:val="006E7749"/>
    <w:rsid w:val="006E7D7F"/>
    <w:rsid w:val="006E7F36"/>
    <w:rsid w:val="006F04FD"/>
    <w:rsid w:val="006F06C0"/>
    <w:rsid w:val="006F1A02"/>
    <w:rsid w:val="006F1BD8"/>
    <w:rsid w:val="006F1D3E"/>
    <w:rsid w:val="006F1F94"/>
    <w:rsid w:val="006F30A8"/>
    <w:rsid w:val="006F316A"/>
    <w:rsid w:val="006F390D"/>
    <w:rsid w:val="006F39A6"/>
    <w:rsid w:val="006F4030"/>
    <w:rsid w:val="006F40F0"/>
    <w:rsid w:val="006F44E7"/>
    <w:rsid w:val="006F4CDE"/>
    <w:rsid w:val="006F4EFF"/>
    <w:rsid w:val="006F53A8"/>
    <w:rsid w:val="006F577B"/>
    <w:rsid w:val="006F6318"/>
    <w:rsid w:val="006F6E51"/>
    <w:rsid w:val="006F6FAB"/>
    <w:rsid w:val="006F70AD"/>
    <w:rsid w:val="006F73EE"/>
    <w:rsid w:val="006F74C3"/>
    <w:rsid w:val="006F75EA"/>
    <w:rsid w:val="006F75F9"/>
    <w:rsid w:val="006F7876"/>
    <w:rsid w:val="00700625"/>
    <w:rsid w:val="00700ABC"/>
    <w:rsid w:val="00701106"/>
    <w:rsid w:val="0070248E"/>
    <w:rsid w:val="00702D12"/>
    <w:rsid w:val="007030DB"/>
    <w:rsid w:val="007035D5"/>
    <w:rsid w:val="0070380E"/>
    <w:rsid w:val="00703BA4"/>
    <w:rsid w:val="00703D97"/>
    <w:rsid w:val="00704688"/>
    <w:rsid w:val="007046A2"/>
    <w:rsid w:val="00704865"/>
    <w:rsid w:val="00705132"/>
    <w:rsid w:val="00705881"/>
    <w:rsid w:val="00706459"/>
    <w:rsid w:val="00706654"/>
    <w:rsid w:val="007071A8"/>
    <w:rsid w:val="0070722C"/>
    <w:rsid w:val="00707C60"/>
    <w:rsid w:val="00707CC9"/>
    <w:rsid w:val="00707F5F"/>
    <w:rsid w:val="0071027A"/>
    <w:rsid w:val="007102C5"/>
    <w:rsid w:val="007109B0"/>
    <w:rsid w:val="00710DBE"/>
    <w:rsid w:val="00710FB7"/>
    <w:rsid w:val="007115AC"/>
    <w:rsid w:val="007115BF"/>
    <w:rsid w:val="00711851"/>
    <w:rsid w:val="0071189F"/>
    <w:rsid w:val="00711DE1"/>
    <w:rsid w:val="0071202B"/>
    <w:rsid w:val="007123D8"/>
    <w:rsid w:val="0071276A"/>
    <w:rsid w:val="00712831"/>
    <w:rsid w:val="00712DEB"/>
    <w:rsid w:val="00712EB4"/>
    <w:rsid w:val="00713231"/>
    <w:rsid w:val="00713768"/>
    <w:rsid w:val="00713776"/>
    <w:rsid w:val="007144C0"/>
    <w:rsid w:val="00714A93"/>
    <w:rsid w:val="00714CC5"/>
    <w:rsid w:val="00714EB0"/>
    <w:rsid w:val="00715681"/>
    <w:rsid w:val="00715A4B"/>
    <w:rsid w:val="00715CAD"/>
    <w:rsid w:val="00716584"/>
    <w:rsid w:val="00716CA2"/>
    <w:rsid w:val="00716F56"/>
    <w:rsid w:val="00716FE6"/>
    <w:rsid w:val="007176B4"/>
    <w:rsid w:val="00717B1A"/>
    <w:rsid w:val="0072055E"/>
    <w:rsid w:val="00720641"/>
    <w:rsid w:val="00720883"/>
    <w:rsid w:val="007211BB"/>
    <w:rsid w:val="00721C6E"/>
    <w:rsid w:val="0072202D"/>
    <w:rsid w:val="00722140"/>
    <w:rsid w:val="00722734"/>
    <w:rsid w:val="007231BC"/>
    <w:rsid w:val="007231D4"/>
    <w:rsid w:val="007235C8"/>
    <w:rsid w:val="00723A3D"/>
    <w:rsid w:val="007248A2"/>
    <w:rsid w:val="00724B90"/>
    <w:rsid w:val="00724E98"/>
    <w:rsid w:val="007252F6"/>
    <w:rsid w:val="00725BD8"/>
    <w:rsid w:val="00726B9F"/>
    <w:rsid w:val="00726CB5"/>
    <w:rsid w:val="00726E43"/>
    <w:rsid w:val="00727065"/>
    <w:rsid w:val="00727912"/>
    <w:rsid w:val="007279D3"/>
    <w:rsid w:val="007279EB"/>
    <w:rsid w:val="00727BB0"/>
    <w:rsid w:val="00727CBA"/>
    <w:rsid w:val="007309F5"/>
    <w:rsid w:val="00730A67"/>
    <w:rsid w:val="00730C86"/>
    <w:rsid w:val="00730E27"/>
    <w:rsid w:val="00731366"/>
    <w:rsid w:val="007315C1"/>
    <w:rsid w:val="0073165D"/>
    <w:rsid w:val="007325A3"/>
    <w:rsid w:val="007326E8"/>
    <w:rsid w:val="00732A0C"/>
    <w:rsid w:val="00732CF3"/>
    <w:rsid w:val="0073374C"/>
    <w:rsid w:val="00733B9B"/>
    <w:rsid w:val="00733D2A"/>
    <w:rsid w:val="00734482"/>
    <w:rsid w:val="00734C44"/>
    <w:rsid w:val="00734E22"/>
    <w:rsid w:val="0073577E"/>
    <w:rsid w:val="00735D2C"/>
    <w:rsid w:val="00735F4D"/>
    <w:rsid w:val="007362A4"/>
    <w:rsid w:val="00736EAD"/>
    <w:rsid w:val="00737132"/>
    <w:rsid w:val="0073776C"/>
    <w:rsid w:val="00737FE9"/>
    <w:rsid w:val="00740058"/>
    <w:rsid w:val="007407C7"/>
    <w:rsid w:val="0074099E"/>
    <w:rsid w:val="0074162C"/>
    <w:rsid w:val="00741658"/>
    <w:rsid w:val="00741EEB"/>
    <w:rsid w:val="00741F49"/>
    <w:rsid w:val="00742329"/>
    <w:rsid w:val="007425E0"/>
    <w:rsid w:val="00742DB1"/>
    <w:rsid w:val="007431B7"/>
    <w:rsid w:val="00743553"/>
    <w:rsid w:val="0074449C"/>
    <w:rsid w:val="0074481E"/>
    <w:rsid w:val="00745064"/>
    <w:rsid w:val="00745088"/>
    <w:rsid w:val="007452DF"/>
    <w:rsid w:val="00745DDC"/>
    <w:rsid w:val="0074629F"/>
    <w:rsid w:val="007467F5"/>
    <w:rsid w:val="00746A19"/>
    <w:rsid w:val="00746AAC"/>
    <w:rsid w:val="007475AB"/>
    <w:rsid w:val="00747B40"/>
    <w:rsid w:val="00747B47"/>
    <w:rsid w:val="00747E31"/>
    <w:rsid w:val="00750D49"/>
    <w:rsid w:val="007511A3"/>
    <w:rsid w:val="007514E0"/>
    <w:rsid w:val="00751589"/>
    <w:rsid w:val="00751D82"/>
    <w:rsid w:val="00751F28"/>
    <w:rsid w:val="00752721"/>
    <w:rsid w:val="00752BBC"/>
    <w:rsid w:val="00752FAF"/>
    <w:rsid w:val="00753069"/>
    <w:rsid w:val="0075365A"/>
    <w:rsid w:val="00753C73"/>
    <w:rsid w:val="00754055"/>
    <w:rsid w:val="007541EC"/>
    <w:rsid w:val="00754289"/>
    <w:rsid w:val="007543F6"/>
    <w:rsid w:val="00754436"/>
    <w:rsid w:val="00754A8B"/>
    <w:rsid w:val="0075547A"/>
    <w:rsid w:val="007558E5"/>
    <w:rsid w:val="00756201"/>
    <w:rsid w:val="00756FF2"/>
    <w:rsid w:val="00757446"/>
    <w:rsid w:val="00757953"/>
    <w:rsid w:val="00757FF2"/>
    <w:rsid w:val="007604BE"/>
    <w:rsid w:val="00761483"/>
    <w:rsid w:val="0076183D"/>
    <w:rsid w:val="00762570"/>
    <w:rsid w:val="007629C5"/>
    <w:rsid w:val="00762CBC"/>
    <w:rsid w:val="00762CFA"/>
    <w:rsid w:val="00763A8A"/>
    <w:rsid w:val="00763C7C"/>
    <w:rsid w:val="00763C8E"/>
    <w:rsid w:val="00763DC2"/>
    <w:rsid w:val="007648D8"/>
    <w:rsid w:val="007649D3"/>
    <w:rsid w:val="00764F4F"/>
    <w:rsid w:val="00765259"/>
    <w:rsid w:val="00765CAD"/>
    <w:rsid w:val="00765CB7"/>
    <w:rsid w:val="00765D4B"/>
    <w:rsid w:val="00765FF4"/>
    <w:rsid w:val="007668AD"/>
    <w:rsid w:val="00766D1A"/>
    <w:rsid w:val="00766DD5"/>
    <w:rsid w:val="00766E19"/>
    <w:rsid w:val="00766E1E"/>
    <w:rsid w:val="007671F9"/>
    <w:rsid w:val="00767FA4"/>
    <w:rsid w:val="00767FF1"/>
    <w:rsid w:val="00770400"/>
    <w:rsid w:val="0077057C"/>
    <w:rsid w:val="007719DB"/>
    <w:rsid w:val="00771B98"/>
    <w:rsid w:val="00771C56"/>
    <w:rsid w:val="00771C5D"/>
    <w:rsid w:val="00771DAC"/>
    <w:rsid w:val="00772130"/>
    <w:rsid w:val="00772251"/>
    <w:rsid w:val="00772776"/>
    <w:rsid w:val="00772B16"/>
    <w:rsid w:val="00772B82"/>
    <w:rsid w:val="00772ECE"/>
    <w:rsid w:val="00773148"/>
    <w:rsid w:val="00773395"/>
    <w:rsid w:val="0077352E"/>
    <w:rsid w:val="00773C35"/>
    <w:rsid w:val="0077402F"/>
    <w:rsid w:val="00774C95"/>
    <w:rsid w:val="00775B83"/>
    <w:rsid w:val="00775F71"/>
    <w:rsid w:val="00776C20"/>
    <w:rsid w:val="007778AC"/>
    <w:rsid w:val="0077798A"/>
    <w:rsid w:val="00777B04"/>
    <w:rsid w:val="00777B90"/>
    <w:rsid w:val="0078018B"/>
    <w:rsid w:val="007802F7"/>
    <w:rsid w:val="0078051E"/>
    <w:rsid w:val="00780C56"/>
    <w:rsid w:val="00780EF4"/>
    <w:rsid w:val="0078190C"/>
    <w:rsid w:val="00782762"/>
    <w:rsid w:val="0078283F"/>
    <w:rsid w:val="00782BE9"/>
    <w:rsid w:val="00783417"/>
    <w:rsid w:val="00784A23"/>
    <w:rsid w:val="007852EF"/>
    <w:rsid w:val="0078541E"/>
    <w:rsid w:val="00785886"/>
    <w:rsid w:val="00785D0F"/>
    <w:rsid w:val="007861A0"/>
    <w:rsid w:val="007864FF"/>
    <w:rsid w:val="00786540"/>
    <w:rsid w:val="00787184"/>
    <w:rsid w:val="00787405"/>
    <w:rsid w:val="007877EA"/>
    <w:rsid w:val="007902A3"/>
    <w:rsid w:val="007902FE"/>
    <w:rsid w:val="00790B43"/>
    <w:rsid w:val="0079152F"/>
    <w:rsid w:val="007917B5"/>
    <w:rsid w:val="00791BDB"/>
    <w:rsid w:val="00791CF6"/>
    <w:rsid w:val="00791DCE"/>
    <w:rsid w:val="007921FB"/>
    <w:rsid w:val="007934E4"/>
    <w:rsid w:val="0079390B"/>
    <w:rsid w:val="00793E84"/>
    <w:rsid w:val="0079415F"/>
    <w:rsid w:val="00794299"/>
    <w:rsid w:val="0079440E"/>
    <w:rsid w:val="00794507"/>
    <w:rsid w:val="0079458D"/>
    <w:rsid w:val="007949FB"/>
    <w:rsid w:val="00794EC1"/>
    <w:rsid w:val="00794EFF"/>
    <w:rsid w:val="0079542E"/>
    <w:rsid w:val="007956AE"/>
    <w:rsid w:val="007958AF"/>
    <w:rsid w:val="00795EA3"/>
    <w:rsid w:val="00795F8A"/>
    <w:rsid w:val="00796E59"/>
    <w:rsid w:val="007970FB"/>
    <w:rsid w:val="00797932"/>
    <w:rsid w:val="00797AF7"/>
    <w:rsid w:val="007A05EA"/>
    <w:rsid w:val="007A0C43"/>
    <w:rsid w:val="007A0D37"/>
    <w:rsid w:val="007A0E3A"/>
    <w:rsid w:val="007A1C19"/>
    <w:rsid w:val="007A1CED"/>
    <w:rsid w:val="007A28B6"/>
    <w:rsid w:val="007A29D4"/>
    <w:rsid w:val="007A2CF8"/>
    <w:rsid w:val="007A2DA7"/>
    <w:rsid w:val="007A3151"/>
    <w:rsid w:val="007A35E1"/>
    <w:rsid w:val="007A3845"/>
    <w:rsid w:val="007A39FD"/>
    <w:rsid w:val="007A3B29"/>
    <w:rsid w:val="007A3B59"/>
    <w:rsid w:val="007A4021"/>
    <w:rsid w:val="007A463C"/>
    <w:rsid w:val="007A54EB"/>
    <w:rsid w:val="007A5608"/>
    <w:rsid w:val="007A5746"/>
    <w:rsid w:val="007A59E5"/>
    <w:rsid w:val="007A5BE9"/>
    <w:rsid w:val="007A5CC1"/>
    <w:rsid w:val="007A60CB"/>
    <w:rsid w:val="007A60ED"/>
    <w:rsid w:val="007A64B9"/>
    <w:rsid w:val="007A691C"/>
    <w:rsid w:val="007A7861"/>
    <w:rsid w:val="007A7A08"/>
    <w:rsid w:val="007A7F0C"/>
    <w:rsid w:val="007B0224"/>
    <w:rsid w:val="007B0316"/>
    <w:rsid w:val="007B0812"/>
    <w:rsid w:val="007B0B64"/>
    <w:rsid w:val="007B0B9A"/>
    <w:rsid w:val="007B14EC"/>
    <w:rsid w:val="007B18CE"/>
    <w:rsid w:val="007B1C10"/>
    <w:rsid w:val="007B1F0A"/>
    <w:rsid w:val="007B1F4F"/>
    <w:rsid w:val="007B22C7"/>
    <w:rsid w:val="007B23B4"/>
    <w:rsid w:val="007B2526"/>
    <w:rsid w:val="007B2548"/>
    <w:rsid w:val="007B25A3"/>
    <w:rsid w:val="007B289B"/>
    <w:rsid w:val="007B2F91"/>
    <w:rsid w:val="007B4496"/>
    <w:rsid w:val="007B48C2"/>
    <w:rsid w:val="007B4AC7"/>
    <w:rsid w:val="007B5472"/>
    <w:rsid w:val="007B5551"/>
    <w:rsid w:val="007B5701"/>
    <w:rsid w:val="007B58AB"/>
    <w:rsid w:val="007B5A06"/>
    <w:rsid w:val="007B64E6"/>
    <w:rsid w:val="007B7290"/>
    <w:rsid w:val="007B7911"/>
    <w:rsid w:val="007B7CF8"/>
    <w:rsid w:val="007B7D98"/>
    <w:rsid w:val="007B7E49"/>
    <w:rsid w:val="007B7E97"/>
    <w:rsid w:val="007B7FD2"/>
    <w:rsid w:val="007C032B"/>
    <w:rsid w:val="007C0487"/>
    <w:rsid w:val="007C0776"/>
    <w:rsid w:val="007C09E7"/>
    <w:rsid w:val="007C10D7"/>
    <w:rsid w:val="007C1432"/>
    <w:rsid w:val="007C1C72"/>
    <w:rsid w:val="007C2075"/>
    <w:rsid w:val="007C27D5"/>
    <w:rsid w:val="007C2F43"/>
    <w:rsid w:val="007C37F9"/>
    <w:rsid w:val="007C3C03"/>
    <w:rsid w:val="007C416A"/>
    <w:rsid w:val="007C41B5"/>
    <w:rsid w:val="007C44B2"/>
    <w:rsid w:val="007C4D0C"/>
    <w:rsid w:val="007C4D67"/>
    <w:rsid w:val="007C5553"/>
    <w:rsid w:val="007C574F"/>
    <w:rsid w:val="007C57E3"/>
    <w:rsid w:val="007C5A88"/>
    <w:rsid w:val="007C5CC3"/>
    <w:rsid w:val="007C68F9"/>
    <w:rsid w:val="007C6ADC"/>
    <w:rsid w:val="007C6C83"/>
    <w:rsid w:val="007C6E8A"/>
    <w:rsid w:val="007C723E"/>
    <w:rsid w:val="007C7C3C"/>
    <w:rsid w:val="007C7F49"/>
    <w:rsid w:val="007C7FD8"/>
    <w:rsid w:val="007D0819"/>
    <w:rsid w:val="007D1AAB"/>
    <w:rsid w:val="007D1BEA"/>
    <w:rsid w:val="007D2464"/>
    <w:rsid w:val="007D2820"/>
    <w:rsid w:val="007D29E9"/>
    <w:rsid w:val="007D2F6F"/>
    <w:rsid w:val="007D32C2"/>
    <w:rsid w:val="007D331A"/>
    <w:rsid w:val="007D3A39"/>
    <w:rsid w:val="007D3FCB"/>
    <w:rsid w:val="007D403E"/>
    <w:rsid w:val="007D4203"/>
    <w:rsid w:val="007D42D1"/>
    <w:rsid w:val="007D43DC"/>
    <w:rsid w:val="007D442B"/>
    <w:rsid w:val="007D4817"/>
    <w:rsid w:val="007D498D"/>
    <w:rsid w:val="007D4D1F"/>
    <w:rsid w:val="007D4D83"/>
    <w:rsid w:val="007D5A88"/>
    <w:rsid w:val="007D5C97"/>
    <w:rsid w:val="007D5D06"/>
    <w:rsid w:val="007D6244"/>
    <w:rsid w:val="007D6E1B"/>
    <w:rsid w:val="007D6E36"/>
    <w:rsid w:val="007D727A"/>
    <w:rsid w:val="007D7A88"/>
    <w:rsid w:val="007E03FD"/>
    <w:rsid w:val="007E0666"/>
    <w:rsid w:val="007E0795"/>
    <w:rsid w:val="007E07B1"/>
    <w:rsid w:val="007E0A13"/>
    <w:rsid w:val="007E1348"/>
    <w:rsid w:val="007E1576"/>
    <w:rsid w:val="007E1664"/>
    <w:rsid w:val="007E1941"/>
    <w:rsid w:val="007E1D4D"/>
    <w:rsid w:val="007E2289"/>
    <w:rsid w:val="007E26F3"/>
    <w:rsid w:val="007E294E"/>
    <w:rsid w:val="007E2B80"/>
    <w:rsid w:val="007E34BB"/>
    <w:rsid w:val="007E3519"/>
    <w:rsid w:val="007E3EAD"/>
    <w:rsid w:val="007E4985"/>
    <w:rsid w:val="007E5B40"/>
    <w:rsid w:val="007E5D39"/>
    <w:rsid w:val="007E5EED"/>
    <w:rsid w:val="007E633B"/>
    <w:rsid w:val="007E6AA3"/>
    <w:rsid w:val="007E72EC"/>
    <w:rsid w:val="007E76E9"/>
    <w:rsid w:val="007E7E9E"/>
    <w:rsid w:val="007F0981"/>
    <w:rsid w:val="007F0E59"/>
    <w:rsid w:val="007F17B3"/>
    <w:rsid w:val="007F1933"/>
    <w:rsid w:val="007F1E30"/>
    <w:rsid w:val="007F270B"/>
    <w:rsid w:val="007F3254"/>
    <w:rsid w:val="007F34F7"/>
    <w:rsid w:val="007F38C6"/>
    <w:rsid w:val="007F3B1F"/>
    <w:rsid w:val="007F4C9B"/>
    <w:rsid w:val="007F5061"/>
    <w:rsid w:val="007F5919"/>
    <w:rsid w:val="007F5BD1"/>
    <w:rsid w:val="007F5C71"/>
    <w:rsid w:val="007F6167"/>
    <w:rsid w:val="007F66EC"/>
    <w:rsid w:val="007F6F88"/>
    <w:rsid w:val="007F7376"/>
    <w:rsid w:val="007F79A4"/>
    <w:rsid w:val="00800E5E"/>
    <w:rsid w:val="00801420"/>
    <w:rsid w:val="008015F9"/>
    <w:rsid w:val="00801B5C"/>
    <w:rsid w:val="00801C97"/>
    <w:rsid w:val="00801F7B"/>
    <w:rsid w:val="00803717"/>
    <w:rsid w:val="0080379E"/>
    <w:rsid w:val="008043B3"/>
    <w:rsid w:val="00804494"/>
    <w:rsid w:val="00804AC6"/>
    <w:rsid w:val="00805233"/>
    <w:rsid w:val="00805973"/>
    <w:rsid w:val="00805C5B"/>
    <w:rsid w:val="00805F1F"/>
    <w:rsid w:val="0080603E"/>
    <w:rsid w:val="00806EEA"/>
    <w:rsid w:val="008072CF"/>
    <w:rsid w:val="00807B9D"/>
    <w:rsid w:val="00807C5B"/>
    <w:rsid w:val="008101F2"/>
    <w:rsid w:val="008105EF"/>
    <w:rsid w:val="00810C30"/>
    <w:rsid w:val="0081170A"/>
    <w:rsid w:val="00811A16"/>
    <w:rsid w:val="0081245A"/>
    <w:rsid w:val="008130A3"/>
    <w:rsid w:val="0081353A"/>
    <w:rsid w:val="00813761"/>
    <w:rsid w:val="008138B4"/>
    <w:rsid w:val="008138B9"/>
    <w:rsid w:val="00813978"/>
    <w:rsid w:val="00813B94"/>
    <w:rsid w:val="00813C3D"/>
    <w:rsid w:val="00814AED"/>
    <w:rsid w:val="00814B43"/>
    <w:rsid w:val="00815095"/>
    <w:rsid w:val="00815511"/>
    <w:rsid w:val="0081557E"/>
    <w:rsid w:val="00816416"/>
    <w:rsid w:val="008174D1"/>
    <w:rsid w:val="00817CBC"/>
    <w:rsid w:val="00817D75"/>
    <w:rsid w:val="008202F1"/>
    <w:rsid w:val="008204AF"/>
    <w:rsid w:val="00820FEF"/>
    <w:rsid w:val="008212F6"/>
    <w:rsid w:val="00821457"/>
    <w:rsid w:val="0082152B"/>
    <w:rsid w:val="0082172F"/>
    <w:rsid w:val="00821964"/>
    <w:rsid w:val="00821E7E"/>
    <w:rsid w:val="00822583"/>
    <w:rsid w:val="00822831"/>
    <w:rsid w:val="0082300B"/>
    <w:rsid w:val="00823130"/>
    <w:rsid w:val="0082319A"/>
    <w:rsid w:val="0082334C"/>
    <w:rsid w:val="008238D8"/>
    <w:rsid w:val="0082394B"/>
    <w:rsid w:val="00823996"/>
    <w:rsid w:val="00824523"/>
    <w:rsid w:val="00824A9C"/>
    <w:rsid w:val="00825086"/>
    <w:rsid w:val="0082534D"/>
    <w:rsid w:val="00825757"/>
    <w:rsid w:val="00826079"/>
    <w:rsid w:val="0082651A"/>
    <w:rsid w:val="008265F3"/>
    <w:rsid w:val="00826634"/>
    <w:rsid w:val="00826CD7"/>
    <w:rsid w:val="008270BF"/>
    <w:rsid w:val="00827140"/>
    <w:rsid w:val="00827199"/>
    <w:rsid w:val="00827B98"/>
    <w:rsid w:val="00830745"/>
    <w:rsid w:val="00830A56"/>
    <w:rsid w:val="00830B63"/>
    <w:rsid w:val="0083192A"/>
    <w:rsid w:val="00831D0D"/>
    <w:rsid w:val="00832797"/>
    <w:rsid w:val="00832D29"/>
    <w:rsid w:val="00832E86"/>
    <w:rsid w:val="00832FF1"/>
    <w:rsid w:val="008335F3"/>
    <w:rsid w:val="00833E6A"/>
    <w:rsid w:val="0083417C"/>
    <w:rsid w:val="0083420D"/>
    <w:rsid w:val="008345F1"/>
    <w:rsid w:val="00834BB2"/>
    <w:rsid w:val="00835142"/>
    <w:rsid w:val="008358DF"/>
    <w:rsid w:val="00835A80"/>
    <w:rsid w:val="00835B9C"/>
    <w:rsid w:val="0083618C"/>
    <w:rsid w:val="0083667D"/>
    <w:rsid w:val="00836C44"/>
    <w:rsid w:val="00836D3E"/>
    <w:rsid w:val="00836EDE"/>
    <w:rsid w:val="008372FB"/>
    <w:rsid w:val="00837464"/>
    <w:rsid w:val="008378E0"/>
    <w:rsid w:val="00837BE6"/>
    <w:rsid w:val="0084042B"/>
    <w:rsid w:val="008406F3"/>
    <w:rsid w:val="00840859"/>
    <w:rsid w:val="0084091A"/>
    <w:rsid w:val="00841130"/>
    <w:rsid w:val="008412E2"/>
    <w:rsid w:val="008414D2"/>
    <w:rsid w:val="008416E7"/>
    <w:rsid w:val="0084188F"/>
    <w:rsid w:val="00841B2A"/>
    <w:rsid w:val="00841D80"/>
    <w:rsid w:val="00841F15"/>
    <w:rsid w:val="00842258"/>
    <w:rsid w:val="008429AE"/>
    <w:rsid w:val="00842FB2"/>
    <w:rsid w:val="00842FDC"/>
    <w:rsid w:val="00843F3B"/>
    <w:rsid w:val="00844353"/>
    <w:rsid w:val="008450B8"/>
    <w:rsid w:val="0084559A"/>
    <w:rsid w:val="00845641"/>
    <w:rsid w:val="00846077"/>
    <w:rsid w:val="00846335"/>
    <w:rsid w:val="00846441"/>
    <w:rsid w:val="0084692D"/>
    <w:rsid w:val="00846A68"/>
    <w:rsid w:val="0084701C"/>
    <w:rsid w:val="00847648"/>
    <w:rsid w:val="00847706"/>
    <w:rsid w:val="008478B4"/>
    <w:rsid w:val="00850116"/>
    <w:rsid w:val="008506E7"/>
    <w:rsid w:val="0085092F"/>
    <w:rsid w:val="00850D5A"/>
    <w:rsid w:val="00851143"/>
    <w:rsid w:val="00851620"/>
    <w:rsid w:val="00851630"/>
    <w:rsid w:val="008526E6"/>
    <w:rsid w:val="00852A8C"/>
    <w:rsid w:val="00852C80"/>
    <w:rsid w:val="00853140"/>
    <w:rsid w:val="00853515"/>
    <w:rsid w:val="00853D03"/>
    <w:rsid w:val="00854801"/>
    <w:rsid w:val="008549F2"/>
    <w:rsid w:val="00854CA1"/>
    <w:rsid w:val="00855382"/>
    <w:rsid w:val="008560E6"/>
    <w:rsid w:val="0085618C"/>
    <w:rsid w:val="00856C7C"/>
    <w:rsid w:val="00856C9C"/>
    <w:rsid w:val="00856CED"/>
    <w:rsid w:val="0085707D"/>
    <w:rsid w:val="0085718E"/>
    <w:rsid w:val="008575B3"/>
    <w:rsid w:val="0085762C"/>
    <w:rsid w:val="00857A42"/>
    <w:rsid w:val="00857A9A"/>
    <w:rsid w:val="00861061"/>
    <w:rsid w:val="00861C57"/>
    <w:rsid w:val="00862546"/>
    <w:rsid w:val="0086294E"/>
    <w:rsid w:val="00862FBD"/>
    <w:rsid w:val="008645E6"/>
    <w:rsid w:val="00864943"/>
    <w:rsid w:val="00865657"/>
    <w:rsid w:val="0086582A"/>
    <w:rsid w:val="0086593F"/>
    <w:rsid w:val="0086594C"/>
    <w:rsid w:val="00865B07"/>
    <w:rsid w:val="0086661C"/>
    <w:rsid w:val="008666E3"/>
    <w:rsid w:val="00866C81"/>
    <w:rsid w:val="0086703B"/>
    <w:rsid w:val="00867220"/>
    <w:rsid w:val="0086748C"/>
    <w:rsid w:val="008675AA"/>
    <w:rsid w:val="00867D6E"/>
    <w:rsid w:val="008702AF"/>
    <w:rsid w:val="008704CB"/>
    <w:rsid w:val="00870BED"/>
    <w:rsid w:val="00870F5E"/>
    <w:rsid w:val="0087174B"/>
    <w:rsid w:val="00871A36"/>
    <w:rsid w:val="00871A7B"/>
    <w:rsid w:val="00871C2F"/>
    <w:rsid w:val="008722A4"/>
    <w:rsid w:val="008724B5"/>
    <w:rsid w:val="00872A66"/>
    <w:rsid w:val="00874626"/>
    <w:rsid w:val="008747B4"/>
    <w:rsid w:val="00874B27"/>
    <w:rsid w:val="00874E4C"/>
    <w:rsid w:val="0087536A"/>
    <w:rsid w:val="008755AD"/>
    <w:rsid w:val="00875C33"/>
    <w:rsid w:val="0087667D"/>
    <w:rsid w:val="008767BC"/>
    <w:rsid w:val="0087690B"/>
    <w:rsid w:val="00876C06"/>
    <w:rsid w:val="00876E0E"/>
    <w:rsid w:val="00877153"/>
    <w:rsid w:val="008771C3"/>
    <w:rsid w:val="00877252"/>
    <w:rsid w:val="008777C5"/>
    <w:rsid w:val="008802A1"/>
    <w:rsid w:val="008806E3"/>
    <w:rsid w:val="0088154C"/>
    <w:rsid w:val="00881ACD"/>
    <w:rsid w:val="00881F44"/>
    <w:rsid w:val="00882651"/>
    <w:rsid w:val="008832B7"/>
    <w:rsid w:val="0088349A"/>
    <w:rsid w:val="00883835"/>
    <w:rsid w:val="00883BC1"/>
    <w:rsid w:val="008840C9"/>
    <w:rsid w:val="00884BBF"/>
    <w:rsid w:val="00884C3C"/>
    <w:rsid w:val="00884D28"/>
    <w:rsid w:val="00885377"/>
    <w:rsid w:val="00885962"/>
    <w:rsid w:val="00885A23"/>
    <w:rsid w:val="008866DA"/>
    <w:rsid w:val="00886B2C"/>
    <w:rsid w:val="00886C34"/>
    <w:rsid w:val="008871C3"/>
    <w:rsid w:val="00887380"/>
    <w:rsid w:val="00887655"/>
    <w:rsid w:val="008907AA"/>
    <w:rsid w:val="008910CB"/>
    <w:rsid w:val="008911E1"/>
    <w:rsid w:val="008914F3"/>
    <w:rsid w:val="00891D6A"/>
    <w:rsid w:val="008927B0"/>
    <w:rsid w:val="00892836"/>
    <w:rsid w:val="00893E82"/>
    <w:rsid w:val="0089509E"/>
    <w:rsid w:val="0089520B"/>
    <w:rsid w:val="00895416"/>
    <w:rsid w:val="00896BE3"/>
    <w:rsid w:val="00896C3E"/>
    <w:rsid w:val="008A00D2"/>
    <w:rsid w:val="008A026D"/>
    <w:rsid w:val="008A036B"/>
    <w:rsid w:val="008A0A4C"/>
    <w:rsid w:val="008A0E60"/>
    <w:rsid w:val="008A0E67"/>
    <w:rsid w:val="008A14C2"/>
    <w:rsid w:val="008A2231"/>
    <w:rsid w:val="008A3290"/>
    <w:rsid w:val="008A3595"/>
    <w:rsid w:val="008A390E"/>
    <w:rsid w:val="008A4120"/>
    <w:rsid w:val="008A4174"/>
    <w:rsid w:val="008A4B95"/>
    <w:rsid w:val="008A5398"/>
    <w:rsid w:val="008A559F"/>
    <w:rsid w:val="008A5B18"/>
    <w:rsid w:val="008A61CC"/>
    <w:rsid w:val="008A63A3"/>
    <w:rsid w:val="008A6A02"/>
    <w:rsid w:val="008A6CF4"/>
    <w:rsid w:val="008A6FD0"/>
    <w:rsid w:val="008A73A1"/>
    <w:rsid w:val="008A7653"/>
    <w:rsid w:val="008A7F2F"/>
    <w:rsid w:val="008B0104"/>
    <w:rsid w:val="008B2442"/>
    <w:rsid w:val="008B2622"/>
    <w:rsid w:val="008B2C17"/>
    <w:rsid w:val="008B2D57"/>
    <w:rsid w:val="008B3A4D"/>
    <w:rsid w:val="008B3C70"/>
    <w:rsid w:val="008B3DCF"/>
    <w:rsid w:val="008B3FE7"/>
    <w:rsid w:val="008B47F6"/>
    <w:rsid w:val="008B4C32"/>
    <w:rsid w:val="008B4CA5"/>
    <w:rsid w:val="008B588B"/>
    <w:rsid w:val="008B5C8A"/>
    <w:rsid w:val="008B5DD9"/>
    <w:rsid w:val="008B5E70"/>
    <w:rsid w:val="008B5F50"/>
    <w:rsid w:val="008B6C88"/>
    <w:rsid w:val="008B6EAA"/>
    <w:rsid w:val="008B6EC1"/>
    <w:rsid w:val="008B723C"/>
    <w:rsid w:val="008B7DF2"/>
    <w:rsid w:val="008C03E6"/>
    <w:rsid w:val="008C0587"/>
    <w:rsid w:val="008C073C"/>
    <w:rsid w:val="008C079D"/>
    <w:rsid w:val="008C0AFE"/>
    <w:rsid w:val="008C0E80"/>
    <w:rsid w:val="008C1064"/>
    <w:rsid w:val="008C10B3"/>
    <w:rsid w:val="008C13FD"/>
    <w:rsid w:val="008C1BC7"/>
    <w:rsid w:val="008C238E"/>
    <w:rsid w:val="008C25A1"/>
    <w:rsid w:val="008C2AE4"/>
    <w:rsid w:val="008C300C"/>
    <w:rsid w:val="008C3081"/>
    <w:rsid w:val="008C31EE"/>
    <w:rsid w:val="008C3BAC"/>
    <w:rsid w:val="008C3FE9"/>
    <w:rsid w:val="008C4202"/>
    <w:rsid w:val="008C4398"/>
    <w:rsid w:val="008C4B00"/>
    <w:rsid w:val="008C4BC7"/>
    <w:rsid w:val="008C4D56"/>
    <w:rsid w:val="008C4DF4"/>
    <w:rsid w:val="008C4ECC"/>
    <w:rsid w:val="008C53B8"/>
    <w:rsid w:val="008C58FA"/>
    <w:rsid w:val="008C5A03"/>
    <w:rsid w:val="008C5D02"/>
    <w:rsid w:val="008C60A1"/>
    <w:rsid w:val="008C6379"/>
    <w:rsid w:val="008C6F43"/>
    <w:rsid w:val="008C6F93"/>
    <w:rsid w:val="008C70C6"/>
    <w:rsid w:val="008C7158"/>
    <w:rsid w:val="008C770E"/>
    <w:rsid w:val="008C7974"/>
    <w:rsid w:val="008C7A8E"/>
    <w:rsid w:val="008C7F72"/>
    <w:rsid w:val="008D0785"/>
    <w:rsid w:val="008D12F5"/>
    <w:rsid w:val="008D1686"/>
    <w:rsid w:val="008D1FAB"/>
    <w:rsid w:val="008D284D"/>
    <w:rsid w:val="008D2D99"/>
    <w:rsid w:val="008D2DB7"/>
    <w:rsid w:val="008D3723"/>
    <w:rsid w:val="008D38B0"/>
    <w:rsid w:val="008D38D4"/>
    <w:rsid w:val="008D3B96"/>
    <w:rsid w:val="008D3C5B"/>
    <w:rsid w:val="008D3DDF"/>
    <w:rsid w:val="008D426C"/>
    <w:rsid w:val="008D4587"/>
    <w:rsid w:val="008D45B2"/>
    <w:rsid w:val="008D46F2"/>
    <w:rsid w:val="008D4799"/>
    <w:rsid w:val="008D49A3"/>
    <w:rsid w:val="008D4ADB"/>
    <w:rsid w:val="008D4BDD"/>
    <w:rsid w:val="008D55CF"/>
    <w:rsid w:val="008D566A"/>
    <w:rsid w:val="008D5ADD"/>
    <w:rsid w:val="008D5DB2"/>
    <w:rsid w:val="008D643F"/>
    <w:rsid w:val="008D6449"/>
    <w:rsid w:val="008D648A"/>
    <w:rsid w:val="008D699F"/>
    <w:rsid w:val="008D6E69"/>
    <w:rsid w:val="008D74F5"/>
    <w:rsid w:val="008E04D7"/>
    <w:rsid w:val="008E0A30"/>
    <w:rsid w:val="008E14E5"/>
    <w:rsid w:val="008E1EE7"/>
    <w:rsid w:val="008E27CF"/>
    <w:rsid w:val="008E39B0"/>
    <w:rsid w:val="008E39C8"/>
    <w:rsid w:val="008E4A36"/>
    <w:rsid w:val="008E4B25"/>
    <w:rsid w:val="008E4C73"/>
    <w:rsid w:val="008E51AF"/>
    <w:rsid w:val="008E5280"/>
    <w:rsid w:val="008E53E8"/>
    <w:rsid w:val="008E5472"/>
    <w:rsid w:val="008E55BF"/>
    <w:rsid w:val="008E55F4"/>
    <w:rsid w:val="008E5C02"/>
    <w:rsid w:val="008E61D7"/>
    <w:rsid w:val="008E7799"/>
    <w:rsid w:val="008E797D"/>
    <w:rsid w:val="008E7D3C"/>
    <w:rsid w:val="008F0208"/>
    <w:rsid w:val="008F0B41"/>
    <w:rsid w:val="008F0DCC"/>
    <w:rsid w:val="008F1712"/>
    <w:rsid w:val="008F21DE"/>
    <w:rsid w:val="008F2416"/>
    <w:rsid w:val="008F2803"/>
    <w:rsid w:val="008F2A2B"/>
    <w:rsid w:val="008F2D53"/>
    <w:rsid w:val="008F3012"/>
    <w:rsid w:val="008F32A3"/>
    <w:rsid w:val="008F387C"/>
    <w:rsid w:val="008F3B2A"/>
    <w:rsid w:val="008F4783"/>
    <w:rsid w:val="008F47FB"/>
    <w:rsid w:val="008F5223"/>
    <w:rsid w:val="008F525B"/>
    <w:rsid w:val="008F531E"/>
    <w:rsid w:val="008F5353"/>
    <w:rsid w:val="008F5B81"/>
    <w:rsid w:val="008F5B91"/>
    <w:rsid w:val="008F5F2A"/>
    <w:rsid w:val="008F5F49"/>
    <w:rsid w:val="008F7226"/>
    <w:rsid w:val="008F7621"/>
    <w:rsid w:val="008F7849"/>
    <w:rsid w:val="008F7950"/>
    <w:rsid w:val="009003AA"/>
    <w:rsid w:val="009004D6"/>
    <w:rsid w:val="009005F2"/>
    <w:rsid w:val="009006BC"/>
    <w:rsid w:val="00900CD4"/>
    <w:rsid w:val="00900F8C"/>
    <w:rsid w:val="009018A4"/>
    <w:rsid w:val="009022D6"/>
    <w:rsid w:val="00902346"/>
    <w:rsid w:val="0090285B"/>
    <w:rsid w:val="00902887"/>
    <w:rsid w:val="0090313F"/>
    <w:rsid w:val="0090326D"/>
    <w:rsid w:val="009044A0"/>
    <w:rsid w:val="009044CE"/>
    <w:rsid w:val="009048B1"/>
    <w:rsid w:val="00904AC4"/>
    <w:rsid w:val="00904BCB"/>
    <w:rsid w:val="00904CD8"/>
    <w:rsid w:val="00905266"/>
    <w:rsid w:val="00905C85"/>
    <w:rsid w:val="00905CAD"/>
    <w:rsid w:val="0090644E"/>
    <w:rsid w:val="00906626"/>
    <w:rsid w:val="00906AE9"/>
    <w:rsid w:val="0090731F"/>
    <w:rsid w:val="00907429"/>
    <w:rsid w:val="009075A9"/>
    <w:rsid w:val="009076FA"/>
    <w:rsid w:val="00907ABE"/>
    <w:rsid w:val="00907C07"/>
    <w:rsid w:val="00910148"/>
    <w:rsid w:val="00911177"/>
    <w:rsid w:val="0091159B"/>
    <w:rsid w:val="009117E3"/>
    <w:rsid w:val="00911DD2"/>
    <w:rsid w:val="00912428"/>
    <w:rsid w:val="00912DC7"/>
    <w:rsid w:val="0091318E"/>
    <w:rsid w:val="009132B1"/>
    <w:rsid w:val="009132BD"/>
    <w:rsid w:val="009132CE"/>
    <w:rsid w:val="00913414"/>
    <w:rsid w:val="0091480D"/>
    <w:rsid w:val="0091542F"/>
    <w:rsid w:val="0091561E"/>
    <w:rsid w:val="00915B1B"/>
    <w:rsid w:val="00916353"/>
    <w:rsid w:val="00916503"/>
    <w:rsid w:val="0091665F"/>
    <w:rsid w:val="00916D49"/>
    <w:rsid w:val="00916F1D"/>
    <w:rsid w:val="00917081"/>
    <w:rsid w:val="0091778C"/>
    <w:rsid w:val="00917C34"/>
    <w:rsid w:val="00917FC6"/>
    <w:rsid w:val="00920418"/>
    <w:rsid w:val="00920830"/>
    <w:rsid w:val="00920A9E"/>
    <w:rsid w:val="00920C80"/>
    <w:rsid w:val="00920D56"/>
    <w:rsid w:val="009210E6"/>
    <w:rsid w:val="00921863"/>
    <w:rsid w:val="00921A97"/>
    <w:rsid w:val="00921FD8"/>
    <w:rsid w:val="00922607"/>
    <w:rsid w:val="00922FDD"/>
    <w:rsid w:val="0092342B"/>
    <w:rsid w:val="009234CF"/>
    <w:rsid w:val="009237D4"/>
    <w:rsid w:val="00923E0F"/>
    <w:rsid w:val="0092441E"/>
    <w:rsid w:val="00924EC9"/>
    <w:rsid w:val="009257BD"/>
    <w:rsid w:val="00925CBF"/>
    <w:rsid w:val="00926A5F"/>
    <w:rsid w:val="00926B51"/>
    <w:rsid w:val="009273B2"/>
    <w:rsid w:val="00927D5B"/>
    <w:rsid w:val="0093122E"/>
    <w:rsid w:val="0093212D"/>
    <w:rsid w:val="009328B4"/>
    <w:rsid w:val="00932B0B"/>
    <w:rsid w:val="00932B16"/>
    <w:rsid w:val="00933865"/>
    <w:rsid w:val="00933C2A"/>
    <w:rsid w:val="00933C99"/>
    <w:rsid w:val="00933FC9"/>
    <w:rsid w:val="009343D3"/>
    <w:rsid w:val="00934D46"/>
    <w:rsid w:val="009354EC"/>
    <w:rsid w:val="00935ED2"/>
    <w:rsid w:val="00936296"/>
    <w:rsid w:val="009366DB"/>
    <w:rsid w:val="00936F1B"/>
    <w:rsid w:val="0093742F"/>
    <w:rsid w:val="00937764"/>
    <w:rsid w:val="00937938"/>
    <w:rsid w:val="00937BA6"/>
    <w:rsid w:val="0094014B"/>
    <w:rsid w:val="00940CB3"/>
    <w:rsid w:val="00940E2B"/>
    <w:rsid w:val="00941AE6"/>
    <w:rsid w:val="00941E0A"/>
    <w:rsid w:val="0094234B"/>
    <w:rsid w:val="009427C0"/>
    <w:rsid w:val="00942CC6"/>
    <w:rsid w:val="0094318A"/>
    <w:rsid w:val="00943C94"/>
    <w:rsid w:val="00943FCB"/>
    <w:rsid w:val="00944C2C"/>
    <w:rsid w:val="00944CB7"/>
    <w:rsid w:val="00945280"/>
    <w:rsid w:val="00945610"/>
    <w:rsid w:val="009457DD"/>
    <w:rsid w:val="00945EEE"/>
    <w:rsid w:val="00946661"/>
    <w:rsid w:val="009466FF"/>
    <w:rsid w:val="00946C5D"/>
    <w:rsid w:val="00946D09"/>
    <w:rsid w:val="009505E2"/>
    <w:rsid w:val="00950BB9"/>
    <w:rsid w:val="00951C54"/>
    <w:rsid w:val="00951DD8"/>
    <w:rsid w:val="009521F4"/>
    <w:rsid w:val="0095222C"/>
    <w:rsid w:val="00952883"/>
    <w:rsid w:val="009528E5"/>
    <w:rsid w:val="00952A0C"/>
    <w:rsid w:val="00952B61"/>
    <w:rsid w:val="00952DEF"/>
    <w:rsid w:val="009537FA"/>
    <w:rsid w:val="00953CB5"/>
    <w:rsid w:val="00953FB9"/>
    <w:rsid w:val="0095401A"/>
    <w:rsid w:val="009541CE"/>
    <w:rsid w:val="00954645"/>
    <w:rsid w:val="00954AE0"/>
    <w:rsid w:val="009555FE"/>
    <w:rsid w:val="00955CBC"/>
    <w:rsid w:val="00956030"/>
    <w:rsid w:val="00956081"/>
    <w:rsid w:val="00956580"/>
    <w:rsid w:val="00956726"/>
    <w:rsid w:val="00956A3C"/>
    <w:rsid w:val="00956AB3"/>
    <w:rsid w:val="0095704D"/>
    <w:rsid w:val="00957EFF"/>
    <w:rsid w:val="00957FE7"/>
    <w:rsid w:val="009604FF"/>
    <w:rsid w:val="009606A1"/>
    <w:rsid w:val="00960C1B"/>
    <w:rsid w:val="00961F2E"/>
    <w:rsid w:val="00962437"/>
    <w:rsid w:val="0096293D"/>
    <w:rsid w:val="00962941"/>
    <w:rsid w:val="00962A6A"/>
    <w:rsid w:val="00963760"/>
    <w:rsid w:val="009645B6"/>
    <w:rsid w:val="0096474C"/>
    <w:rsid w:val="009652BC"/>
    <w:rsid w:val="0096588A"/>
    <w:rsid w:val="009658C7"/>
    <w:rsid w:val="00965C7A"/>
    <w:rsid w:val="00965E44"/>
    <w:rsid w:val="0096608F"/>
    <w:rsid w:val="009665D2"/>
    <w:rsid w:val="00966863"/>
    <w:rsid w:val="00966E11"/>
    <w:rsid w:val="00966EB6"/>
    <w:rsid w:val="009675C1"/>
    <w:rsid w:val="00967771"/>
    <w:rsid w:val="009702BD"/>
    <w:rsid w:val="00970625"/>
    <w:rsid w:val="00970DBF"/>
    <w:rsid w:val="00971359"/>
    <w:rsid w:val="00971417"/>
    <w:rsid w:val="00971789"/>
    <w:rsid w:val="00971984"/>
    <w:rsid w:val="009720E1"/>
    <w:rsid w:val="00972EA4"/>
    <w:rsid w:val="00972EC0"/>
    <w:rsid w:val="00972EE1"/>
    <w:rsid w:val="00974355"/>
    <w:rsid w:val="00974E0A"/>
    <w:rsid w:val="00975494"/>
    <w:rsid w:val="00975525"/>
    <w:rsid w:val="00975BB7"/>
    <w:rsid w:val="00976871"/>
    <w:rsid w:val="00976AD3"/>
    <w:rsid w:val="00977796"/>
    <w:rsid w:val="0097788D"/>
    <w:rsid w:val="00980152"/>
    <w:rsid w:val="0098066B"/>
    <w:rsid w:val="00981478"/>
    <w:rsid w:val="00981606"/>
    <w:rsid w:val="009818BC"/>
    <w:rsid w:val="00981BB7"/>
    <w:rsid w:val="00981C78"/>
    <w:rsid w:val="00981F18"/>
    <w:rsid w:val="00982D7A"/>
    <w:rsid w:val="00983645"/>
    <w:rsid w:val="0098381F"/>
    <w:rsid w:val="0098470F"/>
    <w:rsid w:val="0098481F"/>
    <w:rsid w:val="00984E9D"/>
    <w:rsid w:val="00984F32"/>
    <w:rsid w:val="009855C9"/>
    <w:rsid w:val="009858D7"/>
    <w:rsid w:val="00986262"/>
    <w:rsid w:val="009863C1"/>
    <w:rsid w:val="009863DB"/>
    <w:rsid w:val="0098666E"/>
    <w:rsid w:val="00986CEE"/>
    <w:rsid w:val="009872DF"/>
    <w:rsid w:val="00987405"/>
    <w:rsid w:val="00987447"/>
    <w:rsid w:val="0098758C"/>
    <w:rsid w:val="00987E72"/>
    <w:rsid w:val="0099052C"/>
    <w:rsid w:val="00990810"/>
    <w:rsid w:val="009908FD"/>
    <w:rsid w:val="00990C46"/>
    <w:rsid w:val="00990EA2"/>
    <w:rsid w:val="009910D3"/>
    <w:rsid w:val="0099190F"/>
    <w:rsid w:val="00991973"/>
    <w:rsid w:val="00991ECB"/>
    <w:rsid w:val="009921AC"/>
    <w:rsid w:val="00992D16"/>
    <w:rsid w:val="00993396"/>
    <w:rsid w:val="009934A9"/>
    <w:rsid w:val="0099362D"/>
    <w:rsid w:val="00993745"/>
    <w:rsid w:val="00993845"/>
    <w:rsid w:val="00993AEE"/>
    <w:rsid w:val="00993C50"/>
    <w:rsid w:val="009941B0"/>
    <w:rsid w:val="00994403"/>
    <w:rsid w:val="009944C6"/>
    <w:rsid w:val="009944CF"/>
    <w:rsid w:val="009946E5"/>
    <w:rsid w:val="0099489D"/>
    <w:rsid w:val="00994B57"/>
    <w:rsid w:val="00995024"/>
    <w:rsid w:val="009955F3"/>
    <w:rsid w:val="0099565C"/>
    <w:rsid w:val="00995666"/>
    <w:rsid w:val="00995E2E"/>
    <w:rsid w:val="009962F2"/>
    <w:rsid w:val="0099634D"/>
    <w:rsid w:val="00997D0C"/>
    <w:rsid w:val="00997E7F"/>
    <w:rsid w:val="009A0027"/>
    <w:rsid w:val="009A03CC"/>
    <w:rsid w:val="009A08F8"/>
    <w:rsid w:val="009A0EDD"/>
    <w:rsid w:val="009A113F"/>
    <w:rsid w:val="009A12D0"/>
    <w:rsid w:val="009A1804"/>
    <w:rsid w:val="009A1D7E"/>
    <w:rsid w:val="009A20A4"/>
    <w:rsid w:val="009A24E7"/>
    <w:rsid w:val="009A2636"/>
    <w:rsid w:val="009A2DE4"/>
    <w:rsid w:val="009A3124"/>
    <w:rsid w:val="009A325E"/>
    <w:rsid w:val="009A3A7D"/>
    <w:rsid w:val="009A3B1F"/>
    <w:rsid w:val="009A3B73"/>
    <w:rsid w:val="009A3BFE"/>
    <w:rsid w:val="009A3FA7"/>
    <w:rsid w:val="009A40C9"/>
    <w:rsid w:val="009A4257"/>
    <w:rsid w:val="009A432D"/>
    <w:rsid w:val="009A4561"/>
    <w:rsid w:val="009A4689"/>
    <w:rsid w:val="009A4956"/>
    <w:rsid w:val="009A4D22"/>
    <w:rsid w:val="009A5419"/>
    <w:rsid w:val="009A5481"/>
    <w:rsid w:val="009A5676"/>
    <w:rsid w:val="009A5F48"/>
    <w:rsid w:val="009A61D4"/>
    <w:rsid w:val="009A6EF1"/>
    <w:rsid w:val="009B0268"/>
    <w:rsid w:val="009B0E67"/>
    <w:rsid w:val="009B1265"/>
    <w:rsid w:val="009B13E4"/>
    <w:rsid w:val="009B20B9"/>
    <w:rsid w:val="009B2861"/>
    <w:rsid w:val="009B3762"/>
    <w:rsid w:val="009B3C44"/>
    <w:rsid w:val="009B5259"/>
    <w:rsid w:val="009B5358"/>
    <w:rsid w:val="009B6530"/>
    <w:rsid w:val="009B65C2"/>
    <w:rsid w:val="009B6A75"/>
    <w:rsid w:val="009B6CB3"/>
    <w:rsid w:val="009B6EB2"/>
    <w:rsid w:val="009B713B"/>
    <w:rsid w:val="009C0BEF"/>
    <w:rsid w:val="009C10D7"/>
    <w:rsid w:val="009C120D"/>
    <w:rsid w:val="009C177F"/>
    <w:rsid w:val="009C1D82"/>
    <w:rsid w:val="009C237F"/>
    <w:rsid w:val="009C238C"/>
    <w:rsid w:val="009C2710"/>
    <w:rsid w:val="009C279D"/>
    <w:rsid w:val="009C2976"/>
    <w:rsid w:val="009C36C2"/>
    <w:rsid w:val="009C3E96"/>
    <w:rsid w:val="009C4AAF"/>
    <w:rsid w:val="009C4CAA"/>
    <w:rsid w:val="009C4D9F"/>
    <w:rsid w:val="009C50E3"/>
    <w:rsid w:val="009C51E3"/>
    <w:rsid w:val="009C598B"/>
    <w:rsid w:val="009C5E3A"/>
    <w:rsid w:val="009C6CE6"/>
    <w:rsid w:val="009C72B9"/>
    <w:rsid w:val="009C742D"/>
    <w:rsid w:val="009C7D14"/>
    <w:rsid w:val="009D011D"/>
    <w:rsid w:val="009D0375"/>
    <w:rsid w:val="009D0729"/>
    <w:rsid w:val="009D08EF"/>
    <w:rsid w:val="009D0BA9"/>
    <w:rsid w:val="009D12AA"/>
    <w:rsid w:val="009D156F"/>
    <w:rsid w:val="009D1575"/>
    <w:rsid w:val="009D19FE"/>
    <w:rsid w:val="009D319E"/>
    <w:rsid w:val="009D38D4"/>
    <w:rsid w:val="009D3908"/>
    <w:rsid w:val="009D3F21"/>
    <w:rsid w:val="009D4837"/>
    <w:rsid w:val="009D5A98"/>
    <w:rsid w:val="009D5AF9"/>
    <w:rsid w:val="009D68FE"/>
    <w:rsid w:val="009D72AF"/>
    <w:rsid w:val="009D73A8"/>
    <w:rsid w:val="009D758A"/>
    <w:rsid w:val="009D78CD"/>
    <w:rsid w:val="009D7A82"/>
    <w:rsid w:val="009E13BA"/>
    <w:rsid w:val="009E18D8"/>
    <w:rsid w:val="009E19AC"/>
    <w:rsid w:val="009E1AC1"/>
    <w:rsid w:val="009E1B83"/>
    <w:rsid w:val="009E2155"/>
    <w:rsid w:val="009E26F2"/>
    <w:rsid w:val="009E2B28"/>
    <w:rsid w:val="009E2B70"/>
    <w:rsid w:val="009E3375"/>
    <w:rsid w:val="009E40F3"/>
    <w:rsid w:val="009E4400"/>
    <w:rsid w:val="009E4A15"/>
    <w:rsid w:val="009E4C90"/>
    <w:rsid w:val="009E50CA"/>
    <w:rsid w:val="009E5628"/>
    <w:rsid w:val="009E5B0D"/>
    <w:rsid w:val="009E6213"/>
    <w:rsid w:val="009E6329"/>
    <w:rsid w:val="009E6562"/>
    <w:rsid w:val="009E71B6"/>
    <w:rsid w:val="009E7B5A"/>
    <w:rsid w:val="009E7F99"/>
    <w:rsid w:val="009F016D"/>
    <w:rsid w:val="009F0601"/>
    <w:rsid w:val="009F11E3"/>
    <w:rsid w:val="009F1732"/>
    <w:rsid w:val="009F17F6"/>
    <w:rsid w:val="009F1F0C"/>
    <w:rsid w:val="009F1F12"/>
    <w:rsid w:val="009F277A"/>
    <w:rsid w:val="009F2B0F"/>
    <w:rsid w:val="009F3A6E"/>
    <w:rsid w:val="009F3D8E"/>
    <w:rsid w:val="009F46DF"/>
    <w:rsid w:val="009F487C"/>
    <w:rsid w:val="009F48DD"/>
    <w:rsid w:val="009F4ACE"/>
    <w:rsid w:val="009F4AE7"/>
    <w:rsid w:val="009F4B93"/>
    <w:rsid w:val="009F4C9E"/>
    <w:rsid w:val="009F53A9"/>
    <w:rsid w:val="009F5858"/>
    <w:rsid w:val="009F5BF8"/>
    <w:rsid w:val="009F5D98"/>
    <w:rsid w:val="009F5E55"/>
    <w:rsid w:val="009F6330"/>
    <w:rsid w:val="009F63B0"/>
    <w:rsid w:val="009F68E9"/>
    <w:rsid w:val="009F6A1E"/>
    <w:rsid w:val="009F6C75"/>
    <w:rsid w:val="009F6DBB"/>
    <w:rsid w:val="009F6E72"/>
    <w:rsid w:val="009F6F7D"/>
    <w:rsid w:val="009F750E"/>
    <w:rsid w:val="009F7601"/>
    <w:rsid w:val="009F7AA5"/>
    <w:rsid w:val="00A00035"/>
    <w:rsid w:val="00A0055F"/>
    <w:rsid w:val="00A00593"/>
    <w:rsid w:val="00A00C51"/>
    <w:rsid w:val="00A00F4A"/>
    <w:rsid w:val="00A01047"/>
    <w:rsid w:val="00A0117C"/>
    <w:rsid w:val="00A01C00"/>
    <w:rsid w:val="00A01F85"/>
    <w:rsid w:val="00A02A78"/>
    <w:rsid w:val="00A02F2F"/>
    <w:rsid w:val="00A034C1"/>
    <w:rsid w:val="00A03673"/>
    <w:rsid w:val="00A03A59"/>
    <w:rsid w:val="00A040DA"/>
    <w:rsid w:val="00A04C47"/>
    <w:rsid w:val="00A04E76"/>
    <w:rsid w:val="00A0572C"/>
    <w:rsid w:val="00A05AB4"/>
    <w:rsid w:val="00A06694"/>
    <w:rsid w:val="00A067BA"/>
    <w:rsid w:val="00A072DA"/>
    <w:rsid w:val="00A075E9"/>
    <w:rsid w:val="00A07669"/>
    <w:rsid w:val="00A07680"/>
    <w:rsid w:val="00A07B36"/>
    <w:rsid w:val="00A07B52"/>
    <w:rsid w:val="00A10449"/>
    <w:rsid w:val="00A10A5B"/>
    <w:rsid w:val="00A10D7C"/>
    <w:rsid w:val="00A10DB1"/>
    <w:rsid w:val="00A1145E"/>
    <w:rsid w:val="00A11C44"/>
    <w:rsid w:val="00A12807"/>
    <w:rsid w:val="00A12858"/>
    <w:rsid w:val="00A12AF5"/>
    <w:rsid w:val="00A131A6"/>
    <w:rsid w:val="00A1352A"/>
    <w:rsid w:val="00A1355D"/>
    <w:rsid w:val="00A1363C"/>
    <w:rsid w:val="00A136DF"/>
    <w:rsid w:val="00A13AE8"/>
    <w:rsid w:val="00A13B51"/>
    <w:rsid w:val="00A1400A"/>
    <w:rsid w:val="00A14825"/>
    <w:rsid w:val="00A14D0F"/>
    <w:rsid w:val="00A1576C"/>
    <w:rsid w:val="00A15E5F"/>
    <w:rsid w:val="00A1638C"/>
    <w:rsid w:val="00A16AB4"/>
    <w:rsid w:val="00A16B84"/>
    <w:rsid w:val="00A16EFA"/>
    <w:rsid w:val="00A16FBF"/>
    <w:rsid w:val="00A17125"/>
    <w:rsid w:val="00A1734B"/>
    <w:rsid w:val="00A17427"/>
    <w:rsid w:val="00A17819"/>
    <w:rsid w:val="00A179D4"/>
    <w:rsid w:val="00A2013A"/>
    <w:rsid w:val="00A20405"/>
    <w:rsid w:val="00A2089A"/>
    <w:rsid w:val="00A2097B"/>
    <w:rsid w:val="00A20FB4"/>
    <w:rsid w:val="00A210A2"/>
    <w:rsid w:val="00A2143D"/>
    <w:rsid w:val="00A217B5"/>
    <w:rsid w:val="00A21E79"/>
    <w:rsid w:val="00A22064"/>
    <w:rsid w:val="00A222EA"/>
    <w:rsid w:val="00A227E7"/>
    <w:rsid w:val="00A23032"/>
    <w:rsid w:val="00A23D42"/>
    <w:rsid w:val="00A23DED"/>
    <w:rsid w:val="00A247F5"/>
    <w:rsid w:val="00A24CF2"/>
    <w:rsid w:val="00A24D4E"/>
    <w:rsid w:val="00A24DA0"/>
    <w:rsid w:val="00A254E7"/>
    <w:rsid w:val="00A25F2C"/>
    <w:rsid w:val="00A25FC7"/>
    <w:rsid w:val="00A26C58"/>
    <w:rsid w:val="00A26E53"/>
    <w:rsid w:val="00A26EB5"/>
    <w:rsid w:val="00A271D6"/>
    <w:rsid w:val="00A273CD"/>
    <w:rsid w:val="00A3026A"/>
    <w:rsid w:val="00A311B9"/>
    <w:rsid w:val="00A313FF"/>
    <w:rsid w:val="00A31C08"/>
    <w:rsid w:val="00A31DB7"/>
    <w:rsid w:val="00A322F0"/>
    <w:rsid w:val="00A32623"/>
    <w:rsid w:val="00A326AC"/>
    <w:rsid w:val="00A32A00"/>
    <w:rsid w:val="00A332AF"/>
    <w:rsid w:val="00A3337A"/>
    <w:rsid w:val="00A334B5"/>
    <w:rsid w:val="00A33CCA"/>
    <w:rsid w:val="00A33D25"/>
    <w:rsid w:val="00A34064"/>
    <w:rsid w:val="00A3492B"/>
    <w:rsid w:val="00A34C9D"/>
    <w:rsid w:val="00A3503B"/>
    <w:rsid w:val="00A353C3"/>
    <w:rsid w:val="00A35986"/>
    <w:rsid w:val="00A378E7"/>
    <w:rsid w:val="00A37F4F"/>
    <w:rsid w:val="00A4050E"/>
    <w:rsid w:val="00A40794"/>
    <w:rsid w:val="00A40FAB"/>
    <w:rsid w:val="00A412B7"/>
    <w:rsid w:val="00A41358"/>
    <w:rsid w:val="00A41666"/>
    <w:rsid w:val="00A41774"/>
    <w:rsid w:val="00A4177B"/>
    <w:rsid w:val="00A41954"/>
    <w:rsid w:val="00A420E2"/>
    <w:rsid w:val="00A426DB"/>
    <w:rsid w:val="00A426E7"/>
    <w:rsid w:val="00A427FE"/>
    <w:rsid w:val="00A42878"/>
    <w:rsid w:val="00A43A30"/>
    <w:rsid w:val="00A43ED7"/>
    <w:rsid w:val="00A43FCA"/>
    <w:rsid w:val="00A4441A"/>
    <w:rsid w:val="00A44919"/>
    <w:rsid w:val="00A45060"/>
    <w:rsid w:val="00A45091"/>
    <w:rsid w:val="00A4547F"/>
    <w:rsid w:val="00A4567D"/>
    <w:rsid w:val="00A457C6"/>
    <w:rsid w:val="00A45C31"/>
    <w:rsid w:val="00A45E39"/>
    <w:rsid w:val="00A46350"/>
    <w:rsid w:val="00A464C2"/>
    <w:rsid w:val="00A46809"/>
    <w:rsid w:val="00A46A02"/>
    <w:rsid w:val="00A46E87"/>
    <w:rsid w:val="00A46EE0"/>
    <w:rsid w:val="00A47096"/>
    <w:rsid w:val="00A47BA5"/>
    <w:rsid w:val="00A47BEC"/>
    <w:rsid w:val="00A509C6"/>
    <w:rsid w:val="00A50B97"/>
    <w:rsid w:val="00A515A4"/>
    <w:rsid w:val="00A51D03"/>
    <w:rsid w:val="00A52238"/>
    <w:rsid w:val="00A52427"/>
    <w:rsid w:val="00A52923"/>
    <w:rsid w:val="00A535C2"/>
    <w:rsid w:val="00A53772"/>
    <w:rsid w:val="00A53A13"/>
    <w:rsid w:val="00A54944"/>
    <w:rsid w:val="00A54A95"/>
    <w:rsid w:val="00A54B8B"/>
    <w:rsid w:val="00A54CB1"/>
    <w:rsid w:val="00A55361"/>
    <w:rsid w:val="00A55571"/>
    <w:rsid w:val="00A555E3"/>
    <w:rsid w:val="00A55794"/>
    <w:rsid w:val="00A55ADE"/>
    <w:rsid w:val="00A56811"/>
    <w:rsid w:val="00A57020"/>
    <w:rsid w:val="00A5751D"/>
    <w:rsid w:val="00A57D07"/>
    <w:rsid w:val="00A608CC"/>
    <w:rsid w:val="00A609BB"/>
    <w:rsid w:val="00A60D4F"/>
    <w:rsid w:val="00A61BB2"/>
    <w:rsid w:val="00A62027"/>
    <w:rsid w:val="00A623EF"/>
    <w:rsid w:val="00A62739"/>
    <w:rsid w:val="00A62D3E"/>
    <w:rsid w:val="00A63224"/>
    <w:rsid w:val="00A63A2C"/>
    <w:rsid w:val="00A642E8"/>
    <w:rsid w:val="00A65E91"/>
    <w:rsid w:val="00A662CD"/>
    <w:rsid w:val="00A66BF3"/>
    <w:rsid w:val="00A66DE5"/>
    <w:rsid w:val="00A66DFC"/>
    <w:rsid w:val="00A674E1"/>
    <w:rsid w:val="00A674EB"/>
    <w:rsid w:val="00A67789"/>
    <w:rsid w:val="00A679FA"/>
    <w:rsid w:val="00A67B7F"/>
    <w:rsid w:val="00A707DD"/>
    <w:rsid w:val="00A70A2C"/>
    <w:rsid w:val="00A70BA1"/>
    <w:rsid w:val="00A70CFA"/>
    <w:rsid w:val="00A715B9"/>
    <w:rsid w:val="00A71D19"/>
    <w:rsid w:val="00A71FE7"/>
    <w:rsid w:val="00A7255A"/>
    <w:rsid w:val="00A7302C"/>
    <w:rsid w:val="00A73208"/>
    <w:rsid w:val="00A736EE"/>
    <w:rsid w:val="00A7411D"/>
    <w:rsid w:val="00A74454"/>
    <w:rsid w:val="00A74614"/>
    <w:rsid w:val="00A746D8"/>
    <w:rsid w:val="00A74A82"/>
    <w:rsid w:val="00A75595"/>
    <w:rsid w:val="00A77392"/>
    <w:rsid w:val="00A77536"/>
    <w:rsid w:val="00A77CEC"/>
    <w:rsid w:val="00A800F6"/>
    <w:rsid w:val="00A8070C"/>
    <w:rsid w:val="00A808A4"/>
    <w:rsid w:val="00A80DB6"/>
    <w:rsid w:val="00A80EE1"/>
    <w:rsid w:val="00A80F7F"/>
    <w:rsid w:val="00A8134A"/>
    <w:rsid w:val="00A81BFE"/>
    <w:rsid w:val="00A821B7"/>
    <w:rsid w:val="00A821CE"/>
    <w:rsid w:val="00A82661"/>
    <w:rsid w:val="00A8284B"/>
    <w:rsid w:val="00A82CF3"/>
    <w:rsid w:val="00A82D73"/>
    <w:rsid w:val="00A83938"/>
    <w:rsid w:val="00A83C17"/>
    <w:rsid w:val="00A83C93"/>
    <w:rsid w:val="00A83CF8"/>
    <w:rsid w:val="00A84181"/>
    <w:rsid w:val="00A84352"/>
    <w:rsid w:val="00A84EB7"/>
    <w:rsid w:val="00A8511A"/>
    <w:rsid w:val="00A85B56"/>
    <w:rsid w:val="00A86AFB"/>
    <w:rsid w:val="00A86CB3"/>
    <w:rsid w:val="00A86D8F"/>
    <w:rsid w:val="00A873E1"/>
    <w:rsid w:val="00A874B7"/>
    <w:rsid w:val="00A87614"/>
    <w:rsid w:val="00A878F2"/>
    <w:rsid w:val="00A87B6E"/>
    <w:rsid w:val="00A87F03"/>
    <w:rsid w:val="00A900DE"/>
    <w:rsid w:val="00A904A7"/>
    <w:rsid w:val="00A9065D"/>
    <w:rsid w:val="00A911CA"/>
    <w:rsid w:val="00A91808"/>
    <w:rsid w:val="00A92952"/>
    <w:rsid w:val="00A9363C"/>
    <w:rsid w:val="00A9410D"/>
    <w:rsid w:val="00A9431D"/>
    <w:rsid w:val="00A947DA"/>
    <w:rsid w:val="00A9482D"/>
    <w:rsid w:val="00A94FE5"/>
    <w:rsid w:val="00A95559"/>
    <w:rsid w:val="00A96CA1"/>
    <w:rsid w:val="00A971CD"/>
    <w:rsid w:val="00AA1062"/>
    <w:rsid w:val="00AA10D6"/>
    <w:rsid w:val="00AA1B35"/>
    <w:rsid w:val="00AA1BD8"/>
    <w:rsid w:val="00AA1F74"/>
    <w:rsid w:val="00AA1F88"/>
    <w:rsid w:val="00AA292B"/>
    <w:rsid w:val="00AA2980"/>
    <w:rsid w:val="00AA2C89"/>
    <w:rsid w:val="00AA3ABE"/>
    <w:rsid w:val="00AA3CBF"/>
    <w:rsid w:val="00AA5B02"/>
    <w:rsid w:val="00AA5E21"/>
    <w:rsid w:val="00AA5FAC"/>
    <w:rsid w:val="00AA6504"/>
    <w:rsid w:val="00AA7239"/>
    <w:rsid w:val="00AA723F"/>
    <w:rsid w:val="00AA734D"/>
    <w:rsid w:val="00AA7722"/>
    <w:rsid w:val="00AB0898"/>
    <w:rsid w:val="00AB0E9C"/>
    <w:rsid w:val="00AB10A1"/>
    <w:rsid w:val="00AB18DD"/>
    <w:rsid w:val="00AB1DAC"/>
    <w:rsid w:val="00AB2955"/>
    <w:rsid w:val="00AB2AEA"/>
    <w:rsid w:val="00AB2B00"/>
    <w:rsid w:val="00AB3057"/>
    <w:rsid w:val="00AB30DE"/>
    <w:rsid w:val="00AB31DC"/>
    <w:rsid w:val="00AB3A02"/>
    <w:rsid w:val="00AB3DC3"/>
    <w:rsid w:val="00AB42BA"/>
    <w:rsid w:val="00AB443D"/>
    <w:rsid w:val="00AB4C0B"/>
    <w:rsid w:val="00AB5F49"/>
    <w:rsid w:val="00AB655B"/>
    <w:rsid w:val="00AB67BD"/>
    <w:rsid w:val="00AB6B33"/>
    <w:rsid w:val="00AB6D02"/>
    <w:rsid w:val="00AB7EE6"/>
    <w:rsid w:val="00AB7EFF"/>
    <w:rsid w:val="00AC0354"/>
    <w:rsid w:val="00AC03E4"/>
    <w:rsid w:val="00AC0E26"/>
    <w:rsid w:val="00AC1B42"/>
    <w:rsid w:val="00AC20F6"/>
    <w:rsid w:val="00AC27D4"/>
    <w:rsid w:val="00AC2BD6"/>
    <w:rsid w:val="00AC2D69"/>
    <w:rsid w:val="00AC32FA"/>
    <w:rsid w:val="00AC3366"/>
    <w:rsid w:val="00AC33AB"/>
    <w:rsid w:val="00AC33EE"/>
    <w:rsid w:val="00AC3BE9"/>
    <w:rsid w:val="00AC3D7B"/>
    <w:rsid w:val="00AC40C6"/>
    <w:rsid w:val="00AC42D1"/>
    <w:rsid w:val="00AC5ECC"/>
    <w:rsid w:val="00AC7423"/>
    <w:rsid w:val="00AC7EC2"/>
    <w:rsid w:val="00AD0022"/>
    <w:rsid w:val="00AD0DCE"/>
    <w:rsid w:val="00AD118C"/>
    <w:rsid w:val="00AD1256"/>
    <w:rsid w:val="00AD2E50"/>
    <w:rsid w:val="00AD2FBF"/>
    <w:rsid w:val="00AD3932"/>
    <w:rsid w:val="00AD3FC7"/>
    <w:rsid w:val="00AD4231"/>
    <w:rsid w:val="00AD475B"/>
    <w:rsid w:val="00AD495F"/>
    <w:rsid w:val="00AD4F23"/>
    <w:rsid w:val="00AD5471"/>
    <w:rsid w:val="00AD55D4"/>
    <w:rsid w:val="00AD561C"/>
    <w:rsid w:val="00AD57F4"/>
    <w:rsid w:val="00AD5976"/>
    <w:rsid w:val="00AD627B"/>
    <w:rsid w:val="00AD6455"/>
    <w:rsid w:val="00AD6606"/>
    <w:rsid w:val="00AD6D25"/>
    <w:rsid w:val="00AD6F02"/>
    <w:rsid w:val="00AD714C"/>
    <w:rsid w:val="00AD736C"/>
    <w:rsid w:val="00AD7C77"/>
    <w:rsid w:val="00AE02F8"/>
    <w:rsid w:val="00AE0740"/>
    <w:rsid w:val="00AE0818"/>
    <w:rsid w:val="00AE0D3E"/>
    <w:rsid w:val="00AE1024"/>
    <w:rsid w:val="00AE10E1"/>
    <w:rsid w:val="00AE1B6C"/>
    <w:rsid w:val="00AE1F9C"/>
    <w:rsid w:val="00AE22ED"/>
    <w:rsid w:val="00AE2B4F"/>
    <w:rsid w:val="00AE38FC"/>
    <w:rsid w:val="00AE39BE"/>
    <w:rsid w:val="00AE3BED"/>
    <w:rsid w:val="00AE4542"/>
    <w:rsid w:val="00AE5241"/>
    <w:rsid w:val="00AE5740"/>
    <w:rsid w:val="00AE6A5E"/>
    <w:rsid w:val="00AE6E03"/>
    <w:rsid w:val="00AE7AD0"/>
    <w:rsid w:val="00AE7C40"/>
    <w:rsid w:val="00AF001C"/>
    <w:rsid w:val="00AF0580"/>
    <w:rsid w:val="00AF0BC6"/>
    <w:rsid w:val="00AF10D2"/>
    <w:rsid w:val="00AF1FF0"/>
    <w:rsid w:val="00AF26C5"/>
    <w:rsid w:val="00AF284F"/>
    <w:rsid w:val="00AF2936"/>
    <w:rsid w:val="00AF2ABB"/>
    <w:rsid w:val="00AF2BC2"/>
    <w:rsid w:val="00AF352F"/>
    <w:rsid w:val="00AF3973"/>
    <w:rsid w:val="00AF3B90"/>
    <w:rsid w:val="00AF3D14"/>
    <w:rsid w:val="00AF3DE2"/>
    <w:rsid w:val="00AF3DF5"/>
    <w:rsid w:val="00AF4262"/>
    <w:rsid w:val="00AF4495"/>
    <w:rsid w:val="00AF47E2"/>
    <w:rsid w:val="00AF4FCA"/>
    <w:rsid w:val="00AF6C73"/>
    <w:rsid w:val="00AF6FF7"/>
    <w:rsid w:val="00AF785A"/>
    <w:rsid w:val="00AF78CA"/>
    <w:rsid w:val="00AF7DF9"/>
    <w:rsid w:val="00B002B0"/>
    <w:rsid w:val="00B0030E"/>
    <w:rsid w:val="00B00512"/>
    <w:rsid w:val="00B006EA"/>
    <w:rsid w:val="00B008D2"/>
    <w:rsid w:val="00B01763"/>
    <w:rsid w:val="00B01DE0"/>
    <w:rsid w:val="00B02150"/>
    <w:rsid w:val="00B02880"/>
    <w:rsid w:val="00B02CCC"/>
    <w:rsid w:val="00B02D3D"/>
    <w:rsid w:val="00B03507"/>
    <w:rsid w:val="00B03718"/>
    <w:rsid w:val="00B0400B"/>
    <w:rsid w:val="00B0447A"/>
    <w:rsid w:val="00B04A24"/>
    <w:rsid w:val="00B04F13"/>
    <w:rsid w:val="00B06124"/>
    <w:rsid w:val="00B0617F"/>
    <w:rsid w:val="00B0629C"/>
    <w:rsid w:val="00B062FE"/>
    <w:rsid w:val="00B065E2"/>
    <w:rsid w:val="00B06731"/>
    <w:rsid w:val="00B06D5C"/>
    <w:rsid w:val="00B0730B"/>
    <w:rsid w:val="00B076B6"/>
    <w:rsid w:val="00B07AE0"/>
    <w:rsid w:val="00B07B0B"/>
    <w:rsid w:val="00B100F3"/>
    <w:rsid w:val="00B105EA"/>
    <w:rsid w:val="00B10F0F"/>
    <w:rsid w:val="00B114F4"/>
    <w:rsid w:val="00B11704"/>
    <w:rsid w:val="00B118A4"/>
    <w:rsid w:val="00B11F09"/>
    <w:rsid w:val="00B125B1"/>
    <w:rsid w:val="00B12D4E"/>
    <w:rsid w:val="00B13159"/>
    <w:rsid w:val="00B135A1"/>
    <w:rsid w:val="00B14626"/>
    <w:rsid w:val="00B14CE1"/>
    <w:rsid w:val="00B15460"/>
    <w:rsid w:val="00B15B7D"/>
    <w:rsid w:val="00B167B8"/>
    <w:rsid w:val="00B16C09"/>
    <w:rsid w:val="00B16C81"/>
    <w:rsid w:val="00B170C3"/>
    <w:rsid w:val="00B17293"/>
    <w:rsid w:val="00B1755D"/>
    <w:rsid w:val="00B17655"/>
    <w:rsid w:val="00B201A6"/>
    <w:rsid w:val="00B203A4"/>
    <w:rsid w:val="00B20DC9"/>
    <w:rsid w:val="00B21290"/>
    <w:rsid w:val="00B21CCB"/>
    <w:rsid w:val="00B21CED"/>
    <w:rsid w:val="00B21E83"/>
    <w:rsid w:val="00B2200E"/>
    <w:rsid w:val="00B22032"/>
    <w:rsid w:val="00B220DF"/>
    <w:rsid w:val="00B221DF"/>
    <w:rsid w:val="00B223AE"/>
    <w:rsid w:val="00B2242D"/>
    <w:rsid w:val="00B22577"/>
    <w:rsid w:val="00B23215"/>
    <w:rsid w:val="00B23C4C"/>
    <w:rsid w:val="00B23D2D"/>
    <w:rsid w:val="00B2425E"/>
    <w:rsid w:val="00B242DA"/>
    <w:rsid w:val="00B249C9"/>
    <w:rsid w:val="00B24E2C"/>
    <w:rsid w:val="00B24ECA"/>
    <w:rsid w:val="00B25301"/>
    <w:rsid w:val="00B25366"/>
    <w:rsid w:val="00B256BC"/>
    <w:rsid w:val="00B257B3"/>
    <w:rsid w:val="00B2590A"/>
    <w:rsid w:val="00B25C5D"/>
    <w:rsid w:val="00B25D5A"/>
    <w:rsid w:val="00B25E6F"/>
    <w:rsid w:val="00B25EAB"/>
    <w:rsid w:val="00B262AB"/>
    <w:rsid w:val="00B264C1"/>
    <w:rsid w:val="00B269CF"/>
    <w:rsid w:val="00B26DFD"/>
    <w:rsid w:val="00B26F40"/>
    <w:rsid w:val="00B27571"/>
    <w:rsid w:val="00B301C3"/>
    <w:rsid w:val="00B3036B"/>
    <w:rsid w:val="00B307FE"/>
    <w:rsid w:val="00B30DBB"/>
    <w:rsid w:val="00B32096"/>
    <w:rsid w:val="00B3241E"/>
    <w:rsid w:val="00B326AA"/>
    <w:rsid w:val="00B3289E"/>
    <w:rsid w:val="00B32C43"/>
    <w:rsid w:val="00B32E28"/>
    <w:rsid w:val="00B32E5C"/>
    <w:rsid w:val="00B3336F"/>
    <w:rsid w:val="00B34A26"/>
    <w:rsid w:val="00B34DC8"/>
    <w:rsid w:val="00B35098"/>
    <w:rsid w:val="00B3510E"/>
    <w:rsid w:val="00B3556A"/>
    <w:rsid w:val="00B35667"/>
    <w:rsid w:val="00B35A89"/>
    <w:rsid w:val="00B35B55"/>
    <w:rsid w:val="00B35F05"/>
    <w:rsid w:val="00B369D0"/>
    <w:rsid w:val="00B36E0A"/>
    <w:rsid w:val="00B3725C"/>
    <w:rsid w:val="00B378BD"/>
    <w:rsid w:val="00B4009A"/>
    <w:rsid w:val="00B40FE7"/>
    <w:rsid w:val="00B4118F"/>
    <w:rsid w:val="00B4172E"/>
    <w:rsid w:val="00B41BFF"/>
    <w:rsid w:val="00B41CFA"/>
    <w:rsid w:val="00B41E66"/>
    <w:rsid w:val="00B42130"/>
    <w:rsid w:val="00B42138"/>
    <w:rsid w:val="00B42154"/>
    <w:rsid w:val="00B42AA6"/>
    <w:rsid w:val="00B4372F"/>
    <w:rsid w:val="00B438C5"/>
    <w:rsid w:val="00B43C20"/>
    <w:rsid w:val="00B43C69"/>
    <w:rsid w:val="00B44DD5"/>
    <w:rsid w:val="00B457B2"/>
    <w:rsid w:val="00B45CDB"/>
    <w:rsid w:val="00B45F69"/>
    <w:rsid w:val="00B46270"/>
    <w:rsid w:val="00B46652"/>
    <w:rsid w:val="00B46971"/>
    <w:rsid w:val="00B470E9"/>
    <w:rsid w:val="00B472D3"/>
    <w:rsid w:val="00B4735E"/>
    <w:rsid w:val="00B4743D"/>
    <w:rsid w:val="00B47881"/>
    <w:rsid w:val="00B478E3"/>
    <w:rsid w:val="00B47DBD"/>
    <w:rsid w:val="00B47FD5"/>
    <w:rsid w:val="00B5125E"/>
    <w:rsid w:val="00B5176E"/>
    <w:rsid w:val="00B522E2"/>
    <w:rsid w:val="00B52A9F"/>
    <w:rsid w:val="00B52DC7"/>
    <w:rsid w:val="00B5323F"/>
    <w:rsid w:val="00B533A8"/>
    <w:rsid w:val="00B53F02"/>
    <w:rsid w:val="00B5436D"/>
    <w:rsid w:val="00B5545A"/>
    <w:rsid w:val="00B554FD"/>
    <w:rsid w:val="00B55918"/>
    <w:rsid w:val="00B55ED9"/>
    <w:rsid w:val="00B55F3F"/>
    <w:rsid w:val="00B564F2"/>
    <w:rsid w:val="00B566D5"/>
    <w:rsid w:val="00B56946"/>
    <w:rsid w:val="00B56B17"/>
    <w:rsid w:val="00B573EC"/>
    <w:rsid w:val="00B576C7"/>
    <w:rsid w:val="00B57927"/>
    <w:rsid w:val="00B57AAA"/>
    <w:rsid w:val="00B57B23"/>
    <w:rsid w:val="00B604A0"/>
    <w:rsid w:val="00B60C79"/>
    <w:rsid w:val="00B61434"/>
    <w:rsid w:val="00B61A64"/>
    <w:rsid w:val="00B61B54"/>
    <w:rsid w:val="00B61C98"/>
    <w:rsid w:val="00B61CEA"/>
    <w:rsid w:val="00B61DDA"/>
    <w:rsid w:val="00B622A4"/>
    <w:rsid w:val="00B627EB"/>
    <w:rsid w:val="00B629F9"/>
    <w:rsid w:val="00B6315D"/>
    <w:rsid w:val="00B635B1"/>
    <w:rsid w:val="00B6390E"/>
    <w:rsid w:val="00B63947"/>
    <w:rsid w:val="00B63C35"/>
    <w:rsid w:val="00B63DB0"/>
    <w:rsid w:val="00B63ECE"/>
    <w:rsid w:val="00B63FCC"/>
    <w:rsid w:val="00B64031"/>
    <w:rsid w:val="00B64159"/>
    <w:rsid w:val="00B64363"/>
    <w:rsid w:val="00B6463E"/>
    <w:rsid w:val="00B6473A"/>
    <w:rsid w:val="00B64AF1"/>
    <w:rsid w:val="00B64D21"/>
    <w:rsid w:val="00B662EB"/>
    <w:rsid w:val="00B6701A"/>
    <w:rsid w:val="00B67A2F"/>
    <w:rsid w:val="00B67F18"/>
    <w:rsid w:val="00B703D0"/>
    <w:rsid w:val="00B717A5"/>
    <w:rsid w:val="00B72E4D"/>
    <w:rsid w:val="00B72E6C"/>
    <w:rsid w:val="00B72ECA"/>
    <w:rsid w:val="00B731EA"/>
    <w:rsid w:val="00B733A6"/>
    <w:rsid w:val="00B743EF"/>
    <w:rsid w:val="00B74F07"/>
    <w:rsid w:val="00B74F80"/>
    <w:rsid w:val="00B7544A"/>
    <w:rsid w:val="00B7577C"/>
    <w:rsid w:val="00B75B1E"/>
    <w:rsid w:val="00B76702"/>
    <w:rsid w:val="00B76E8C"/>
    <w:rsid w:val="00B77338"/>
    <w:rsid w:val="00B7781B"/>
    <w:rsid w:val="00B8030A"/>
    <w:rsid w:val="00B80451"/>
    <w:rsid w:val="00B80A5C"/>
    <w:rsid w:val="00B80B16"/>
    <w:rsid w:val="00B8119B"/>
    <w:rsid w:val="00B814D6"/>
    <w:rsid w:val="00B82455"/>
    <w:rsid w:val="00B82553"/>
    <w:rsid w:val="00B82976"/>
    <w:rsid w:val="00B82B1E"/>
    <w:rsid w:val="00B83457"/>
    <w:rsid w:val="00B83632"/>
    <w:rsid w:val="00B83E61"/>
    <w:rsid w:val="00B84918"/>
    <w:rsid w:val="00B84BF4"/>
    <w:rsid w:val="00B85932"/>
    <w:rsid w:val="00B85A2F"/>
    <w:rsid w:val="00B85C49"/>
    <w:rsid w:val="00B860F4"/>
    <w:rsid w:val="00B87AE2"/>
    <w:rsid w:val="00B87BDF"/>
    <w:rsid w:val="00B90001"/>
    <w:rsid w:val="00B90A2F"/>
    <w:rsid w:val="00B90F91"/>
    <w:rsid w:val="00B9105C"/>
    <w:rsid w:val="00B910DA"/>
    <w:rsid w:val="00B911B0"/>
    <w:rsid w:val="00B917F4"/>
    <w:rsid w:val="00B9304B"/>
    <w:rsid w:val="00B93E8D"/>
    <w:rsid w:val="00B93ECD"/>
    <w:rsid w:val="00B93EFB"/>
    <w:rsid w:val="00B94177"/>
    <w:rsid w:val="00B94300"/>
    <w:rsid w:val="00B945D5"/>
    <w:rsid w:val="00B94985"/>
    <w:rsid w:val="00B94C9F"/>
    <w:rsid w:val="00B94CF4"/>
    <w:rsid w:val="00B94D8B"/>
    <w:rsid w:val="00B952D7"/>
    <w:rsid w:val="00B954AF"/>
    <w:rsid w:val="00B95E1F"/>
    <w:rsid w:val="00B95ECA"/>
    <w:rsid w:val="00B96952"/>
    <w:rsid w:val="00B97286"/>
    <w:rsid w:val="00BA0ACC"/>
    <w:rsid w:val="00BA0EC6"/>
    <w:rsid w:val="00BA10E4"/>
    <w:rsid w:val="00BA1AB0"/>
    <w:rsid w:val="00BA215C"/>
    <w:rsid w:val="00BA2571"/>
    <w:rsid w:val="00BA2931"/>
    <w:rsid w:val="00BA2AC7"/>
    <w:rsid w:val="00BA34F5"/>
    <w:rsid w:val="00BA3A09"/>
    <w:rsid w:val="00BA3B25"/>
    <w:rsid w:val="00BA3BF0"/>
    <w:rsid w:val="00BA3CD0"/>
    <w:rsid w:val="00BA3E06"/>
    <w:rsid w:val="00BA4172"/>
    <w:rsid w:val="00BA470D"/>
    <w:rsid w:val="00BA48EA"/>
    <w:rsid w:val="00BA4F11"/>
    <w:rsid w:val="00BA525F"/>
    <w:rsid w:val="00BA52B6"/>
    <w:rsid w:val="00BA5630"/>
    <w:rsid w:val="00BA595E"/>
    <w:rsid w:val="00BA59E6"/>
    <w:rsid w:val="00BA61F3"/>
    <w:rsid w:val="00BA6504"/>
    <w:rsid w:val="00BA6514"/>
    <w:rsid w:val="00BA6DD7"/>
    <w:rsid w:val="00BB0992"/>
    <w:rsid w:val="00BB0B81"/>
    <w:rsid w:val="00BB0E85"/>
    <w:rsid w:val="00BB0EA0"/>
    <w:rsid w:val="00BB0FC5"/>
    <w:rsid w:val="00BB1AAF"/>
    <w:rsid w:val="00BB1E54"/>
    <w:rsid w:val="00BB1FA3"/>
    <w:rsid w:val="00BB2C3A"/>
    <w:rsid w:val="00BB3551"/>
    <w:rsid w:val="00BB35E1"/>
    <w:rsid w:val="00BB3BAA"/>
    <w:rsid w:val="00BB3E9D"/>
    <w:rsid w:val="00BB4F1D"/>
    <w:rsid w:val="00BB5739"/>
    <w:rsid w:val="00BB5F76"/>
    <w:rsid w:val="00BB62D4"/>
    <w:rsid w:val="00BB6A06"/>
    <w:rsid w:val="00BB6C09"/>
    <w:rsid w:val="00BB6EB3"/>
    <w:rsid w:val="00BB7443"/>
    <w:rsid w:val="00BB774E"/>
    <w:rsid w:val="00BB775E"/>
    <w:rsid w:val="00BB7A11"/>
    <w:rsid w:val="00BC027C"/>
    <w:rsid w:val="00BC0289"/>
    <w:rsid w:val="00BC0535"/>
    <w:rsid w:val="00BC0E74"/>
    <w:rsid w:val="00BC19A4"/>
    <w:rsid w:val="00BC2660"/>
    <w:rsid w:val="00BC29F3"/>
    <w:rsid w:val="00BC2FD6"/>
    <w:rsid w:val="00BC302D"/>
    <w:rsid w:val="00BC3150"/>
    <w:rsid w:val="00BC3818"/>
    <w:rsid w:val="00BC3845"/>
    <w:rsid w:val="00BC3C96"/>
    <w:rsid w:val="00BC4017"/>
    <w:rsid w:val="00BC410D"/>
    <w:rsid w:val="00BC4581"/>
    <w:rsid w:val="00BC4BB5"/>
    <w:rsid w:val="00BC4BC6"/>
    <w:rsid w:val="00BC4F9D"/>
    <w:rsid w:val="00BC53EF"/>
    <w:rsid w:val="00BC5428"/>
    <w:rsid w:val="00BC5AEB"/>
    <w:rsid w:val="00BC5C48"/>
    <w:rsid w:val="00BC5C89"/>
    <w:rsid w:val="00BC61C2"/>
    <w:rsid w:val="00BC622F"/>
    <w:rsid w:val="00BC649F"/>
    <w:rsid w:val="00BC7DCD"/>
    <w:rsid w:val="00BD0049"/>
    <w:rsid w:val="00BD018C"/>
    <w:rsid w:val="00BD022C"/>
    <w:rsid w:val="00BD0A05"/>
    <w:rsid w:val="00BD1296"/>
    <w:rsid w:val="00BD13B0"/>
    <w:rsid w:val="00BD15DC"/>
    <w:rsid w:val="00BD1762"/>
    <w:rsid w:val="00BD207E"/>
    <w:rsid w:val="00BD2B61"/>
    <w:rsid w:val="00BD316F"/>
    <w:rsid w:val="00BD34F1"/>
    <w:rsid w:val="00BD3979"/>
    <w:rsid w:val="00BD3F18"/>
    <w:rsid w:val="00BD4102"/>
    <w:rsid w:val="00BD48D3"/>
    <w:rsid w:val="00BD4A22"/>
    <w:rsid w:val="00BD51FE"/>
    <w:rsid w:val="00BD595E"/>
    <w:rsid w:val="00BD5F6A"/>
    <w:rsid w:val="00BD64AD"/>
    <w:rsid w:val="00BD6728"/>
    <w:rsid w:val="00BD6A7F"/>
    <w:rsid w:val="00BD6F8A"/>
    <w:rsid w:val="00BD6FDB"/>
    <w:rsid w:val="00BD71C2"/>
    <w:rsid w:val="00BD727F"/>
    <w:rsid w:val="00BD76CE"/>
    <w:rsid w:val="00BD7817"/>
    <w:rsid w:val="00BD7B15"/>
    <w:rsid w:val="00BE0751"/>
    <w:rsid w:val="00BE0F74"/>
    <w:rsid w:val="00BE1284"/>
    <w:rsid w:val="00BE171C"/>
    <w:rsid w:val="00BE2973"/>
    <w:rsid w:val="00BE2CAD"/>
    <w:rsid w:val="00BE2F46"/>
    <w:rsid w:val="00BE3247"/>
    <w:rsid w:val="00BE3F60"/>
    <w:rsid w:val="00BE402B"/>
    <w:rsid w:val="00BE45F6"/>
    <w:rsid w:val="00BE4939"/>
    <w:rsid w:val="00BE4F9C"/>
    <w:rsid w:val="00BE4FEE"/>
    <w:rsid w:val="00BE58AA"/>
    <w:rsid w:val="00BE58D4"/>
    <w:rsid w:val="00BE5ED9"/>
    <w:rsid w:val="00BE6287"/>
    <w:rsid w:val="00BE658E"/>
    <w:rsid w:val="00BE664C"/>
    <w:rsid w:val="00BE6B4F"/>
    <w:rsid w:val="00BE6BF9"/>
    <w:rsid w:val="00BE7947"/>
    <w:rsid w:val="00BF03A6"/>
    <w:rsid w:val="00BF0684"/>
    <w:rsid w:val="00BF06E8"/>
    <w:rsid w:val="00BF0E34"/>
    <w:rsid w:val="00BF16DF"/>
    <w:rsid w:val="00BF184C"/>
    <w:rsid w:val="00BF1A95"/>
    <w:rsid w:val="00BF1E23"/>
    <w:rsid w:val="00BF1E5B"/>
    <w:rsid w:val="00BF226C"/>
    <w:rsid w:val="00BF24BD"/>
    <w:rsid w:val="00BF2515"/>
    <w:rsid w:val="00BF279B"/>
    <w:rsid w:val="00BF35D5"/>
    <w:rsid w:val="00BF3A20"/>
    <w:rsid w:val="00BF560B"/>
    <w:rsid w:val="00BF59A7"/>
    <w:rsid w:val="00BF6DB2"/>
    <w:rsid w:val="00BF7202"/>
    <w:rsid w:val="00BF76D6"/>
    <w:rsid w:val="00C003E5"/>
    <w:rsid w:val="00C003FA"/>
    <w:rsid w:val="00C018FF"/>
    <w:rsid w:val="00C01B57"/>
    <w:rsid w:val="00C02334"/>
    <w:rsid w:val="00C02533"/>
    <w:rsid w:val="00C02796"/>
    <w:rsid w:val="00C0296A"/>
    <w:rsid w:val="00C029CA"/>
    <w:rsid w:val="00C03A15"/>
    <w:rsid w:val="00C04AAD"/>
    <w:rsid w:val="00C0566D"/>
    <w:rsid w:val="00C05875"/>
    <w:rsid w:val="00C05FC4"/>
    <w:rsid w:val="00C05FDF"/>
    <w:rsid w:val="00C06743"/>
    <w:rsid w:val="00C06762"/>
    <w:rsid w:val="00C06926"/>
    <w:rsid w:val="00C06F20"/>
    <w:rsid w:val="00C07823"/>
    <w:rsid w:val="00C07FFB"/>
    <w:rsid w:val="00C1052A"/>
    <w:rsid w:val="00C1056A"/>
    <w:rsid w:val="00C1067C"/>
    <w:rsid w:val="00C10996"/>
    <w:rsid w:val="00C10A88"/>
    <w:rsid w:val="00C11818"/>
    <w:rsid w:val="00C12141"/>
    <w:rsid w:val="00C122DF"/>
    <w:rsid w:val="00C124E0"/>
    <w:rsid w:val="00C1252E"/>
    <w:rsid w:val="00C127FC"/>
    <w:rsid w:val="00C12B0F"/>
    <w:rsid w:val="00C12E33"/>
    <w:rsid w:val="00C12F6E"/>
    <w:rsid w:val="00C13049"/>
    <w:rsid w:val="00C134AB"/>
    <w:rsid w:val="00C13DA4"/>
    <w:rsid w:val="00C1411F"/>
    <w:rsid w:val="00C1433F"/>
    <w:rsid w:val="00C151DD"/>
    <w:rsid w:val="00C15202"/>
    <w:rsid w:val="00C154FE"/>
    <w:rsid w:val="00C16D50"/>
    <w:rsid w:val="00C16F3A"/>
    <w:rsid w:val="00C202BB"/>
    <w:rsid w:val="00C2053B"/>
    <w:rsid w:val="00C20DF2"/>
    <w:rsid w:val="00C218A6"/>
    <w:rsid w:val="00C221A3"/>
    <w:rsid w:val="00C223A6"/>
    <w:rsid w:val="00C22988"/>
    <w:rsid w:val="00C22AFD"/>
    <w:rsid w:val="00C22DD9"/>
    <w:rsid w:val="00C2305E"/>
    <w:rsid w:val="00C24575"/>
    <w:rsid w:val="00C24A32"/>
    <w:rsid w:val="00C25251"/>
    <w:rsid w:val="00C26555"/>
    <w:rsid w:val="00C27016"/>
    <w:rsid w:val="00C279A7"/>
    <w:rsid w:val="00C3077E"/>
    <w:rsid w:val="00C30E74"/>
    <w:rsid w:val="00C30EC8"/>
    <w:rsid w:val="00C3162E"/>
    <w:rsid w:val="00C31CD3"/>
    <w:rsid w:val="00C322AC"/>
    <w:rsid w:val="00C32B25"/>
    <w:rsid w:val="00C32F39"/>
    <w:rsid w:val="00C330EF"/>
    <w:rsid w:val="00C330F6"/>
    <w:rsid w:val="00C33104"/>
    <w:rsid w:val="00C3323C"/>
    <w:rsid w:val="00C334C3"/>
    <w:rsid w:val="00C33606"/>
    <w:rsid w:val="00C33869"/>
    <w:rsid w:val="00C33FA5"/>
    <w:rsid w:val="00C3412B"/>
    <w:rsid w:val="00C34349"/>
    <w:rsid w:val="00C3441C"/>
    <w:rsid w:val="00C34CD5"/>
    <w:rsid w:val="00C34F99"/>
    <w:rsid w:val="00C35142"/>
    <w:rsid w:val="00C35512"/>
    <w:rsid w:val="00C35731"/>
    <w:rsid w:val="00C363E1"/>
    <w:rsid w:val="00C36602"/>
    <w:rsid w:val="00C366C2"/>
    <w:rsid w:val="00C367A2"/>
    <w:rsid w:val="00C3695E"/>
    <w:rsid w:val="00C36D41"/>
    <w:rsid w:val="00C374DE"/>
    <w:rsid w:val="00C40A2F"/>
    <w:rsid w:val="00C41D7F"/>
    <w:rsid w:val="00C42455"/>
    <w:rsid w:val="00C42561"/>
    <w:rsid w:val="00C42E17"/>
    <w:rsid w:val="00C42FD2"/>
    <w:rsid w:val="00C445E3"/>
    <w:rsid w:val="00C449A6"/>
    <w:rsid w:val="00C4507A"/>
    <w:rsid w:val="00C453D1"/>
    <w:rsid w:val="00C45606"/>
    <w:rsid w:val="00C458C7"/>
    <w:rsid w:val="00C45CB3"/>
    <w:rsid w:val="00C460BB"/>
    <w:rsid w:val="00C462FE"/>
    <w:rsid w:val="00C46741"/>
    <w:rsid w:val="00C46A0E"/>
    <w:rsid w:val="00C46BCA"/>
    <w:rsid w:val="00C47058"/>
    <w:rsid w:val="00C4754C"/>
    <w:rsid w:val="00C47A46"/>
    <w:rsid w:val="00C47D45"/>
    <w:rsid w:val="00C47D9D"/>
    <w:rsid w:val="00C5060C"/>
    <w:rsid w:val="00C51AC9"/>
    <w:rsid w:val="00C51D2C"/>
    <w:rsid w:val="00C52397"/>
    <w:rsid w:val="00C529A6"/>
    <w:rsid w:val="00C529B9"/>
    <w:rsid w:val="00C534BC"/>
    <w:rsid w:val="00C535CC"/>
    <w:rsid w:val="00C53897"/>
    <w:rsid w:val="00C5454C"/>
    <w:rsid w:val="00C548E7"/>
    <w:rsid w:val="00C54B74"/>
    <w:rsid w:val="00C54BE0"/>
    <w:rsid w:val="00C55575"/>
    <w:rsid w:val="00C55C36"/>
    <w:rsid w:val="00C56261"/>
    <w:rsid w:val="00C56370"/>
    <w:rsid w:val="00C5668D"/>
    <w:rsid w:val="00C56788"/>
    <w:rsid w:val="00C56D6C"/>
    <w:rsid w:val="00C576FB"/>
    <w:rsid w:val="00C577A3"/>
    <w:rsid w:val="00C57FCC"/>
    <w:rsid w:val="00C60A8C"/>
    <w:rsid w:val="00C60B6C"/>
    <w:rsid w:val="00C60C2A"/>
    <w:rsid w:val="00C60EF5"/>
    <w:rsid w:val="00C610EC"/>
    <w:rsid w:val="00C61526"/>
    <w:rsid w:val="00C61D35"/>
    <w:rsid w:val="00C62BA1"/>
    <w:rsid w:val="00C6390B"/>
    <w:rsid w:val="00C63925"/>
    <w:rsid w:val="00C63CB0"/>
    <w:rsid w:val="00C63D8A"/>
    <w:rsid w:val="00C64739"/>
    <w:rsid w:val="00C64AEB"/>
    <w:rsid w:val="00C64F49"/>
    <w:rsid w:val="00C655B2"/>
    <w:rsid w:val="00C65887"/>
    <w:rsid w:val="00C6594B"/>
    <w:rsid w:val="00C659F3"/>
    <w:rsid w:val="00C65AFD"/>
    <w:rsid w:val="00C66F9B"/>
    <w:rsid w:val="00C670EB"/>
    <w:rsid w:val="00C70BA2"/>
    <w:rsid w:val="00C70CB8"/>
    <w:rsid w:val="00C70FE7"/>
    <w:rsid w:val="00C71007"/>
    <w:rsid w:val="00C7193C"/>
    <w:rsid w:val="00C71EBE"/>
    <w:rsid w:val="00C71FB7"/>
    <w:rsid w:val="00C7246A"/>
    <w:rsid w:val="00C72E81"/>
    <w:rsid w:val="00C7341E"/>
    <w:rsid w:val="00C7381E"/>
    <w:rsid w:val="00C7387A"/>
    <w:rsid w:val="00C746FF"/>
    <w:rsid w:val="00C74C57"/>
    <w:rsid w:val="00C74DCE"/>
    <w:rsid w:val="00C75124"/>
    <w:rsid w:val="00C75494"/>
    <w:rsid w:val="00C75522"/>
    <w:rsid w:val="00C76800"/>
    <w:rsid w:val="00C769B0"/>
    <w:rsid w:val="00C76B48"/>
    <w:rsid w:val="00C7708F"/>
    <w:rsid w:val="00C77559"/>
    <w:rsid w:val="00C77E4B"/>
    <w:rsid w:val="00C77F9A"/>
    <w:rsid w:val="00C80676"/>
    <w:rsid w:val="00C80900"/>
    <w:rsid w:val="00C80A25"/>
    <w:rsid w:val="00C80C85"/>
    <w:rsid w:val="00C81099"/>
    <w:rsid w:val="00C81A59"/>
    <w:rsid w:val="00C81E35"/>
    <w:rsid w:val="00C820D4"/>
    <w:rsid w:val="00C82A86"/>
    <w:rsid w:val="00C833F8"/>
    <w:rsid w:val="00C83440"/>
    <w:rsid w:val="00C8344D"/>
    <w:rsid w:val="00C8365E"/>
    <w:rsid w:val="00C842B8"/>
    <w:rsid w:val="00C84373"/>
    <w:rsid w:val="00C84A54"/>
    <w:rsid w:val="00C84C04"/>
    <w:rsid w:val="00C84C0A"/>
    <w:rsid w:val="00C84EEC"/>
    <w:rsid w:val="00C85374"/>
    <w:rsid w:val="00C8539A"/>
    <w:rsid w:val="00C853B6"/>
    <w:rsid w:val="00C8547E"/>
    <w:rsid w:val="00C85A6A"/>
    <w:rsid w:val="00C860C4"/>
    <w:rsid w:val="00C86196"/>
    <w:rsid w:val="00C86AD2"/>
    <w:rsid w:val="00C86FEC"/>
    <w:rsid w:val="00C870EB"/>
    <w:rsid w:val="00C87136"/>
    <w:rsid w:val="00C8717D"/>
    <w:rsid w:val="00C871A6"/>
    <w:rsid w:val="00C8726E"/>
    <w:rsid w:val="00C872E9"/>
    <w:rsid w:val="00C87A61"/>
    <w:rsid w:val="00C87B71"/>
    <w:rsid w:val="00C87C0A"/>
    <w:rsid w:val="00C87E05"/>
    <w:rsid w:val="00C90636"/>
    <w:rsid w:val="00C90BCF"/>
    <w:rsid w:val="00C91286"/>
    <w:rsid w:val="00C930B1"/>
    <w:rsid w:val="00C93351"/>
    <w:rsid w:val="00C934A3"/>
    <w:rsid w:val="00C93FE7"/>
    <w:rsid w:val="00C9438C"/>
    <w:rsid w:val="00C944F5"/>
    <w:rsid w:val="00C94696"/>
    <w:rsid w:val="00C94FA5"/>
    <w:rsid w:val="00C95273"/>
    <w:rsid w:val="00C955D6"/>
    <w:rsid w:val="00C957C5"/>
    <w:rsid w:val="00C95CE6"/>
    <w:rsid w:val="00C95E78"/>
    <w:rsid w:val="00C96287"/>
    <w:rsid w:val="00C96A56"/>
    <w:rsid w:val="00C96A68"/>
    <w:rsid w:val="00C96D96"/>
    <w:rsid w:val="00C97B37"/>
    <w:rsid w:val="00CA0A62"/>
    <w:rsid w:val="00CA1571"/>
    <w:rsid w:val="00CA20E7"/>
    <w:rsid w:val="00CA2B8A"/>
    <w:rsid w:val="00CA381E"/>
    <w:rsid w:val="00CA391D"/>
    <w:rsid w:val="00CA4234"/>
    <w:rsid w:val="00CA44AB"/>
    <w:rsid w:val="00CA4617"/>
    <w:rsid w:val="00CA4842"/>
    <w:rsid w:val="00CA4CC0"/>
    <w:rsid w:val="00CA5D4F"/>
    <w:rsid w:val="00CA60AA"/>
    <w:rsid w:val="00CA651F"/>
    <w:rsid w:val="00CA65BC"/>
    <w:rsid w:val="00CA7272"/>
    <w:rsid w:val="00CA7942"/>
    <w:rsid w:val="00CA7A9E"/>
    <w:rsid w:val="00CA7C32"/>
    <w:rsid w:val="00CB0067"/>
    <w:rsid w:val="00CB07AB"/>
    <w:rsid w:val="00CB0A13"/>
    <w:rsid w:val="00CB1A49"/>
    <w:rsid w:val="00CB28EE"/>
    <w:rsid w:val="00CB29B9"/>
    <w:rsid w:val="00CB2E34"/>
    <w:rsid w:val="00CB3DCF"/>
    <w:rsid w:val="00CB4555"/>
    <w:rsid w:val="00CB45F4"/>
    <w:rsid w:val="00CB45F7"/>
    <w:rsid w:val="00CB461D"/>
    <w:rsid w:val="00CB4807"/>
    <w:rsid w:val="00CB4EC5"/>
    <w:rsid w:val="00CB5448"/>
    <w:rsid w:val="00CB5568"/>
    <w:rsid w:val="00CB5A5A"/>
    <w:rsid w:val="00CB5AF0"/>
    <w:rsid w:val="00CB5EBF"/>
    <w:rsid w:val="00CB62E7"/>
    <w:rsid w:val="00CB6936"/>
    <w:rsid w:val="00CB6BCF"/>
    <w:rsid w:val="00CB7323"/>
    <w:rsid w:val="00CB7433"/>
    <w:rsid w:val="00CB7A14"/>
    <w:rsid w:val="00CB7DEA"/>
    <w:rsid w:val="00CB7F9C"/>
    <w:rsid w:val="00CC014A"/>
    <w:rsid w:val="00CC052A"/>
    <w:rsid w:val="00CC06AA"/>
    <w:rsid w:val="00CC0930"/>
    <w:rsid w:val="00CC15EC"/>
    <w:rsid w:val="00CC1884"/>
    <w:rsid w:val="00CC1A6E"/>
    <w:rsid w:val="00CC345F"/>
    <w:rsid w:val="00CC3CCF"/>
    <w:rsid w:val="00CC429E"/>
    <w:rsid w:val="00CC457B"/>
    <w:rsid w:val="00CC4992"/>
    <w:rsid w:val="00CC5C9C"/>
    <w:rsid w:val="00CC5CE8"/>
    <w:rsid w:val="00CC63D5"/>
    <w:rsid w:val="00CC63F7"/>
    <w:rsid w:val="00CC65A7"/>
    <w:rsid w:val="00CC66BA"/>
    <w:rsid w:val="00CC7442"/>
    <w:rsid w:val="00CC7528"/>
    <w:rsid w:val="00CC76E0"/>
    <w:rsid w:val="00CC78D5"/>
    <w:rsid w:val="00CC7924"/>
    <w:rsid w:val="00CD0265"/>
    <w:rsid w:val="00CD03A7"/>
    <w:rsid w:val="00CD0401"/>
    <w:rsid w:val="00CD045B"/>
    <w:rsid w:val="00CD0B82"/>
    <w:rsid w:val="00CD1609"/>
    <w:rsid w:val="00CD20FF"/>
    <w:rsid w:val="00CD269D"/>
    <w:rsid w:val="00CD29EA"/>
    <w:rsid w:val="00CD2EA0"/>
    <w:rsid w:val="00CD31B9"/>
    <w:rsid w:val="00CD33EC"/>
    <w:rsid w:val="00CD3673"/>
    <w:rsid w:val="00CD3C9B"/>
    <w:rsid w:val="00CD3D8C"/>
    <w:rsid w:val="00CD47B3"/>
    <w:rsid w:val="00CD47E4"/>
    <w:rsid w:val="00CD4B08"/>
    <w:rsid w:val="00CD5A70"/>
    <w:rsid w:val="00CD5B10"/>
    <w:rsid w:val="00CD615E"/>
    <w:rsid w:val="00CD6A04"/>
    <w:rsid w:val="00CD6ED2"/>
    <w:rsid w:val="00CD721D"/>
    <w:rsid w:val="00CD7CC6"/>
    <w:rsid w:val="00CD7D85"/>
    <w:rsid w:val="00CE02DE"/>
    <w:rsid w:val="00CE0493"/>
    <w:rsid w:val="00CE05A5"/>
    <w:rsid w:val="00CE0E13"/>
    <w:rsid w:val="00CE12F2"/>
    <w:rsid w:val="00CE1955"/>
    <w:rsid w:val="00CE1BCF"/>
    <w:rsid w:val="00CE1BE1"/>
    <w:rsid w:val="00CE2464"/>
    <w:rsid w:val="00CE3262"/>
    <w:rsid w:val="00CE3A2A"/>
    <w:rsid w:val="00CE3C99"/>
    <w:rsid w:val="00CE4184"/>
    <w:rsid w:val="00CE498B"/>
    <w:rsid w:val="00CE49AD"/>
    <w:rsid w:val="00CE51D1"/>
    <w:rsid w:val="00CE580D"/>
    <w:rsid w:val="00CE5847"/>
    <w:rsid w:val="00CE5A0D"/>
    <w:rsid w:val="00CE5D2A"/>
    <w:rsid w:val="00CE61BD"/>
    <w:rsid w:val="00CE645E"/>
    <w:rsid w:val="00CE67DA"/>
    <w:rsid w:val="00CE6F73"/>
    <w:rsid w:val="00CE7794"/>
    <w:rsid w:val="00CE7E45"/>
    <w:rsid w:val="00CE7F70"/>
    <w:rsid w:val="00CF01C8"/>
    <w:rsid w:val="00CF056F"/>
    <w:rsid w:val="00CF0EF7"/>
    <w:rsid w:val="00CF0F4B"/>
    <w:rsid w:val="00CF12BE"/>
    <w:rsid w:val="00CF13A6"/>
    <w:rsid w:val="00CF1691"/>
    <w:rsid w:val="00CF2017"/>
    <w:rsid w:val="00CF29E1"/>
    <w:rsid w:val="00CF2E46"/>
    <w:rsid w:val="00CF3274"/>
    <w:rsid w:val="00CF33B1"/>
    <w:rsid w:val="00CF36BF"/>
    <w:rsid w:val="00CF3996"/>
    <w:rsid w:val="00CF3AF0"/>
    <w:rsid w:val="00CF42E5"/>
    <w:rsid w:val="00CF43FD"/>
    <w:rsid w:val="00CF4C73"/>
    <w:rsid w:val="00CF57FF"/>
    <w:rsid w:val="00CF5DFC"/>
    <w:rsid w:val="00CF5F8A"/>
    <w:rsid w:val="00CF68E0"/>
    <w:rsid w:val="00CF6B9C"/>
    <w:rsid w:val="00CF71A8"/>
    <w:rsid w:val="00CF720C"/>
    <w:rsid w:val="00CF7725"/>
    <w:rsid w:val="00CF7A5E"/>
    <w:rsid w:val="00D00819"/>
    <w:rsid w:val="00D008B3"/>
    <w:rsid w:val="00D0109D"/>
    <w:rsid w:val="00D0120F"/>
    <w:rsid w:val="00D02526"/>
    <w:rsid w:val="00D02AED"/>
    <w:rsid w:val="00D02CCB"/>
    <w:rsid w:val="00D02E1F"/>
    <w:rsid w:val="00D0317F"/>
    <w:rsid w:val="00D038F8"/>
    <w:rsid w:val="00D040F6"/>
    <w:rsid w:val="00D04128"/>
    <w:rsid w:val="00D0463C"/>
    <w:rsid w:val="00D04CB7"/>
    <w:rsid w:val="00D06EC4"/>
    <w:rsid w:val="00D06ED1"/>
    <w:rsid w:val="00D079AD"/>
    <w:rsid w:val="00D07CA8"/>
    <w:rsid w:val="00D1023A"/>
    <w:rsid w:val="00D10467"/>
    <w:rsid w:val="00D1073A"/>
    <w:rsid w:val="00D1095F"/>
    <w:rsid w:val="00D10BF9"/>
    <w:rsid w:val="00D10CD9"/>
    <w:rsid w:val="00D11224"/>
    <w:rsid w:val="00D11A24"/>
    <w:rsid w:val="00D12267"/>
    <w:rsid w:val="00D124D2"/>
    <w:rsid w:val="00D12C34"/>
    <w:rsid w:val="00D131BC"/>
    <w:rsid w:val="00D131E8"/>
    <w:rsid w:val="00D136B7"/>
    <w:rsid w:val="00D1393B"/>
    <w:rsid w:val="00D13F28"/>
    <w:rsid w:val="00D14107"/>
    <w:rsid w:val="00D144C7"/>
    <w:rsid w:val="00D149F1"/>
    <w:rsid w:val="00D1528B"/>
    <w:rsid w:val="00D15515"/>
    <w:rsid w:val="00D16178"/>
    <w:rsid w:val="00D16622"/>
    <w:rsid w:val="00D17378"/>
    <w:rsid w:val="00D1753A"/>
    <w:rsid w:val="00D17FD4"/>
    <w:rsid w:val="00D20A1F"/>
    <w:rsid w:val="00D20AF0"/>
    <w:rsid w:val="00D214C1"/>
    <w:rsid w:val="00D21641"/>
    <w:rsid w:val="00D21EA0"/>
    <w:rsid w:val="00D21F55"/>
    <w:rsid w:val="00D22301"/>
    <w:rsid w:val="00D2230B"/>
    <w:rsid w:val="00D223AA"/>
    <w:rsid w:val="00D223DE"/>
    <w:rsid w:val="00D22928"/>
    <w:rsid w:val="00D2317B"/>
    <w:rsid w:val="00D23F39"/>
    <w:rsid w:val="00D247AD"/>
    <w:rsid w:val="00D24A3C"/>
    <w:rsid w:val="00D24F08"/>
    <w:rsid w:val="00D25296"/>
    <w:rsid w:val="00D25355"/>
    <w:rsid w:val="00D25AA1"/>
    <w:rsid w:val="00D25F0B"/>
    <w:rsid w:val="00D261BF"/>
    <w:rsid w:val="00D2628F"/>
    <w:rsid w:val="00D267D9"/>
    <w:rsid w:val="00D26EAF"/>
    <w:rsid w:val="00D27F55"/>
    <w:rsid w:val="00D3038E"/>
    <w:rsid w:val="00D30793"/>
    <w:rsid w:val="00D309DC"/>
    <w:rsid w:val="00D31CC5"/>
    <w:rsid w:val="00D31D2E"/>
    <w:rsid w:val="00D32642"/>
    <w:rsid w:val="00D326C2"/>
    <w:rsid w:val="00D326E1"/>
    <w:rsid w:val="00D32936"/>
    <w:rsid w:val="00D32994"/>
    <w:rsid w:val="00D32D6C"/>
    <w:rsid w:val="00D3327A"/>
    <w:rsid w:val="00D33665"/>
    <w:rsid w:val="00D3418B"/>
    <w:rsid w:val="00D3447F"/>
    <w:rsid w:val="00D3487C"/>
    <w:rsid w:val="00D3489C"/>
    <w:rsid w:val="00D34CA2"/>
    <w:rsid w:val="00D34D4F"/>
    <w:rsid w:val="00D3519E"/>
    <w:rsid w:val="00D35BD8"/>
    <w:rsid w:val="00D35FCF"/>
    <w:rsid w:val="00D365D4"/>
    <w:rsid w:val="00D36733"/>
    <w:rsid w:val="00D3713B"/>
    <w:rsid w:val="00D3724A"/>
    <w:rsid w:val="00D37FDB"/>
    <w:rsid w:val="00D40191"/>
    <w:rsid w:val="00D402E9"/>
    <w:rsid w:val="00D40591"/>
    <w:rsid w:val="00D40B15"/>
    <w:rsid w:val="00D40C98"/>
    <w:rsid w:val="00D40FAB"/>
    <w:rsid w:val="00D41852"/>
    <w:rsid w:val="00D41DBE"/>
    <w:rsid w:val="00D423B9"/>
    <w:rsid w:val="00D42634"/>
    <w:rsid w:val="00D42983"/>
    <w:rsid w:val="00D43464"/>
    <w:rsid w:val="00D43652"/>
    <w:rsid w:val="00D43CD2"/>
    <w:rsid w:val="00D43F14"/>
    <w:rsid w:val="00D44222"/>
    <w:rsid w:val="00D4558B"/>
    <w:rsid w:val="00D458CF"/>
    <w:rsid w:val="00D45C0D"/>
    <w:rsid w:val="00D461CD"/>
    <w:rsid w:val="00D46211"/>
    <w:rsid w:val="00D46D64"/>
    <w:rsid w:val="00D473EA"/>
    <w:rsid w:val="00D47621"/>
    <w:rsid w:val="00D47632"/>
    <w:rsid w:val="00D47A5F"/>
    <w:rsid w:val="00D47BF4"/>
    <w:rsid w:val="00D500C7"/>
    <w:rsid w:val="00D501DC"/>
    <w:rsid w:val="00D50201"/>
    <w:rsid w:val="00D50279"/>
    <w:rsid w:val="00D50592"/>
    <w:rsid w:val="00D507E8"/>
    <w:rsid w:val="00D50F32"/>
    <w:rsid w:val="00D52CA3"/>
    <w:rsid w:val="00D52F9E"/>
    <w:rsid w:val="00D5476C"/>
    <w:rsid w:val="00D54A61"/>
    <w:rsid w:val="00D54CEA"/>
    <w:rsid w:val="00D54F1C"/>
    <w:rsid w:val="00D550E8"/>
    <w:rsid w:val="00D563FB"/>
    <w:rsid w:val="00D56756"/>
    <w:rsid w:val="00D56D84"/>
    <w:rsid w:val="00D57029"/>
    <w:rsid w:val="00D5707C"/>
    <w:rsid w:val="00D572DF"/>
    <w:rsid w:val="00D5755A"/>
    <w:rsid w:val="00D5783B"/>
    <w:rsid w:val="00D57D8E"/>
    <w:rsid w:val="00D602AE"/>
    <w:rsid w:val="00D6065B"/>
    <w:rsid w:val="00D60781"/>
    <w:rsid w:val="00D60A04"/>
    <w:rsid w:val="00D60E6D"/>
    <w:rsid w:val="00D614D7"/>
    <w:rsid w:val="00D61B01"/>
    <w:rsid w:val="00D62A32"/>
    <w:rsid w:val="00D6314E"/>
    <w:rsid w:val="00D6316F"/>
    <w:rsid w:val="00D6410C"/>
    <w:rsid w:val="00D64378"/>
    <w:rsid w:val="00D644B3"/>
    <w:rsid w:val="00D64754"/>
    <w:rsid w:val="00D6494F"/>
    <w:rsid w:val="00D649EF"/>
    <w:rsid w:val="00D65164"/>
    <w:rsid w:val="00D6526F"/>
    <w:rsid w:val="00D65C93"/>
    <w:rsid w:val="00D65E41"/>
    <w:rsid w:val="00D670A1"/>
    <w:rsid w:val="00D67930"/>
    <w:rsid w:val="00D67B93"/>
    <w:rsid w:val="00D67DA6"/>
    <w:rsid w:val="00D702EA"/>
    <w:rsid w:val="00D70A1D"/>
    <w:rsid w:val="00D71108"/>
    <w:rsid w:val="00D71166"/>
    <w:rsid w:val="00D7119E"/>
    <w:rsid w:val="00D715C1"/>
    <w:rsid w:val="00D71A35"/>
    <w:rsid w:val="00D71D0B"/>
    <w:rsid w:val="00D71FE0"/>
    <w:rsid w:val="00D72C8D"/>
    <w:rsid w:val="00D73151"/>
    <w:rsid w:val="00D73C7D"/>
    <w:rsid w:val="00D73FF8"/>
    <w:rsid w:val="00D74195"/>
    <w:rsid w:val="00D7443F"/>
    <w:rsid w:val="00D745EB"/>
    <w:rsid w:val="00D7466D"/>
    <w:rsid w:val="00D747EC"/>
    <w:rsid w:val="00D74917"/>
    <w:rsid w:val="00D759A2"/>
    <w:rsid w:val="00D75A81"/>
    <w:rsid w:val="00D75C2B"/>
    <w:rsid w:val="00D763B1"/>
    <w:rsid w:val="00D76689"/>
    <w:rsid w:val="00D76A8F"/>
    <w:rsid w:val="00D76C8D"/>
    <w:rsid w:val="00D77622"/>
    <w:rsid w:val="00D77A50"/>
    <w:rsid w:val="00D77D20"/>
    <w:rsid w:val="00D77F52"/>
    <w:rsid w:val="00D801B3"/>
    <w:rsid w:val="00D802A0"/>
    <w:rsid w:val="00D81489"/>
    <w:rsid w:val="00D81EA7"/>
    <w:rsid w:val="00D82228"/>
    <w:rsid w:val="00D823B5"/>
    <w:rsid w:val="00D82420"/>
    <w:rsid w:val="00D826FB"/>
    <w:rsid w:val="00D8273B"/>
    <w:rsid w:val="00D82B5F"/>
    <w:rsid w:val="00D82C98"/>
    <w:rsid w:val="00D83310"/>
    <w:rsid w:val="00D8341B"/>
    <w:rsid w:val="00D83A0E"/>
    <w:rsid w:val="00D83B60"/>
    <w:rsid w:val="00D8428A"/>
    <w:rsid w:val="00D843E6"/>
    <w:rsid w:val="00D84A88"/>
    <w:rsid w:val="00D84E84"/>
    <w:rsid w:val="00D84ECD"/>
    <w:rsid w:val="00D851ED"/>
    <w:rsid w:val="00D855DE"/>
    <w:rsid w:val="00D86187"/>
    <w:rsid w:val="00D8682F"/>
    <w:rsid w:val="00D86CD6"/>
    <w:rsid w:val="00D86D55"/>
    <w:rsid w:val="00D87035"/>
    <w:rsid w:val="00D87741"/>
    <w:rsid w:val="00D900A7"/>
    <w:rsid w:val="00D90660"/>
    <w:rsid w:val="00D90967"/>
    <w:rsid w:val="00D9183E"/>
    <w:rsid w:val="00D91857"/>
    <w:rsid w:val="00D91B6C"/>
    <w:rsid w:val="00D92C3C"/>
    <w:rsid w:val="00D92E55"/>
    <w:rsid w:val="00D93270"/>
    <w:rsid w:val="00D93AE2"/>
    <w:rsid w:val="00D9486F"/>
    <w:rsid w:val="00D94A46"/>
    <w:rsid w:val="00D94E6A"/>
    <w:rsid w:val="00D94ECC"/>
    <w:rsid w:val="00D9542B"/>
    <w:rsid w:val="00D95575"/>
    <w:rsid w:val="00D957B7"/>
    <w:rsid w:val="00D9622C"/>
    <w:rsid w:val="00D963EF"/>
    <w:rsid w:val="00D96E7B"/>
    <w:rsid w:val="00D973B8"/>
    <w:rsid w:val="00D97550"/>
    <w:rsid w:val="00D977A6"/>
    <w:rsid w:val="00D97893"/>
    <w:rsid w:val="00D97ED1"/>
    <w:rsid w:val="00DA0A3A"/>
    <w:rsid w:val="00DA0AB5"/>
    <w:rsid w:val="00DA10AA"/>
    <w:rsid w:val="00DA14D1"/>
    <w:rsid w:val="00DA16FD"/>
    <w:rsid w:val="00DA1AEB"/>
    <w:rsid w:val="00DA1C15"/>
    <w:rsid w:val="00DA2A3F"/>
    <w:rsid w:val="00DA2A80"/>
    <w:rsid w:val="00DA314C"/>
    <w:rsid w:val="00DA3298"/>
    <w:rsid w:val="00DA36A5"/>
    <w:rsid w:val="00DA3933"/>
    <w:rsid w:val="00DA3B8C"/>
    <w:rsid w:val="00DA4315"/>
    <w:rsid w:val="00DA4504"/>
    <w:rsid w:val="00DA4626"/>
    <w:rsid w:val="00DA5523"/>
    <w:rsid w:val="00DA554D"/>
    <w:rsid w:val="00DA5DC4"/>
    <w:rsid w:val="00DA6711"/>
    <w:rsid w:val="00DA6A0D"/>
    <w:rsid w:val="00DA75F4"/>
    <w:rsid w:val="00DA787B"/>
    <w:rsid w:val="00DB03B4"/>
    <w:rsid w:val="00DB0AA3"/>
    <w:rsid w:val="00DB0DAB"/>
    <w:rsid w:val="00DB0E57"/>
    <w:rsid w:val="00DB142B"/>
    <w:rsid w:val="00DB160A"/>
    <w:rsid w:val="00DB1B72"/>
    <w:rsid w:val="00DB23DF"/>
    <w:rsid w:val="00DB3092"/>
    <w:rsid w:val="00DB320B"/>
    <w:rsid w:val="00DB337D"/>
    <w:rsid w:val="00DB33A4"/>
    <w:rsid w:val="00DB3570"/>
    <w:rsid w:val="00DB3BA5"/>
    <w:rsid w:val="00DB3BCF"/>
    <w:rsid w:val="00DB3EB5"/>
    <w:rsid w:val="00DB4491"/>
    <w:rsid w:val="00DB5031"/>
    <w:rsid w:val="00DB5490"/>
    <w:rsid w:val="00DB5B93"/>
    <w:rsid w:val="00DB5CD7"/>
    <w:rsid w:val="00DB6116"/>
    <w:rsid w:val="00DB6193"/>
    <w:rsid w:val="00DB6C2B"/>
    <w:rsid w:val="00DB6DA7"/>
    <w:rsid w:val="00DB6E29"/>
    <w:rsid w:val="00DB7136"/>
    <w:rsid w:val="00DB75A5"/>
    <w:rsid w:val="00DB7BF0"/>
    <w:rsid w:val="00DC052F"/>
    <w:rsid w:val="00DC08D2"/>
    <w:rsid w:val="00DC0EF3"/>
    <w:rsid w:val="00DC12C6"/>
    <w:rsid w:val="00DC1EEF"/>
    <w:rsid w:val="00DC23F7"/>
    <w:rsid w:val="00DC25B2"/>
    <w:rsid w:val="00DC2EEE"/>
    <w:rsid w:val="00DC323F"/>
    <w:rsid w:val="00DC3D3C"/>
    <w:rsid w:val="00DC4092"/>
    <w:rsid w:val="00DC41EC"/>
    <w:rsid w:val="00DC47FD"/>
    <w:rsid w:val="00DC4DC0"/>
    <w:rsid w:val="00DC5D82"/>
    <w:rsid w:val="00DC69F1"/>
    <w:rsid w:val="00DC6C2F"/>
    <w:rsid w:val="00DC7940"/>
    <w:rsid w:val="00DC7A66"/>
    <w:rsid w:val="00DC7C89"/>
    <w:rsid w:val="00DC7F1E"/>
    <w:rsid w:val="00DD00DC"/>
    <w:rsid w:val="00DD0675"/>
    <w:rsid w:val="00DD0B36"/>
    <w:rsid w:val="00DD0B3D"/>
    <w:rsid w:val="00DD0CF6"/>
    <w:rsid w:val="00DD0D4C"/>
    <w:rsid w:val="00DD179A"/>
    <w:rsid w:val="00DD211C"/>
    <w:rsid w:val="00DD2931"/>
    <w:rsid w:val="00DD2C9A"/>
    <w:rsid w:val="00DD310D"/>
    <w:rsid w:val="00DD33AF"/>
    <w:rsid w:val="00DD3881"/>
    <w:rsid w:val="00DD4107"/>
    <w:rsid w:val="00DD4630"/>
    <w:rsid w:val="00DD4666"/>
    <w:rsid w:val="00DD4A47"/>
    <w:rsid w:val="00DD4C53"/>
    <w:rsid w:val="00DD4D6A"/>
    <w:rsid w:val="00DD527F"/>
    <w:rsid w:val="00DD5AAC"/>
    <w:rsid w:val="00DD5CEE"/>
    <w:rsid w:val="00DD61BD"/>
    <w:rsid w:val="00DD64B2"/>
    <w:rsid w:val="00DD6732"/>
    <w:rsid w:val="00DD6BCA"/>
    <w:rsid w:val="00DD6EBE"/>
    <w:rsid w:val="00DD72AA"/>
    <w:rsid w:val="00DD7AAC"/>
    <w:rsid w:val="00DD7CA9"/>
    <w:rsid w:val="00DD7F3C"/>
    <w:rsid w:val="00DD7FD0"/>
    <w:rsid w:val="00DE0163"/>
    <w:rsid w:val="00DE07EB"/>
    <w:rsid w:val="00DE0A2D"/>
    <w:rsid w:val="00DE1023"/>
    <w:rsid w:val="00DE1220"/>
    <w:rsid w:val="00DE1489"/>
    <w:rsid w:val="00DE1610"/>
    <w:rsid w:val="00DE1DAA"/>
    <w:rsid w:val="00DE21A9"/>
    <w:rsid w:val="00DE24A8"/>
    <w:rsid w:val="00DE25AC"/>
    <w:rsid w:val="00DE26DE"/>
    <w:rsid w:val="00DE2E28"/>
    <w:rsid w:val="00DE3026"/>
    <w:rsid w:val="00DE30D2"/>
    <w:rsid w:val="00DE389E"/>
    <w:rsid w:val="00DE38B0"/>
    <w:rsid w:val="00DE4398"/>
    <w:rsid w:val="00DE45B1"/>
    <w:rsid w:val="00DE4913"/>
    <w:rsid w:val="00DE4AAA"/>
    <w:rsid w:val="00DE4E33"/>
    <w:rsid w:val="00DE5285"/>
    <w:rsid w:val="00DE6B9A"/>
    <w:rsid w:val="00DE71F8"/>
    <w:rsid w:val="00DE744D"/>
    <w:rsid w:val="00DE7A7D"/>
    <w:rsid w:val="00DE7F6E"/>
    <w:rsid w:val="00DF04DF"/>
    <w:rsid w:val="00DF065C"/>
    <w:rsid w:val="00DF0BAC"/>
    <w:rsid w:val="00DF0FF1"/>
    <w:rsid w:val="00DF133B"/>
    <w:rsid w:val="00DF13E7"/>
    <w:rsid w:val="00DF1412"/>
    <w:rsid w:val="00DF15FA"/>
    <w:rsid w:val="00DF1720"/>
    <w:rsid w:val="00DF197B"/>
    <w:rsid w:val="00DF1CFF"/>
    <w:rsid w:val="00DF1EB6"/>
    <w:rsid w:val="00DF2080"/>
    <w:rsid w:val="00DF2145"/>
    <w:rsid w:val="00DF2A4B"/>
    <w:rsid w:val="00DF35D5"/>
    <w:rsid w:val="00DF4683"/>
    <w:rsid w:val="00DF4D1D"/>
    <w:rsid w:val="00DF4DC0"/>
    <w:rsid w:val="00DF5001"/>
    <w:rsid w:val="00DF5A09"/>
    <w:rsid w:val="00DF6640"/>
    <w:rsid w:val="00DF69BE"/>
    <w:rsid w:val="00DF6B24"/>
    <w:rsid w:val="00DF7060"/>
    <w:rsid w:val="00DF7FDB"/>
    <w:rsid w:val="00E004DC"/>
    <w:rsid w:val="00E00CE9"/>
    <w:rsid w:val="00E01079"/>
    <w:rsid w:val="00E023AA"/>
    <w:rsid w:val="00E02557"/>
    <w:rsid w:val="00E02C3F"/>
    <w:rsid w:val="00E04F34"/>
    <w:rsid w:val="00E04F50"/>
    <w:rsid w:val="00E04FF4"/>
    <w:rsid w:val="00E0506D"/>
    <w:rsid w:val="00E0577C"/>
    <w:rsid w:val="00E05D27"/>
    <w:rsid w:val="00E065D0"/>
    <w:rsid w:val="00E06620"/>
    <w:rsid w:val="00E06B70"/>
    <w:rsid w:val="00E06C5C"/>
    <w:rsid w:val="00E06D5E"/>
    <w:rsid w:val="00E07247"/>
    <w:rsid w:val="00E0755A"/>
    <w:rsid w:val="00E07907"/>
    <w:rsid w:val="00E107F4"/>
    <w:rsid w:val="00E10DB4"/>
    <w:rsid w:val="00E10EAD"/>
    <w:rsid w:val="00E10EB7"/>
    <w:rsid w:val="00E11A83"/>
    <w:rsid w:val="00E11C15"/>
    <w:rsid w:val="00E120A9"/>
    <w:rsid w:val="00E12229"/>
    <w:rsid w:val="00E128E0"/>
    <w:rsid w:val="00E12D77"/>
    <w:rsid w:val="00E130A4"/>
    <w:rsid w:val="00E13176"/>
    <w:rsid w:val="00E13A3D"/>
    <w:rsid w:val="00E146E4"/>
    <w:rsid w:val="00E151A3"/>
    <w:rsid w:val="00E152A9"/>
    <w:rsid w:val="00E152EC"/>
    <w:rsid w:val="00E1530D"/>
    <w:rsid w:val="00E15E1F"/>
    <w:rsid w:val="00E15F00"/>
    <w:rsid w:val="00E16170"/>
    <w:rsid w:val="00E16A80"/>
    <w:rsid w:val="00E16DE1"/>
    <w:rsid w:val="00E1701A"/>
    <w:rsid w:val="00E179D4"/>
    <w:rsid w:val="00E17CCA"/>
    <w:rsid w:val="00E17F08"/>
    <w:rsid w:val="00E2041A"/>
    <w:rsid w:val="00E2082B"/>
    <w:rsid w:val="00E20A16"/>
    <w:rsid w:val="00E215E2"/>
    <w:rsid w:val="00E219C2"/>
    <w:rsid w:val="00E21B76"/>
    <w:rsid w:val="00E21EAF"/>
    <w:rsid w:val="00E2213D"/>
    <w:rsid w:val="00E2242E"/>
    <w:rsid w:val="00E2245C"/>
    <w:rsid w:val="00E22574"/>
    <w:rsid w:val="00E229FC"/>
    <w:rsid w:val="00E22D26"/>
    <w:rsid w:val="00E22DA0"/>
    <w:rsid w:val="00E23894"/>
    <w:rsid w:val="00E2418F"/>
    <w:rsid w:val="00E242AA"/>
    <w:rsid w:val="00E24C81"/>
    <w:rsid w:val="00E24CD1"/>
    <w:rsid w:val="00E250F0"/>
    <w:rsid w:val="00E25202"/>
    <w:rsid w:val="00E256C7"/>
    <w:rsid w:val="00E25F82"/>
    <w:rsid w:val="00E260DF"/>
    <w:rsid w:val="00E269BB"/>
    <w:rsid w:val="00E301B6"/>
    <w:rsid w:val="00E3071F"/>
    <w:rsid w:val="00E31111"/>
    <w:rsid w:val="00E31178"/>
    <w:rsid w:val="00E314E1"/>
    <w:rsid w:val="00E31B9B"/>
    <w:rsid w:val="00E3203C"/>
    <w:rsid w:val="00E32206"/>
    <w:rsid w:val="00E329A7"/>
    <w:rsid w:val="00E333C2"/>
    <w:rsid w:val="00E334EC"/>
    <w:rsid w:val="00E335F5"/>
    <w:rsid w:val="00E33DDC"/>
    <w:rsid w:val="00E33FE5"/>
    <w:rsid w:val="00E3424A"/>
    <w:rsid w:val="00E3565F"/>
    <w:rsid w:val="00E3609E"/>
    <w:rsid w:val="00E363FE"/>
    <w:rsid w:val="00E367F0"/>
    <w:rsid w:val="00E36D1D"/>
    <w:rsid w:val="00E37758"/>
    <w:rsid w:val="00E406AA"/>
    <w:rsid w:val="00E407AB"/>
    <w:rsid w:val="00E409EE"/>
    <w:rsid w:val="00E40AA1"/>
    <w:rsid w:val="00E40ACE"/>
    <w:rsid w:val="00E41769"/>
    <w:rsid w:val="00E41900"/>
    <w:rsid w:val="00E41F8E"/>
    <w:rsid w:val="00E42397"/>
    <w:rsid w:val="00E423B7"/>
    <w:rsid w:val="00E424CE"/>
    <w:rsid w:val="00E43132"/>
    <w:rsid w:val="00E43686"/>
    <w:rsid w:val="00E4379E"/>
    <w:rsid w:val="00E43A58"/>
    <w:rsid w:val="00E43CD3"/>
    <w:rsid w:val="00E43F3E"/>
    <w:rsid w:val="00E43FDC"/>
    <w:rsid w:val="00E444D3"/>
    <w:rsid w:val="00E4487C"/>
    <w:rsid w:val="00E45346"/>
    <w:rsid w:val="00E4552F"/>
    <w:rsid w:val="00E457B9"/>
    <w:rsid w:val="00E459A6"/>
    <w:rsid w:val="00E45B47"/>
    <w:rsid w:val="00E45F5D"/>
    <w:rsid w:val="00E46427"/>
    <w:rsid w:val="00E464E2"/>
    <w:rsid w:val="00E46B7E"/>
    <w:rsid w:val="00E475FD"/>
    <w:rsid w:val="00E47AA4"/>
    <w:rsid w:val="00E51332"/>
    <w:rsid w:val="00E52859"/>
    <w:rsid w:val="00E52CCC"/>
    <w:rsid w:val="00E533FE"/>
    <w:rsid w:val="00E54281"/>
    <w:rsid w:val="00E5452E"/>
    <w:rsid w:val="00E5471E"/>
    <w:rsid w:val="00E5493F"/>
    <w:rsid w:val="00E55081"/>
    <w:rsid w:val="00E552DA"/>
    <w:rsid w:val="00E561A0"/>
    <w:rsid w:val="00E56A62"/>
    <w:rsid w:val="00E56E77"/>
    <w:rsid w:val="00E57237"/>
    <w:rsid w:val="00E577D9"/>
    <w:rsid w:val="00E578AF"/>
    <w:rsid w:val="00E604DC"/>
    <w:rsid w:val="00E6069B"/>
    <w:rsid w:val="00E6097B"/>
    <w:rsid w:val="00E609B5"/>
    <w:rsid w:val="00E60BE3"/>
    <w:rsid w:val="00E612F5"/>
    <w:rsid w:val="00E624D1"/>
    <w:rsid w:val="00E62523"/>
    <w:rsid w:val="00E62828"/>
    <w:rsid w:val="00E62B86"/>
    <w:rsid w:val="00E63696"/>
    <w:rsid w:val="00E63A49"/>
    <w:rsid w:val="00E63D35"/>
    <w:rsid w:val="00E63F51"/>
    <w:rsid w:val="00E64423"/>
    <w:rsid w:val="00E64755"/>
    <w:rsid w:val="00E64F91"/>
    <w:rsid w:val="00E657F2"/>
    <w:rsid w:val="00E65946"/>
    <w:rsid w:val="00E662DB"/>
    <w:rsid w:val="00E6686C"/>
    <w:rsid w:val="00E66A1C"/>
    <w:rsid w:val="00E66D34"/>
    <w:rsid w:val="00E678AA"/>
    <w:rsid w:val="00E67C34"/>
    <w:rsid w:val="00E67DBA"/>
    <w:rsid w:val="00E70269"/>
    <w:rsid w:val="00E7073D"/>
    <w:rsid w:val="00E70884"/>
    <w:rsid w:val="00E70975"/>
    <w:rsid w:val="00E70C8E"/>
    <w:rsid w:val="00E71393"/>
    <w:rsid w:val="00E71E28"/>
    <w:rsid w:val="00E72082"/>
    <w:rsid w:val="00E725A9"/>
    <w:rsid w:val="00E726E9"/>
    <w:rsid w:val="00E72D14"/>
    <w:rsid w:val="00E72EA9"/>
    <w:rsid w:val="00E731AE"/>
    <w:rsid w:val="00E73AC2"/>
    <w:rsid w:val="00E73CD3"/>
    <w:rsid w:val="00E742B0"/>
    <w:rsid w:val="00E75039"/>
    <w:rsid w:val="00E75384"/>
    <w:rsid w:val="00E75438"/>
    <w:rsid w:val="00E756C5"/>
    <w:rsid w:val="00E76064"/>
    <w:rsid w:val="00E77BD7"/>
    <w:rsid w:val="00E8048D"/>
    <w:rsid w:val="00E810A1"/>
    <w:rsid w:val="00E81489"/>
    <w:rsid w:val="00E815E7"/>
    <w:rsid w:val="00E8293B"/>
    <w:rsid w:val="00E82A63"/>
    <w:rsid w:val="00E82F15"/>
    <w:rsid w:val="00E830E8"/>
    <w:rsid w:val="00E833B8"/>
    <w:rsid w:val="00E83B3C"/>
    <w:rsid w:val="00E83E25"/>
    <w:rsid w:val="00E83F79"/>
    <w:rsid w:val="00E845BC"/>
    <w:rsid w:val="00E846C9"/>
    <w:rsid w:val="00E84FF4"/>
    <w:rsid w:val="00E8520E"/>
    <w:rsid w:val="00E85ED4"/>
    <w:rsid w:val="00E8674D"/>
    <w:rsid w:val="00E86BEA"/>
    <w:rsid w:val="00E86E79"/>
    <w:rsid w:val="00E87287"/>
    <w:rsid w:val="00E87629"/>
    <w:rsid w:val="00E8782F"/>
    <w:rsid w:val="00E87B99"/>
    <w:rsid w:val="00E87BB1"/>
    <w:rsid w:val="00E87C2F"/>
    <w:rsid w:val="00E87EA8"/>
    <w:rsid w:val="00E90297"/>
    <w:rsid w:val="00E903AC"/>
    <w:rsid w:val="00E9057E"/>
    <w:rsid w:val="00E90744"/>
    <w:rsid w:val="00E91665"/>
    <w:rsid w:val="00E91DA3"/>
    <w:rsid w:val="00E92A62"/>
    <w:rsid w:val="00E9350E"/>
    <w:rsid w:val="00E93818"/>
    <w:rsid w:val="00E93F94"/>
    <w:rsid w:val="00E94794"/>
    <w:rsid w:val="00E94C71"/>
    <w:rsid w:val="00E94D5F"/>
    <w:rsid w:val="00E94DE4"/>
    <w:rsid w:val="00E94E75"/>
    <w:rsid w:val="00E95001"/>
    <w:rsid w:val="00E953CF"/>
    <w:rsid w:val="00E956A3"/>
    <w:rsid w:val="00E95A40"/>
    <w:rsid w:val="00E964A0"/>
    <w:rsid w:val="00E964D9"/>
    <w:rsid w:val="00E96C9A"/>
    <w:rsid w:val="00E970A9"/>
    <w:rsid w:val="00E97458"/>
    <w:rsid w:val="00E9758C"/>
    <w:rsid w:val="00E97B2F"/>
    <w:rsid w:val="00E97EB0"/>
    <w:rsid w:val="00EA0157"/>
    <w:rsid w:val="00EA1013"/>
    <w:rsid w:val="00EA11F3"/>
    <w:rsid w:val="00EA170A"/>
    <w:rsid w:val="00EA2032"/>
    <w:rsid w:val="00EA2604"/>
    <w:rsid w:val="00EA32C5"/>
    <w:rsid w:val="00EA33D8"/>
    <w:rsid w:val="00EA3FD6"/>
    <w:rsid w:val="00EA42FF"/>
    <w:rsid w:val="00EA43A7"/>
    <w:rsid w:val="00EA4705"/>
    <w:rsid w:val="00EA4A44"/>
    <w:rsid w:val="00EA5191"/>
    <w:rsid w:val="00EA5D59"/>
    <w:rsid w:val="00EA5E36"/>
    <w:rsid w:val="00EA60DD"/>
    <w:rsid w:val="00EA6A81"/>
    <w:rsid w:val="00EA6F96"/>
    <w:rsid w:val="00EA75FB"/>
    <w:rsid w:val="00EA7755"/>
    <w:rsid w:val="00EA7FC7"/>
    <w:rsid w:val="00EB0353"/>
    <w:rsid w:val="00EB0590"/>
    <w:rsid w:val="00EB1727"/>
    <w:rsid w:val="00EB217A"/>
    <w:rsid w:val="00EB281F"/>
    <w:rsid w:val="00EB36B8"/>
    <w:rsid w:val="00EB3C3F"/>
    <w:rsid w:val="00EB582E"/>
    <w:rsid w:val="00EB5D07"/>
    <w:rsid w:val="00EB6462"/>
    <w:rsid w:val="00EB6E57"/>
    <w:rsid w:val="00EB74EA"/>
    <w:rsid w:val="00EB7B3D"/>
    <w:rsid w:val="00EB7D6E"/>
    <w:rsid w:val="00EC016B"/>
    <w:rsid w:val="00EC01F1"/>
    <w:rsid w:val="00EC01F2"/>
    <w:rsid w:val="00EC0209"/>
    <w:rsid w:val="00EC0264"/>
    <w:rsid w:val="00EC070F"/>
    <w:rsid w:val="00EC0E25"/>
    <w:rsid w:val="00EC16F2"/>
    <w:rsid w:val="00EC1E6B"/>
    <w:rsid w:val="00EC2C0D"/>
    <w:rsid w:val="00EC2D18"/>
    <w:rsid w:val="00EC2F62"/>
    <w:rsid w:val="00EC3024"/>
    <w:rsid w:val="00EC3236"/>
    <w:rsid w:val="00EC33F6"/>
    <w:rsid w:val="00EC3EFC"/>
    <w:rsid w:val="00EC4580"/>
    <w:rsid w:val="00EC4D6D"/>
    <w:rsid w:val="00EC5061"/>
    <w:rsid w:val="00EC5558"/>
    <w:rsid w:val="00EC59F6"/>
    <w:rsid w:val="00ED1147"/>
    <w:rsid w:val="00ED1AA2"/>
    <w:rsid w:val="00ED1E21"/>
    <w:rsid w:val="00ED3927"/>
    <w:rsid w:val="00ED472D"/>
    <w:rsid w:val="00ED5475"/>
    <w:rsid w:val="00ED5552"/>
    <w:rsid w:val="00ED5A8B"/>
    <w:rsid w:val="00ED5D4E"/>
    <w:rsid w:val="00ED6096"/>
    <w:rsid w:val="00ED630E"/>
    <w:rsid w:val="00ED6488"/>
    <w:rsid w:val="00ED6825"/>
    <w:rsid w:val="00ED692C"/>
    <w:rsid w:val="00ED6DF3"/>
    <w:rsid w:val="00ED6FB7"/>
    <w:rsid w:val="00ED6FB9"/>
    <w:rsid w:val="00ED7387"/>
    <w:rsid w:val="00ED78A6"/>
    <w:rsid w:val="00ED7955"/>
    <w:rsid w:val="00ED7D7E"/>
    <w:rsid w:val="00EE0329"/>
    <w:rsid w:val="00EE0427"/>
    <w:rsid w:val="00EE0499"/>
    <w:rsid w:val="00EE052F"/>
    <w:rsid w:val="00EE0EE6"/>
    <w:rsid w:val="00EE17BA"/>
    <w:rsid w:val="00EE242B"/>
    <w:rsid w:val="00EE2797"/>
    <w:rsid w:val="00EE2AC5"/>
    <w:rsid w:val="00EE2EAA"/>
    <w:rsid w:val="00EE31A8"/>
    <w:rsid w:val="00EE37A5"/>
    <w:rsid w:val="00EE3D6C"/>
    <w:rsid w:val="00EE3F6D"/>
    <w:rsid w:val="00EE4233"/>
    <w:rsid w:val="00EE431D"/>
    <w:rsid w:val="00EE4D33"/>
    <w:rsid w:val="00EE4E4B"/>
    <w:rsid w:val="00EE5590"/>
    <w:rsid w:val="00EE58AE"/>
    <w:rsid w:val="00EE5A8C"/>
    <w:rsid w:val="00EE66C4"/>
    <w:rsid w:val="00EE6F8C"/>
    <w:rsid w:val="00EE7709"/>
    <w:rsid w:val="00EE79D8"/>
    <w:rsid w:val="00EF0B4B"/>
    <w:rsid w:val="00EF0EF2"/>
    <w:rsid w:val="00EF0F47"/>
    <w:rsid w:val="00EF0FA9"/>
    <w:rsid w:val="00EF15FA"/>
    <w:rsid w:val="00EF1A42"/>
    <w:rsid w:val="00EF2815"/>
    <w:rsid w:val="00EF29A7"/>
    <w:rsid w:val="00EF2ED7"/>
    <w:rsid w:val="00EF31E0"/>
    <w:rsid w:val="00EF3A82"/>
    <w:rsid w:val="00EF3C85"/>
    <w:rsid w:val="00EF3CF3"/>
    <w:rsid w:val="00EF3E78"/>
    <w:rsid w:val="00EF3F43"/>
    <w:rsid w:val="00EF3FDE"/>
    <w:rsid w:val="00EF4165"/>
    <w:rsid w:val="00EF46A0"/>
    <w:rsid w:val="00EF4CFE"/>
    <w:rsid w:val="00EF4F31"/>
    <w:rsid w:val="00EF541C"/>
    <w:rsid w:val="00EF583A"/>
    <w:rsid w:val="00EF6351"/>
    <w:rsid w:val="00EF6396"/>
    <w:rsid w:val="00EF642C"/>
    <w:rsid w:val="00EF64C3"/>
    <w:rsid w:val="00EF670D"/>
    <w:rsid w:val="00EF682A"/>
    <w:rsid w:val="00EF6E15"/>
    <w:rsid w:val="00EF6FEB"/>
    <w:rsid w:val="00EF7222"/>
    <w:rsid w:val="00EF7B83"/>
    <w:rsid w:val="00EF7CFA"/>
    <w:rsid w:val="00EF7D0D"/>
    <w:rsid w:val="00F007DF"/>
    <w:rsid w:val="00F00B4E"/>
    <w:rsid w:val="00F00B63"/>
    <w:rsid w:val="00F00C08"/>
    <w:rsid w:val="00F00D64"/>
    <w:rsid w:val="00F01FCB"/>
    <w:rsid w:val="00F02A40"/>
    <w:rsid w:val="00F030AD"/>
    <w:rsid w:val="00F03F39"/>
    <w:rsid w:val="00F04355"/>
    <w:rsid w:val="00F04BF5"/>
    <w:rsid w:val="00F04F03"/>
    <w:rsid w:val="00F05128"/>
    <w:rsid w:val="00F05252"/>
    <w:rsid w:val="00F059E2"/>
    <w:rsid w:val="00F05F89"/>
    <w:rsid w:val="00F06108"/>
    <w:rsid w:val="00F06387"/>
    <w:rsid w:val="00F064F7"/>
    <w:rsid w:val="00F06A46"/>
    <w:rsid w:val="00F073ED"/>
    <w:rsid w:val="00F07656"/>
    <w:rsid w:val="00F07AE1"/>
    <w:rsid w:val="00F1070C"/>
    <w:rsid w:val="00F10834"/>
    <w:rsid w:val="00F10DD1"/>
    <w:rsid w:val="00F1136C"/>
    <w:rsid w:val="00F113D4"/>
    <w:rsid w:val="00F1174E"/>
    <w:rsid w:val="00F11E84"/>
    <w:rsid w:val="00F125C9"/>
    <w:rsid w:val="00F1261A"/>
    <w:rsid w:val="00F12649"/>
    <w:rsid w:val="00F1294E"/>
    <w:rsid w:val="00F129AF"/>
    <w:rsid w:val="00F129C4"/>
    <w:rsid w:val="00F12A90"/>
    <w:rsid w:val="00F133F1"/>
    <w:rsid w:val="00F137EF"/>
    <w:rsid w:val="00F13B06"/>
    <w:rsid w:val="00F13BF1"/>
    <w:rsid w:val="00F143AE"/>
    <w:rsid w:val="00F14B13"/>
    <w:rsid w:val="00F1521E"/>
    <w:rsid w:val="00F15542"/>
    <w:rsid w:val="00F158DF"/>
    <w:rsid w:val="00F15AC3"/>
    <w:rsid w:val="00F161A8"/>
    <w:rsid w:val="00F1666C"/>
    <w:rsid w:val="00F17048"/>
    <w:rsid w:val="00F17141"/>
    <w:rsid w:val="00F1748F"/>
    <w:rsid w:val="00F1780E"/>
    <w:rsid w:val="00F17A1A"/>
    <w:rsid w:val="00F17D05"/>
    <w:rsid w:val="00F20480"/>
    <w:rsid w:val="00F206C4"/>
    <w:rsid w:val="00F20BF2"/>
    <w:rsid w:val="00F20C53"/>
    <w:rsid w:val="00F20DD9"/>
    <w:rsid w:val="00F20E64"/>
    <w:rsid w:val="00F20EDE"/>
    <w:rsid w:val="00F21546"/>
    <w:rsid w:val="00F21D33"/>
    <w:rsid w:val="00F220FF"/>
    <w:rsid w:val="00F2234C"/>
    <w:rsid w:val="00F22769"/>
    <w:rsid w:val="00F22CAB"/>
    <w:rsid w:val="00F22D41"/>
    <w:rsid w:val="00F22FE4"/>
    <w:rsid w:val="00F23992"/>
    <w:rsid w:val="00F23B46"/>
    <w:rsid w:val="00F240AD"/>
    <w:rsid w:val="00F2449B"/>
    <w:rsid w:val="00F24DF2"/>
    <w:rsid w:val="00F25179"/>
    <w:rsid w:val="00F2531E"/>
    <w:rsid w:val="00F255BC"/>
    <w:rsid w:val="00F25769"/>
    <w:rsid w:val="00F26196"/>
    <w:rsid w:val="00F2622F"/>
    <w:rsid w:val="00F267AA"/>
    <w:rsid w:val="00F26B18"/>
    <w:rsid w:val="00F272A6"/>
    <w:rsid w:val="00F27446"/>
    <w:rsid w:val="00F27B0D"/>
    <w:rsid w:val="00F27DCD"/>
    <w:rsid w:val="00F30236"/>
    <w:rsid w:val="00F30782"/>
    <w:rsid w:val="00F3088C"/>
    <w:rsid w:val="00F3140A"/>
    <w:rsid w:val="00F3169C"/>
    <w:rsid w:val="00F316CB"/>
    <w:rsid w:val="00F316EF"/>
    <w:rsid w:val="00F318DD"/>
    <w:rsid w:val="00F31A87"/>
    <w:rsid w:val="00F31D2A"/>
    <w:rsid w:val="00F31D74"/>
    <w:rsid w:val="00F3214B"/>
    <w:rsid w:val="00F32435"/>
    <w:rsid w:val="00F328D5"/>
    <w:rsid w:val="00F32A66"/>
    <w:rsid w:val="00F34CFE"/>
    <w:rsid w:val="00F34FA8"/>
    <w:rsid w:val="00F34FE3"/>
    <w:rsid w:val="00F355B0"/>
    <w:rsid w:val="00F35A61"/>
    <w:rsid w:val="00F35E2A"/>
    <w:rsid w:val="00F35F68"/>
    <w:rsid w:val="00F36197"/>
    <w:rsid w:val="00F36B08"/>
    <w:rsid w:val="00F3788D"/>
    <w:rsid w:val="00F402A3"/>
    <w:rsid w:val="00F40431"/>
    <w:rsid w:val="00F405A3"/>
    <w:rsid w:val="00F40EE8"/>
    <w:rsid w:val="00F41388"/>
    <w:rsid w:val="00F41C36"/>
    <w:rsid w:val="00F4227B"/>
    <w:rsid w:val="00F42CE5"/>
    <w:rsid w:val="00F42FC8"/>
    <w:rsid w:val="00F4343F"/>
    <w:rsid w:val="00F434F2"/>
    <w:rsid w:val="00F43760"/>
    <w:rsid w:val="00F43CB9"/>
    <w:rsid w:val="00F43E5B"/>
    <w:rsid w:val="00F4402F"/>
    <w:rsid w:val="00F44407"/>
    <w:rsid w:val="00F44532"/>
    <w:rsid w:val="00F44669"/>
    <w:rsid w:val="00F44874"/>
    <w:rsid w:val="00F44A99"/>
    <w:rsid w:val="00F4566A"/>
    <w:rsid w:val="00F45B28"/>
    <w:rsid w:val="00F46047"/>
    <w:rsid w:val="00F46E83"/>
    <w:rsid w:val="00F47D44"/>
    <w:rsid w:val="00F513F0"/>
    <w:rsid w:val="00F51A42"/>
    <w:rsid w:val="00F52901"/>
    <w:rsid w:val="00F52F08"/>
    <w:rsid w:val="00F52F9E"/>
    <w:rsid w:val="00F5317E"/>
    <w:rsid w:val="00F5356B"/>
    <w:rsid w:val="00F5395D"/>
    <w:rsid w:val="00F54011"/>
    <w:rsid w:val="00F549C0"/>
    <w:rsid w:val="00F54B83"/>
    <w:rsid w:val="00F54F4C"/>
    <w:rsid w:val="00F55F1A"/>
    <w:rsid w:val="00F55F3B"/>
    <w:rsid w:val="00F565F4"/>
    <w:rsid w:val="00F56708"/>
    <w:rsid w:val="00F5678E"/>
    <w:rsid w:val="00F56817"/>
    <w:rsid w:val="00F56B8E"/>
    <w:rsid w:val="00F56BB2"/>
    <w:rsid w:val="00F56E6D"/>
    <w:rsid w:val="00F56EF3"/>
    <w:rsid w:val="00F5775D"/>
    <w:rsid w:val="00F57B36"/>
    <w:rsid w:val="00F57F72"/>
    <w:rsid w:val="00F60126"/>
    <w:rsid w:val="00F6087C"/>
    <w:rsid w:val="00F608A5"/>
    <w:rsid w:val="00F61110"/>
    <w:rsid w:val="00F61277"/>
    <w:rsid w:val="00F61DFD"/>
    <w:rsid w:val="00F630BA"/>
    <w:rsid w:val="00F630DF"/>
    <w:rsid w:val="00F631DC"/>
    <w:rsid w:val="00F63893"/>
    <w:rsid w:val="00F63DE4"/>
    <w:rsid w:val="00F64122"/>
    <w:rsid w:val="00F6413D"/>
    <w:rsid w:val="00F64E1D"/>
    <w:rsid w:val="00F65399"/>
    <w:rsid w:val="00F657C9"/>
    <w:rsid w:val="00F6580F"/>
    <w:rsid w:val="00F65A37"/>
    <w:rsid w:val="00F65DC9"/>
    <w:rsid w:val="00F65DCD"/>
    <w:rsid w:val="00F6654F"/>
    <w:rsid w:val="00F668F2"/>
    <w:rsid w:val="00F66CF4"/>
    <w:rsid w:val="00F66E7E"/>
    <w:rsid w:val="00F67439"/>
    <w:rsid w:val="00F67B92"/>
    <w:rsid w:val="00F67BFC"/>
    <w:rsid w:val="00F701F7"/>
    <w:rsid w:val="00F70288"/>
    <w:rsid w:val="00F70CF8"/>
    <w:rsid w:val="00F70E4B"/>
    <w:rsid w:val="00F720CA"/>
    <w:rsid w:val="00F721F4"/>
    <w:rsid w:val="00F72291"/>
    <w:rsid w:val="00F7289F"/>
    <w:rsid w:val="00F72A93"/>
    <w:rsid w:val="00F72D28"/>
    <w:rsid w:val="00F72E49"/>
    <w:rsid w:val="00F73233"/>
    <w:rsid w:val="00F7329E"/>
    <w:rsid w:val="00F73463"/>
    <w:rsid w:val="00F74194"/>
    <w:rsid w:val="00F748AA"/>
    <w:rsid w:val="00F74DD6"/>
    <w:rsid w:val="00F74E08"/>
    <w:rsid w:val="00F7541D"/>
    <w:rsid w:val="00F77042"/>
    <w:rsid w:val="00F770AE"/>
    <w:rsid w:val="00F77A9E"/>
    <w:rsid w:val="00F77AA1"/>
    <w:rsid w:val="00F80154"/>
    <w:rsid w:val="00F80202"/>
    <w:rsid w:val="00F802F2"/>
    <w:rsid w:val="00F80545"/>
    <w:rsid w:val="00F806E0"/>
    <w:rsid w:val="00F809A5"/>
    <w:rsid w:val="00F8100A"/>
    <w:rsid w:val="00F817CE"/>
    <w:rsid w:val="00F82401"/>
    <w:rsid w:val="00F82E1A"/>
    <w:rsid w:val="00F82E21"/>
    <w:rsid w:val="00F83165"/>
    <w:rsid w:val="00F834FA"/>
    <w:rsid w:val="00F83506"/>
    <w:rsid w:val="00F837FD"/>
    <w:rsid w:val="00F839EC"/>
    <w:rsid w:val="00F83B04"/>
    <w:rsid w:val="00F83BA3"/>
    <w:rsid w:val="00F841C0"/>
    <w:rsid w:val="00F8429C"/>
    <w:rsid w:val="00F84423"/>
    <w:rsid w:val="00F848AA"/>
    <w:rsid w:val="00F84B4F"/>
    <w:rsid w:val="00F851A3"/>
    <w:rsid w:val="00F85639"/>
    <w:rsid w:val="00F8624C"/>
    <w:rsid w:val="00F86698"/>
    <w:rsid w:val="00F867A6"/>
    <w:rsid w:val="00F86968"/>
    <w:rsid w:val="00F86CB0"/>
    <w:rsid w:val="00F86FFD"/>
    <w:rsid w:val="00F87112"/>
    <w:rsid w:val="00F874E4"/>
    <w:rsid w:val="00F87ACE"/>
    <w:rsid w:val="00F87DFB"/>
    <w:rsid w:val="00F87EA5"/>
    <w:rsid w:val="00F90039"/>
    <w:rsid w:val="00F909D4"/>
    <w:rsid w:val="00F90F56"/>
    <w:rsid w:val="00F911A1"/>
    <w:rsid w:val="00F916CA"/>
    <w:rsid w:val="00F9174F"/>
    <w:rsid w:val="00F91D97"/>
    <w:rsid w:val="00F92369"/>
    <w:rsid w:val="00F93645"/>
    <w:rsid w:val="00F942AB"/>
    <w:rsid w:val="00F945E5"/>
    <w:rsid w:val="00F94CDE"/>
    <w:rsid w:val="00F94F67"/>
    <w:rsid w:val="00F95034"/>
    <w:rsid w:val="00F95576"/>
    <w:rsid w:val="00F956C0"/>
    <w:rsid w:val="00F956EC"/>
    <w:rsid w:val="00F96767"/>
    <w:rsid w:val="00F96B17"/>
    <w:rsid w:val="00F96CE9"/>
    <w:rsid w:val="00F96ED3"/>
    <w:rsid w:val="00F97076"/>
    <w:rsid w:val="00F972D9"/>
    <w:rsid w:val="00F974C7"/>
    <w:rsid w:val="00F976F5"/>
    <w:rsid w:val="00F97738"/>
    <w:rsid w:val="00F97A1A"/>
    <w:rsid w:val="00FA04CF"/>
    <w:rsid w:val="00FA0880"/>
    <w:rsid w:val="00FA09D6"/>
    <w:rsid w:val="00FA0F4E"/>
    <w:rsid w:val="00FA0FFC"/>
    <w:rsid w:val="00FA18A3"/>
    <w:rsid w:val="00FA1970"/>
    <w:rsid w:val="00FA224B"/>
    <w:rsid w:val="00FA30D7"/>
    <w:rsid w:val="00FA3216"/>
    <w:rsid w:val="00FA35C2"/>
    <w:rsid w:val="00FA3A92"/>
    <w:rsid w:val="00FA4EDF"/>
    <w:rsid w:val="00FA4F2C"/>
    <w:rsid w:val="00FA5254"/>
    <w:rsid w:val="00FA57AF"/>
    <w:rsid w:val="00FA5C9C"/>
    <w:rsid w:val="00FA635D"/>
    <w:rsid w:val="00FA68EF"/>
    <w:rsid w:val="00FA6EFF"/>
    <w:rsid w:val="00FA7411"/>
    <w:rsid w:val="00FA7F12"/>
    <w:rsid w:val="00FB065B"/>
    <w:rsid w:val="00FB0831"/>
    <w:rsid w:val="00FB0A2A"/>
    <w:rsid w:val="00FB0F35"/>
    <w:rsid w:val="00FB1134"/>
    <w:rsid w:val="00FB13CA"/>
    <w:rsid w:val="00FB13DB"/>
    <w:rsid w:val="00FB2285"/>
    <w:rsid w:val="00FB2BFD"/>
    <w:rsid w:val="00FB2CE0"/>
    <w:rsid w:val="00FB30D8"/>
    <w:rsid w:val="00FB3343"/>
    <w:rsid w:val="00FB34CC"/>
    <w:rsid w:val="00FB3BE2"/>
    <w:rsid w:val="00FB3E12"/>
    <w:rsid w:val="00FB4016"/>
    <w:rsid w:val="00FB467F"/>
    <w:rsid w:val="00FB489A"/>
    <w:rsid w:val="00FB4BE5"/>
    <w:rsid w:val="00FB4DE8"/>
    <w:rsid w:val="00FB4E8A"/>
    <w:rsid w:val="00FB5A79"/>
    <w:rsid w:val="00FB6691"/>
    <w:rsid w:val="00FB6A0B"/>
    <w:rsid w:val="00FB6DAD"/>
    <w:rsid w:val="00FB71DC"/>
    <w:rsid w:val="00FB7376"/>
    <w:rsid w:val="00FB778E"/>
    <w:rsid w:val="00FC025B"/>
    <w:rsid w:val="00FC0858"/>
    <w:rsid w:val="00FC0B47"/>
    <w:rsid w:val="00FC1A29"/>
    <w:rsid w:val="00FC21B7"/>
    <w:rsid w:val="00FC21DA"/>
    <w:rsid w:val="00FC2E15"/>
    <w:rsid w:val="00FC30ED"/>
    <w:rsid w:val="00FC3246"/>
    <w:rsid w:val="00FC343C"/>
    <w:rsid w:val="00FC3597"/>
    <w:rsid w:val="00FC35C2"/>
    <w:rsid w:val="00FC36A5"/>
    <w:rsid w:val="00FC38C4"/>
    <w:rsid w:val="00FC4083"/>
    <w:rsid w:val="00FC4188"/>
    <w:rsid w:val="00FC419B"/>
    <w:rsid w:val="00FC48BB"/>
    <w:rsid w:val="00FC5121"/>
    <w:rsid w:val="00FC5305"/>
    <w:rsid w:val="00FC5366"/>
    <w:rsid w:val="00FC546B"/>
    <w:rsid w:val="00FC5C53"/>
    <w:rsid w:val="00FC5F03"/>
    <w:rsid w:val="00FC6506"/>
    <w:rsid w:val="00FC702E"/>
    <w:rsid w:val="00FC706A"/>
    <w:rsid w:val="00FC73CD"/>
    <w:rsid w:val="00FC746A"/>
    <w:rsid w:val="00FC7F68"/>
    <w:rsid w:val="00FD0C63"/>
    <w:rsid w:val="00FD12C6"/>
    <w:rsid w:val="00FD162A"/>
    <w:rsid w:val="00FD1781"/>
    <w:rsid w:val="00FD179E"/>
    <w:rsid w:val="00FD18D4"/>
    <w:rsid w:val="00FD2341"/>
    <w:rsid w:val="00FD2457"/>
    <w:rsid w:val="00FD272C"/>
    <w:rsid w:val="00FD36A6"/>
    <w:rsid w:val="00FD36F0"/>
    <w:rsid w:val="00FD379B"/>
    <w:rsid w:val="00FD396E"/>
    <w:rsid w:val="00FD5D49"/>
    <w:rsid w:val="00FD6373"/>
    <w:rsid w:val="00FD713C"/>
    <w:rsid w:val="00FE0334"/>
    <w:rsid w:val="00FE05E9"/>
    <w:rsid w:val="00FE1908"/>
    <w:rsid w:val="00FE1C61"/>
    <w:rsid w:val="00FE1EF3"/>
    <w:rsid w:val="00FE21ED"/>
    <w:rsid w:val="00FE25C1"/>
    <w:rsid w:val="00FE3041"/>
    <w:rsid w:val="00FE3B8B"/>
    <w:rsid w:val="00FE420E"/>
    <w:rsid w:val="00FE4F52"/>
    <w:rsid w:val="00FE513F"/>
    <w:rsid w:val="00FE5989"/>
    <w:rsid w:val="00FE5D52"/>
    <w:rsid w:val="00FE650D"/>
    <w:rsid w:val="00FE6C9F"/>
    <w:rsid w:val="00FE6FE0"/>
    <w:rsid w:val="00FE792F"/>
    <w:rsid w:val="00FE7AB2"/>
    <w:rsid w:val="00FE7ADD"/>
    <w:rsid w:val="00FF0B14"/>
    <w:rsid w:val="00FF1332"/>
    <w:rsid w:val="00FF17DF"/>
    <w:rsid w:val="00FF185C"/>
    <w:rsid w:val="00FF1B58"/>
    <w:rsid w:val="00FF1D45"/>
    <w:rsid w:val="00FF1DC5"/>
    <w:rsid w:val="00FF2649"/>
    <w:rsid w:val="00FF32B4"/>
    <w:rsid w:val="00FF3892"/>
    <w:rsid w:val="00FF3BE6"/>
    <w:rsid w:val="00FF417E"/>
    <w:rsid w:val="00FF4A47"/>
    <w:rsid w:val="00FF4ACF"/>
    <w:rsid w:val="00FF5178"/>
    <w:rsid w:val="00FF52AF"/>
    <w:rsid w:val="00FF5DF1"/>
    <w:rsid w:val="00FF6192"/>
    <w:rsid w:val="00FF62B9"/>
    <w:rsid w:val="00FF62D0"/>
    <w:rsid w:val="00FF6BC1"/>
    <w:rsid w:val="00FF6BD1"/>
    <w:rsid w:val="00FF6BE1"/>
    <w:rsid w:val="00FF6D2D"/>
    <w:rsid w:val="00FF7FE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FFB7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3EA"/>
    <w:rPr>
      <w:sz w:val="24"/>
      <w:szCs w:val="24"/>
      <w:lang w:val="en-US" w:eastAsia="en-US" w:bidi="ar-SA"/>
    </w:rPr>
  </w:style>
  <w:style w:type="paragraph" w:styleId="Heading1">
    <w:name w:val="heading 1"/>
    <w:basedOn w:val="Normal"/>
    <w:next w:val="Normal"/>
    <w:link w:val="Heading1Char"/>
    <w:uiPriority w:val="9"/>
    <w:qFormat/>
    <w:locked/>
    <w:rsid w:val="00375171"/>
    <w:pPr>
      <w:keepNext/>
      <w:keepLines/>
      <w:numPr>
        <w:numId w:val="1"/>
      </w:numPr>
      <w:bidi/>
      <w:spacing w:before="480" w:line="276" w:lineRule="auto"/>
      <w:outlineLvl w:val="0"/>
    </w:pPr>
    <w:rPr>
      <w:rFonts w:ascii="Cambria" w:hAnsi="Cambria"/>
      <w:b/>
      <w:bCs/>
      <w:color w:val="365F91"/>
      <w:sz w:val="28"/>
      <w:szCs w:val="32"/>
      <w:lang w:bidi="he-IL"/>
    </w:rPr>
  </w:style>
  <w:style w:type="paragraph" w:styleId="Heading2">
    <w:name w:val="heading 2"/>
    <w:basedOn w:val="Normal"/>
    <w:next w:val="Normal"/>
    <w:link w:val="Heading2Char"/>
    <w:uiPriority w:val="9"/>
    <w:unhideWhenUsed/>
    <w:qFormat/>
    <w:locked/>
    <w:rsid w:val="00375171"/>
    <w:pPr>
      <w:keepNext/>
      <w:keepLines/>
      <w:numPr>
        <w:ilvl w:val="1"/>
        <w:numId w:val="1"/>
      </w:numPr>
      <w:bidi/>
      <w:spacing w:before="200" w:line="276" w:lineRule="auto"/>
      <w:outlineLvl w:val="1"/>
    </w:pPr>
    <w:rPr>
      <w:rFonts w:ascii="Cambria" w:hAnsi="Cambria"/>
      <w:b/>
      <w:bCs/>
      <w:color w:val="4F81BD"/>
      <w:sz w:val="26"/>
      <w:lang w:bidi="he-IL"/>
    </w:rPr>
  </w:style>
  <w:style w:type="paragraph" w:styleId="Heading3">
    <w:name w:val="heading 3"/>
    <w:basedOn w:val="Normal"/>
    <w:next w:val="Normal"/>
    <w:link w:val="Heading3Char"/>
    <w:uiPriority w:val="9"/>
    <w:unhideWhenUsed/>
    <w:qFormat/>
    <w:locked/>
    <w:rsid w:val="00375171"/>
    <w:pPr>
      <w:keepNext/>
      <w:keepLines/>
      <w:numPr>
        <w:ilvl w:val="2"/>
        <w:numId w:val="1"/>
      </w:numPr>
      <w:bidi/>
      <w:spacing w:before="200" w:line="276" w:lineRule="auto"/>
      <w:jc w:val="right"/>
      <w:outlineLvl w:val="2"/>
    </w:pPr>
    <w:rPr>
      <w:rFonts w:ascii="Cambria" w:hAnsi="Cambria"/>
      <w:b/>
      <w:bCs/>
      <w:color w:val="4F81BD"/>
      <w:sz w:val="22"/>
      <w:szCs w:val="22"/>
      <w:lang w:bidi="he-IL"/>
    </w:rPr>
  </w:style>
  <w:style w:type="paragraph" w:styleId="Heading4">
    <w:name w:val="heading 4"/>
    <w:basedOn w:val="Normal"/>
    <w:next w:val="Normal"/>
    <w:link w:val="Heading4Char"/>
    <w:uiPriority w:val="9"/>
    <w:unhideWhenUsed/>
    <w:qFormat/>
    <w:locked/>
    <w:rsid w:val="00375171"/>
    <w:pPr>
      <w:keepNext/>
      <w:keepLines/>
      <w:numPr>
        <w:ilvl w:val="3"/>
        <w:numId w:val="1"/>
      </w:numPr>
      <w:bidi/>
      <w:spacing w:before="200" w:line="276" w:lineRule="auto"/>
      <w:outlineLvl w:val="3"/>
    </w:pPr>
    <w:rPr>
      <w:rFonts w:ascii="Cambria" w:hAnsi="Cambria"/>
      <w:b/>
      <w:bCs/>
      <w:i/>
      <w:iCs/>
      <w:color w:val="4F81BD"/>
      <w:sz w:val="22"/>
      <w:szCs w:val="22"/>
      <w:lang w:bidi="he-IL"/>
    </w:rPr>
  </w:style>
  <w:style w:type="paragraph" w:styleId="Heading5">
    <w:name w:val="heading 5"/>
    <w:basedOn w:val="Normal"/>
    <w:next w:val="Normal"/>
    <w:link w:val="Heading5Char"/>
    <w:uiPriority w:val="9"/>
    <w:semiHidden/>
    <w:unhideWhenUsed/>
    <w:qFormat/>
    <w:locked/>
    <w:rsid w:val="00375171"/>
    <w:pPr>
      <w:keepNext/>
      <w:keepLines/>
      <w:numPr>
        <w:ilvl w:val="4"/>
        <w:numId w:val="1"/>
      </w:numPr>
      <w:bidi/>
      <w:spacing w:before="200" w:line="276" w:lineRule="auto"/>
      <w:outlineLvl w:val="4"/>
    </w:pPr>
    <w:rPr>
      <w:rFonts w:ascii="Cambria" w:hAnsi="Cambria"/>
      <w:color w:val="243F60"/>
      <w:sz w:val="22"/>
      <w:szCs w:val="22"/>
      <w:lang w:bidi="he-IL"/>
    </w:rPr>
  </w:style>
  <w:style w:type="paragraph" w:styleId="Heading6">
    <w:name w:val="heading 6"/>
    <w:basedOn w:val="Normal"/>
    <w:next w:val="Normal"/>
    <w:link w:val="Heading6Char"/>
    <w:uiPriority w:val="9"/>
    <w:semiHidden/>
    <w:unhideWhenUsed/>
    <w:qFormat/>
    <w:locked/>
    <w:rsid w:val="00375171"/>
    <w:pPr>
      <w:keepNext/>
      <w:keepLines/>
      <w:numPr>
        <w:ilvl w:val="5"/>
        <w:numId w:val="1"/>
      </w:numPr>
      <w:bidi/>
      <w:spacing w:before="200" w:line="276" w:lineRule="auto"/>
      <w:outlineLvl w:val="5"/>
    </w:pPr>
    <w:rPr>
      <w:rFonts w:ascii="Cambria" w:hAnsi="Cambria"/>
      <w:i/>
      <w:iCs/>
      <w:color w:val="243F60"/>
      <w:sz w:val="22"/>
      <w:szCs w:val="22"/>
      <w:lang w:bidi="he-IL"/>
    </w:rPr>
  </w:style>
  <w:style w:type="paragraph" w:styleId="Heading7">
    <w:name w:val="heading 7"/>
    <w:basedOn w:val="Normal"/>
    <w:next w:val="Normal"/>
    <w:link w:val="Heading7Char"/>
    <w:uiPriority w:val="9"/>
    <w:semiHidden/>
    <w:unhideWhenUsed/>
    <w:qFormat/>
    <w:locked/>
    <w:rsid w:val="00375171"/>
    <w:pPr>
      <w:keepNext/>
      <w:keepLines/>
      <w:numPr>
        <w:ilvl w:val="6"/>
        <w:numId w:val="1"/>
      </w:numPr>
      <w:bidi/>
      <w:spacing w:before="200" w:line="276" w:lineRule="auto"/>
      <w:outlineLvl w:val="6"/>
    </w:pPr>
    <w:rPr>
      <w:rFonts w:ascii="Cambria" w:hAnsi="Cambria"/>
      <w:i/>
      <w:iCs/>
      <w:color w:val="404040"/>
      <w:sz w:val="22"/>
      <w:szCs w:val="22"/>
      <w:lang w:bidi="he-IL"/>
    </w:rPr>
  </w:style>
  <w:style w:type="paragraph" w:styleId="Heading8">
    <w:name w:val="heading 8"/>
    <w:basedOn w:val="Normal"/>
    <w:next w:val="Normal"/>
    <w:link w:val="Heading8Char"/>
    <w:uiPriority w:val="9"/>
    <w:semiHidden/>
    <w:unhideWhenUsed/>
    <w:qFormat/>
    <w:locked/>
    <w:rsid w:val="00375171"/>
    <w:pPr>
      <w:keepNext/>
      <w:keepLines/>
      <w:numPr>
        <w:ilvl w:val="7"/>
        <w:numId w:val="1"/>
      </w:numPr>
      <w:bidi/>
      <w:spacing w:before="200" w:line="276" w:lineRule="auto"/>
      <w:outlineLvl w:val="7"/>
    </w:pPr>
    <w:rPr>
      <w:rFonts w:ascii="Cambria" w:hAnsi="Cambria"/>
      <w:color w:val="404040"/>
      <w:sz w:val="20"/>
      <w:szCs w:val="20"/>
      <w:lang w:bidi="he-IL"/>
    </w:rPr>
  </w:style>
  <w:style w:type="paragraph" w:styleId="Heading9">
    <w:name w:val="heading 9"/>
    <w:basedOn w:val="Normal"/>
    <w:next w:val="Normal"/>
    <w:link w:val="Heading9Char"/>
    <w:uiPriority w:val="9"/>
    <w:semiHidden/>
    <w:unhideWhenUsed/>
    <w:qFormat/>
    <w:locked/>
    <w:rsid w:val="00375171"/>
    <w:pPr>
      <w:keepNext/>
      <w:keepLines/>
      <w:numPr>
        <w:ilvl w:val="8"/>
        <w:numId w:val="1"/>
      </w:numPr>
      <w:bidi/>
      <w:spacing w:before="200" w:line="276" w:lineRule="auto"/>
      <w:outlineLvl w:val="8"/>
    </w:pPr>
    <w:rPr>
      <w:rFonts w:ascii="Cambria" w:hAnsi="Cambria"/>
      <w:i/>
      <w:iCs/>
      <w:color w:val="404040"/>
      <w:sz w:val="20"/>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17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E26DE"/>
    <w:rPr>
      <w:rFonts w:cs="Times New Roman"/>
      <w:color w:val="0000FF"/>
      <w:u w:val="single"/>
    </w:rPr>
  </w:style>
  <w:style w:type="character" w:styleId="Emphasis">
    <w:name w:val="Emphasis"/>
    <w:uiPriority w:val="20"/>
    <w:qFormat/>
    <w:rsid w:val="00DE26DE"/>
    <w:rPr>
      <w:rFonts w:cs="Times New Roman"/>
      <w:i/>
    </w:rPr>
  </w:style>
  <w:style w:type="paragraph" w:styleId="NormalWeb">
    <w:name w:val="Normal (Web)"/>
    <w:basedOn w:val="Normal"/>
    <w:uiPriority w:val="99"/>
    <w:rsid w:val="006E1B14"/>
    <w:pPr>
      <w:spacing w:before="100" w:beforeAutospacing="1" w:after="100" w:afterAutospacing="1"/>
    </w:pPr>
  </w:style>
  <w:style w:type="character" w:customStyle="1" w:styleId="citation1">
    <w:name w:val="citation1"/>
    <w:uiPriority w:val="99"/>
    <w:rsid w:val="00367EA8"/>
    <w:rPr>
      <w:rFonts w:ascii="Verdana" w:hAnsi="Verdana"/>
      <w:sz w:val="17"/>
    </w:rPr>
  </w:style>
  <w:style w:type="paragraph" w:styleId="BalloonText">
    <w:name w:val="Balloon Text"/>
    <w:basedOn w:val="Normal"/>
    <w:link w:val="BalloonTextChar"/>
    <w:uiPriority w:val="99"/>
    <w:semiHidden/>
    <w:rsid w:val="00A26C5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bidi="ar-SA"/>
    </w:rPr>
  </w:style>
  <w:style w:type="paragraph" w:styleId="FootnoteText">
    <w:name w:val="footnote text"/>
    <w:basedOn w:val="Normal"/>
    <w:link w:val="FootnoteTextChar"/>
    <w:uiPriority w:val="99"/>
    <w:semiHidden/>
    <w:rsid w:val="00614FF2"/>
    <w:rPr>
      <w:sz w:val="20"/>
      <w:szCs w:val="20"/>
    </w:rPr>
  </w:style>
  <w:style w:type="character" w:customStyle="1" w:styleId="FootnoteTextChar">
    <w:name w:val="Footnote Text Char"/>
    <w:link w:val="FootnoteText"/>
    <w:uiPriority w:val="99"/>
    <w:semiHidden/>
    <w:locked/>
    <w:rPr>
      <w:rFonts w:cs="Times New Roman"/>
      <w:sz w:val="20"/>
      <w:szCs w:val="20"/>
      <w:lang w:bidi="ar-SA"/>
    </w:rPr>
  </w:style>
  <w:style w:type="character" w:styleId="FootnoteReference">
    <w:name w:val="footnote reference"/>
    <w:uiPriority w:val="99"/>
    <w:semiHidden/>
    <w:rsid w:val="00614FF2"/>
    <w:rPr>
      <w:rFonts w:cs="Times New Roman"/>
      <w:vertAlign w:val="superscript"/>
    </w:rPr>
  </w:style>
  <w:style w:type="paragraph" w:styleId="BodyText">
    <w:name w:val="Body Text"/>
    <w:basedOn w:val="Normal"/>
    <w:link w:val="BodyTextChar"/>
    <w:uiPriority w:val="99"/>
    <w:rsid w:val="00754436"/>
    <w:pPr>
      <w:bidi/>
      <w:jc w:val="right"/>
    </w:pPr>
    <w:rPr>
      <w:sz w:val="16"/>
      <w:szCs w:val="20"/>
      <w:lang w:bidi="he-IL"/>
    </w:rPr>
  </w:style>
  <w:style w:type="character" w:customStyle="1" w:styleId="BodyTextChar">
    <w:name w:val="Body Text Char"/>
    <w:link w:val="BodyText"/>
    <w:uiPriority w:val="99"/>
    <w:semiHidden/>
    <w:locked/>
    <w:rPr>
      <w:rFonts w:cs="Times New Roman"/>
      <w:sz w:val="24"/>
      <w:szCs w:val="24"/>
      <w:lang w:bidi="ar-SA"/>
    </w:rPr>
  </w:style>
  <w:style w:type="paragraph" w:styleId="Header">
    <w:name w:val="header"/>
    <w:basedOn w:val="Normal"/>
    <w:link w:val="HeaderChar"/>
    <w:uiPriority w:val="99"/>
    <w:rsid w:val="00A034C1"/>
    <w:pPr>
      <w:tabs>
        <w:tab w:val="center" w:pos="4153"/>
        <w:tab w:val="right" w:pos="8306"/>
      </w:tabs>
    </w:pPr>
  </w:style>
  <w:style w:type="character" w:customStyle="1" w:styleId="HeaderChar">
    <w:name w:val="Header Char"/>
    <w:link w:val="Header"/>
    <w:uiPriority w:val="99"/>
    <w:locked/>
    <w:rPr>
      <w:rFonts w:cs="Times New Roman"/>
      <w:sz w:val="24"/>
      <w:szCs w:val="24"/>
      <w:lang w:bidi="ar-SA"/>
    </w:rPr>
  </w:style>
  <w:style w:type="paragraph" w:styleId="Footer">
    <w:name w:val="footer"/>
    <w:basedOn w:val="Normal"/>
    <w:link w:val="FooterChar"/>
    <w:uiPriority w:val="99"/>
    <w:rsid w:val="00A034C1"/>
    <w:pPr>
      <w:tabs>
        <w:tab w:val="center" w:pos="4153"/>
        <w:tab w:val="right" w:pos="8306"/>
      </w:tabs>
    </w:pPr>
  </w:style>
  <w:style w:type="character" w:customStyle="1" w:styleId="FooterChar">
    <w:name w:val="Footer Char"/>
    <w:link w:val="Footer"/>
    <w:uiPriority w:val="99"/>
    <w:semiHidden/>
    <w:locked/>
    <w:rPr>
      <w:rFonts w:cs="Times New Roman"/>
      <w:sz w:val="24"/>
      <w:szCs w:val="24"/>
      <w:lang w:bidi="ar-SA"/>
    </w:rPr>
  </w:style>
  <w:style w:type="character" w:styleId="PageNumber">
    <w:name w:val="page number"/>
    <w:uiPriority w:val="99"/>
    <w:rsid w:val="001809EE"/>
    <w:rPr>
      <w:rFonts w:cs="Times New Roman"/>
    </w:rPr>
  </w:style>
  <w:style w:type="character" w:styleId="CommentReference">
    <w:name w:val="annotation reference"/>
    <w:uiPriority w:val="99"/>
    <w:semiHidden/>
    <w:rsid w:val="00B0617F"/>
    <w:rPr>
      <w:rFonts w:cs="Times New Roman"/>
      <w:sz w:val="16"/>
    </w:rPr>
  </w:style>
  <w:style w:type="paragraph" w:styleId="CommentText">
    <w:name w:val="annotation text"/>
    <w:basedOn w:val="Normal"/>
    <w:link w:val="CommentTextChar"/>
    <w:uiPriority w:val="99"/>
    <w:semiHidden/>
    <w:rsid w:val="00B0617F"/>
    <w:rPr>
      <w:sz w:val="20"/>
      <w:szCs w:val="20"/>
    </w:rPr>
  </w:style>
  <w:style w:type="character" w:customStyle="1" w:styleId="CommentTextChar">
    <w:name w:val="Comment Text Char"/>
    <w:link w:val="CommentText"/>
    <w:uiPriority w:val="99"/>
    <w:semiHidden/>
    <w:locked/>
    <w:rPr>
      <w:rFonts w:cs="Times New Roman"/>
      <w:sz w:val="20"/>
      <w:szCs w:val="20"/>
      <w:lang w:bidi="ar-SA"/>
    </w:rPr>
  </w:style>
  <w:style w:type="paragraph" w:styleId="CommentSubject">
    <w:name w:val="annotation subject"/>
    <w:basedOn w:val="CommentText"/>
    <w:next w:val="CommentText"/>
    <w:link w:val="CommentSubjectChar"/>
    <w:uiPriority w:val="99"/>
    <w:semiHidden/>
    <w:rsid w:val="00B0617F"/>
    <w:rPr>
      <w:b/>
      <w:bCs/>
    </w:rPr>
  </w:style>
  <w:style w:type="character" w:customStyle="1" w:styleId="CommentSubjectChar">
    <w:name w:val="Comment Subject Char"/>
    <w:link w:val="CommentSubject"/>
    <w:uiPriority w:val="99"/>
    <w:semiHidden/>
    <w:locked/>
    <w:rPr>
      <w:rFonts w:cs="Times New Roman"/>
      <w:b/>
      <w:bCs/>
      <w:sz w:val="20"/>
      <w:szCs w:val="20"/>
      <w:lang w:bidi="ar-SA"/>
    </w:rPr>
  </w:style>
  <w:style w:type="character" w:styleId="FollowedHyperlink">
    <w:name w:val="FollowedHyperlink"/>
    <w:uiPriority w:val="99"/>
    <w:rsid w:val="00CB4807"/>
    <w:rPr>
      <w:rFonts w:cs="Times New Roman"/>
      <w:color w:val="800080"/>
      <w:u w:val="single"/>
    </w:rPr>
  </w:style>
  <w:style w:type="paragraph" w:customStyle="1" w:styleId="Default">
    <w:name w:val="Default"/>
    <w:rsid w:val="005764EB"/>
    <w:pPr>
      <w:autoSpaceDE w:val="0"/>
      <w:autoSpaceDN w:val="0"/>
      <w:adjustRightInd w:val="0"/>
    </w:pPr>
    <w:rPr>
      <w:color w:val="000000"/>
      <w:sz w:val="24"/>
      <w:szCs w:val="24"/>
      <w:lang w:val="en-US" w:eastAsia="en-US"/>
    </w:rPr>
  </w:style>
  <w:style w:type="character" w:customStyle="1" w:styleId="Heading1Char">
    <w:name w:val="Heading 1 Char"/>
    <w:link w:val="Heading1"/>
    <w:uiPriority w:val="9"/>
    <w:rsid w:val="00375171"/>
    <w:rPr>
      <w:rFonts w:ascii="Cambria" w:eastAsia="Times New Roman" w:hAnsi="Cambria" w:cs="Times New Roman"/>
      <w:b/>
      <w:bCs/>
      <w:color w:val="365F91"/>
      <w:sz w:val="28"/>
      <w:szCs w:val="32"/>
    </w:rPr>
  </w:style>
  <w:style w:type="character" w:customStyle="1" w:styleId="Heading2Char">
    <w:name w:val="Heading 2 Char"/>
    <w:link w:val="Heading2"/>
    <w:uiPriority w:val="9"/>
    <w:rsid w:val="00375171"/>
    <w:rPr>
      <w:rFonts w:ascii="Cambria" w:eastAsia="Times New Roman" w:hAnsi="Cambria" w:cs="Times New Roman"/>
      <w:b/>
      <w:bCs/>
      <w:color w:val="4F81BD"/>
      <w:sz w:val="26"/>
      <w:szCs w:val="24"/>
    </w:rPr>
  </w:style>
  <w:style w:type="character" w:customStyle="1" w:styleId="Heading3Char">
    <w:name w:val="Heading 3 Char"/>
    <w:link w:val="Heading3"/>
    <w:uiPriority w:val="9"/>
    <w:rsid w:val="00375171"/>
    <w:rPr>
      <w:rFonts w:ascii="Cambria" w:eastAsia="Times New Roman" w:hAnsi="Cambria" w:cs="Times New Roman"/>
      <w:b/>
      <w:bCs/>
      <w:color w:val="4F81BD"/>
    </w:rPr>
  </w:style>
  <w:style w:type="character" w:customStyle="1" w:styleId="Heading4Char">
    <w:name w:val="Heading 4 Char"/>
    <w:link w:val="Heading4"/>
    <w:uiPriority w:val="9"/>
    <w:rsid w:val="00375171"/>
    <w:rPr>
      <w:rFonts w:ascii="Cambria" w:eastAsia="Times New Roman" w:hAnsi="Cambria" w:cs="Times New Roman"/>
      <w:b/>
      <w:bCs/>
      <w:i/>
      <w:iCs/>
      <w:color w:val="4F81BD"/>
    </w:rPr>
  </w:style>
  <w:style w:type="character" w:customStyle="1" w:styleId="Heading5Char">
    <w:name w:val="Heading 5 Char"/>
    <w:link w:val="Heading5"/>
    <w:uiPriority w:val="9"/>
    <w:semiHidden/>
    <w:rsid w:val="00375171"/>
    <w:rPr>
      <w:rFonts w:ascii="Cambria" w:eastAsia="Times New Roman" w:hAnsi="Cambria" w:cs="Times New Roman"/>
      <w:color w:val="243F60"/>
    </w:rPr>
  </w:style>
  <w:style w:type="character" w:customStyle="1" w:styleId="Heading6Char">
    <w:name w:val="Heading 6 Char"/>
    <w:link w:val="Heading6"/>
    <w:uiPriority w:val="9"/>
    <w:semiHidden/>
    <w:rsid w:val="00375171"/>
    <w:rPr>
      <w:rFonts w:ascii="Cambria" w:eastAsia="Times New Roman" w:hAnsi="Cambria" w:cs="Times New Roman"/>
      <w:i/>
      <w:iCs/>
      <w:color w:val="243F60"/>
    </w:rPr>
  </w:style>
  <w:style w:type="character" w:customStyle="1" w:styleId="Heading7Char">
    <w:name w:val="Heading 7 Char"/>
    <w:link w:val="Heading7"/>
    <w:uiPriority w:val="9"/>
    <w:semiHidden/>
    <w:rsid w:val="00375171"/>
    <w:rPr>
      <w:rFonts w:ascii="Cambria" w:eastAsia="Times New Roman" w:hAnsi="Cambria" w:cs="Times New Roman"/>
      <w:i/>
      <w:iCs/>
      <w:color w:val="404040"/>
    </w:rPr>
  </w:style>
  <w:style w:type="character" w:customStyle="1" w:styleId="Heading8Char">
    <w:name w:val="Heading 8 Char"/>
    <w:link w:val="Heading8"/>
    <w:uiPriority w:val="9"/>
    <w:semiHidden/>
    <w:rsid w:val="00375171"/>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375171"/>
    <w:rPr>
      <w:rFonts w:ascii="Cambria" w:eastAsia="Times New Roman" w:hAnsi="Cambria" w:cs="Times New Roman"/>
      <w:i/>
      <w:iCs/>
      <w:color w:val="404040"/>
      <w:sz w:val="20"/>
      <w:szCs w:val="20"/>
    </w:rPr>
  </w:style>
  <w:style w:type="paragraph" w:styleId="ListParagraph">
    <w:name w:val="List Paragraph"/>
    <w:basedOn w:val="Normal"/>
    <w:uiPriority w:val="34"/>
    <w:qFormat/>
    <w:rsid w:val="00180165"/>
    <w:pPr>
      <w:ind w:left="720"/>
      <w:contextualSpacing/>
    </w:pPr>
  </w:style>
  <w:style w:type="table" w:styleId="LightList">
    <w:name w:val="Light List"/>
    <w:basedOn w:val="TableNormal"/>
    <w:uiPriority w:val="61"/>
    <w:rsid w:val="00D87741"/>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DefaultParagraphFont"/>
    <w:rsid w:val="008C4D56"/>
  </w:style>
  <w:style w:type="table" w:styleId="LightList-Accent1">
    <w:name w:val="Light List Accent 1"/>
    <w:basedOn w:val="TableNormal"/>
    <w:uiPriority w:val="61"/>
    <w:rsid w:val="003A575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style-span">
    <w:name w:val="apple-style-span"/>
    <w:basedOn w:val="DefaultParagraphFont"/>
    <w:rsid w:val="000309D9"/>
  </w:style>
  <w:style w:type="paragraph" w:styleId="Revision">
    <w:name w:val="Revision"/>
    <w:hidden/>
    <w:uiPriority w:val="99"/>
    <w:semiHidden/>
    <w:rsid w:val="00B64031"/>
    <w:rPr>
      <w:sz w:val="24"/>
      <w:szCs w:val="24"/>
      <w:lang w:val="en-US" w:eastAsia="en-US" w:bidi="ar-SA"/>
    </w:rPr>
  </w:style>
  <w:style w:type="table" w:styleId="LightShading-Accent1">
    <w:name w:val="Light Shading Accent 1"/>
    <w:basedOn w:val="TableNormal"/>
    <w:uiPriority w:val="60"/>
    <w:rsid w:val="00314F9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dnoteText">
    <w:name w:val="endnote text"/>
    <w:basedOn w:val="Normal"/>
    <w:link w:val="EndnoteTextChar"/>
    <w:uiPriority w:val="99"/>
    <w:semiHidden/>
    <w:unhideWhenUsed/>
    <w:rsid w:val="0091318E"/>
    <w:rPr>
      <w:sz w:val="20"/>
      <w:szCs w:val="20"/>
    </w:rPr>
  </w:style>
  <w:style w:type="character" w:customStyle="1" w:styleId="EndnoteTextChar">
    <w:name w:val="Endnote Text Char"/>
    <w:link w:val="EndnoteText"/>
    <w:uiPriority w:val="99"/>
    <w:semiHidden/>
    <w:rsid w:val="0091318E"/>
    <w:rPr>
      <w:sz w:val="20"/>
      <w:szCs w:val="20"/>
      <w:lang w:bidi="ar-SA"/>
    </w:rPr>
  </w:style>
  <w:style w:type="character" w:styleId="EndnoteReference">
    <w:name w:val="endnote reference"/>
    <w:uiPriority w:val="99"/>
    <w:semiHidden/>
    <w:unhideWhenUsed/>
    <w:rsid w:val="0091318E"/>
    <w:rPr>
      <w:vertAlign w:val="superscript"/>
    </w:rPr>
  </w:style>
  <w:style w:type="table" w:styleId="LightShading">
    <w:name w:val="Light Shading"/>
    <w:basedOn w:val="TableNormal"/>
    <w:uiPriority w:val="60"/>
    <w:rsid w:val="00DF197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DF197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SemiLight SemiConde" w:eastAsia="Times New Roman" w:hAnsi="Bahnschrift SemiLight SemiCond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SemiLight SemiConde" w:eastAsia="Times New Roman" w:hAnsi="Bahnschrift SemiLight SemiCond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SemiLight SemiConde" w:eastAsia="Times New Roman" w:hAnsi="Bahnschrift SemiLight SemiConde" w:cs="Times New Roman"/>
        <w:b/>
        <w:bCs/>
      </w:rPr>
    </w:tblStylePr>
    <w:tblStylePr w:type="lastCol">
      <w:rPr>
        <w:rFonts w:ascii="Bahnschrift SemiLight SemiConde" w:eastAsia="Times New Roman" w:hAnsi="Bahnschrift SemiLight SemiCond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word">
    <w:name w:val="word"/>
    <w:basedOn w:val="DefaultParagraphFont"/>
    <w:rsid w:val="000367CA"/>
  </w:style>
  <w:style w:type="character" w:customStyle="1" w:styleId="shorttext">
    <w:name w:val="short_text"/>
    <w:basedOn w:val="DefaultParagraphFont"/>
    <w:rsid w:val="000367CA"/>
  </w:style>
  <w:style w:type="character" w:customStyle="1" w:styleId="hps">
    <w:name w:val="hps"/>
    <w:basedOn w:val="DefaultParagraphFont"/>
    <w:rsid w:val="00C13049"/>
  </w:style>
  <w:style w:type="character" w:customStyle="1" w:styleId="tlid-translation">
    <w:name w:val="tlid-translation"/>
    <w:basedOn w:val="DefaultParagraphFont"/>
    <w:rsid w:val="00380987"/>
  </w:style>
  <w:style w:type="character" w:styleId="PlaceholderText">
    <w:name w:val="Placeholder Text"/>
    <w:uiPriority w:val="99"/>
    <w:semiHidden/>
    <w:rsid w:val="00D93270"/>
    <w:rPr>
      <w:color w:val="808080"/>
    </w:rPr>
  </w:style>
  <w:style w:type="character" w:customStyle="1" w:styleId="ms-rtethemefontface-1">
    <w:name w:val="ms-rtethemefontface-1"/>
    <w:rsid w:val="002E046D"/>
  </w:style>
  <w:style w:type="character" w:styleId="UnresolvedMention">
    <w:name w:val="Unresolved Mention"/>
    <w:uiPriority w:val="99"/>
    <w:semiHidden/>
    <w:unhideWhenUsed/>
    <w:rsid w:val="00FC21DA"/>
    <w:rPr>
      <w:color w:val="605E5C"/>
      <w:shd w:val="clear" w:color="auto" w:fill="E1DFDD"/>
    </w:rPr>
  </w:style>
  <w:style w:type="character" w:styleId="LineNumber">
    <w:name w:val="line number"/>
    <w:basedOn w:val="DefaultParagraphFont"/>
    <w:uiPriority w:val="99"/>
    <w:semiHidden/>
    <w:unhideWhenUsed/>
    <w:rsid w:val="007F1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41">
      <w:bodyDiv w:val="1"/>
      <w:marLeft w:val="0"/>
      <w:marRight w:val="0"/>
      <w:marTop w:val="0"/>
      <w:marBottom w:val="0"/>
      <w:divBdr>
        <w:top w:val="none" w:sz="0" w:space="0" w:color="auto"/>
        <w:left w:val="none" w:sz="0" w:space="0" w:color="auto"/>
        <w:bottom w:val="none" w:sz="0" w:space="0" w:color="auto"/>
        <w:right w:val="none" w:sz="0" w:space="0" w:color="auto"/>
      </w:divBdr>
    </w:div>
    <w:div w:id="3090632">
      <w:bodyDiv w:val="1"/>
      <w:marLeft w:val="0"/>
      <w:marRight w:val="0"/>
      <w:marTop w:val="0"/>
      <w:marBottom w:val="0"/>
      <w:divBdr>
        <w:top w:val="none" w:sz="0" w:space="0" w:color="auto"/>
        <w:left w:val="none" w:sz="0" w:space="0" w:color="auto"/>
        <w:bottom w:val="none" w:sz="0" w:space="0" w:color="auto"/>
        <w:right w:val="none" w:sz="0" w:space="0" w:color="auto"/>
      </w:divBdr>
    </w:div>
    <w:div w:id="7757201">
      <w:bodyDiv w:val="1"/>
      <w:marLeft w:val="0"/>
      <w:marRight w:val="0"/>
      <w:marTop w:val="0"/>
      <w:marBottom w:val="0"/>
      <w:divBdr>
        <w:top w:val="none" w:sz="0" w:space="0" w:color="auto"/>
        <w:left w:val="none" w:sz="0" w:space="0" w:color="auto"/>
        <w:bottom w:val="none" w:sz="0" w:space="0" w:color="auto"/>
        <w:right w:val="none" w:sz="0" w:space="0" w:color="auto"/>
      </w:divBdr>
    </w:div>
    <w:div w:id="43412740">
      <w:bodyDiv w:val="1"/>
      <w:marLeft w:val="0"/>
      <w:marRight w:val="0"/>
      <w:marTop w:val="0"/>
      <w:marBottom w:val="0"/>
      <w:divBdr>
        <w:top w:val="none" w:sz="0" w:space="0" w:color="auto"/>
        <w:left w:val="none" w:sz="0" w:space="0" w:color="auto"/>
        <w:bottom w:val="none" w:sz="0" w:space="0" w:color="auto"/>
        <w:right w:val="none" w:sz="0" w:space="0" w:color="auto"/>
      </w:divBdr>
    </w:div>
    <w:div w:id="142504746">
      <w:bodyDiv w:val="1"/>
      <w:marLeft w:val="0"/>
      <w:marRight w:val="0"/>
      <w:marTop w:val="0"/>
      <w:marBottom w:val="0"/>
      <w:divBdr>
        <w:top w:val="none" w:sz="0" w:space="0" w:color="auto"/>
        <w:left w:val="none" w:sz="0" w:space="0" w:color="auto"/>
        <w:bottom w:val="none" w:sz="0" w:space="0" w:color="auto"/>
        <w:right w:val="none" w:sz="0" w:space="0" w:color="auto"/>
      </w:divBdr>
    </w:div>
    <w:div w:id="201746570">
      <w:bodyDiv w:val="1"/>
      <w:marLeft w:val="0"/>
      <w:marRight w:val="0"/>
      <w:marTop w:val="0"/>
      <w:marBottom w:val="0"/>
      <w:divBdr>
        <w:top w:val="none" w:sz="0" w:space="0" w:color="auto"/>
        <w:left w:val="none" w:sz="0" w:space="0" w:color="auto"/>
        <w:bottom w:val="none" w:sz="0" w:space="0" w:color="auto"/>
        <w:right w:val="none" w:sz="0" w:space="0" w:color="auto"/>
      </w:divBdr>
    </w:div>
    <w:div w:id="218706511">
      <w:bodyDiv w:val="1"/>
      <w:marLeft w:val="0"/>
      <w:marRight w:val="0"/>
      <w:marTop w:val="0"/>
      <w:marBottom w:val="0"/>
      <w:divBdr>
        <w:top w:val="none" w:sz="0" w:space="0" w:color="auto"/>
        <w:left w:val="none" w:sz="0" w:space="0" w:color="auto"/>
        <w:bottom w:val="none" w:sz="0" w:space="0" w:color="auto"/>
        <w:right w:val="none" w:sz="0" w:space="0" w:color="auto"/>
      </w:divBdr>
    </w:div>
    <w:div w:id="227763970">
      <w:bodyDiv w:val="1"/>
      <w:marLeft w:val="0"/>
      <w:marRight w:val="0"/>
      <w:marTop w:val="0"/>
      <w:marBottom w:val="0"/>
      <w:divBdr>
        <w:top w:val="none" w:sz="0" w:space="0" w:color="auto"/>
        <w:left w:val="none" w:sz="0" w:space="0" w:color="auto"/>
        <w:bottom w:val="none" w:sz="0" w:space="0" w:color="auto"/>
        <w:right w:val="none" w:sz="0" w:space="0" w:color="auto"/>
      </w:divBdr>
    </w:div>
    <w:div w:id="269629960">
      <w:bodyDiv w:val="1"/>
      <w:marLeft w:val="0"/>
      <w:marRight w:val="0"/>
      <w:marTop w:val="0"/>
      <w:marBottom w:val="0"/>
      <w:divBdr>
        <w:top w:val="none" w:sz="0" w:space="0" w:color="auto"/>
        <w:left w:val="none" w:sz="0" w:space="0" w:color="auto"/>
        <w:bottom w:val="none" w:sz="0" w:space="0" w:color="auto"/>
        <w:right w:val="none" w:sz="0" w:space="0" w:color="auto"/>
      </w:divBdr>
    </w:div>
    <w:div w:id="333724495">
      <w:bodyDiv w:val="1"/>
      <w:marLeft w:val="0"/>
      <w:marRight w:val="0"/>
      <w:marTop w:val="0"/>
      <w:marBottom w:val="0"/>
      <w:divBdr>
        <w:top w:val="none" w:sz="0" w:space="0" w:color="auto"/>
        <w:left w:val="none" w:sz="0" w:space="0" w:color="auto"/>
        <w:bottom w:val="none" w:sz="0" w:space="0" w:color="auto"/>
        <w:right w:val="none" w:sz="0" w:space="0" w:color="auto"/>
      </w:divBdr>
    </w:div>
    <w:div w:id="371269833">
      <w:bodyDiv w:val="1"/>
      <w:marLeft w:val="0"/>
      <w:marRight w:val="0"/>
      <w:marTop w:val="0"/>
      <w:marBottom w:val="0"/>
      <w:divBdr>
        <w:top w:val="none" w:sz="0" w:space="0" w:color="auto"/>
        <w:left w:val="none" w:sz="0" w:space="0" w:color="auto"/>
        <w:bottom w:val="none" w:sz="0" w:space="0" w:color="auto"/>
        <w:right w:val="none" w:sz="0" w:space="0" w:color="auto"/>
      </w:divBdr>
    </w:div>
    <w:div w:id="440345049">
      <w:bodyDiv w:val="1"/>
      <w:marLeft w:val="0"/>
      <w:marRight w:val="0"/>
      <w:marTop w:val="0"/>
      <w:marBottom w:val="0"/>
      <w:divBdr>
        <w:top w:val="none" w:sz="0" w:space="0" w:color="auto"/>
        <w:left w:val="none" w:sz="0" w:space="0" w:color="auto"/>
        <w:bottom w:val="none" w:sz="0" w:space="0" w:color="auto"/>
        <w:right w:val="none" w:sz="0" w:space="0" w:color="auto"/>
      </w:divBdr>
    </w:div>
    <w:div w:id="457069967">
      <w:bodyDiv w:val="1"/>
      <w:marLeft w:val="0"/>
      <w:marRight w:val="0"/>
      <w:marTop w:val="0"/>
      <w:marBottom w:val="0"/>
      <w:divBdr>
        <w:top w:val="none" w:sz="0" w:space="0" w:color="auto"/>
        <w:left w:val="none" w:sz="0" w:space="0" w:color="auto"/>
        <w:bottom w:val="none" w:sz="0" w:space="0" w:color="auto"/>
        <w:right w:val="none" w:sz="0" w:space="0" w:color="auto"/>
      </w:divBdr>
      <w:divsChild>
        <w:div w:id="1442723497">
          <w:marLeft w:val="0"/>
          <w:marRight w:val="0"/>
          <w:marTop w:val="0"/>
          <w:marBottom w:val="0"/>
          <w:divBdr>
            <w:top w:val="none" w:sz="0" w:space="0" w:color="auto"/>
            <w:left w:val="none" w:sz="0" w:space="0" w:color="auto"/>
            <w:bottom w:val="none" w:sz="0" w:space="0" w:color="auto"/>
            <w:right w:val="none" w:sz="0" w:space="0" w:color="auto"/>
          </w:divBdr>
          <w:divsChild>
            <w:div w:id="15349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0146">
      <w:bodyDiv w:val="1"/>
      <w:marLeft w:val="0"/>
      <w:marRight w:val="0"/>
      <w:marTop w:val="0"/>
      <w:marBottom w:val="0"/>
      <w:divBdr>
        <w:top w:val="none" w:sz="0" w:space="0" w:color="auto"/>
        <w:left w:val="none" w:sz="0" w:space="0" w:color="auto"/>
        <w:bottom w:val="none" w:sz="0" w:space="0" w:color="auto"/>
        <w:right w:val="none" w:sz="0" w:space="0" w:color="auto"/>
      </w:divBdr>
      <w:divsChild>
        <w:div w:id="537208445">
          <w:marLeft w:val="0"/>
          <w:marRight w:val="0"/>
          <w:marTop w:val="0"/>
          <w:marBottom w:val="0"/>
          <w:divBdr>
            <w:top w:val="none" w:sz="0" w:space="0" w:color="auto"/>
            <w:left w:val="none" w:sz="0" w:space="0" w:color="auto"/>
            <w:bottom w:val="none" w:sz="0" w:space="0" w:color="auto"/>
            <w:right w:val="none" w:sz="0" w:space="0" w:color="auto"/>
          </w:divBdr>
          <w:divsChild>
            <w:div w:id="356195918">
              <w:marLeft w:val="0"/>
              <w:marRight w:val="0"/>
              <w:marTop w:val="0"/>
              <w:marBottom w:val="0"/>
              <w:divBdr>
                <w:top w:val="none" w:sz="0" w:space="0" w:color="auto"/>
                <w:left w:val="none" w:sz="0" w:space="0" w:color="auto"/>
                <w:bottom w:val="none" w:sz="0" w:space="0" w:color="auto"/>
                <w:right w:val="none" w:sz="0" w:space="0" w:color="auto"/>
              </w:divBdr>
              <w:divsChild>
                <w:div w:id="601373717">
                  <w:marLeft w:val="0"/>
                  <w:marRight w:val="0"/>
                  <w:marTop w:val="0"/>
                  <w:marBottom w:val="0"/>
                  <w:divBdr>
                    <w:top w:val="none" w:sz="0" w:space="0" w:color="auto"/>
                    <w:left w:val="none" w:sz="0" w:space="0" w:color="auto"/>
                    <w:bottom w:val="none" w:sz="0" w:space="0" w:color="auto"/>
                    <w:right w:val="none" w:sz="0" w:space="0" w:color="auto"/>
                  </w:divBdr>
                  <w:divsChild>
                    <w:div w:id="1108113337">
                      <w:marLeft w:val="0"/>
                      <w:marRight w:val="0"/>
                      <w:marTop w:val="0"/>
                      <w:marBottom w:val="0"/>
                      <w:divBdr>
                        <w:top w:val="none" w:sz="0" w:space="0" w:color="auto"/>
                        <w:left w:val="none" w:sz="0" w:space="0" w:color="auto"/>
                        <w:bottom w:val="none" w:sz="0" w:space="0" w:color="auto"/>
                        <w:right w:val="none" w:sz="0" w:space="0" w:color="auto"/>
                      </w:divBdr>
                      <w:divsChild>
                        <w:div w:id="113211105">
                          <w:marLeft w:val="0"/>
                          <w:marRight w:val="0"/>
                          <w:marTop w:val="0"/>
                          <w:marBottom w:val="0"/>
                          <w:divBdr>
                            <w:top w:val="none" w:sz="0" w:space="0" w:color="auto"/>
                            <w:left w:val="none" w:sz="0" w:space="0" w:color="auto"/>
                            <w:bottom w:val="none" w:sz="0" w:space="0" w:color="auto"/>
                            <w:right w:val="none" w:sz="0" w:space="0" w:color="auto"/>
                          </w:divBdr>
                          <w:divsChild>
                            <w:div w:id="1536578900">
                              <w:marLeft w:val="0"/>
                              <w:marRight w:val="0"/>
                              <w:marTop w:val="0"/>
                              <w:marBottom w:val="0"/>
                              <w:divBdr>
                                <w:top w:val="none" w:sz="0" w:space="0" w:color="auto"/>
                                <w:left w:val="none" w:sz="0" w:space="0" w:color="auto"/>
                                <w:bottom w:val="none" w:sz="0" w:space="0" w:color="auto"/>
                                <w:right w:val="none" w:sz="0" w:space="0" w:color="auto"/>
                              </w:divBdr>
                              <w:divsChild>
                                <w:div w:id="89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600293">
      <w:marLeft w:val="0"/>
      <w:marRight w:val="0"/>
      <w:marTop w:val="0"/>
      <w:marBottom w:val="0"/>
      <w:divBdr>
        <w:top w:val="none" w:sz="0" w:space="0" w:color="auto"/>
        <w:left w:val="none" w:sz="0" w:space="0" w:color="auto"/>
        <w:bottom w:val="none" w:sz="0" w:space="0" w:color="auto"/>
        <w:right w:val="none" w:sz="0" w:space="0" w:color="auto"/>
      </w:divBdr>
    </w:div>
    <w:div w:id="488600294">
      <w:marLeft w:val="0"/>
      <w:marRight w:val="0"/>
      <w:marTop w:val="0"/>
      <w:marBottom w:val="0"/>
      <w:divBdr>
        <w:top w:val="none" w:sz="0" w:space="0" w:color="auto"/>
        <w:left w:val="none" w:sz="0" w:space="0" w:color="auto"/>
        <w:bottom w:val="none" w:sz="0" w:space="0" w:color="auto"/>
        <w:right w:val="none" w:sz="0" w:space="0" w:color="auto"/>
      </w:divBdr>
    </w:div>
    <w:div w:id="488600295">
      <w:marLeft w:val="0"/>
      <w:marRight w:val="0"/>
      <w:marTop w:val="0"/>
      <w:marBottom w:val="0"/>
      <w:divBdr>
        <w:top w:val="none" w:sz="0" w:space="0" w:color="auto"/>
        <w:left w:val="none" w:sz="0" w:space="0" w:color="auto"/>
        <w:bottom w:val="none" w:sz="0" w:space="0" w:color="auto"/>
        <w:right w:val="none" w:sz="0" w:space="0" w:color="auto"/>
      </w:divBdr>
    </w:div>
    <w:div w:id="488600296">
      <w:marLeft w:val="0"/>
      <w:marRight w:val="0"/>
      <w:marTop w:val="0"/>
      <w:marBottom w:val="0"/>
      <w:divBdr>
        <w:top w:val="none" w:sz="0" w:space="0" w:color="auto"/>
        <w:left w:val="none" w:sz="0" w:space="0" w:color="auto"/>
        <w:bottom w:val="none" w:sz="0" w:space="0" w:color="auto"/>
        <w:right w:val="none" w:sz="0" w:space="0" w:color="auto"/>
      </w:divBdr>
    </w:div>
    <w:div w:id="488600297">
      <w:marLeft w:val="0"/>
      <w:marRight w:val="0"/>
      <w:marTop w:val="0"/>
      <w:marBottom w:val="0"/>
      <w:divBdr>
        <w:top w:val="none" w:sz="0" w:space="0" w:color="auto"/>
        <w:left w:val="none" w:sz="0" w:space="0" w:color="auto"/>
        <w:bottom w:val="none" w:sz="0" w:space="0" w:color="auto"/>
        <w:right w:val="none" w:sz="0" w:space="0" w:color="auto"/>
      </w:divBdr>
      <w:divsChild>
        <w:div w:id="488600309">
          <w:marLeft w:val="0"/>
          <w:marRight w:val="0"/>
          <w:marTop w:val="0"/>
          <w:marBottom w:val="0"/>
          <w:divBdr>
            <w:top w:val="none" w:sz="0" w:space="0" w:color="auto"/>
            <w:left w:val="none" w:sz="0" w:space="0" w:color="auto"/>
            <w:bottom w:val="none" w:sz="0" w:space="0" w:color="auto"/>
            <w:right w:val="none" w:sz="0" w:space="0" w:color="auto"/>
          </w:divBdr>
        </w:div>
      </w:divsChild>
    </w:div>
    <w:div w:id="488600300">
      <w:marLeft w:val="0"/>
      <w:marRight w:val="0"/>
      <w:marTop w:val="0"/>
      <w:marBottom w:val="0"/>
      <w:divBdr>
        <w:top w:val="none" w:sz="0" w:space="0" w:color="auto"/>
        <w:left w:val="none" w:sz="0" w:space="0" w:color="auto"/>
        <w:bottom w:val="none" w:sz="0" w:space="0" w:color="auto"/>
        <w:right w:val="none" w:sz="0" w:space="0" w:color="auto"/>
      </w:divBdr>
    </w:div>
    <w:div w:id="488600301">
      <w:marLeft w:val="0"/>
      <w:marRight w:val="0"/>
      <w:marTop w:val="0"/>
      <w:marBottom w:val="0"/>
      <w:divBdr>
        <w:top w:val="none" w:sz="0" w:space="0" w:color="auto"/>
        <w:left w:val="none" w:sz="0" w:space="0" w:color="auto"/>
        <w:bottom w:val="none" w:sz="0" w:space="0" w:color="auto"/>
        <w:right w:val="none" w:sz="0" w:space="0" w:color="auto"/>
      </w:divBdr>
      <w:divsChild>
        <w:div w:id="488600306">
          <w:marLeft w:val="0"/>
          <w:marRight w:val="0"/>
          <w:marTop w:val="0"/>
          <w:marBottom w:val="0"/>
          <w:divBdr>
            <w:top w:val="none" w:sz="0" w:space="0" w:color="auto"/>
            <w:left w:val="none" w:sz="0" w:space="0" w:color="auto"/>
            <w:bottom w:val="none" w:sz="0" w:space="0" w:color="auto"/>
            <w:right w:val="none" w:sz="0" w:space="0" w:color="auto"/>
          </w:divBdr>
        </w:div>
      </w:divsChild>
    </w:div>
    <w:div w:id="488600302">
      <w:marLeft w:val="0"/>
      <w:marRight w:val="0"/>
      <w:marTop w:val="0"/>
      <w:marBottom w:val="0"/>
      <w:divBdr>
        <w:top w:val="none" w:sz="0" w:space="0" w:color="auto"/>
        <w:left w:val="none" w:sz="0" w:space="0" w:color="auto"/>
        <w:bottom w:val="none" w:sz="0" w:space="0" w:color="auto"/>
        <w:right w:val="none" w:sz="0" w:space="0" w:color="auto"/>
      </w:divBdr>
      <w:divsChild>
        <w:div w:id="488600298">
          <w:marLeft w:val="0"/>
          <w:marRight w:val="0"/>
          <w:marTop w:val="0"/>
          <w:marBottom w:val="0"/>
          <w:divBdr>
            <w:top w:val="none" w:sz="0" w:space="0" w:color="auto"/>
            <w:left w:val="none" w:sz="0" w:space="0" w:color="auto"/>
            <w:bottom w:val="none" w:sz="0" w:space="0" w:color="auto"/>
            <w:right w:val="none" w:sz="0" w:space="0" w:color="auto"/>
          </w:divBdr>
        </w:div>
      </w:divsChild>
    </w:div>
    <w:div w:id="488600303">
      <w:marLeft w:val="0"/>
      <w:marRight w:val="0"/>
      <w:marTop w:val="0"/>
      <w:marBottom w:val="0"/>
      <w:divBdr>
        <w:top w:val="none" w:sz="0" w:space="0" w:color="auto"/>
        <w:left w:val="none" w:sz="0" w:space="0" w:color="auto"/>
        <w:bottom w:val="none" w:sz="0" w:space="0" w:color="auto"/>
        <w:right w:val="none" w:sz="0" w:space="0" w:color="auto"/>
      </w:divBdr>
    </w:div>
    <w:div w:id="488600308">
      <w:marLeft w:val="0"/>
      <w:marRight w:val="0"/>
      <w:marTop w:val="0"/>
      <w:marBottom w:val="0"/>
      <w:divBdr>
        <w:top w:val="none" w:sz="0" w:space="0" w:color="auto"/>
        <w:left w:val="none" w:sz="0" w:space="0" w:color="auto"/>
        <w:bottom w:val="none" w:sz="0" w:space="0" w:color="auto"/>
        <w:right w:val="none" w:sz="0" w:space="0" w:color="auto"/>
      </w:divBdr>
      <w:divsChild>
        <w:div w:id="488600307">
          <w:marLeft w:val="0"/>
          <w:marRight w:val="0"/>
          <w:marTop w:val="0"/>
          <w:marBottom w:val="0"/>
          <w:divBdr>
            <w:top w:val="none" w:sz="0" w:space="0" w:color="auto"/>
            <w:left w:val="none" w:sz="0" w:space="0" w:color="auto"/>
            <w:bottom w:val="none" w:sz="0" w:space="0" w:color="auto"/>
            <w:right w:val="none" w:sz="0" w:space="0" w:color="auto"/>
          </w:divBdr>
          <w:divsChild>
            <w:div w:id="488600311">
              <w:marLeft w:val="0"/>
              <w:marRight w:val="0"/>
              <w:marTop w:val="0"/>
              <w:marBottom w:val="0"/>
              <w:divBdr>
                <w:top w:val="none" w:sz="0" w:space="0" w:color="auto"/>
                <w:left w:val="none" w:sz="0" w:space="0" w:color="auto"/>
                <w:bottom w:val="none" w:sz="0" w:space="0" w:color="auto"/>
                <w:right w:val="none" w:sz="0" w:space="0" w:color="auto"/>
              </w:divBdr>
              <w:divsChild>
                <w:div w:id="488600299">
                  <w:marLeft w:val="2928"/>
                  <w:marRight w:val="0"/>
                  <w:marTop w:val="720"/>
                  <w:marBottom w:val="0"/>
                  <w:divBdr>
                    <w:top w:val="none" w:sz="0" w:space="0" w:color="auto"/>
                    <w:left w:val="none" w:sz="0" w:space="0" w:color="auto"/>
                    <w:bottom w:val="none" w:sz="0" w:space="0" w:color="auto"/>
                    <w:right w:val="none" w:sz="0" w:space="0" w:color="auto"/>
                  </w:divBdr>
                  <w:divsChild>
                    <w:div w:id="4886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00310">
      <w:marLeft w:val="0"/>
      <w:marRight w:val="0"/>
      <w:marTop w:val="0"/>
      <w:marBottom w:val="0"/>
      <w:divBdr>
        <w:top w:val="none" w:sz="0" w:space="0" w:color="auto"/>
        <w:left w:val="none" w:sz="0" w:space="0" w:color="auto"/>
        <w:bottom w:val="none" w:sz="0" w:space="0" w:color="auto"/>
        <w:right w:val="none" w:sz="0" w:space="0" w:color="auto"/>
      </w:divBdr>
      <w:divsChild>
        <w:div w:id="488600304">
          <w:marLeft w:val="0"/>
          <w:marRight w:val="0"/>
          <w:marTop w:val="0"/>
          <w:marBottom w:val="0"/>
          <w:divBdr>
            <w:top w:val="none" w:sz="0" w:space="0" w:color="auto"/>
            <w:left w:val="none" w:sz="0" w:space="0" w:color="auto"/>
            <w:bottom w:val="none" w:sz="0" w:space="0" w:color="auto"/>
            <w:right w:val="none" w:sz="0" w:space="0" w:color="auto"/>
          </w:divBdr>
        </w:div>
      </w:divsChild>
    </w:div>
    <w:div w:id="502164956">
      <w:bodyDiv w:val="1"/>
      <w:marLeft w:val="0"/>
      <w:marRight w:val="0"/>
      <w:marTop w:val="0"/>
      <w:marBottom w:val="0"/>
      <w:divBdr>
        <w:top w:val="none" w:sz="0" w:space="0" w:color="auto"/>
        <w:left w:val="none" w:sz="0" w:space="0" w:color="auto"/>
        <w:bottom w:val="none" w:sz="0" w:space="0" w:color="auto"/>
        <w:right w:val="none" w:sz="0" w:space="0" w:color="auto"/>
      </w:divBdr>
    </w:div>
    <w:div w:id="506479330">
      <w:bodyDiv w:val="1"/>
      <w:marLeft w:val="0"/>
      <w:marRight w:val="0"/>
      <w:marTop w:val="0"/>
      <w:marBottom w:val="0"/>
      <w:divBdr>
        <w:top w:val="none" w:sz="0" w:space="0" w:color="auto"/>
        <w:left w:val="none" w:sz="0" w:space="0" w:color="auto"/>
        <w:bottom w:val="none" w:sz="0" w:space="0" w:color="auto"/>
        <w:right w:val="none" w:sz="0" w:space="0" w:color="auto"/>
      </w:divBdr>
    </w:div>
    <w:div w:id="579682062">
      <w:bodyDiv w:val="1"/>
      <w:marLeft w:val="0"/>
      <w:marRight w:val="0"/>
      <w:marTop w:val="0"/>
      <w:marBottom w:val="0"/>
      <w:divBdr>
        <w:top w:val="none" w:sz="0" w:space="0" w:color="auto"/>
        <w:left w:val="none" w:sz="0" w:space="0" w:color="auto"/>
        <w:bottom w:val="none" w:sz="0" w:space="0" w:color="auto"/>
        <w:right w:val="none" w:sz="0" w:space="0" w:color="auto"/>
      </w:divBdr>
    </w:div>
    <w:div w:id="598369629">
      <w:bodyDiv w:val="1"/>
      <w:marLeft w:val="0"/>
      <w:marRight w:val="0"/>
      <w:marTop w:val="0"/>
      <w:marBottom w:val="0"/>
      <w:divBdr>
        <w:top w:val="none" w:sz="0" w:space="0" w:color="auto"/>
        <w:left w:val="none" w:sz="0" w:space="0" w:color="auto"/>
        <w:bottom w:val="none" w:sz="0" w:space="0" w:color="auto"/>
        <w:right w:val="none" w:sz="0" w:space="0" w:color="auto"/>
      </w:divBdr>
    </w:div>
    <w:div w:id="603730650">
      <w:bodyDiv w:val="1"/>
      <w:marLeft w:val="0"/>
      <w:marRight w:val="0"/>
      <w:marTop w:val="0"/>
      <w:marBottom w:val="0"/>
      <w:divBdr>
        <w:top w:val="none" w:sz="0" w:space="0" w:color="auto"/>
        <w:left w:val="none" w:sz="0" w:space="0" w:color="auto"/>
        <w:bottom w:val="none" w:sz="0" w:space="0" w:color="auto"/>
        <w:right w:val="none" w:sz="0" w:space="0" w:color="auto"/>
      </w:divBdr>
    </w:div>
    <w:div w:id="610361321">
      <w:bodyDiv w:val="1"/>
      <w:marLeft w:val="0"/>
      <w:marRight w:val="0"/>
      <w:marTop w:val="0"/>
      <w:marBottom w:val="0"/>
      <w:divBdr>
        <w:top w:val="none" w:sz="0" w:space="0" w:color="auto"/>
        <w:left w:val="none" w:sz="0" w:space="0" w:color="auto"/>
        <w:bottom w:val="none" w:sz="0" w:space="0" w:color="auto"/>
        <w:right w:val="none" w:sz="0" w:space="0" w:color="auto"/>
      </w:divBdr>
      <w:divsChild>
        <w:div w:id="88474091">
          <w:marLeft w:val="0"/>
          <w:marRight w:val="0"/>
          <w:marTop w:val="0"/>
          <w:marBottom w:val="0"/>
          <w:divBdr>
            <w:top w:val="none" w:sz="0" w:space="0" w:color="auto"/>
            <w:left w:val="none" w:sz="0" w:space="0" w:color="auto"/>
            <w:bottom w:val="none" w:sz="0" w:space="0" w:color="auto"/>
            <w:right w:val="none" w:sz="0" w:space="0" w:color="auto"/>
          </w:divBdr>
          <w:divsChild>
            <w:div w:id="1762794555">
              <w:marLeft w:val="0"/>
              <w:marRight w:val="0"/>
              <w:marTop w:val="0"/>
              <w:marBottom w:val="0"/>
              <w:divBdr>
                <w:top w:val="none" w:sz="0" w:space="0" w:color="auto"/>
                <w:left w:val="none" w:sz="0" w:space="0" w:color="auto"/>
                <w:bottom w:val="none" w:sz="0" w:space="0" w:color="auto"/>
                <w:right w:val="none" w:sz="0" w:space="0" w:color="auto"/>
              </w:divBdr>
              <w:divsChild>
                <w:div w:id="79065869">
                  <w:marLeft w:val="0"/>
                  <w:marRight w:val="0"/>
                  <w:marTop w:val="0"/>
                  <w:marBottom w:val="0"/>
                  <w:divBdr>
                    <w:top w:val="none" w:sz="0" w:space="0" w:color="auto"/>
                    <w:left w:val="none" w:sz="0" w:space="0" w:color="auto"/>
                    <w:bottom w:val="none" w:sz="0" w:space="0" w:color="auto"/>
                    <w:right w:val="none" w:sz="0" w:space="0" w:color="auto"/>
                  </w:divBdr>
                  <w:divsChild>
                    <w:div w:id="4725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41769">
      <w:bodyDiv w:val="1"/>
      <w:marLeft w:val="0"/>
      <w:marRight w:val="0"/>
      <w:marTop w:val="0"/>
      <w:marBottom w:val="0"/>
      <w:divBdr>
        <w:top w:val="none" w:sz="0" w:space="0" w:color="auto"/>
        <w:left w:val="none" w:sz="0" w:space="0" w:color="auto"/>
        <w:bottom w:val="none" w:sz="0" w:space="0" w:color="auto"/>
        <w:right w:val="none" w:sz="0" w:space="0" w:color="auto"/>
      </w:divBdr>
      <w:divsChild>
        <w:div w:id="1202204903">
          <w:marLeft w:val="0"/>
          <w:marRight w:val="0"/>
          <w:marTop w:val="0"/>
          <w:marBottom w:val="0"/>
          <w:divBdr>
            <w:top w:val="none" w:sz="0" w:space="0" w:color="auto"/>
            <w:left w:val="none" w:sz="0" w:space="0" w:color="auto"/>
            <w:bottom w:val="none" w:sz="0" w:space="0" w:color="auto"/>
            <w:right w:val="none" w:sz="0" w:space="0" w:color="auto"/>
          </w:divBdr>
        </w:div>
      </w:divsChild>
    </w:div>
    <w:div w:id="656423023">
      <w:bodyDiv w:val="1"/>
      <w:marLeft w:val="0"/>
      <w:marRight w:val="0"/>
      <w:marTop w:val="0"/>
      <w:marBottom w:val="0"/>
      <w:divBdr>
        <w:top w:val="none" w:sz="0" w:space="0" w:color="auto"/>
        <w:left w:val="none" w:sz="0" w:space="0" w:color="auto"/>
        <w:bottom w:val="none" w:sz="0" w:space="0" w:color="auto"/>
        <w:right w:val="none" w:sz="0" w:space="0" w:color="auto"/>
      </w:divBdr>
    </w:div>
    <w:div w:id="658119799">
      <w:bodyDiv w:val="1"/>
      <w:marLeft w:val="0"/>
      <w:marRight w:val="0"/>
      <w:marTop w:val="0"/>
      <w:marBottom w:val="0"/>
      <w:divBdr>
        <w:top w:val="none" w:sz="0" w:space="0" w:color="auto"/>
        <w:left w:val="none" w:sz="0" w:space="0" w:color="auto"/>
        <w:bottom w:val="none" w:sz="0" w:space="0" w:color="auto"/>
        <w:right w:val="none" w:sz="0" w:space="0" w:color="auto"/>
      </w:divBdr>
    </w:div>
    <w:div w:id="669795052">
      <w:bodyDiv w:val="1"/>
      <w:marLeft w:val="0"/>
      <w:marRight w:val="0"/>
      <w:marTop w:val="0"/>
      <w:marBottom w:val="0"/>
      <w:divBdr>
        <w:top w:val="none" w:sz="0" w:space="0" w:color="auto"/>
        <w:left w:val="none" w:sz="0" w:space="0" w:color="auto"/>
        <w:bottom w:val="none" w:sz="0" w:space="0" w:color="auto"/>
        <w:right w:val="none" w:sz="0" w:space="0" w:color="auto"/>
      </w:divBdr>
    </w:div>
    <w:div w:id="737901718">
      <w:bodyDiv w:val="1"/>
      <w:marLeft w:val="0"/>
      <w:marRight w:val="0"/>
      <w:marTop w:val="0"/>
      <w:marBottom w:val="0"/>
      <w:divBdr>
        <w:top w:val="none" w:sz="0" w:space="0" w:color="auto"/>
        <w:left w:val="none" w:sz="0" w:space="0" w:color="auto"/>
        <w:bottom w:val="none" w:sz="0" w:space="0" w:color="auto"/>
        <w:right w:val="none" w:sz="0" w:space="0" w:color="auto"/>
      </w:divBdr>
    </w:div>
    <w:div w:id="751201267">
      <w:bodyDiv w:val="1"/>
      <w:marLeft w:val="0"/>
      <w:marRight w:val="0"/>
      <w:marTop w:val="0"/>
      <w:marBottom w:val="0"/>
      <w:divBdr>
        <w:top w:val="none" w:sz="0" w:space="0" w:color="auto"/>
        <w:left w:val="none" w:sz="0" w:space="0" w:color="auto"/>
        <w:bottom w:val="none" w:sz="0" w:space="0" w:color="auto"/>
        <w:right w:val="none" w:sz="0" w:space="0" w:color="auto"/>
      </w:divBdr>
    </w:div>
    <w:div w:id="765199626">
      <w:bodyDiv w:val="1"/>
      <w:marLeft w:val="0"/>
      <w:marRight w:val="0"/>
      <w:marTop w:val="0"/>
      <w:marBottom w:val="0"/>
      <w:divBdr>
        <w:top w:val="none" w:sz="0" w:space="0" w:color="auto"/>
        <w:left w:val="none" w:sz="0" w:space="0" w:color="auto"/>
        <w:bottom w:val="none" w:sz="0" w:space="0" w:color="auto"/>
        <w:right w:val="none" w:sz="0" w:space="0" w:color="auto"/>
      </w:divBdr>
    </w:div>
    <w:div w:id="767038728">
      <w:bodyDiv w:val="1"/>
      <w:marLeft w:val="0"/>
      <w:marRight w:val="0"/>
      <w:marTop w:val="0"/>
      <w:marBottom w:val="0"/>
      <w:divBdr>
        <w:top w:val="none" w:sz="0" w:space="0" w:color="auto"/>
        <w:left w:val="none" w:sz="0" w:space="0" w:color="auto"/>
        <w:bottom w:val="none" w:sz="0" w:space="0" w:color="auto"/>
        <w:right w:val="none" w:sz="0" w:space="0" w:color="auto"/>
      </w:divBdr>
    </w:div>
    <w:div w:id="782729064">
      <w:bodyDiv w:val="1"/>
      <w:marLeft w:val="0"/>
      <w:marRight w:val="0"/>
      <w:marTop w:val="0"/>
      <w:marBottom w:val="0"/>
      <w:divBdr>
        <w:top w:val="none" w:sz="0" w:space="0" w:color="auto"/>
        <w:left w:val="none" w:sz="0" w:space="0" w:color="auto"/>
        <w:bottom w:val="none" w:sz="0" w:space="0" w:color="auto"/>
        <w:right w:val="none" w:sz="0" w:space="0" w:color="auto"/>
      </w:divBdr>
    </w:div>
    <w:div w:id="785544152">
      <w:bodyDiv w:val="1"/>
      <w:marLeft w:val="0"/>
      <w:marRight w:val="0"/>
      <w:marTop w:val="0"/>
      <w:marBottom w:val="0"/>
      <w:divBdr>
        <w:top w:val="none" w:sz="0" w:space="0" w:color="auto"/>
        <w:left w:val="none" w:sz="0" w:space="0" w:color="auto"/>
        <w:bottom w:val="none" w:sz="0" w:space="0" w:color="auto"/>
        <w:right w:val="none" w:sz="0" w:space="0" w:color="auto"/>
      </w:divBdr>
    </w:div>
    <w:div w:id="801578628">
      <w:bodyDiv w:val="1"/>
      <w:marLeft w:val="0"/>
      <w:marRight w:val="0"/>
      <w:marTop w:val="0"/>
      <w:marBottom w:val="0"/>
      <w:divBdr>
        <w:top w:val="none" w:sz="0" w:space="0" w:color="auto"/>
        <w:left w:val="none" w:sz="0" w:space="0" w:color="auto"/>
        <w:bottom w:val="none" w:sz="0" w:space="0" w:color="auto"/>
        <w:right w:val="none" w:sz="0" w:space="0" w:color="auto"/>
      </w:divBdr>
    </w:div>
    <w:div w:id="813571007">
      <w:bodyDiv w:val="1"/>
      <w:marLeft w:val="0"/>
      <w:marRight w:val="0"/>
      <w:marTop w:val="0"/>
      <w:marBottom w:val="0"/>
      <w:divBdr>
        <w:top w:val="none" w:sz="0" w:space="0" w:color="auto"/>
        <w:left w:val="none" w:sz="0" w:space="0" w:color="auto"/>
        <w:bottom w:val="none" w:sz="0" w:space="0" w:color="auto"/>
        <w:right w:val="none" w:sz="0" w:space="0" w:color="auto"/>
      </w:divBdr>
    </w:div>
    <w:div w:id="880089534">
      <w:bodyDiv w:val="1"/>
      <w:marLeft w:val="0"/>
      <w:marRight w:val="0"/>
      <w:marTop w:val="0"/>
      <w:marBottom w:val="0"/>
      <w:divBdr>
        <w:top w:val="none" w:sz="0" w:space="0" w:color="auto"/>
        <w:left w:val="none" w:sz="0" w:space="0" w:color="auto"/>
        <w:bottom w:val="none" w:sz="0" w:space="0" w:color="auto"/>
        <w:right w:val="none" w:sz="0" w:space="0" w:color="auto"/>
      </w:divBdr>
    </w:div>
    <w:div w:id="903181212">
      <w:bodyDiv w:val="1"/>
      <w:marLeft w:val="0"/>
      <w:marRight w:val="0"/>
      <w:marTop w:val="0"/>
      <w:marBottom w:val="0"/>
      <w:divBdr>
        <w:top w:val="none" w:sz="0" w:space="0" w:color="auto"/>
        <w:left w:val="none" w:sz="0" w:space="0" w:color="auto"/>
        <w:bottom w:val="none" w:sz="0" w:space="0" w:color="auto"/>
        <w:right w:val="none" w:sz="0" w:space="0" w:color="auto"/>
      </w:divBdr>
    </w:div>
    <w:div w:id="939679993">
      <w:bodyDiv w:val="1"/>
      <w:marLeft w:val="0"/>
      <w:marRight w:val="0"/>
      <w:marTop w:val="0"/>
      <w:marBottom w:val="0"/>
      <w:divBdr>
        <w:top w:val="none" w:sz="0" w:space="0" w:color="auto"/>
        <w:left w:val="none" w:sz="0" w:space="0" w:color="auto"/>
        <w:bottom w:val="none" w:sz="0" w:space="0" w:color="auto"/>
        <w:right w:val="none" w:sz="0" w:space="0" w:color="auto"/>
      </w:divBdr>
    </w:div>
    <w:div w:id="981081230">
      <w:bodyDiv w:val="1"/>
      <w:marLeft w:val="0"/>
      <w:marRight w:val="0"/>
      <w:marTop w:val="0"/>
      <w:marBottom w:val="0"/>
      <w:divBdr>
        <w:top w:val="none" w:sz="0" w:space="0" w:color="auto"/>
        <w:left w:val="none" w:sz="0" w:space="0" w:color="auto"/>
        <w:bottom w:val="none" w:sz="0" w:space="0" w:color="auto"/>
        <w:right w:val="none" w:sz="0" w:space="0" w:color="auto"/>
      </w:divBdr>
    </w:div>
    <w:div w:id="1033850124">
      <w:bodyDiv w:val="1"/>
      <w:marLeft w:val="0"/>
      <w:marRight w:val="0"/>
      <w:marTop w:val="0"/>
      <w:marBottom w:val="0"/>
      <w:divBdr>
        <w:top w:val="none" w:sz="0" w:space="0" w:color="auto"/>
        <w:left w:val="none" w:sz="0" w:space="0" w:color="auto"/>
        <w:bottom w:val="none" w:sz="0" w:space="0" w:color="auto"/>
        <w:right w:val="none" w:sz="0" w:space="0" w:color="auto"/>
      </w:divBdr>
    </w:div>
    <w:div w:id="1043212986">
      <w:bodyDiv w:val="1"/>
      <w:marLeft w:val="0"/>
      <w:marRight w:val="0"/>
      <w:marTop w:val="0"/>
      <w:marBottom w:val="0"/>
      <w:divBdr>
        <w:top w:val="none" w:sz="0" w:space="0" w:color="auto"/>
        <w:left w:val="none" w:sz="0" w:space="0" w:color="auto"/>
        <w:bottom w:val="none" w:sz="0" w:space="0" w:color="auto"/>
        <w:right w:val="none" w:sz="0" w:space="0" w:color="auto"/>
      </w:divBdr>
    </w:div>
    <w:div w:id="1059093443">
      <w:bodyDiv w:val="1"/>
      <w:marLeft w:val="0"/>
      <w:marRight w:val="0"/>
      <w:marTop w:val="0"/>
      <w:marBottom w:val="0"/>
      <w:divBdr>
        <w:top w:val="none" w:sz="0" w:space="0" w:color="auto"/>
        <w:left w:val="none" w:sz="0" w:space="0" w:color="auto"/>
        <w:bottom w:val="none" w:sz="0" w:space="0" w:color="auto"/>
        <w:right w:val="none" w:sz="0" w:space="0" w:color="auto"/>
      </w:divBdr>
      <w:divsChild>
        <w:div w:id="928126198">
          <w:marLeft w:val="0"/>
          <w:marRight w:val="0"/>
          <w:marTop w:val="0"/>
          <w:marBottom w:val="0"/>
          <w:divBdr>
            <w:top w:val="none" w:sz="0" w:space="0" w:color="auto"/>
            <w:left w:val="none" w:sz="0" w:space="0" w:color="auto"/>
            <w:bottom w:val="none" w:sz="0" w:space="0" w:color="auto"/>
            <w:right w:val="none" w:sz="0" w:space="0" w:color="auto"/>
          </w:divBdr>
          <w:divsChild>
            <w:div w:id="1943103870">
              <w:marLeft w:val="0"/>
              <w:marRight w:val="0"/>
              <w:marTop w:val="0"/>
              <w:marBottom w:val="0"/>
              <w:divBdr>
                <w:top w:val="none" w:sz="0" w:space="0" w:color="auto"/>
                <w:left w:val="none" w:sz="0" w:space="0" w:color="auto"/>
                <w:bottom w:val="none" w:sz="0" w:space="0" w:color="auto"/>
                <w:right w:val="none" w:sz="0" w:space="0" w:color="auto"/>
              </w:divBdr>
              <w:divsChild>
                <w:div w:id="722212094">
                  <w:marLeft w:val="0"/>
                  <w:marRight w:val="0"/>
                  <w:marTop w:val="0"/>
                  <w:marBottom w:val="0"/>
                  <w:divBdr>
                    <w:top w:val="none" w:sz="0" w:space="0" w:color="auto"/>
                    <w:left w:val="none" w:sz="0" w:space="0" w:color="auto"/>
                    <w:bottom w:val="none" w:sz="0" w:space="0" w:color="auto"/>
                    <w:right w:val="none" w:sz="0" w:space="0" w:color="auto"/>
                  </w:divBdr>
                  <w:divsChild>
                    <w:div w:id="56637395">
                      <w:marLeft w:val="0"/>
                      <w:marRight w:val="0"/>
                      <w:marTop w:val="0"/>
                      <w:marBottom w:val="0"/>
                      <w:divBdr>
                        <w:top w:val="none" w:sz="0" w:space="0" w:color="auto"/>
                        <w:left w:val="none" w:sz="0" w:space="0" w:color="auto"/>
                        <w:bottom w:val="none" w:sz="0" w:space="0" w:color="auto"/>
                        <w:right w:val="none" w:sz="0" w:space="0" w:color="auto"/>
                      </w:divBdr>
                      <w:divsChild>
                        <w:div w:id="1083649594">
                          <w:marLeft w:val="0"/>
                          <w:marRight w:val="0"/>
                          <w:marTop w:val="0"/>
                          <w:marBottom w:val="0"/>
                          <w:divBdr>
                            <w:top w:val="none" w:sz="0" w:space="0" w:color="auto"/>
                            <w:left w:val="none" w:sz="0" w:space="0" w:color="auto"/>
                            <w:bottom w:val="none" w:sz="0" w:space="0" w:color="auto"/>
                            <w:right w:val="none" w:sz="0" w:space="0" w:color="auto"/>
                          </w:divBdr>
                          <w:divsChild>
                            <w:div w:id="9024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32183">
      <w:bodyDiv w:val="1"/>
      <w:marLeft w:val="0"/>
      <w:marRight w:val="0"/>
      <w:marTop w:val="0"/>
      <w:marBottom w:val="0"/>
      <w:divBdr>
        <w:top w:val="none" w:sz="0" w:space="0" w:color="auto"/>
        <w:left w:val="none" w:sz="0" w:space="0" w:color="auto"/>
        <w:bottom w:val="none" w:sz="0" w:space="0" w:color="auto"/>
        <w:right w:val="none" w:sz="0" w:space="0" w:color="auto"/>
      </w:divBdr>
      <w:divsChild>
        <w:div w:id="93332359">
          <w:marLeft w:val="0"/>
          <w:marRight w:val="0"/>
          <w:marTop w:val="0"/>
          <w:marBottom w:val="0"/>
          <w:divBdr>
            <w:top w:val="none" w:sz="0" w:space="0" w:color="auto"/>
            <w:left w:val="none" w:sz="0" w:space="0" w:color="auto"/>
            <w:bottom w:val="none" w:sz="0" w:space="0" w:color="auto"/>
            <w:right w:val="none" w:sz="0" w:space="0" w:color="auto"/>
          </w:divBdr>
        </w:div>
      </w:divsChild>
    </w:div>
    <w:div w:id="1078138680">
      <w:bodyDiv w:val="1"/>
      <w:marLeft w:val="0"/>
      <w:marRight w:val="0"/>
      <w:marTop w:val="0"/>
      <w:marBottom w:val="0"/>
      <w:divBdr>
        <w:top w:val="none" w:sz="0" w:space="0" w:color="auto"/>
        <w:left w:val="none" w:sz="0" w:space="0" w:color="auto"/>
        <w:bottom w:val="none" w:sz="0" w:space="0" w:color="auto"/>
        <w:right w:val="none" w:sz="0" w:space="0" w:color="auto"/>
      </w:divBdr>
      <w:divsChild>
        <w:div w:id="1707488905">
          <w:marLeft w:val="0"/>
          <w:marRight w:val="0"/>
          <w:marTop w:val="0"/>
          <w:marBottom w:val="0"/>
          <w:divBdr>
            <w:top w:val="none" w:sz="0" w:space="0" w:color="auto"/>
            <w:left w:val="none" w:sz="0" w:space="0" w:color="auto"/>
            <w:bottom w:val="none" w:sz="0" w:space="0" w:color="auto"/>
            <w:right w:val="none" w:sz="0" w:space="0" w:color="auto"/>
          </w:divBdr>
          <w:divsChild>
            <w:div w:id="620377444">
              <w:marLeft w:val="0"/>
              <w:marRight w:val="0"/>
              <w:marTop w:val="0"/>
              <w:marBottom w:val="0"/>
              <w:divBdr>
                <w:top w:val="none" w:sz="0" w:space="0" w:color="auto"/>
                <w:left w:val="single" w:sz="48" w:space="0" w:color="FFFFFF"/>
                <w:bottom w:val="none" w:sz="0" w:space="0" w:color="auto"/>
                <w:right w:val="single" w:sz="48" w:space="0" w:color="FFFFFF"/>
              </w:divBdr>
              <w:divsChild>
                <w:div w:id="8455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132793">
      <w:bodyDiv w:val="1"/>
      <w:marLeft w:val="0"/>
      <w:marRight w:val="0"/>
      <w:marTop w:val="0"/>
      <w:marBottom w:val="0"/>
      <w:divBdr>
        <w:top w:val="none" w:sz="0" w:space="0" w:color="auto"/>
        <w:left w:val="none" w:sz="0" w:space="0" w:color="auto"/>
        <w:bottom w:val="none" w:sz="0" w:space="0" w:color="auto"/>
        <w:right w:val="none" w:sz="0" w:space="0" w:color="auto"/>
      </w:divBdr>
    </w:div>
    <w:div w:id="1167013967">
      <w:bodyDiv w:val="1"/>
      <w:marLeft w:val="0"/>
      <w:marRight w:val="0"/>
      <w:marTop w:val="0"/>
      <w:marBottom w:val="0"/>
      <w:divBdr>
        <w:top w:val="none" w:sz="0" w:space="0" w:color="auto"/>
        <w:left w:val="none" w:sz="0" w:space="0" w:color="auto"/>
        <w:bottom w:val="none" w:sz="0" w:space="0" w:color="auto"/>
        <w:right w:val="none" w:sz="0" w:space="0" w:color="auto"/>
      </w:divBdr>
    </w:div>
    <w:div w:id="1263147378">
      <w:bodyDiv w:val="1"/>
      <w:marLeft w:val="0"/>
      <w:marRight w:val="0"/>
      <w:marTop w:val="0"/>
      <w:marBottom w:val="0"/>
      <w:divBdr>
        <w:top w:val="none" w:sz="0" w:space="0" w:color="auto"/>
        <w:left w:val="none" w:sz="0" w:space="0" w:color="auto"/>
        <w:bottom w:val="none" w:sz="0" w:space="0" w:color="auto"/>
        <w:right w:val="none" w:sz="0" w:space="0" w:color="auto"/>
      </w:divBdr>
    </w:div>
    <w:div w:id="1268081783">
      <w:bodyDiv w:val="1"/>
      <w:marLeft w:val="0"/>
      <w:marRight w:val="0"/>
      <w:marTop w:val="0"/>
      <w:marBottom w:val="0"/>
      <w:divBdr>
        <w:top w:val="none" w:sz="0" w:space="0" w:color="auto"/>
        <w:left w:val="none" w:sz="0" w:space="0" w:color="auto"/>
        <w:bottom w:val="none" w:sz="0" w:space="0" w:color="auto"/>
        <w:right w:val="none" w:sz="0" w:space="0" w:color="auto"/>
      </w:divBdr>
    </w:div>
    <w:div w:id="1270892978">
      <w:bodyDiv w:val="1"/>
      <w:marLeft w:val="0"/>
      <w:marRight w:val="0"/>
      <w:marTop w:val="0"/>
      <w:marBottom w:val="0"/>
      <w:divBdr>
        <w:top w:val="none" w:sz="0" w:space="0" w:color="auto"/>
        <w:left w:val="none" w:sz="0" w:space="0" w:color="auto"/>
        <w:bottom w:val="none" w:sz="0" w:space="0" w:color="auto"/>
        <w:right w:val="none" w:sz="0" w:space="0" w:color="auto"/>
      </w:divBdr>
    </w:div>
    <w:div w:id="1300064750">
      <w:bodyDiv w:val="1"/>
      <w:marLeft w:val="0"/>
      <w:marRight w:val="0"/>
      <w:marTop w:val="0"/>
      <w:marBottom w:val="0"/>
      <w:divBdr>
        <w:top w:val="none" w:sz="0" w:space="0" w:color="auto"/>
        <w:left w:val="none" w:sz="0" w:space="0" w:color="auto"/>
        <w:bottom w:val="none" w:sz="0" w:space="0" w:color="auto"/>
        <w:right w:val="none" w:sz="0" w:space="0" w:color="auto"/>
      </w:divBdr>
    </w:div>
    <w:div w:id="1340767289">
      <w:bodyDiv w:val="1"/>
      <w:marLeft w:val="0"/>
      <w:marRight w:val="0"/>
      <w:marTop w:val="0"/>
      <w:marBottom w:val="0"/>
      <w:divBdr>
        <w:top w:val="none" w:sz="0" w:space="0" w:color="auto"/>
        <w:left w:val="none" w:sz="0" w:space="0" w:color="auto"/>
        <w:bottom w:val="none" w:sz="0" w:space="0" w:color="auto"/>
        <w:right w:val="none" w:sz="0" w:space="0" w:color="auto"/>
      </w:divBdr>
      <w:divsChild>
        <w:div w:id="1432315516">
          <w:marLeft w:val="0"/>
          <w:marRight w:val="0"/>
          <w:marTop w:val="0"/>
          <w:marBottom w:val="0"/>
          <w:divBdr>
            <w:top w:val="none" w:sz="0" w:space="0" w:color="auto"/>
            <w:left w:val="none" w:sz="0" w:space="0" w:color="auto"/>
            <w:bottom w:val="none" w:sz="0" w:space="0" w:color="auto"/>
            <w:right w:val="none" w:sz="0" w:space="0" w:color="auto"/>
          </w:divBdr>
          <w:divsChild>
            <w:div w:id="376663800">
              <w:marLeft w:val="0"/>
              <w:marRight w:val="0"/>
              <w:marTop w:val="0"/>
              <w:marBottom w:val="0"/>
              <w:divBdr>
                <w:top w:val="none" w:sz="0" w:space="0" w:color="auto"/>
                <w:left w:val="none" w:sz="0" w:space="0" w:color="auto"/>
                <w:bottom w:val="none" w:sz="0" w:space="0" w:color="auto"/>
                <w:right w:val="none" w:sz="0" w:space="0" w:color="auto"/>
              </w:divBdr>
              <w:divsChild>
                <w:div w:id="476647252">
                  <w:marLeft w:val="0"/>
                  <w:marRight w:val="0"/>
                  <w:marTop w:val="0"/>
                  <w:marBottom w:val="0"/>
                  <w:divBdr>
                    <w:top w:val="none" w:sz="0" w:space="0" w:color="auto"/>
                    <w:left w:val="none" w:sz="0" w:space="0" w:color="auto"/>
                    <w:bottom w:val="none" w:sz="0" w:space="0" w:color="auto"/>
                    <w:right w:val="none" w:sz="0" w:space="0" w:color="auto"/>
                  </w:divBdr>
                  <w:divsChild>
                    <w:div w:id="10660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09158">
      <w:bodyDiv w:val="1"/>
      <w:marLeft w:val="0"/>
      <w:marRight w:val="0"/>
      <w:marTop w:val="0"/>
      <w:marBottom w:val="0"/>
      <w:divBdr>
        <w:top w:val="none" w:sz="0" w:space="0" w:color="auto"/>
        <w:left w:val="none" w:sz="0" w:space="0" w:color="auto"/>
        <w:bottom w:val="none" w:sz="0" w:space="0" w:color="auto"/>
        <w:right w:val="none" w:sz="0" w:space="0" w:color="auto"/>
      </w:divBdr>
    </w:div>
    <w:div w:id="1363283704">
      <w:bodyDiv w:val="1"/>
      <w:marLeft w:val="0"/>
      <w:marRight w:val="0"/>
      <w:marTop w:val="0"/>
      <w:marBottom w:val="0"/>
      <w:divBdr>
        <w:top w:val="none" w:sz="0" w:space="0" w:color="auto"/>
        <w:left w:val="none" w:sz="0" w:space="0" w:color="auto"/>
        <w:bottom w:val="none" w:sz="0" w:space="0" w:color="auto"/>
        <w:right w:val="none" w:sz="0" w:space="0" w:color="auto"/>
      </w:divBdr>
      <w:divsChild>
        <w:div w:id="225338470">
          <w:marLeft w:val="0"/>
          <w:marRight w:val="0"/>
          <w:marTop w:val="0"/>
          <w:marBottom w:val="0"/>
          <w:divBdr>
            <w:top w:val="none" w:sz="0" w:space="0" w:color="auto"/>
            <w:left w:val="none" w:sz="0" w:space="0" w:color="auto"/>
            <w:bottom w:val="none" w:sz="0" w:space="0" w:color="auto"/>
            <w:right w:val="none" w:sz="0" w:space="0" w:color="auto"/>
          </w:divBdr>
        </w:div>
        <w:div w:id="539898050">
          <w:marLeft w:val="0"/>
          <w:marRight w:val="0"/>
          <w:marTop w:val="0"/>
          <w:marBottom w:val="0"/>
          <w:divBdr>
            <w:top w:val="none" w:sz="0" w:space="0" w:color="auto"/>
            <w:left w:val="none" w:sz="0" w:space="0" w:color="auto"/>
            <w:bottom w:val="none" w:sz="0" w:space="0" w:color="auto"/>
            <w:right w:val="none" w:sz="0" w:space="0" w:color="auto"/>
          </w:divBdr>
          <w:divsChild>
            <w:div w:id="424569998">
              <w:marLeft w:val="0"/>
              <w:marRight w:val="0"/>
              <w:marTop w:val="0"/>
              <w:marBottom w:val="0"/>
              <w:divBdr>
                <w:top w:val="none" w:sz="0" w:space="0" w:color="auto"/>
                <w:left w:val="none" w:sz="0" w:space="0" w:color="auto"/>
                <w:bottom w:val="none" w:sz="0" w:space="0" w:color="auto"/>
                <w:right w:val="none" w:sz="0" w:space="0" w:color="auto"/>
              </w:divBdr>
              <w:divsChild>
                <w:div w:id="936986643">
                  <w:marLeft w:val="0"/>
                  <w:marRight w:val="0"/>
                  <w:marTop w:val="0"/>
                  <w:marBottom w:val="0"/>
                  <w:divBdr>
                    <w:top w:val="none" w:sz="0" w:space="0" w:color="auto"/>
                    <w:left w:val="none" w:sz="0" w:space="0" w:color="auto"/>
                    <w:bottom w:val="none" w:sz="0" w:space="0" w:color="auto"/>
                    <w:right w:val="none" w:sz="0" w:space="0" w:color="auto"/>
                  </w:divBdr>
                  <w:divsChild>
                    <w:div w:id="10456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5583">
          <w:marLeft w:val="0"/>
          <w:marRight w:val="0"/>
          <w:marTop w:val="0"/>
          <w:marBottom w:val="0"/>
          <w:divBdr>
            <w:top w:val="none" w:sz="0" w:space="0" w:color="auto"/>
            <w:left w:val="none" w:sz="0" w:space="0" w:color="auto"/>
            <w:bottom w:val="none" w:sz="0" w:space="0" w:color="auto"/>
            <w:right w:val="none" w:sz="0" w:space="0" w:color="auto"/>
          </w:divBdr>
          <w:divsChild>
            <w:div w:id="1957180601">
              <w:marLeft w:val="0"/>
              <w:marRight w:val="0"/>
              <w:marTop w:val="0"/>
              <w:marBottom w:val="0"/>
              <w:divBdr>
                <w:top w:val="none" w:sz="0" w:space="0" w:color="auto"/>
                <w:left w:val="none" w:sz="0" w:space="0" w:color="auto"/>
                <w:bottom w:val="none" w:sz="0" w:space="0" w:color="auto"/>
                <w:right w:val="none" w:sz="0" w:space="0" w:color="auto"/>
              </w:divBdr>
              <w:divsChild>
                <w:div w:id="927229709">
                  <w:marLeft w:val="0"/>
                  <w:marRight w:val="0"/>
                  <w:marTop w:val="0"/>
                  <w:marBottom w:val="0"/>
                  <w:divBdr>
                    <w:top w:val="none" w:sz="0" w:space="0" w:color="auto"/>
                    <w:left w:val="none" w:sz="0" w:space="0" w:color="auto"/>
                    <w:bottom w:val="none" w:sz="0" w:space="0" w:color="auto"/>
                    <w:right w:val="none" w:sz="0" w:space="0" w:color="auto"/>
                  </w:divBdr>
                  <w:divsChild>
                    <w:div w:id="2119060603">
                      <w:marLeft w:val="0"/>
                      <w:marRight w:val="0"/>
                      <w:marTop w:val="0"/>
                      <w:marBottom w:val="0"/>
                      <w:divBdr>
                        <w:top w:val="none" w:sz="0" w:space="0" w:color="auto"/>
                        <w:left w:val="none" w:sz="0" w:space="0" w:color="auto"/>
                        <w:bottom w:val="none" w:sz="0" w:space="0" w:color="auto"/>
                        <w:right w:val="none" w:sz="0" w:space="0" w:color="auto"/>
                      </w:divBdr>
                      <w:divsChild>
                        <w:div w:id="920990079">
                          <w:marLeft w:val="0"/>
                          <w:marRight w:val="0"/>
                          <w:marTop w:val="0"/>
                          <w:marBottom w:val="0"/>
                          <w:divBdr>
                            <w:top w:val="none" w:sz="0" w:space="0" w:color="auto"/>
                            <w:left w:val="none" w:sz="0" w:space="0" w:color="auto"/>
                            <w:bottom w:val="none" w:sz="0" w:space="0" w:color="auto"/>
                            <w:right w:val="none" w:sz="0" w:space="0" w:color="auto"/>
                          </w:divBdr>
                          <w:divsChild>
                            <w:div w:id="13022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653531">
          <w:marLeft w:val="0"/>
          <w:marRight w:val="0"/>
          <w:marTop w:val="0"/>
          <w:marBottom w:val="0"/>
          <w:divBdr>
            <w:top w:val="none" w:sz="0" w:space="0" w:color="auto"/>
            <w:left w:val="none" w:sz="0" w:space="0" w:color="auto"/>
            <w:bottom w:val="none" w:sz="0" w:space="0" w:color="auto"/>
            <w:right w:val="none" w:sz="0" w:space="0" w:color="auto"/>
          </w:divBdr>
          <w:divsChild>
            <w:div w:id="669137656">
              <w:marLeft w:val="0"/>
              <w:marRight w:val="0"/>
              <w:marTop w:val="0"/>
              <w:marBottom w:val="0"/>
              <w:divBdr>
                <w:top w:val="none" w:sz="0" w:space="0" w:color="auto"/>
                <w:left w:val="none" w:sz="0" w:space="0" w:color="auto"/>
                <w:bottom w:val="none" w:sz="0" w:space="0" w:color="auto"/>
                <w:right w:val="none" w:sz="0" w:space="0" w:color="auto"/>
              </w:divBdr>
            </w:div>
            <w:div w:id="1447115932">
              <w:marLeft w:val="0"/>
              <w:marRight w:val="0"/>
              <w:marTop w:val="0"/>
              <w:marBottom w:val="0"/>
              <w:divBdr>
                <w:top w:val="none" w:sz="0" w:space="0" w:color="auto"/>
                <w:left w:val="none" w:sz="0" w:space="0" w:color="auto"/>
                <w:bottom w:val="none" w:sz="0" w:space="0" w:color="auto"/>
                <w:right w:val="none" w:sz="0" w:space="0" w:color="auto"/>
              </w:divBdr>
            </w:div>
          </w:divsChild>
        </w:div>
        <w:div w:id="1701470780">
          <w:marLeft w:val="0"/>
          <w:marRight w:val="0"/>
          <w:marTop w:val="0"/>
          <w:marBottom w:val="0"/>
          <w:divBdr>
            <w:top w:val="none" w:sz="0" w:space="0" w:color="auto"/>
            <w:left w:val="none" w:sz="0" w:space="0" w:color="auto"/>
            <w:bottom w:val="none" w:sz="0" w:space="0" w:color="auto"/>
            <w:right w:val="none" w:sz="0" w:space="0" w:color="auto"/>
          </w:divBdr>
          <w:divsChild>
            <w:div w:id="1785343202">
              <w:marLeft w:val="0"/>
              <w:marRight w:val="0"/>
              <w:marTop w:val="0"/>
              <w:marBottom w:val="0"/>
              <w:divBdr>
                <w:top w:val="none" w:sz="0" w:space="0" w:color="auto"/>
                <w:left w:val="none" w:sz="0" w:space="0" w:color="auto"/>
                <w:bottom w:val="none" w:sz="0" w:space="0" w:color="auto"/>
                <w:right w:val="none" w:sz="0" w:space="0" w:color="auto"/>
              </w:divBdr>
              <w:divsChild>
                <w:div w:id="693920070">
                  <w:marLeft w:val="0"/>
                  <w:marRight w:val="0"/>
                  <w:marTop w:val="0"/>
                  <w:marBottom w:val="0"/>
                  <w:divBdr>
                    <w:top w:val="none" w:sz="0" w:space="0" w:color="auto"/>
                    <w:left w:val="none" w:sz="0" w:space="0" w:color="auto"/>
                    <w:bottom w:val="none" w:sz="0" w:space="0" w:color="auto"/>
                    <w:right w:val="none" w:sz="0" w:space="0" w:color="auto"/>
                  </w:divBdr>
                  <w:divsChild>
                    <w:div w:id="719745156">
                      <w:marLeft w:val="0"/>
                      <w:marRight w:val="0"/>
                      <w:marTop w:val="0"/>
                      <w:marBottom w:val="0"/>
                      <w:divBdr>
                        <w:top w:val="none" w:sz="0" w:space="0" w:color="auto"/>
                        <w:left w:val="none" w:sz="0" w:space="0" w:color="auto"/>
                        <w:bottom w:val="none" w:sz="0" w:space="0" w:color="auto"/>
                        <w:right w:val="none" w:sz="0" w:space="0" w:color="auto"/>
                      </w:divBdr>
                      <w:divsChild>
                        <w:div w:id="10360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19313">
          <w:marLeft w:val="0"/>
          <w:marRight w:val="0"/>
          <w:marTop w:val="0"/>
          <w:marBottom w:val="0"/>
          <w:divBdr>
            <w:top w:val="none" w:sz="0" w:space="0" w:color="auto"/>
            <w:left w:val="none" w:sz="0" w:space="0" w:color="auto"/>
            <w:bottom w:val="none" w:sz="0" w:space="0" w:color="auto"/>
            <w:right w:val="none" w:sz="0" w:space="0" w:color="auto"/>
          </w:divBdr>
          <w:divsChild>
            <w:div w:id="375129581">
              <w:marLeft w:val="0"/>
              <w:marRight w:val="0"/>
              <w:marTop w:val="0"/>
              <w:marBottom w:val="0"/>
              <w:divBdr>
                <w:top w:val="none" w:sz="0" w:space="0" w:color="auto"/>
                <w:left w:val="none" w:sz="0" w:space="0" w:color="auto"/>
                <w:bottom w:val="none" w:sz="0" w:space="0" w:color="auto"/>
                <w:right w:val="none" w:sz="0" w:space="0" w:color="auto"/>
              </w:divBdr>
              <w:divsChild>
                <w:div w:id="1604335727">
                  <w:marLeft w:val="0"/>
                  <w:marRight w:val="0"/>
                  <w:marTop w:val="0"/>
                  <w:marBottom w:val="0"/>
                  <w:divBdr>
                    <w:top w:val="none" w:sz="0" w:space="0" w:color="auto"/>
                    <w:left w:val="none" w:sz="0" w:space="0" w:color="auto"/>
                    <w:bottom w:val="none" w:sz="0" w:space="0" w:color="auto"/>
                    <w:right w:val="none" w:sz="0" w:space="0" w:color="auto"/>
                  </w:divBdr>
                  <w:divsChild>
                    <w:div w:id="737555816">
                      <w:marLeft w:val="0"/>
                      <w:marRight w:val="0"/>
                      <w:marTop w:val="0"/>
                      <w:marBottom w:val="0"/>
                      <w:divBdr>
                        <w:top w:val="none" w:sz="0" w:space="0" w:color="auto"/>
                        <w:left w:val="none" w:sz="0" w:space="0" w:color="auto"/>
                        <w:bottom w:val="none" w:sz="0" w:space="0" w:color="auto"/>
                        <w:right w:val="none" w:sz="0" w:space="0" w:color="auto"/>
                      </w:divBdr>
                      <w:divsChild>
                        <w:div w:id="156198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133756">
      <w:bodyDiv w:val="1"/>
      <w:marLeft w:val="0"/>
      <w:marRight w:val="0"/>
      <w:marTop w:val="0"/>
      <w:marBottom w:val="0"/>
      <w:divBdr>
        <w:top w:val="none" w:sz="0" w:space="0" w:color="auto"/>
        <w:left w:val="none" w:sz="0" w:space="0" w:color="auto"/>
        <w:bottom w:val="none" w:sz="0" w:space="0" w:color="auto"/>
        <w:right w:val="none" w:sz="0" w:space="0" w:color="auto"/>
      </w:divBdr>
    </w:div>
    <w:div w:id="1467813393">
      <w:bodyDiv w:val="1"/>
      <w:marLeft w:val="0"/>
      <w:marRight w:val="0"/>
      <w:marTop w:val="0"/>
      <w:marBottom w:val="0"/>
      <w:divBdr>
        <w:top w:val="none" w:sz="0" w:space="0" w:color="auto"/>
        <w:left w:val="none" w:sz="0" w:space="0" w:color="auto"/>
        <w:bottom w:val="none" w:sz="0" w:space="0" w:color="auto"/>
        <w:right w:val="none" w:sz="0" w:space="0" w:color="auto"/>
      </w:divBdr>
    </w:div>
    <w:div w:id="1470711792">
      <w:bodyDiv w:val="1"/>
      <w:marLeft w:val="0"/>
      <w:marRight w:val="0"/>
      <w:marTop w:val="0"/>
      <w:marBottom w:val="0"/>
      <w:divBdr>
        <w:top w:val="none" w:sz="0" w:space="0" w:color="auto"/>
        <w:left w:val="none" w:sz="0" w:space="0" w:color="auto"/>
        <w:bottom w:val="none" w:sz="0" w:space="0" w:color="auto"/>
        <w:right w:val="none" w:sz="0" w:space="0" w:color="auto"/>
      </w:divBdr>
    </w:div>
    <w:div w:id="1496453553">
      <w:bodyDiv w:val="1"/>
      <w:marLeft w:val="0"/>
      <w:marRight w:val="0"/>
      <w:marTop w:val="0"/>
      <w:marBottom w:val="0"/>
      <w:divBdr>
        <w:top w:val="none" w:sz="0" w:space="0" w:color="auto"/>
        <w:left w:val="none" w:sz="0" w:space="0" w:color="auto"/>
        <w:bottom w:val="none" w:sz="0" w:space="0" w:color="auto"/>
        <w:right w:val="none" w:sz="0" w:space="0" w:color="auto"/>
      </w:divBdr>
    </w:div>
    <w:div w:id="1498694726">
      <w:bodyDiv w:val="1"/>
      <w:marLeft w:val="0"/>
      <w:marRight w:val="0"/>
      <w:marTop w:val="0"/>
      <w:marBottom w:val="0"/>
      <w:divBdr>
        <w:top w:val="none" w:sz="0" w:space="0" w:color="auto"/>
        <w:left w:val="none" w:sz="0" w:space="0" w:color="auto"/>
        <w:bottom w:val="none" w:sz="0" w:space="0" w:color="auto"/>
        <w:right w:val="none" w:sz="0" w:space="0" w:color="auto"/>
      </w:divBdr>
    </w:div>
    <w:div w:id="1572547632">
      <w:bodyDiv w:val="1"/>
      <w:marLeft w:val="0"/>
      <w:marRight w:val="0"/>
      <w:marTop w:val="0"/>
      <w:marBottom w:val="0"/>
      <w:divBdr>
        <w:top w:val="none" w:sz="0" w:space="0" w:color="auto"/>
        <w:left w:val="none" w:sz="0" w:space="0" w:color="auto"/>
        <w:bottom w:val="none" w:sz="0" w:space="0" w:color="auto"/>
        <w:right w:val="none" w:sz="0" w:space="0" w:color="auto"/>
      </w:divBdr>
    </w:div>
    <w:div w:id="1588071937">
      <w:bodyDiv w:val="1"/>
      <w:marLeft w:val="0"/>
      <w:marRight w:val="0"/>
      <w:marTop w:val="0"/>
      <w:marBottom w:val="0"/>
      <w:divBdr>
        <w:top w:val="none" w:sz="0" w:space="0" w:color="auto"/>
        <w:left w:val="none" w:sz="0" w:space="0" w:color="auto"/>
        <w:bottom w:val="none" w:sz="0" w:space="0" w:color="auto"/>
        <w:right w:val="none" w:sz="0" w:space="0" w:color="auto"/>
      </w:divBdr>
    </w:div>
    <w:div w:id="1636719652">
      <w:bodyDiv w:val="1"/>
      <w:marLeft w:val="0"/>
      <w:marRight w:val="0"/>
      <w:marTop w:val="0"/>
      <w:marBottom w:val="0"/>
      <w:divBdr>
        <w:top w:val="none" w:sz="0" w:space="0" w:color="auto"/>
        <w:left w:val="none" w:sz="0" w:space="0" w:color="auto"/>
        <w:bottom w:val="none" w:sz="0" w:space="0" w:color="auto"/>
        <w:right w:val="none" w:sz="0" w:space="0" w:color="auto"/>
      </w:divBdr>
    </w:div>
    <w:div w:id="1667518520">
      <w:bodyDiv w:val="1"/>
      <w:marLeft w:val="0"/>
      <w:marRight w:val="0"/>
      <w:marTop w:val="0"/>
      <w:marBottom w:val="0"/>
      <w:divBdr>
        <w:top w:val="none" w:sz="0" w:space="0" w:color="auto"/>
        <w:left w:val="none" w:sz="0" w:space="0" w:color="auto"/>
        <w:bottom w:val="none" w:sz="0" w:space="0" w:color="auto"/>
        <w:right w:val="none" w:sz="0" w:space="0" w:color="auto"/>
      </w:divBdr>
    </w:div>
    <w:div w:id="1705905810">
      <w:bodyDiv w:val="1"/>
      <w:marLeft w:val="0"/>
      <w:marRight w:val="0"/>
      <w:marTop w:val="0"/>
      <w:marBottom w:val="0"/>
      <w:divBdr>
        <w:top w:val="none" w:sz="0" w:space="0" w:color="auto"/>
        <w:left w:val="none" w:sz="0" w:space="0" w:color="auto"/>
        <w:bottom w:val="none" w:sz="0" w:space="0" w:color="auto"/>
        <w:right w:val="none" w:sz="0" w:space="0" w:color="auto"/>
      </w:divBdr>
    </w:div>
    <w:div w:id="1715502770">
      <w:bodyDiv w:val="1"/>
      <w:marLeft w:val="0"/>
      <w:marRight w:val="0"/>
      <w:marTop w:val="0"/>
      <w:marBottom w:val="0"/>
      <w:divBdr>
        <w:top w:val="none" w:sz="0" w:space="0" w:color="auto"/>
        <w:left w:val="none" w:sz="0" w:space="0" w:color="auto"/>
        <w:bottom w:val="none" w:sz="0" w:space="0" w:color="auto"/>
        <w:right w:val="none" w:sz="0" w:space="0" w:color="auto"/>
      </w:divBdr>
    </w:div>
    <w:div w:id="1761873408">
      <w:bodyDiv w:val="1"/>
      <w:marLeft w:val="0"/>
      <w:marRight w:val="0"/>
      <w:marTop w:val="0"/>
      <w:marBottom w:val="0"/>
      <w:divBdr>
        <w:top w:val="none" w:sz="0" w:space="0" w:color="auto"/>
        <w:left w:val="none" w:sz="0" w:space="0" w:color="auto"/>
        <w:bottom w:val="none" w:sz="0" w:space="0" w:color="auto"/>
        <w:right w:val="none" w:sz="0" w:space="0" w:color="auto"/>
      </w:divBdr>
    </w:div>
    <w:div w:id="1777827348">
      <w:bodyDiv w:val="1"/>
      <w:marLeft w:val="0"/>
      <w:marRight w:val="0"/>
      <w:marTop w:val="0"/>
      <w:marBottom w:val="0"/>
      <w:divBdr>
        <w:top w:val="none" w:sz="0" w:space="0" w:color="auto"/>
        <w:left w:val="none" w:sz="0" w:space="0" w:color="auto"/>
        <w:bottom w:val="none" w:sz="0" w:space="0" w:color="auto"/>
        <w:right w:val="none" w:sz="0" w:space="0" w:color="auto"/>
      </w:divBdr>
      <w:divsChild>
        <w:div w:id="760176903">
          <w:marLeft w:val="0"/>
          <w:marRight w:val="0"/>
          <w:marTop w:val="0"/>
          <w:marBottom w:val="0"/>
          <w:divBdr>
            <w:top w:val="none" w:sz="0" w:space="0" w:color="auto"/>
            <w:left w:val="none" w:sz="0" w:space="0" w:color="auto"/>
            <w:bottom w:val="none" w:sz="0" w:space="0" w:color="auto"/>
            <w:right w:val="none" w:sz="0" w:space="0" w:color="auto"/>
          </w:divBdr>
          <w:divsChild>
            <w:div w:id="12099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39040">
      <w:bodyDiv w:val="1"/>
      <w:marLeft w:val="0"/>
      <w:marRight w:val="0"/>
      <w:marTop w:val="0"/>
      <w:marBottom w:val="0"/>
      <w:divBdr>
        <w:top w:val="none" w:sz="0" w:space="0" w:color="auto"/>
        <w:left w:val="none" w:sz="0" w:space="0" w:color="auto"/>
        <w:bottom w:val="none" w:sz="0" w:space="0" w:color="auto"/>
        <w:right w:val="none" w:sz="0" w:space="0" w:color="auto"/>
      </w:divBdr>
    </w:div>
    <w:div w:id="1870147315">
      <w:bodyDiv w:val="1"/>
      <w:marLeft w:val="0"/>
      <w:marRight w:val="0"/>
      <w:marTop w:val="0"/>
      <w:marBottom w:val="0"/>
      <w:divBdr>
        <w:top w:val="none" w:sz="0" w:space="0" w:color="auto"/>
        <w:left w:val="none" w:sz="0" w:space="0" w:color="auto"/>
        <w:bottom w:val="none" w:sz="0" w:space="0" w:color="auto"/>
        <w:right w:val="none" w:sz="0" w:space="0" w:color="auto"/>
      </w:divBdr>
    </w:div>
    <w:div w:id="1899239900">
      <w:bodyDiv w:val="1"/>
      <w:marLeft w:val="0"/>
      <w:marRight w:val="0"/>
      <w:marTop w:val="0"/>
      <w:marBottom w:val="0"/>
      <w:divBdr>
        <w:top w:val="none" w:sz="0" w:space="0" w:color="auto"/>
        <w:left w:val="none" w:sz="0" w:space="0" w:color="auto"/>
        <w:bottom w:val="none" w:sz="0" w:space="0" w:color="auto"/>
        <w:right w:val="none" w:sz="0" w:space="0" w:color="auto"/>
      </w:divBdr>
    </w:div>
    <w:div w:id="1901088446">
      <w:bodyDiv w:val="1"/>
      <w:marLeft w:val="0"/>
      <w:marRight w:val="0"/>
      <w:marTop w:val="0"/>
      <w:marBottom w:val="0"/>
      <w:divBdr>
        <w:top w:val="none" w:sz="0" w:space="0" w:color="auto"/>
        <w:left w:val="none" w:sz="0" w:space="0" w:color="auto"/>
        <w:bottom w:val="none" w:sz="0" w:space="0" w:color="auto"/>
        <w:right w:val="none" w:sz="0" w:space="0" w:color="auto"/>
      </w:divBdr>
      <w:divsChild>
        <w:div w:id="1452938531">
          <w:marLeft w:val="0"/>
          <w:marRight w:val="0"/>
          <w:marTop w:val="0"/>
          <w:marBottom w:val="0"/>
          <w:divBdr>
            <w:top w:val="none" w:sz="0" w:space="0" w:color="auto"/>
            <w:left w:val="none" w:sz="0" w:space="0" w:color="auto"/>
            <w:bottom w:val="none" w:sz="0" w:space="0" w:color="auto"/>
            <w:right w:val="none" w:sz="0" w:space="0" w:color="auto"/>
          </w:divBdr>
          <w:divsChild>
            <w:div w:id="1320309491">
              <w:marLeft w:val="0"/>
              <w:marRight w:val="0"/>
              <w:marTop w:val="0"/>
              <w:marBottom w:val="0"/>
              <w:divBdr>
                <w:top w:val="none" w:sz="0" w:space="0" w:color="auto"/>
                <w:left w:val="none" w:sz="0" w:space="0" w:color="auto"/>
                <w:bottom w:val="none" w:sz="0" w:space="0" w:color="auto"/>
                <w:right w:val="none" w:sz="0" w:space="0" w:color="auto"/>
              </w:divBdr>
              <w:divsChild>
                <w:div w:id="2108109759">
                  <w:marLeft w:val="0"/>
                  <w:marRight w:val="0"/>
                  <w:marTop w:val="0"/>
                  <w:marBottom w:val="0"/>
                  <w:divBdr>
                    <w:top w:val="none" w:sz="0" w:space="0" w:color="auto"/>
                    <w:left w:val="none" w:sz="0" w:space="0" w:color="auto"/>
                    <w:bottom w:val="none" w:sz="0" w:space="0" w:color="auto"/>
                    <w:right w:val="none" w:sz="0" w:space="0" w:color="auto"/>
                  </w:divBdr>
                  <w:divsChild>
                    <w:div w:id="458380070">
                      <w:marLeft w:val="0"/>
                      <w:marRight w:val="0"/>
                      <w:marTop w:val="0"/>
                      <w:marBottom w:val="0"/>
                      <w:divBdr>
                        <w:top w:val="none" w:sz="0" w:space="0" w:color="auto"/>
                        <w:left w:val="none" w:sz="0" w:space="0" w:color="auto"/>
                        <w:bottom w:val="none" w:sz="0" w:space="0" w:color="auto"/>
                        <w:right w:val="none" w:sz="0" w:space="0" w:color="auto"/>
                      </w:divBdr>
                      <w:divsChild>
                        <w:div w:id="37317333">
                          <w:marLeft w:val="0"/>
                          <w:marRight w:val="0"/>
                          <w:marTop w:val="0"/>
                          <w:marBottom w:val="0"/>
                          <w:divBdr>
                            <w:top w:val="none" w:sz="0" w:space="0" w:color="auto"/>
                            <w:left w:val="none" w:sz="0" w:space="0" w:color="auto"/>
                            <w:bottom w:val="none" w:sz="0" w:space="0" w:color="auto"/>
                            <w:right w:val="none" w:sz="0" w:space="0" w:color="auto"/>
                          </w:divBdr>
                          <w:divsChild>
                            <w:div w:id="14182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844351">
      <w:bodyDiv w:val="1"/>
      <w:marLeft w:val="0"/>
      <w:marRight w:val="0"/>
      <w:marTop w:val="0"/>
      <w:marBottom w:val="0"/>
      <w:divBdr>
        <w:top w:val="none" w:sz="0" w:space="0" w:color="auto"/>
        <w:left w:val="none" w:sz="0" w:space="0" w:color="auto"/>
        <w:bottom w:val="none" w:sz="0" w:space="0" w:color="auto"/>
        <w:right w:val="none" w:sz="0" w:space="0" w:color="auto"/>
      </w:divBdr>
      <w:divsChild>
        <w:div w:id="591402872">
          <w:marLeft w:val="0"/>
          <w:marRight w:val="0"/>
          <w:marTop w:val="0"/>
          <w:marBottom w:val="0"/>
          <w:divBdr>
            <w:top w:val="none" w:sz="0" w:space="0" w:color="auto"/>
            <w:left w:val="none" w:sz="0" w:space="0" w:color="auto"/>
            <w:bottom w:val="none" w:sz="0" w:space="0" w:color="auto"/>
            <w:right w:val="none" w:sz="0" w:space="0" w:color="auto"/>
          </w:divBdr>
          <w:divsChild>
            <w:div w:id="1838618099">
              <w:marLeft w:val="0"/>
              <w:marRight w:val="0"/>
              <w:marTop w:val="0"/>
              <w:marBottom w:val="0"/>
              <w:divBdr>
                <w:top w:val="none" w:sz="0" w:space="0" w:color="auto"/>
                <w:left w:val="none" w:sz="0" w:space="0" w:color="auto"/>
                <w:bottom w:val="none" w:sz="0" w:space="0" w:color="auto"/>
                <w:right w:val="none" w:sz="0" w:space="0" w:color="auto"/>
              </w:divBdr>
              <w:divsChild>
                <w:div w:id="45031536">
                  <w:marLeft w:val="0"/>
                  <w:marRight w:val="0"/>
                  <w:marTop w:val="0"/>
                  <w:marBottom w:val="0"/>
                  <w:divBdr>
                    <w:top w:val="none" w:sz="0" w:space="0" w:color="auto"/>
                    <w:left w:val="none" w:sz="0" w:space="0" w:color="auto"/>
                    <w:bottom w:val="none" w:sz="0" w:space="0" w:color="auto"/>
                    <w:right w:val="none" w:sz="0" w:space="0" w:color="auto"/>
                  </w:divBdr>
                  <w:divsChild>
                    <w:div w:id="413820625">
                      <w:marLeft w:val="0"/>
                      <w:marRight w:val="0"/>
                      <w:marTop w:val="0"/>
                      <w:marBottom w:val="0"/>
                      <w:divBdr>
                        <w:top w:val="none" w:sz="0" w:space="0" w:color="auto"/>
                        <w:left w:val="none" w:sz="0" w:space="0" w:color="auto"/>
                        <w:bottom w:val="none" w:sz="0" w:space="0" w:color="auto"/>
                        <w:right w:val="none" w:sz="0" w:space="0" w:color="auto"/>
                      </w:divBdr>
                      <w:divsChild>
                        <w:div w:id="1429692720">
                          <w:marLeft w:val="0"/>
                          <w:marRight w:val="0"/>
                          <w:marTop w:val="0"/>
                          <w:marBottom w:val="0"/>
                          <w:divBdr>
                            <w:top w:val="none" w:sz="0" w:space="0" w:color="auto"/>
                            <w:left w:val="none" w:sz="0" w:space="0" w:color="auto"/>
                            <w:bottom w:val="none" w:sz="0" w:space="0" w:color="auto"/>
                            <w:right w:val="none" w:sz="0" w:space="0" w:color="auto"/>
                          </w:divBdr>
                          <w:divsChild>
                            <w:div w:id="12116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417546">
      <w:bodyDiv w:val="1"/>
      <w:marLeft w:val="0"/>
      <w:marRight w:val="0"/>
      <w:marTop w:val="0"/>
      <w:marBottom w:val="0"/>
      <w:divBdr>
        <w:top w:val="none" w:sz="0" w:space="0" w:color="auto"/>
        <w:left w:val="none" w:sz="0" w:space="0" w:color="auto"/>
        <w:bottom w:val="none" w:sz="0" w:space="0" w:color="auto"/>
        <w:right w:val="none" w:sz="0" w:space="0" w:color="auto"/>
      </w:divBdr>
    </w:div>
    <w:div w:id="2010867217">
      <w:bodyDiv w:val="1"/>
      <w:marLeft w:val="0"/>
      <w:marRight w:val="0"/>
      <w:marTop w:val="0"/>
      <w:marBottom w:val="0"/>
      <w:divBdr>
        <w:top w:val="none" w:sz="0" w:space="0" w:color="auto"/>
        <w:left w:val="none" w:sz="0" w:space="0" w:color="auto"/>
        <w:bottom w:val="none" w:sz="0" w:space="0" w:color="auto"/>
        <w:right w:val="none" w:sz="0" w:space="0" w:color="auto"/>
      </w:divBdr>
    </w:div>
    <w:div w:id="2030523614">
      <w:bodyDiv w:val="1"/>
      <w:marLeft w:val="0"/>
      <w:marRight w:val="0"/>
      <w:marTop w:val="0"/>
      <w:marBottom w:val="0"/>
      <w:divBdr>
        <w:top w:val="none" w:sz="0" w:space="0" w:color="auto"/>
        <w:left w:val="none" w:sz="0" w:space="0" w:color="auto"/>
        <w:bottom w:val="none" w:sz="0" w:space="0" w:color="auto"/>
        <w:right w:val="none" w:sz="0" w:space="0" w:color="auto"/>
      </w:divBdr>
    </w:div>
    <w:div w:id="2031763293">
      <w:bodyDiv w:val="1"/>
      <w:marLeft w:val="0"/>
      <w:marRight w:val="0"/>
      <w:marTop w:val="0"/>
      <w:marBottom w:val="0"/>
      <w:divBdr>
        <w:top w:val="none" w:sz="0" w:space="0" w:color="auto"/>
        <w:left w:val="none" w:sz="0" w:space="0" w:color="auto"/>
        <w:bottom w:val="none" w:sz="0" w:space="0" w:color="auto"/>
        <w:right w:val="none" w:sz="0" w:space="0" w:color="auto"/>
      </w:divBdr>
    </w:div>
    <w:div w:id="207284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dar.siev@gmail.com" TargetMode="External"/><Relationship Id="rId13" Type="http://schemas.openxmlformats.org/officeDocument/2006/relationships/hyperlink" Target="http://www.mondaq.com/unitedstates/x/265126/Securities/Fundamentals+Of+Initial+Public+Offering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pocandy.com/quiet-perio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s://www.statista.com/topics/1764/global-pharmaceutical-industry/" TargetMode="External"/><Relationship Id="rId10" Type="http://schemas.openxmlformats.org/officeDocument/2006/relationships/hyperlink" Target="mailto:smadar.siev@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ran@wizodzn.ac.il" TargetMode="External"/><Relationship Id="rId14" Type="http://schemas.openxmlformats.org/officeDocument/2006/relationships/hyperlink" Target="https://site.warrington.ufl.edu/ritter/ipo-dat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valuate.com/" TargetMode="External"/><Relationship Id="rId1" Type="http://schemas.openxmlformats.org/officeDocument/2006/relationships/hyperlink" Target="https://en.wikipedia.org/wiki/Stock_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C0594-4A0B-4FF9-ABD9-F31BE07A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8906</Words>
  <Characters>50769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59556</CharactersWithSpaces>
  <SharedDoc>false</SharedDoc>
  <HLinks>
    <vt:vector size="54" baseType="variant">
      <vt:variant>
        <vt:i4>6881400</vt:i4>
      </vt:variant>
      <vt:variant>
        <vt:i4>27</vt:i4>
      </vt:variant>
      <vt:variant>
        <vt:i4>0</vt:i4>
      </vt:variant>
      <vt:variant>
        <vt:i4>5</vt:i4>
      </vt:variant>
      <vt:variant>
        <vt:lpwstr>https://ipocandy.com/quiet-periods</vt:lpwstr>
      </vt:variant>
      <vt:variant>
        <vt:lpwstr/>
      </vt:variant>
      <vt:variant>
        <vt:i4>1900615</vt:i4>
      </vt:variant>
      <vt:variant>
        <vt:i4>24</vt:i4>
      </vt:variant>
      <vt:variant>
        <vt:i4>0</vt:i4>
      </vt:variant>
      <vt:variant>
        <vt:i4>5</vt:i4>
      </vt:variant>
      <vt:variant>
        <vt:lpwstr>https://www.statista.com/topics/1764/global-pharmaceutical-industry/</vt:lpwstr>
      </vt:variant>
      <vt:variant>
        <vt:lpwstr/>
      </vt:variant>
      <vt:variant>
        <vt:i4>131094</vt:i4>
      </vt:variant>
      <vt:variant>
        <vt:i4>21</vt:i4>
      </vt:variant>
      <vt:variant>
        <vt:i4>0</vt:i4>
      </vt:variant>
      <vt:variant>
        <vt:i4>5</vt:i4>
      </vt:variant>
      <vt:variant>
        <vt:lpwstr>https://site.warrington.ufl.edu/ritter/ipo-data/</vt:lpwstr>
      </vt:variant>
      <vt:variant>
        <vt:lpwstr/>
      </vt:variant>
      <vt:variant>
        <vt:i4>2752572</vt:i4>
      </vt:variant>
      <vt:variant>
        <vt:i4>18</vt:i4>
      </vt:variant>
      <vt:variant>
        <vt:i4>0</vt:i4>
      </vt:variant>
      <vt:variant>
        <vt:i4>5</vt:i4>
      </vt:variant>
      <vt:variant>
        <vt:lpwstr>http://www.mondaq.com/unitedstates/x/265126/Securities/Fundamentals+Of+Initial+Public+Offerings</vt:lpwstr>
      </vt:variant>
      <vt:variant>
        <vt:lpwstr/>
      </vt:variant>
      <vt:variant>
        <vt:i4>4456482</vt:i4>
      </vt:variant>
      <vt:variant>
        <vt:i4>6</vt:i4>
      </vt:variant>
      <vt:variant>
        <vt:i4>0</vt:i4>
      </vt:variant>
      <vt:variant>
        <vt:i4>5</vt:i4>
      </vt:variant>
      <vt:variant>
        <vt:lpwstr>mailto:smadar.siev@gmail.com</vt:lpwstr>
      </vt:variant>
      <vt:variant>
        <vt:lpwstr/>
      </vt:variant>
      <vt:variant>
        <vt:i4>3014746</vt:i4>
      </vt:variant>
      <vt:variant>
        <vt:i4>3</vt:i4>
      </vt:variant>
      <vt:variant>
        <vt:i4>0</vt:i4>
      </vt:variant>
      <vt:variant>
        <vt:i4>5</vt:i4>
      </vt:variant>
      <vt:variant>
        <vt:lpwstr>mailto:tiran@wizodzn.ac.il</vt:lpwstr>
      </vt:variant>
      <vt:variant>
        <vt:lpwstr/>
      </vt:variant>
      <vt:variant>
        <vt:i4>4456482</vt:i4>
      </vt:variant>
      <vt:variant>
        <vt:i4>0</vt:i4>
      </vt:variant>
      <vt:variant>
        <vt:i4>0</vt:i4>
      </vt:variant>
      <vt:variant>
        <vt:i4>5</vt:i4>
      </vt:variant>
      <vt:variant>
        <vt:lpwstr>mailto:smadar.siev@gmail.com</vt:lpwstr>
      </vt:variant>
      <vt:variant>
        <vt:lpwstr/>
      </vt:variant>
      <vt:variant>
        <vt:i4>4194368</vt:i4>
      </vt:variant>
      <vt:variant>
        <vt:i4>3</vt:i4>
      </vt:variant>
      <vt:variant>
        <vt:i4>0</vt:i4>
      </vt:variant>
      <vt:variant>
        <vt:i4>5</vt:i4>
      </vt:variant>
      <vt:variant>
        <vt:lpwstr>http://www.evaluate.com/</vt:lpwstr>
      </vt:variant>
      <vt:variant>
        <vt:lpwstr/>
      </vt:variant>
      <vt:variant>
        <vt:i4>1769593</vt:i4>
      </vt:variant>
      <vt:variant>
        <vt:i4>0</vt:i4>
      </vt:variant>
      <vt:variant>
        <vt:i4>0</vt:i4>
      </vt:variant>
      <vt:variant>
        <vt:i4>5</vt:i4>
      </vt:variant>
      <vt:variant>
        <vt:lpwstr>https://en.wikipedia.org/wiki/Stock_market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2021-08-26T21:21:00Z</dcterms:created>
  <dcterms:modified xsi:type="dcterms:W3CDTF">2021-08-26T21:21:00Z</dcterms:modified>
</cp:coreProperties>
</file>