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FAE" w:rsidRPr="00037FAE" w:rsidRDefault="00037FAE" w:rsidP="00037FAE">
      <w:pPr>
        <w:spacing w:after="330" w:line="240" w:lineRule="auto"/>
        <w:jc w:val="center"/>
        <w:textAlignment w:val="baseline"/>
        <w:rPr>
          <w:rFonts w:ascii="Arial" w:eastAsia="Times New Roman" w:hAnsi="Arial" w:cs="Arial"/>
          <w:b/>
          <w:bCs/>
          <w:color w:val="4B4B4B"/>
          <w:sz w:val="27"/>
          <w:szCs w:val="27"/>
        </w:rPr>
      </w:pPr>
      <w:r w:rsidRPr="00037FAE">
        <w:rPr>
          <w:rFonts w:ascii="Arial" w:eastAsia="Times New Roman" w:hAnsi="Arial" w:cs="Arial"/>
          <w:b/>
          <w:bCs/>
          <w:color w:val="4B4B4B"/>
          <w:sz w:val="27"/>
          <w:szCs w:val="27"/>
        </w:rPr>
        <w:t xml:space="preserve">The Trump Tax Reform—A Year </w:t>
      </w:r>
      <w:proofErr w:type="gramStart"/>
      <w:r w:rsidRPr="00037FAE">
        <w:rPr>
          <w:rFonts w:ascii="Arial" w:eastAsia="Times New Roman" w:hAnsi="Arial" w:cs="Arial"/>
          <w:b/>
          <w:bCs/>
          <w:color w:val="4B4B4B"/>
          <w:sz w:val="27"/>
          <w:szCs w:val="27"/>
        </w:rPr>
        <w:t>In</w:t>
      </w:r>
      <w:proofErr w:type="gramEnd"/>
      <w:r w:rsidRPr="00037FAE">
        <w:rPr>
          <w:rFonts w:ascii="Arial" w:eastAsia="Times New Roman" w:hAnsi="Arial" w:cs="Arial"/>
          <w:b/>
          <w:bCs/>
          <w:color w:val="4B4B4B"/>
          <w:sz w:val="27"/>
          <w:szCs w:val="27"/>
        </w:rPr>
        <w:t xml:space="preserve"> Review</w:t>
      </w:r>
    </w:p>
    <w:p w:rsidR="00037FAE" w:rsidRDefault="00037FAE" w:rsidP="00037FAE">
      <w:pPr>
        <w:spacing w:after="330" w:line="240" w:lineRule="auto"/>
        <w:textAlignment w:val="baseline"/>
        <w:rPr>
          <w:rFonts w:ascii="Arial" w:eastAsia="Times New Roman" w:hAnsi="Arial" w:cs="Arial"/>
          <w:color w:val="4B4B4B"/>
          <w:sz w:val="27"/>
          <w:szCs w:val="27"/>
        </w:rPr>
      </w:pPr>
    </w:p>
    <w:p w:rsidR="00037FAE" w:rsidRPr="00037FAE" w:rsidRDefault="00037FAE" w:rsidP="00037FAE">
      <w:pPr>
        <w:spacing w:after="330" w:line="240" w:lineRule="auto"/>
        <w:textAlignment w:val="baseline"/>
        <w:rPr>
          <w:rFonts w:ascii="Arial" w:eastAsia="Times New Roman" w:hAnsi="Arial" w:cs="Arial"/>
          <w:color w:val="4B4B4B"/>
          <w:sz w:val="27"/>
          <w:szCs w:val="27"/>
        </w:rPr>
      </w:pPr>
      <w:proofErr w:type="gramStart"/>
      <w:r w:rsidRPr="00037FAE">
        <w:rPr>
          <w:rFonts w:ascii="Arial" w:eastAsia="Times New Roman" w:hAnsi="Arial" w:cs="Arial"/>
          <w:color w:val="4B4B4B"/>
          <w:sz w:val="27"/>
          <w:szCs w:val="27"/>
        </w:rPr>
        <w:t>It’s</w:t>
      </w:r>
      <w:proofErr w:type="gramEnd"/>
      <w:r w:rsidRPr="00037FAE">
        <w:rPr>
          <w:rFonts w:ascii="Arial" w:eastAsia="Times New Roman" w:hAnsi="Arial" w:cs="Arial"/>
          <w:color w:val="4B4B4B"/>
          <w:sz w:val="27"/>
          <w:szCs w:val="27"/>
        </w:rPr>
        <w:t xml:space="preserve"> been less than 2 years since Congress made a major overhaul of the U.S. tax system. As we come to the end of the first tax season where most of those changes came into effect, we want to share our unique perspective on how our clients </w:t>
      </w:r>
      <w:proofErr w:type="gramStart"/>
      <w:r w:rsidRPr="00037FAE">
        <w:rPr>
          <w:rFonts w:ascii="Arial" w:eastAsia="Times New Roman" w:hAnsi="Arial" w:cs="Arial"/>
          <w:color w:val="4B4B4B"/>
          <w:sz w:val="27"/>
          <w:szCs w:val="27"/>
        </w:rPr>
        <w:t>were impacted</w:t>
      </w:r>
      <w:proofErr w:type="gramEnd"/>
      <w:r w:rsidRPr="00037FAE">
        <w:rPr>
          <w:rFonts w:ascii="Arial" w:eastAsia="Times New Roman" w:hAnsi="Arial" w:cs="Arial"/>
          <w:color w:val="4B4B4B"/>
          <w:sz w:val="27"/>
          <w:szCs w:val="27"/>
        </w:rPr>
        <w:t>.</w:t>
      </w:r>
    </w:p>
    <w:p w:rsidR="00037FAE" w:rsidRPr="00037FAE" w:rsidRDefault="00037FAE" w:rsidP="00037FAE">
      <w:pPr>
        <w:numPr>
          <w:ilvl w:val="0"/>
          <w:numId w:val="1"/>
        </w:numPr>
        <w:spacing w:after="0" w:line="240" w:lineRule="auto"/>
        <w:ind w:left="0"/>
        <w:textAlignment w:val="baseline"/>
        <w:rPr>
          <w:rFonts w:ascii="Arial" w:eastAsia="Times New Roman" w:hAnsi="Arial" w:cs="Arial"/>
          <w:color w:val="4B4B4B"/>
          <w:sz w:val="27"/>
          <w:szCs w:val="27"/>
        </w:rPr>
      </w:pPr>
      <w:r w:rsidRPr="00037FAE">
        <w:rPr>
          <w:rFonts w:ascii="Arial" w:eastAsia="Times New Roman" w:hAnsi="Arial" w:cs="Arial"/>
          <w:b/>
          <w:bCs/>
          <w:color w:val="4B4B4B"/>
          <w:sz w:val="27"/>
          <w:szCs w:val="27"/>
          <w:bdr w:val="none" w:sz="0" w:space="0" w:color="auto" w:frame="1"/>
        </w:rPr>
        <w:t>GILTI</w:t>
      </w:r>
      <w:r w:rsidRPr="00037FAE">
        <w:rPr>
          <w:rFonts w:ascii="Arial" w:eastAsia="Times New Roman" w:hAnsi="Arial" w:cs="Arial"/>
          <w:color w:val="4B4B4B"/>
          <w:sz w:val="27"/>
          <w:szCs w:val="27"/>
        </w:rPr>
        <w:t xml:space="preserve"> – This was a provision that was meant to discourage U.S. citizens from operating there business using non-U.S. companies. A lot </w:t>
      </w:r>
      <w:proofErr w:type="gramStart"/>
      <w:r w:rsidRPr="00037FAE">
        <w:rPr>
          <w:rFonts w:ascii="Arial" w:eastAsia="Times New Roman" w:hAnsi="Arial" w:cs="Arial"/>
          <w:color w:val="4B4B4B"/>
          <w:sz w:val="27"/>
          <w:szCs w:val="27"/>
        </w:rPr>
        <w:t>was written</w:t>
      </w:r>
      <w:proofErr w:type="gramEnd"/>
      <w:r w:rsidRPr="00037FAE">
        <w:rPr>
          <w:rFonts w:ascii="Arial" w:eastAsia="Times New Roman" w:hAnsi="Arial" w:cs="Arial"/>
          <w:color w:val="4B4B4B"/>
          <w:sz w:val="27"/>
          <w:szCs w:val="27"/>
        </w:rPr>
        <w:t xml:space="preserve"> about GILTI (including our firm) and how to live with these new laws. GILTI affected all of our clients who own and control Israeli corporations. In the end, the Department of Treasury came to their senses and published regulations that spared most of our clients of being subject to GILTI. Nonetheless, there are circumstances that GILTI </w:t>
      </w:r>
      <w:proofErr w:type="gramStart"/>
      <w:r w:rsidRPr="00037FAE">
        <w:rPr>
          <w:rFonts w:ascii="Arial" w:eastAsia="Times New Roman" w:hAnsi="Arial" w:cs="Arial"/>
          <w:color w:val="4B4B4B"/>
          <w:sz w:val="27"/>
          <w:szCs w:val="27"/>
        </w:rPr>
        <w:t>cannot be </w:t>
      </w:r>
      <w:hyperlink r:id="rId5" w:tgtFrame="_blank" w:history="1">
        <w:r w:rsidRPr="00037FAE">
          <w:rPr>
            <w:rFonts w:ascii="Arial" w:eastAsia="Times New Roman" w:hAnsi="Arial" w:cs="Arial"/>
            <w:color w:val="6FB53F"/>
            <w:sz w:val="27"/>
            <w:szCs w:val="27"/>
            <w:u w:val="single"/>
            <w:bdr w:val="none" w:sz="0" w:space="0" w:color="auto" w:frame="1"/>
          </w:rPr>
          <w:t>avoided</w:t>
        </w:r>
        <w:proofErr w:type="gramEnd"/>
      </w:hyperlink>
      <w:r w:rsidRPr="00037FAE">
        <w:rPr>
          <w:rFonts w:ascii="Arial" w:eastAsia="Times New Roman" w:hAnsi="Arial" w:cs="Arial"/>
          <w:color w:val="4B4B4B"/>
          <w:sz w:val="27"/>
          <w:szCs w:val="27"/>
        </w:rPr>
        <w:t>, and you should turn to your associate for guidance.</w:t>
      </w:r>
    </w:p>
    <w:p w:rsidR="00037FAE" w:rsidRPr="00037FAE" w:rsidRDefault="00037FAE" w:rsidP="00037FAE">
      <w:pPr>
        <w:numPr>
          <w:ilvl w:val="0"/>
          <w:numId w:val="1"/>
        </w:numPr>
        <w:spacing w:after="0" w:line="240" w:lineRule="auto"/>
        <w:ind w:left="0"/>
        <w:textAlignment w:val="baseline"/>
        <w:rPr>
          <w:rFonts w:ascii="Arial" w:eastAsia="Times New Roman" w:hAnsi="Arial" w:cs="Arial"/>
          <w:color w:val="4B4B4B"/>
          <w:sz w:val="27"/>
          <w:szCs w:val="27"/>
        </w:rPr>
      </w:pPr>
      <w:r w:rsidRPr="00037FAE">
        <w:rPr>
          <w:rFonts w:ascii="Arial" w:eastAsia="Times New Roman" w:hAnsi="Arial" w:cs="Arial"/>
          <w:b/>
          <w:bCs/>
          <w:color w:val="4B4B4B"/>
          <w:sz w:val="27"/>
          <w:szCs w:val="27"/>
          <w:bdr w:val="none" w:sz="0" w:space="0" w:color="auto" w:frame="1"/>
        </w:rPr>
        <w:t>ITINs</w:t>
      </w:r>
      <w:r w:rsidRPr="00037FAE">
        <w:rPr>
          <w:rFonts w:ascii="Arial" w:eastAsia="Times New Roman" w:hAnsi="Arial" w:cs="Arial"/>
          <w:color w:val="4B4B4B"/>
          <w:sz w:val="27"/>
          <w:szCs w:val="27"/>
        </w:rPr>
        <w:t xml:space="preserve"> – Congress decided that if you child does not have a social security number by the time the tax years ends that child will not be eligible for the Child Tax Credit. In the past </w:t>
      </w:r>
      <w:proofErr w:type="gramStart"/>
      <w:r w:rsidRPr="00037FAE">
        <w:rPr>
          <w:rFonts w:ascii="Arial" w:eastAsia="Times New Roman" w:hAnsi="Arial" w:cs="Arial"/>
          <w:color w:val="4B4B4B"/>
          <w:sz w:val="27"/>
          <w:szCs w:val="27"/>
        </w:rPr>
        <w:t>if</w:t>
      </w:r>
      <w:proofErr w:type="gramEnd"/>
      <w:r w:rsidRPr="00037FAE">
        <w:rPr>
          <w:rFonts w:ascii="Arial" w:eastAsia="Times New Roman" w:hAnsi="Arial" w:cs="Arial"/>
          <w:color w:val="4B4B4B"/>
          <w:sz w:val="27"/>
          <w:szCs w:val="27"/>
        </w:rPr>
        <w:t xml:space="preserve"> your kids lived in the U.S. and had an ITIN; that was good enough to be eligible for the Child Tax Credit.</w:t>
      </w:r>
    </w:p>
    <w:p w:rsidR="00037FAE" w:rsidRPr="00037FAE" w:rsidRDefault="00037FAE" w:rsidP="00037FAE">
      <w:pPr>
        <w:numPr>
          <w:ilvl w:val="0"/>
          <w:numId w:val="1"/>
        </w:numPr>
        <w:spacing w:after="0" w:line="240" w:lineRule="auto"/>
        <w:ind w:left="0"/>
        <w:textAlignment w:val="baseline"/>
        <w:rPr>
          <w:rFonts w:ascii="Arial" w:eastAsia="Times New Roman" w:hAnsi="Arial" w:cs="Arial"/>
          <w:color w:val="4B4B4B"/>
          <w:sz w:val="27"/>
          <w:szCs w:val="27"/>
        </w:rPr>
      </w:pPr>
      <w:r w:rsidRPr="00037FAE">
        <w:rPr>
          <w:rFonts w:ascii="Arial" w:eastAsia="Times New Roman" w:hAnsi="Arial" w:cs="Arial"/>
          <w:b/>
          <w:bCs/>
          <w:color w:val="4B4B4B"/>
          <w:sz w:val="27"/>
          <w:szCs w:val="27"/>
          <w:bdr w:val="none" w:sz="0" w:space="0" w:color="auto" w:frame="1"/>
        </w:rPr>
        <w:t>Child Tax Credit</w:t>
      </w:r>
      <w:r w:rsidRPr="00037FAE">
        <w:rPr>
          <w:rFonts w:ascii="Arial" w:eastAsia="Times New Roman" w:hAnsi="Arial" w:cs="Arial"/>
          <w:color w:val="4B4B4B"/>
          <w:sz w:val="27"/>
          <w:szCs w:val="27"/>
        </w:rPr>
        <w:t> – A lot more people living abroad received refund checks this year, because Congress raised the amount of income one can earn and still be eligible for the credit. They also raised the amount of the refundable refund from $1,000 to $1,400 per child, and the total credit (including the non-refundable portion) to $2,000/child. There is no longer something called a tax exemption to reduce your taxable income.</w:t>
      </w:r>
    </w:p>
    <w:p w:rsidR="00037FAE" w:rsidRPr="00037FAE" w:rsidRDefault="00037FAE" w:rsidP="00037FAE">
      <w:pPr>
        <w:numPr>
          <w:ilvl w:val="0"/>
          <w:numId w:val="1"/>
        </w:numPr>
        <w:spacing w:after="0" w:line="240" w:lineRule="auto"/>
        <w:ind w:left="0"/>
        <w:textAlignment w:val="baseline"/>
        <w:rPr>
          <w:rFonts w:ascii="Arial" w:eastAsia="Times New Roman" w:hAnsi="Arial" w:cs="Arial"/>
          <w:color w:val="4B4B4B"/>
          <w:sz w:val="27"/>
          <w:szCs w:val="27"/>
        </w:rPr>
      </w:pPr>
      <w:r w:rsidRPr="00037FAE">
        <w:rPr>
          <w:rFonts w:ascii="Arial" w:eastAsia="Times New Roman" w:hAnsi="Arial" w:cs="Arial"/>
          <w:b/>
          <w:bCs/>
          <w:color w:val="4B4B4B"/>
          <w:sz w:val="27"/>
          <w:szCs w:val="27"/>
          <w:bdr w:val="none" w:sz="0" w:space="0" w:color="auto" w:frame="1"/>
        </w:rPr>
        <w:t>Itemized Deductions</w:t>
      </w:r>
      <w:r w:rsidRPr="00037FAE">
        <w:rPr>
          <w:rFonts w:ascii="Arial" w:eastAsia="Times New Roman" w:hAnsi="Arial" w:cs="Arial"/>
          <w:color w:val="4B4B4B"/>
          <w:sz w:val="27"/>
          <w:szCs w:val="27"/>
        </w:rPr>
        <w:t xml:space="preserve"> – State income tax and real estate taxes are limited to $10,000 per year. Most miscellaneous deductions like financial consulting and accounting fees </w:t>
      </w:r>
      <w:proofErr w:type="gramStart"/>
      <w:r w:rsidRPr="00037FAE">
        <w:rPr>
          <w:rFonts w:ascii="Arial" w:eastAsia="Times New Roman" w:hAnsi="Arial" w:cs="Arial"/>
          <w:color w:val="4B4B4B"/>
          <w:sz w:val="27"/>
          <w:szCs w:val="27"/>
        </w:rPr>
        <w:t>are no longer allowed</w:t>
      </w:r>
      <w:proofErr w:type="gramEnd"/>
      <w:r w:rsidRPr="00037FAE">
        <w:rPr>
          <w:rFonts w:ascii="Arial" w:eastAsia="Times New Roman" w:hAnsi="Arial" w:cs="Arial"/>
          <w:color w:val="4B4B4B"/>
          <w:sz w:val="27"/>
          <w:szCs w:val="27"/>
        </w:rPr>
        <w:t>. Real estate taxes on homes in Israel (</w:t>
      </w:r>
      <w:proofErr w:type="spellStart"/>
      <w:r w:rsidRPr="00037FAE">
        <w:rPr>
          <w:rFonts w:ascii="Arial" w:eastAsia="Times New Roman" w:hAnsi="Arial" w:cs="Arial"/>
          <w:color w:val="4B4B4B"/>
          <w:sz w:val="27"/>
          <w:szCs w:val="27"/>
        </w:rPr>
        <w:t>arnona</w:t>
      </w:r>
      <w:proofErr w:type="spellEnd"/>
      <w:r w:rsidRPr="00037FAE">
        <w:rPr>
          <w:rFonts w:ascii="Arial" w:eastAsia="Times New Roman" w:hAnsi="Arial" w:cs="Arial"/>
          <w:color w:val="4B4B4B"/>
          <w:sz w:val="27"/>
          <w:szCs w:val="27"/>
        </w:rPr>
        <w:t xml:space="preserve">) are no longer deductible. This especially affected </w:t>
      </w:r>
      <w:bookmarkStart w:id="0" w:name="_GoBack"/>
      <w:bookmarkEnd w:id="0"/>
      <w:r w:rsidRPr="00037FAE">
        <w:rPr>
          <w:rFonts w:ascii="Arial" w:eastAsia="Times New Roman" w:hAnsi="Arial" w:cs="Arial"/>
          <w:color w:val="4B4B4B"/>
          <w:sz w:val="27"/>
          <w:szCs w:val="27"/>
        </w:rPr>
        <w:t>many people with large passive investments, who can no longer include K-1 portfolio deductions subject to the 2% floor.</w:t>
      </w:r>
    </w:p>
    <w:p w:rsidR="00037FAE" w:rsidRPr="00037FAE" w:rsidRDefault="00037FAE" w:rsidP="00037FAE">
      <w:pPr>
        <w:numPr>
          <w:ilvl w:val="0"/>
          <w:numId w:val="1"/>
        </w:numPr>
        <w:spacing w:after="0" w:line="240" w:lineRule="auto"/>
        <w:ind w:left="0"/>
        <w:textAlignment w:val="baseline"/>
        <w:rPr>
          <w:rFonts w:ascii="Arial" w:eastAsia="Times New Roman" w:hAnsi="Arial" w:cs="Arial"/>
          <w:color w:val="4B4B4B"/>
          <w:sz w:val="27"/>
          <w:szCs w:val="27"/>
        </w:rPr>
      </w:pPr>
      <w:r w:rsidRPr="00037FAE">
        <w:rPr>
          <w:rFonts w:ascii="Arial" w:eastAsia="Times New Roman" w:hAnsi="Arial" w:cs="Arial"/>
          <w:b/>
          <w:bCs/>
          <w:color w:val="4B4B4B"/>
          <w:sz w:val="27"/>
          <w:szCs w:val="27"/>
          <w:bdr w:val="none" w:sz="0" w:space="0" w:color="auto" w:frame="1"/>
        </w:rPr>
        <w:t>Section 199A</w:t>
      </w:r>
      <w:r w:rsidRPr="00037FAE">
        <w:rPr>
          <w:rFonts w:ascii="Arial" w:eastAsia="Times New Roman" w:hAnsi="Arial" w:cs="Arial"/>
          <w:color w:val="4B4B4B"/>
          <w:sz w:val="27"/>
          <w:szCs w:val="27"/>
        </w:rPr>
        <w:t> – This is a complicated provision, but it did provide a virtual deduction for many investors in U.S. real estate.</w:t>
      </w:r>
    </w:p>
    <w:p w:rsidR="00037FAE" w:rsidRPr="00037FAE" w:rsidRDefault="00037FAE" w:rsidP="00037FAE">
      <w:pPr>
        <w:numPr>
          <w:ilvl w:val="0"/>
          <w:numId w:val="1"/>
        </w:numPr>
        <w:spacing w:after="0" w:line="240" w:lineRule="auto"/>
        <w:ind w:left="0"/>
        <w:textAlignment w:val="baseline"/>
        <w:rPr>
          <w:rFonts w:ascii="Arial" w:eastAsia="Times New Roman" w:hAnsi="Arial" w:cs="Arial"/>
          <w:color w:val="4B4B4B"/>
          <w:sz w:val="27"/>
          <w:szCs w:val="27"/>
        </w:rPr>
      </w:pPr>
      <w:proofErr w:type="gramStart"/>
      <w:r w:rsidRPr="00037FAE">
        <w:rPr>
          <w:rFonts w:ascii="Arial" w:eastAsia="Times New Roman" w:hAnsi="Arial" w:cs="Arial"/>
          <w:b/>
          <w:bCs/>
          <w:color w:val="4B4B4B"/>
          <w:sz w:val="27"/>
          <w:szCs w:val="27"/>
          <w:bdr w:val="none" w:sz="0" w:space="0" w:color="auto" w:frame="1"/>
        </w:rPr>
        <w:t>Estate and Gift Tax Exemption</w:t>
      </w:r>
      <w:r w:rsidRPr="00037FAE">
        <w:rPr>
          <w:rFonts w:ascii="Arial" w:eastAsia="Times New Roman" w:hAnsi="Arial" w:cs="Arial"/>
          <w:color w:val="4B4B4B"/>
          <w:sz w:val="27"/>
          <w:szCs w:val="27"/>
        </w:rPr>
        <w:t> – This exemption soared to $11.2m, but may be short-lived if the Democrats take over the White House and Congress.</w:t>
      </w:r>
      <w:proofErr w:type="gramEnd"/>
    </w:p>
    <w:p w:rsidR="00037FAE" w:rsidRPr="00037FAE" w:rsidRDefault="00037FAE" w:rsidP="00037FAE">
      <w:pPr>
        <w:numPr>
          <w:ilvl w:val="0"/>
          <w:numId w:val="1"/>
        </w:numPr>
        <w:spacing w:after="0" w:line="240" w:lineRule="auto"/>
        <w:ind w:left="0"/>
        <w:textAlignment w:val="baseline"/>
        <w:rPr>
          <w:rFonts w:ascii="Arial" w:eastAsia="Times New Roman" w:hAnsi="Arial" w:cs="Arial"/>
          <w:color w:val="4B4B4B"/>
          <w:sz w:val="27"/>
          <w:szCs w:val="27"/>
        </w:rPr>
      </w:pPr>
      <w:r w:rsidRPr="00037FAE">
        <w:rPr>
          <w:rFonts w:ascii="Arial" w:eastAsia="Times New Roman" w:hAnsi="Arial" w:cs="Arial"/>
          <w:b/>
          <w:bCs/>
          <w:color w:val="4B4B4B"/>
          <w:sz w:val="27"/>
          <w:szCs w:val="27"/>
          <w:bdr w:val="none" w:sz="0" w:space="0" w:color="auto" w:frame="1"/>
        </w:rPr>
        <w:lastRenderedPageBreak/>
        <w:t>Form 1040</w:t>
      </w:r>
      <w:r w:rsidRPr="00037FAE">
        <w:rPr>
          <w:rFonts w:ascii="Arial" w:eastAsia="Times New Roman" w:hAnsi="Arial" w:cs="Arial"/>
          <w:color w:val="4B4B4B"/>
          <w:sz w:val="27"/>
          <w:szCs w:val="27"/>
        </w:rPr>
        <w:t> – You need to watch a YouTube video to follow the changes to a Form that had not changed in at least 50 years. The IRS is changing it again for 2019, undoing some of their revisions.</w:t>
      </w:r>
    </w:p>
    <w:p w:rsidR="00037FAE" w:rsidRPr="00037FAE" w:rsidRDefault="00037FAE" w:rsidP="00037FAE">
      <w:pPr>
        <w:numPr>
          <w:ilvl w:val="0"/>
          <w:numId w:val="1"/>
        </w:numPr>
        <w:spacing w:after="0" w:line="240" w:lineRule="auto"/>
        <w:ind w:left="0"/>
        <w:textAlignment w:val="baseline"/>
        <w:rPr>
          <w:rFonts w:ascii="Arial" w:eastAsia="Times New Roman" w:hAnsi="Arial" w:cs="Arial"/>
          <w:color w:val="4B4B4B"/>
          <w:sz w:val="27"/>
          <w:szCs w:val="27"/>
        </w:rPr>
      </w:pPr>
      <w:r w:rsidRPr="00037FAE">
        <w:rPr>
          <w:rFonts w:ascii="Arial" w:eastAsia="Times New Roman" w:hAnsi="Arial" w:cs="Arial"/>
          <w:b/>
          <w:bCs/>
          <w:color w:val="4B4B4B"/>
          <w:sz w:val="27"/>
          <w:szCs w:val="27"/>
          <w:bdr w:val="none" w:sz="0" w:space="0" w:color="auto" w:frame="1"/>
        </w:rPr>
        <w:t>Standard Deduction</w:t>
      </w:r>
      <w:r w:rsidRPr="00037FAE">
        <w:rPr>
          <w:rFonts w:ascii="Arial" w:eastAsia="Times New Roman" w:hAnsi="Arial" w:cs="Arial"/>
          <w:color w:val="4B4B4B"/>
          <w:sz w:val="27"/>
          <w:szCs w:val="27"/>
        </w:rPr>
        <w:t xml:space="preserve"> – This doubled to </w:t>
      </w:r>
      <w:proofErr w:type="gramStart"/>
      <w:r w:rsidRPr="00037FAE">
        <w:rPr>
          <w:rFonts w:ascii="Arial" w:eastAsia="Times New Roman" w:hAnsi="Arial" w:cs="Arial"/>
          <w:color w:val="4B4B4B"/>
          <w:sz w:val="27"/>
          <w:szCs w:val="27"/>
        </w:rPr>
        <w:t>hopefully</w:t>
      </w:r>
      <w:proofErr w:type="gramEnd"/>
      <w:r w:rsidRPr="00037FAE">
        <w:rPr>
          <w:rFonts w:ascii="Arial" w:eastAsia="Times New Roman" w:hAnsi="Arial" w:cs="Arial"/>
          <w:color w:val="4B4B4B"/>
          <w:sz w:val="27"/>
          <w:szCs w:val="27"/>
        </w:rPr>
        <w:t xml:space="preserve"> compensate you for your loss of exemptions and itemized deductions.</w:t>
      </w:r>
    </w:p>
    <w:p w:rsidR="00037FAE" w:rsidRPr="00037FAE" w:rsidRDefault="00037FAE" w:rsidP="00037FAE">
      <w:pPr>
        <w:spacing w:after="330" w:line="240" w:lineRule="auto"/>
        <w:textAlignment w:val="baseline"/>
        <w:rPr>
          <w:rFonts w:ascii="Arial" w:eastAsia="Times New Roman" w:hAnsi="Arial" w:cs="Arial"/>
          <w:color w:val="4B4B4B"/>
          <w:sz w:val="27"/>
          <w:szCs w:val="27"/>
        </w:rPr>
      </w:pPr>
      <w:r w:rsidRPr="00037FAE">
        <w:rPr>
          <w:rFonts w:ascii="Arial" w:eastAsia="Times New Roman" w:hAnsi="Arial" w:cs="Arial"/>
          <w:color w:val="4B4B4B"/>
          <w:sz w:val="27"/>
          <w:szCs w:val="27"/>
        </w:rPr>
        <w:t> </w:t>
      </w:r>
    </w:p>
    <w:p w:rsidR="00037FAE" w:rsidRPr="00037FAE" w:rsidRDefault="00037FAE" w:rsidP="00037FAE">
      <w:pPr>
        <w:spacing w:after="0" w:line="240" w:lineRule="auto"/>
        <w:textAlignment w:val="baseline"/>
        <w:rPr>
          <w:rFonts w:ascii="Arial" w:eastAsia="Times New Roman" w:hAnsi="Arial" w:cs="Arial"/>
          <w:color w:val="4B4B4B"/>
          <w:sz w:val="27"/>
          <w:szCs w:val="27"/>
        </w:rPr>
      </w:pPr>
      <w:r>
        <w:rPr>
          <w:rFonts w:ascii="Arial" w:eastAsia="Times New Roman" w:hAnsi="Arial" w:cs="Arial"/>
          <w:color w:val="4B4B4B"/>
          <w:sz w:val="27"/>
          <w:szCs w:val="27"/>
        </w:rPr>
        <w:t>As </w:t>
      </w:r>
      <w:r w:rsidRPr="00037FAE">
        <w:rPr>
          <w:rFonts w:ascii="Arial" w:eastAsia="Times New Roman" w:hAnsi="Arial" w:cs="Arial"/>
          <w:color w:val="4B4B4B"/>
          <w:sz w:val="27"/>
          <w:szCs w:val="27"/>
        </w:rPr>
        <w:t>you can see above some changes were beneficial to some and others were painful. If you have any questions or have not yet filed, please reach out to your associate to understand the above.</w:t>
      </w:r>
    </w:p>
    <w:p w:rsidR="00E76626" w:rsidRDefault="00E76626"/>
    <w:sectPr w:rsidR="00E766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50767"/>
    <w:multiLevelType w:val="multilevel"/>
    <w:tmpl w:val="4232F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AE"/>
    <w:rsid w:val="00037FAE"/>
    <w:rsid w:val="00E766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69D3"/>
  <w15:chartTrackingRefBased/>
  <w15:docId w15:val="{DE9359A1-AD58-4423-BC10-032E28E8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F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7FAE"/>
    <w:rPr>
      <w:b/>
      <w:bCs/>
    </w:rPr>
  </w:style>
  <w:style w:type="character" w:styleId="Hyperlink">
    <w:name w:val="Hyperlink"/>
    <w:basedOn w:val="DefaultParagraphFont"/>
    <w:uiPriority w:val="99"/>
    <w:semiHidden/>
    <w:unhideWhenUsed/>
    <w:rsid w:val="00037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85478">
      <w:bodyDiv w:val="1"/>
      <w:marLeft w:val="0"/>
      <w:marRight w:val="0"/>
      <w:marTop w:val="0"/>
      <w:marBottom w:val="0"/>
      <w:divBdr>
        <w:top w:val="none" w:sz="0" w:space="0" w:color="auto"/>
        <w:left w:val="none" w:sz="0" w:space="0" w:color="auto"/>
        <w:bottom w:val="none" w:sz="0" w:space="0" w:color="auto"/>
        <w:right w:val="none" w:sz="0" w:space="0" w:color="auto"/>
      </w:divBdr>
      <w:divsChild>
        <w:div w:id="1572160035">
          <w:marLeft w:val="0"/>
          <w:marRight w:val="0"/>
          <w:marTop w:val="0"/>
          <w:marBottom w:val="0"/>
          <w:divBdr>
            <w:top w:val="none" w:sz="0" w:space="0" w:color="auto"/>
            <w:left w:val="none" w:sz="0" w:space="0" w:color="auto"/>
            <w:bottom w:val="none" w:sz="0" w:space="0" w:color="auto"/>
            <w:right w:val="none" w:sz="0" w:space="0" w:color="auto"/>
          </w:divBdr>
          <w:divsChild>
            <w:div w:id="135727898">
              <w:marLeft w:val="0"/>
              <w:marRight w:val="0"/>
              <w:marTop w:val="0"/>
              <w:marBottom w:val="0"/>
              <w:divBdr>
                <w:top w:val="none" w:sz="0" w:space="0" w:color="auto"/>
                <w:left w:val="none" w:sz="0" w:space="0" w:color="auto"/>
                <w:bottom w:val="none" w:sz="0" w:space="0" w:color="auto"/>
                <w:right w:val="none" w:sz="0" w:space="0" w:color="auto"/>
              </w:divBdr>
              <w:divsChild>
                <w:div w:id="17939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stein.com/blog/finger-on-the-gilti-pul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Leat</dc:creator>
  <cp:keywords/>
  <dc:description/>
  <cp:lastModifiedBy>Leat</cp:lastModifiedBy>
  <cp:revision>1</cp:revision>
  <dcterms:created xsi:type="dcterms:W3CDTF">2019-11-24T13:07:00Z</dcterms:created>
  <dcterms:modified xsi:type="dcterms:W3CDTF">2019-11-24T13:11:00Z</dcterms:modified>
</cp:coreProperties>
</file>