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F6" w:rsidRDefault="008460F6" w:rsidP="008A37AF">
      <w:pPr>
        <w:spacing w:after="120" w:line="240" w:lineRule="auto"/>
        <w:jc w:val="center"/>
      </w:pPr>
      <w:bookmarkStart w:id="0" w:name="_GoBack"/>
      <w:bookmarkEnd w:id="0"/>
      <w:r>
        <w:t xml:space="preserve">TIMELINE FOR PROCESSING </w:t>
      </w:r>
      <w:r w:rsidR="00C23DFF">
        <w:t>PATENT</w:t>
      </w:r>
      <w:r>
        <w:t xml:space="preserve"> APPLICAT</w:t>
      </w:r>
      <w:r w:rsidR="00613E09">
        <w:t>IONS</w:t>
      </w:r>
      <w:r w:rsidR="002061D0">
        <w:t xml:space="preserve"> (</w:t>
      </w:r>
      <w:r w:rsidR="00FC4BB5">
        <w:t>National Phase</w:t>
      </w:r>
      <w:proofErr w:type="gramStart"/>
      <w:r w:rsidR="002061D0">
        <w:t xml:space="preserve">) </w:t>
      </w:r>
      <w:r w:rsidR="00613E09">
        <w:t xml:space="preserve"> IN</w:t>
      </w:r>
      <w:proofErr w:type="gramEnd"/>
      <w:r w:rsidR="00613E09">
        <w:t xml:space="preserve"> ISRAEL (2016)</w:t>
      </w:r>
    </w:p>
    <w:tbl>
      <w:tblPr>
        <w:tblStyle w:val="TableGrid"/>
        <w:tblW w:w="13750" w:type="dxa"/>
        <w:tblInd w:w="-459" w:type="dxa"/>
        <w:tblLook w:val="04A0" w:firstRow="1" w:lastRow="0" w:firstColumn="1" w:lastColumn="0" w:noHBand="0" w:noVBand="1"/>
      </w:tblPr>
      <w:tblGrid>
        <w:gridCol w:w="3261"/>
        <w:gridCol w:w="3260"/>
        <w:gridCol w:w="7229"/>
      </w:tblGrid>
      <w:tr w:rsidR="008460F6" w:rsidRPr="008460F6" w:rsidTr="00BA21F5">
        <w:tc>
          <w:tcPr>
            <w:tcW w:w="3261" w:type="dxa"/>
          </w:tcPr>
          <w:p w:rsidR="008460F6" w:rsidRPr="008460F6" w:rsidRDefault="008460F6" w:rsidP="00BA21F5">
            <w:pPr>
              <w:pStyle w:val="ListParagraph"/>
              <w:ind w:left="317"/>
              <w:rPr>
                <w:b/>
                <w:bCs/>
              </w:rPr>
            </w:pPr>
            <w:r w:rsidRPr="008460F6">
              <w:rPr>
                <w:b/>
                <w:bCs/>
              </w:rPr>
              <w:t>Applicant Actions</w:t>
            </w:r>
          </w:p>
        </w:tc>
        <w:tc>
          <w:tcPr>
            <w:tcW w:w="3260" w:type="dxa"/>
          </w:tcPr>
          <w:p w:rsidR="008460F6" w:rsidRPr="008460F6" w:rsidRDefault="008460F6" w:rsidP="00BA21F5">
            <w:pPr>
              <w:ind w:left="92"/>
              <w:jc w:val="center"/>
              <w:rPr>
                <w:b/>
                <w:bCs/>
              </w:rPr>
            </w:pPr>
            <w:r w:rsidRPr="008460F6">
              <w:rPr>
                <w:b/>
                <w:bCs/>
              </w:rPr>
              <w:t>Timeline</w:t>
            </w:r>
            <w:r w:rsidR="00C92C8C">
              <w:rPr>
                <w:b/>
                <w:bCs/>
              </w:rPr>
              <w:t xml:space="preserve">* </w:t>
            </w:r>
            <w:r w:rsidR="00C92C8C" w:rsidRPr="00231830">
              <w:rPr>
                <w:b/>
                <w:bCs/>
                <w:u w:val="single"/>
              </w:rPr>
              <w:t>(assuming no acceleration or suspension)</w:t>
            </w:r>
          </w:p>
        </w:tc>
        <w:tc>
          <w:tcPr>
            <w:tcW w:w="7229" w:type="dxa"/>
          </w:tcPr>
          <w:p w:rsidR="008460F6" w:rsidRPr="008460F6" w:rsidRDefault="008460F6" w:rsidP="00BA21F5">
            <w:pPr>
              <w:ind w:left="317"/>
              <w:rPr>
                <w:b/>
                <w:bCs/>
              </w:rPr>
            </w:pPr>
            <w:r w:rsidRPr="008460F6">
              <w:rPr>
                <w:b/>
                <w:bCs/>
              </w:rPr>
              <w:t>IPO/Office Actions/Milestones</w:t>
            </w:r>
          </w:p>
        </w:tc>
      </w:tr>
      <w:tr w:rsidR="008460F6" w:rsidRPr="008460F6" w:rsidTr="00BA21F5">
        <w:tc>
          <w:tcPr>
            <w:tcW w:w="3261" w:type="dxa"/>
          </w:tcPr>
          <w:p w:rsidR="008460F6" w:rsidRPr="008460F6" w:rsidRDefault="008460F6" w:rsidP="00BA21F5">
            <w:pPr>
              <w:pStyle w:val="ListParagraph"/>
              <w:numPr>
                <w:ilvl w:val="0"/>
                <w:numId w:val="1"/>
              </w:numPr>
              <w:ind w:left="317"/>
            </w:pPr>
            <w:r w:rsidRPr="008460F6">
              <w:t>Applicant Files Application</w:t>
            </w:r>
          </w:p>
        </w:tc>
        <w:tc>
          <w:tcPr>
            <w:tcW w:w="3260" w:type="dxa"/>
          </w:tcPr>
          <w:p w:rsidR="008460F6" w:rsidRPr="008460F6" w:rsidRDefault="008460F6" w:rsidP="00BA21F5">
            <w:pPr>
              <w:ind w:left="92"/>
              <w:jc w:val="center"/>
            </w:pPr>
          </w:p>
        </w:tc>
        <w:tc>
          <w:tcPr>
            <w:tcW w:w="7229" w:type="dxa"/>
          </w:tcPr>
          <w:p w:rsidR="008460F6" w:rsidRPr="008460F6" w:rsidRDefault="008460F6" w:rsidP="00BA21F5">
            <w:pPr>
              <w:ind w:left="317"/>
            </w:pPr>
          </w:p>
        </w:tc>
      </w:tr>
      <w:tr w:rsidR="008460F6" w:rsidRPr="008460F6" w:rsidTr="00BA21F5">
        <w:tc>
          <w:tcPr>
            <w:tcW w:w="3261" w:type="dxa"/>
            <w:vMerge w:val="restart"/>
          </w:tcPr>
          <w:p w:rsidR="008460F6" w:rsidRPr="008460F6" w:rsidRDefault="008460F6" w:rsidP="00BA21F5">
            <w:pPr>
              <w:ind w:left="317"/>
            </w:pPr>
          </w:p>
        </w:tc>
        <w:tc>
          <w:tcPr>
            <w:tcW w:w="3260" w:type="dxa"/>
          </w:tcPr>
          <w:p w:rsidR="008460F6" w:rsidRPr="008460F6" w:rsidRDefault="008460F6" w:rsidP="00BA21F5">
            <w:pPr>
              <w:ind w:left="92"/>
            </w:pPr>
            <w:r>
              <w:t>1-2 weeks after filing</w:t>
            </w:r>
          </w:p>
        </w:tc>
        <w:tc>
          <w:tcPr>
            <w:tcW w:w="7229" w:type="dxa"/>
          </w:tcPr>
          <w:p w:rsidR="008460F6" w:rsidRPr="008460F6" w:rsidRDefault="008460F6" w:rsidP="00BA21F5">
            <w:pPr>
              <w:pStyle w:val="ListParagraph"/>
              <w:numPr>
                <w:ilvl w:val="0"/>
                <w:numId w:val="1"/>
              </w:numPr>
              <w:ind w:left="317"/>
            </w:pPr>
            <w:r w:rsidRPr="008460F6">
              <w:t>IPO issues filing receipt</w:t>
            </w:r>
          </w:p>
        </w:tc>
      </w:tr>
      <w:tr w:rsidR="008460F6" w:rsidRPr="008460F6" w:rsidTr="00BA21F5">
        <w:tc>
          <w:tcPr>
            <w:tcW w:w="3261" w:type="dxa"/>
            <w:vMerge/>
          </w:tcPr>
          <w:p w:rsidR="008460F6" w:rsidRPr="008460F6" w:rsidRDefault="008460F6" w:rsidP="00BA21F5">
            <w:pPr>
              <w:ind w:left="317"/>
            </w:pPr>
          </w:p>
        </w:tc>
        <w:tc>
          <w:tcPr>
            <w:tcW w:w="3260" w:type="dxa"/>
            <w:vMerge w:val="restart"/>
            <w:vAlign w:val="center"/>
          </w:tcPr>
          <w:p w:rsidR="008460F6" w:rsidRPr="008460F6" w:rsidRDefault="008460F6" w:rsidP="00BA21F5">
            <w:pPr>
              <w:ind w:left="92"/>
            </w:pPr>
            <w:r>
              <w:t>1-2 weeks after filing</w:t>
            </w:r>
          </w:p>
        </w:tc>
        <w:tc>
          <w:tcPr>
            <w:tcW w:w="7229" w:type="dxa"/>
          </w:tcPr>
          <w:p w:rsidR="008460F6" w:rsidRPr="008460F6" w:rsidRDefault="008460F6" w:rsidP="00BA21F5">
            <w:pPr>
              <w:pStyle w:val="ListParagraph"/>
              <w:numPr>
                <w:ilvl w:val="0"/>
                <w:numId w:val="1"/>
              </w:numPr>
              <w:ind w:left="317"/>
            </w:pPr>
            <w:r w:rsidRPr="008460F6">
              <w:t>IPO reviews for formalities</w:t>
            </w:r>
            <w:r w:rsidR="00C92C8C">
              <w:t xml:space="preserve"> </w:t>
            </w:r>
            <w:r w:rsidR="00C92C8C" w:rsidRPr="00C92C8C">
              <w:rPr>
                <w:i/>
                <w:iCs/>
              </w:rPr>
              <w:t xml:space="preserve">(and for accelerated examination requests such as acceleration </w:t>
            </w:r>
            <w:r w:rsidR="001D1915">
              <w:rPr>
                <w:i/>
                <w:iCs/>
              </w:rPr>
              <w:t>under special circumstances</w:t>
            </w:r>
            <w:r w:rsidR="00C92C8C" w:rsidRPr="00C92C8C">
              <w:rPr>
                <w:i/>
                <w:iCs/>
              </w:rPr>
              <w:t>, PPH, 'green' invention</w:t>
            </w:r>
            <w:r w:rsidR="004047AD">
              <w:rPr>
                <w:i/>
                <w:iCs/>
              </w:rPr>
              <w:t>- not covered in the present timeline</w:t>
            </w:r>
            <w:r w:rsidR="00C92C8C" w:rsidRPr="00C92C8C">
              <w:rPr>
                <w:i/>
                <w:iCs/>
              </w:rPr>
              <w:t>)</w:t>
            </w:r>
            <w:r w:rsidR="00C92C8C">
              <w:t>.</w:t>
            </w:r>
          </w:p>
        </w:tc>
      </w:tr>
      <w:tr w:rsidR="008460F6" w:rsidRPr="008460F6" w:rsidTr="00BA21F5">
        <w:tc>
          <w:tcPr>
            <w:tcW w:w="3261" w:type="dxa"/>
            <w:vMerge/>
          </w:tcPr>
          <w:p w:rsidR="008460F6" w:rsidRPr="008460F6" w:rsidRDefault="008460F6" w:rsidP="00BA21F5">
            <w:pPr>
              <w:ind w:left="317"/>
            </w:pPr>
          </w:p>
        </w:tc>
        <w:tc>
          <w:tcPr>
            <w:tcW w:w="3260" w:type="dxa"/>
            <w:vMerge/>
          </w:tcPr>
          <w:p w:rsidR="008460F6" w:rsidRPr="008460F6" w:rsidRDefault="008460F6" w:rsidP="00BA21F5">
            <w:pPr>
              <w:ind w:left="92"/>
            </w:pPr>
          </w:p>
        </w:tc>
        <w:tc>
          <w:tcPr>
            <w:tcW w:w="7229" w:type="dxa"/>
          </w:tcPr>
          <w:p w:rsidR="008460F6" w:rsidRPr="008460F6" w:rsidRDefault="008460F6" w:rsidP="00BA21F5">
            <w:pPr>
              <w:pStyle w:val="ListParagraph"/>
              <w:numPr>
                <w:ilvl w:val="0"/>
                <w:numId w:val="1"/>
              </w:numPr>
              <w:ind w:left="317"/>
            </w:pPr>
            <w:r w:rsidRPr="008460F6">
              <w:t>If all requirements met, p</w:t>
            </w:r>
            <w:r w:rsidR="004D221B">
              <w:t>ass to Examiner</w:t>
            </w:r>
            <w:r w:rsidRPr="008460F6">
              <w:t xml:space="preserve">, otherwise issue letter of </w:t>
            </w:r>
            <w:r w:rsidR="001D1915">
              <w:t>formality defects</w:t>
            </w:r>
          </w:p>
        </w:tc>
      </w:tr>
      <w:tr w:rsidR="008460F6" w:rsidRPr="008460F6" w:rsidTr="00BA21F5">
        <w:tc>
          <w:tcPr>
            <w:tcW w:w="3261" w:type="dxa"/>
          </w:tcPr>
          <w:p w:rsidR="008460F6" w:rsidRPr="008460F6" w:rsidRDefault="008460F6" w:rsidP="00BA21F5">
            <w:pPr>
              <w:pStyle w:val="ListParagraph"/>
              <w:numPr>
                <w:ilvl w:val="0"/>
                <w:numId w:val="1"/>
              </w:numPr>
              <w:ind w:left="317"/>
            </w:pPr>
            <w:r w:rsidRPr="008460F6">
              <w:t xml:space="preserve">Applicant responds to letter of </w:t>
            </w:r>
            <w:r w:rsidR="001D1915" w:rsidRPr="001D1915">
              <w:t>formality defects</w:t>
            </w:r>
          </w:p>
        </w:tc>
        <w:tc>
          <w:tcPr>
            <w:tcW w:w="3260" w:type="dxa"/>
          </w:tcPr>
          <w:p w:rsidR="008460F6" w:rsidRPr="008460F6" w:rsidRDefault="008460F6" w:rsidP="00BA21F5">
            <w:pPr>
              <w:ind w:left="92"/>
            </w:pPr>
            <w:r>
              <w:t xml:space="preserve">Within 3 months of issuance of letter of </w:t>
            </w:r>
            <w:r w:rsidR="001D1915" w:rsidRPr="001D1915">
              <w:t>formality defects</w:t>
            </w:r>
          </w:p>
        </w:tc>
        <w:tc>
          <w:tcPr>
            <w:tcW w:w="7229" w:type="dxa"/>
          </w:tcPr>
          <w:p w:rsidR="008460F6" w:rsidRPr="008460F6" w:rsidRDefault="008460F6" w:rsidP="00BA21F5">
            <w:pPr>
              <w:ind w:left="317"/>
            </w:pPr>
          </w:p>
        </w:tc>
      </w:tr>
      <w:tr w:rsidR="004D221B" w:rsidRPr="008460F6" w:rsidTr="00BA21F5">
        <w:tc>
          <w:tcPr>
            <w:tcW w:w="3261" w:type="dxa"/>
          </w:tcPr>
          <w:p w:rsidR="004D221B" w:rsidRPr="008460F6" w:rsidRDefault="004D221B" w:rsidP="00BA21F5">
            <w:pPr>
              <w:ind w:left="317"/>
              <w:jc w:val="center"/>
            </w:pPr>
          </w:p>
        </w:tc>
        <w:tc>
          <w:tcPr>
            <w:tcW w:w="3260" w:type="dxa"/>
          </w:tcPr>
          <w:p w:rsidR="004D221B" w:rsidRPr="008460F6" w:rsidRDefault="004D221B" w:rsidP="00BA21F5">
            <w:pPr>
              <w:ind w:left="92"/>
            </w:pPr>
          </w:p>
        </w:tc>
        <w:tc>
          <w:tcPr>
            <w:tcW w:w="7229" w:type="dxa"/>
          </w:tcPr>
          <w:p w:rsidR="004D221B" w:rsidRPr="008460F6" w:rsidRDefault="004D221B" w:rsidP="00BA21F5">
            <w:pPr>
              <w:pStyle w:val="ListParagraph"/>
              <w:numPr>
                <w:ilvl w:val="0"/>
                <w:numId w:val="1"/>
              </w:numPr>
              <w:ind w:left="317"/>
            </w:pPr>
            <w:r w:rsidRPr="008460F6">
              <w:t>IPO Repeat</w:t>
            </w:r>
            <w:r>
              <w:t>s</w:t>
            </w:r>
            <w:r w:rsidRPr="008460F6">
              <w:t xml:space="preserve"> step 4</w:t>
            </w:r>
          </w:p>
        </w:tc>
      </w:tr>
      <w:tr w:rsidR="00AF252A" w:rsidRPr="008460F6" w:rsidTr="00BA21F5">
        <w:tc>
          <w:tcPr>
            <w:tcW w:w="3261" w:type="dxa"/>
          </w:tcPr>
          <w:p w:rsidR="00AF252A" w:rsidRPr="008460F6" w:rsidRDefault="00AF252A" w:rsidP="00BA21F5">
            <w:pPr>
              <w:ind w:left="317"/>
              <w:jc w:val="center"/>
            </w:pPr>
          </w:p>
        </w:tc>
        <w:tc>
          <w:tcPr>
            <w:tcW w:w="3260" w:type="dxa"/>
          </w:tcPr>
          <w:p w:rsidR="00AF252A" w:rsidRPr="00AF252A" w:rsidRDefault="00AF252A" w:rsidP="00BA21F5">
            <w:pPr>
              <w:ind w:left="92"/>
            </w:pPr>
            <w:r>
              <w:t xml:space="preserve">The earlier of </w:t>
            </w:r>
            <w:r w:rsidRPr="00AF252A">
              <w:t>18 Months from international filing</w:t>
            </w:r>
            <w:r>
              <w:t xml:space="preserve"> or 45 days after national phase entry.</w:t>
            </w:r>
          </w:p>
        </w:tc>
        <w:tc>
          <w:tcPr>
            <w:tcW w:w="7229" w:type="dxa"/>
          </w:tcPr>
          <w:p w:rsidR="00AF252A" w:rsidRPr="008460F6" w:rsidRDefault="00AF252A" w:rsidP="00BA21F5">
            <w:pPr>
              <w:pStyle w:val="ListParagraph"/>
              <w:numPr>
                <w:ilvl w:val="0"/>
                <w:numId w:val="1"/>
              </w:numPr>
              <w:ind w:left="317"/>
            </w:pPr>
            <w:r>
              <w:t>Publication of application and file. Third parties may use this information to add relevant prior art to the file</w:t>
            </w:r>
          </w:p>
        </w:tc>
      </w:tr>
      <w:tr w:rsidR="004D221B" w:rsidRPr="008460F6" w:rsidTr="00BA21F5">
        <w:tc>
          <w:tcPr>
            <w:tcW w:w="3261" w:type="dxa"/>
          </w:tcPr>
          <w:p w:rsidR="004D221B" w:rsidRPr="008460F6" w:rsidRDefault="004D221B" w:rsidP="00BA21F5">
            <w:pPr>
              <w:ind w:left="317"/>
              <w:jc w:val="center"/>
            </w:pPr>
          </w:p>
        </w:tc>
        <w:tc>
          <w:tcPr>
            <w:tcW w:w="3260" w:type="dxa"/>
          </w:tcPr>
          <w:p w:rsidR="004D221B" w:rsidRPr="008460F6" w:rsidRDefault="004D221B" w:rsidP="00BA21F5">
            <w:pPr>
              <w:ind w:left="92"/>
            </w:pPr>
            <w:r>
              <w:t>Normally within 6-18 months after filing</w:t>
            </w:r>
            <w:r w:rsidR="002550F9">
              <w:t xml:space="preserve"> according to field</w:t>
            </w:r>
          </w:p>
        </w:tc>
        <w:tc>
          <w:tcPr>
            <w:tcW w:w="7229" w:type="dxa"/>
          </w:tcPr>
          <w:p w:rsidR="004D221B" w:rsidRPr="008460F6" w:rsidRDefault="004D221B" w:rsidP="00BA21F5">
            <w:pPr>
              <w:pStyle w:val="ListParagraph"/>
              <w:numPr>
                <w:ilvl w:val="0"/>
                <w:numId w:val="1"/>
              </w:numPr>
              <w:ind w:left="317"/>
            </w:pPr>
            <w:r w:rsidRPr="008460F6">
              <w:t xml:space="preserve">IPO </w:t>
            </w:r>
            <w:r>
              <w:t>issues Letter prior to Examination (S-18)</w:t>
            </w:r>
            <w:r w:rsidR="004047AD">
              <w:t xml:space="preserve">. This signals the start of the ongoing duty of </w:t>
            </w:r>
            <w:r w:rsidR="006800AA">
              <w:t xml:space="preserve">prior art </w:t>
            </w:r>
            <w:r w:rsidR="004047AD">
              <w:t>disclosure throughout pendency.</w:t>
            </w:r>
            <w:r>
              <w:t xml:space="preserve"> </w:t>
            </w:r>
          </w:p>
        </w:tc>
      </w:tr>
      <w:tr w:rsidR="004D221B" w:rsidRPr="008460F6" w:rsidTr="00BA21F5">
        <w:tc>
          <w:tcPr>
            <w:tcW w:w="3261" w:type="dxa"/>
          </w:tcPr>
          <w:p w:rsidR="004D221B" w:rsidRPr="008460F6" w:rsidRDefault="004D221B" w:rsidP="00BA21F5">
            <w:pPr>
              <w:pStyle w:val="ListParagraph"/>
              <w:numPr>
                <w:ilvl w:val="0"/>
                <w:numId w:val="1"/>
              </w:numPr>
              <w:ind w:left="317"/>
            </w:pPr>
            <w:r w:rsidRPr="008460F6">
              <w:t xml:space="preserve">Applicant responds to </w:t>
            </w:r>
            <w:r>
              <w:t>Letter prior to Examination</w:t>
            </w:r>
          </w:p>
        </w:tc>
        <w:tc>
          <w:tcPr>
            <w:tcW w:w="3260" w:type="dxa"/>
          </w:tcPr>
          <w:p w:rsidR="004D221B" w:rsidRPr="008460F6" w:rsidRDefault="004D221B" w:rsidP="00BA21F5">
            <w:pPr>
              <w:ind w:left="92"/>
            </w:pPr>
            <w:r>
              <w:t>Within 4 months of issuance; may be extended by up to 6 months, payment</w:t>
            </w:r>
            <w:r w:rsidR="001D1915">
              <w:t xml:space="preserve"> for extension</w:t>
            </w:r>
            <w:r>
              <w:t xml:space="preserve"> can be made in arrears</w:t>
            </w:r>
          </w:p>
        </w:tc>
        <w:tc>
          <w:tcPr>
            <w:tcW w:w="7229" w:type="dxa"/>
          </w:tcPr>
          <w:p w:rsidR="004D221B" w:rsidRPr="008460F6" w:rsidRDefault="004D221B" w:rsidP="00BA21F5">
            <w:pPr>
              <w:pStyle w:val="ListParagraph"/>
              <w:ind w:left="317"/>
            </w:pPr>
          </w:p>
        </w:tc>
      </w:tr>
      <w:tr w:rsidR="00BA21F5" w:rsidRPr="008460F6" w:rsidTr="00F62228">
        <w:tc>
          <w:tcPr>
            <w:tcW w:w="13750" w:type="dxa"/>
            <w:gridSpan w:val="3"/>
          </w:tcPr>
          <w:p w:rsidR="00BA21F5" w:rsidRPr="00BA21F5" w:rsidRDefault="00BA21F5" w:rsidP="00D96974">
            <w:pPr>
              <w:spacing w:before="60" w:after="60"/>
              <w:ind w:left="318"/>
              <w:rPr>
                <w:i/>
                <w:iCs/>
              </w:rPr>
            </w:pPr>
            <w:r w:rsidRPr="00BA21F5">
              <w:rPr>
                <w:i/>
                <w:iCs/>
              </w:rPr>
              <w:t xml:space="preserve">If response is not received 5 months after elapse of the original due date for response, IPO issues </w:t>
            </w:r>
            <w:r w:rsidRPr="00D96974">
              <w:rPr>
                <w:i/>
                <w:iCs/>
                <w:u w:val="single"/>
              </w:rPr>
              <w:t>30 day notice prior to refusal</w:t>
            </w:r>
            <w:r w:rsidRPr="00BA21F5">
              <w:rPr>
                <w:i/>
                <w:iCs/>
              </w:rPr>
              <w:t xml:space="preserve"> of the application, during which time the Applicant is entitled to rectify all deficiencies, and pay the requisite extension fees.</w:t>
            </w:r>
          </w:p>
          <w:p w:rsidR="00BA21F5" w:rsidRPr="00BA21F5" w:rsidRDefault="00BA21F5" w:rsidP="00D96974">
            <w:pPr>
              <w:spacing w:before="60" w:after="60"/>
              <w:ind w:left="318"/>
              <w:rPr>
                <w:i/>
                <w:iCs/>
              </w:rPr>
            </w:pPr>
            <w:r w:rsidRPr="00BA21F5">
              <w:rPr>
                <w:b/>
                <w:bCs/>
                <w:i/>
                <w:iCs/>
              </w:rPr>
              <w:t>This applies to all actions</w:t>
            </w:r>
            <w:r w:rsidRPr="00BA21F5">
              <w:rPr>
                <w:i/>
                <w:iCs/>
              </w:rPr>
              <w:t xml:space="preserve"> including </w:t>
            </w:r>
            <w:r w:rsidRPr="00BA21F5">
              <w:rPr>
                <w:b/>
                <w:bCs/>
                <w:i/>
                <w:iCs/>
              </w:rPr>
              <w:t>letter of formality defects</w:t>
            </w:r>
            <w:r w:rsidRPr="00BA21F5" w:rsidDel="001D1915">
              <w:rPr>
                <w:i/>
                <w:iCs/>
              </w:rPr>
              <w:t xml:space="preserve"> </w:t>
            </w:r>
            <w:r w:rsidRPr="00BA21F5">
              <w:rPr>
                <w:i/>
                <w:iCs/>
              </w:rPr>
              <w:t>[#4</w:t>
            </w:r>
            <w:proofErr w:type="gramStart"/>
            <w:r w:rsidRPr="00BA21F5">
              <w:rPr>
                <w:i/>
                <w:iCs/>
              </w:rPr>
              <w:t>,5</w:t>
            </w:r>
            <w:proofErr w:type="gramEnd"/>
            <w:r w:rsidRPr="00BA21F5">
              <w:rPr>
                <w:i/>
                <w:iCs/>
              </w:rPr>
              <w:t xml:space="preserve">], </w:t>
            </w:r>
            <w:r w:rsidRPr="00BA21F5">
              <w:rPr>
                <w:b/>
                <w:bCs/>
                <w:i/>
                <w:iCs/>
              </w:rPr>
              <w:t>Letter prior to Examination</w:t>
            </w:r>
            <w:r w:rsidRPr="00BA21F5">
              <w:rPr>
                <w:i/>
                <w:iCs/>
              </w:rPr>
              <w:t xml:space="preserve"> [#8,9] and </w:t>
            </w:r>
            <w:r w:rsidRPr="00BA21F5">
              <w:rPr>
                <w:b/>
                <w:bCs/>
                <w:i/>
                <w:iCs/>
              </w:rPr>
              <w:t>Office Actions</w:t>
            </w:r>
            <w:r w:rsidRPr="00BA21F5">
              <w:rPr>
                <w:i/>
                <w:iCs/>
              </w:rPr>
              <w:t xml:space="preserve"> [#12].</w:t>
            </w:r>
          </w:p>
          <w:p w:rsidR="00BA21F5" w:rsidRDefault="00BA21F5" w:rsidP="00D96974">
            <w:pPr>
              <w:spacing w:before="60" w:after="60"/>
              <w:ind w:left="318"/>
            </w:pPr>
            <w:r w:rsidRPr="00BA21F5">
              <w:rPr>
                <w:i/>
                <w:iCs/>
              </w:rPr>
              <w:t>Failure to respond properly to a notice prior to refusal will lead to issuance of a notice that the application has been refused.</w:t>
            </w:r>
            <w:r>
              <w:t xml:space="preserve"> </w:t>
            </w:r>
          </w:p>
        </w:tc>
      </w:tr>
      <w:tr w:rsidR="00C92C8C" w:rsidRPr="008460F6" w:rsidTr="00BA21F5">
        <w:tc>
          <w:tcPr>
            <w:tcW w:w="3261" w:type="dxa"/>
          </w:tcPr>
          <w:p w:rsidR="00C92C8C" w:rsidRPr="008460F6" w:rsidRDefault="00C92C8C" w:rsidP="00BA21F5">
            <w:pPr>
              <w:ind w:left="317"/>
              <w:jc w:val="center"/>
            </w:pPr>
          </w:p>
        </w:tc>
        <w:tc>
          <w:tcPr>
            <w:tcW w:w="3260" w:type="dxa"/>
          </w:tcPr>
          <w:p w:rsidR="00C92C8C" w:rsidRPr="008460F6" w:rsidRDefault="00C92C8C" w:rsidP="00BA21F5">
            <w:pPr>
              <w:ind w:left="92"/>
              <w:jc w:val="center"/>
            </w:pPr>
          </w:p>
        </w:tc>
        <w:tc>
          <w:tcPr>
            <w:tcW w:w="7229" w:type="dxa"/>
          </w:tcPr>
          <w:p w:rsidR="00C92C8C" w:rsidRDefault="00C92C8C" w:rsidP="00BA21F5">
            <w:pPr>
              <w:pStyle w:val="ListParagraph"/>
              <w:numPr>
                <w:ilvl w:val="0"/>
                <w:numId w:val="1"/>
              </w:numPr>
              <w:ind w:left="317"/>
            </w:pPr>
            <w:r>
              <w:t>IPO reviews case for</w:t>
            </w:r>
            <w:r w:rsidR="00A4642C">
              <w:t xml:space="preserve"> any</w:t>
            </w:r>
            <w:r>
              <w:t xml:space="preserve"> Section 17(c) ('Modified' examination) request</w:t>
            </w:r>
            <w:r w:rsidR="00A4642C">
              <w:t>, if submitted</w:t>
            </w:r>
            <w:r>
              <w:t xml:space="preserve">, or </w:t>
            </w:r>
            <w:r w:rsidR="00A4642C">
              <w:t xml:space="preserve">any </w:t>
            </w:r>
            <w:r>
              <w:t>request for suspension of examination.</w:t>
            </w:r>
          </w:p>
        </w:tc>
      </w:tr>
      <w:tr w:rsidR="004D221B" w:rsidRPr="008460F6" w:rsidTr="00BA21F5">
        <w:tc>
          <w:tcPr>
            <w:tcW w:w="3261" w:type="dxa"/>
          </w:tcPr>
          <w:p w:rsidR="004D221B" w:rsidRPr="008460F6" w:rsidRDefault="004D221B" w:rsidP="00BA21F5">
            <w:pPr>
              <w:ind w:left="317"/>
              <w:jc w:val="center"/>
            </w:pPr>
          </w:p>
        </w:tc>
        <w:tc>
          <w:tcPr>
            <w:tcW w:w="3260" w:type="dxa"/>
          </w:tcPr>
          <w:p w:rsidR="004D221B" w:rsidRPr="008460F6" w:rsidRDefault="004047AD" w:rsidP="00BA21F5">
            <w:pPr>
              <w:ind w:left="92"/>
            </w:pPr>
            <w:r>
              <w:t>12-18 months after Applicant response under #8</w:t>
            </w:r>
          </w:p>
        </w:tc>
        <w:tc>
          <w:tcPr>
            <w:tcW w:w="7229" w:type="dxa"/>
          </w:tcPr>
          <w:p w:rsidR="004D221B" w:rsidRPr="008460F6" w:rsidRDefault="00C92C8C" w:rsidP="00BA21F5">
            <w:pPr>
              <w:pStyle w:val="ListParagraph"/>
              <w:numPr>
                <w:ilvl w:val="0"/>
                <w:numId w:val="1"/>
              </w:numPr>
              <w:ind w:left="317"/>
            </w:pPr>
            <w:r>
              <w:t>If no special requests made as per #9, case awaits examination b</w:t>
            </w:r>
            <w:r w:rsidR="00D360F4">
              <w:t>y turn.</w:t>
            </w:r>
          </w:p>
        </w:tc>
      </w:tr>
      <w:tr w:rsidR="004047AD" w:rsidRPr="008460F6" w:rsidTr="00BA21F5">
        <w:tc>
          <w:tcPr>
            <w:tcW w:w="3261" w:type="dxa"/>
          </w:tcPr>
          <w:p w:rsidR="004047AD" w:rsidRDefault="004047AD" w:rsidP="00BA21F5">
            <w:pPr>
              <w:ind w:left="317"/>
            </w:pPr>
          </w:p>
        </w:tc>
        <w:tc>
          <w:tcPr>
            <w:tcW w:w="3260" w:type="dxa"/>
          </w:tcPr>
          <w:p w:rsidR="004047AD" w:rsidRDefault="004047AD" w:rsidP="00BA21F5">
            <w:pPr>
              <w:ind w:left="92"/>
              <w:jc w:val="center"/>
            </w:pPr>
          </w:p>
        </w:tc>
        <w:tc>
          <w:tcPr>
            <w:tcW w:w="7229" w:type="dxa"/>
          </w:tcPr>
          <w:p w:rsidR="004047AD" w:rsidRPr="00A4642C" w:rsidRDefault="004047AD" w:rsidP="00BA21F5">
            <w:pPr>
              <w:pStyle w:val="ListParagraph"/>
              <w:numPr>
                <w:ilvl w:val="0"/>
                <w:numId w:val="1"/>
              </w:numPr>
              <w:ind w:left="317"/>
              <w:rPr>
                <w:b/>
                <w:bCs/>
              </w:rPr>
            </w:pPr>
            <w:r w:rsidRPr="00A4642C">
              <w:rPr>
                <w:b/>
                <w:bCs/>
              </w:rPr>
              <w:t xml:space="preserve">Substantive </w:t>
            </w:r>
            <w:r w:rsidR="00A4642C">
              <w:rPr>
                <w:b/>
                <w:bCs/>
              </w:rPr>
              <w:t>Examination</w:t>
            </w:r>
            <w:r w:rsidRPr="00A4642C">
              <w:rPr>
                <w:b/>
                <w:bCs/>
              </w:rPr>
              <w:t xml:space="preserve">: </w:t>
            </w:r>
            <w:r>
              <w:t>Application examined for unity of invention, patent eligibility, novelty, inventive step</w:t>
            </w:r>
            <w:proofErr w:type="gramStart"/>
            <w:r>
              <w:t>,  utility</w:t>
            </w:r>
            <w:proofErr w:type="gramEnd"/>
            <w:r w:rsidRPr="004047AD">
              <w:t>, sufficiency of disclosure, and formal matters</w:t>
            </w:r>
            <w:r w:rsidRPr="00A4642C">
              <w:rPr>
                <w:b/>
                <w:bCs/>
              </w:rPr>
              <w:t>.</w:t>
            </w:r>
            <w:r w:rsidR="00A4642C">
              <w:t xml:space="preserve"> Issuance of examination report (office action) or Notice of Allowability (PK13) [#14].</w:t>
            </w:r>
          </w:p>
        </w:tc>
      </w:tr>
    </w:tbl>
    <w:p w:rsidR="00BA21F5" w:rsidRDefault="00BA21F5">
      <w:r>
        <w:br w:type="page"/>
      </w:r>
    </w:p>
    <w:tbl>
      <w:tblPr>
        <w:tblStyle w:val="TableGrid"/>
        <w:tblW w:w="13750" w:type="dxa"/>
        <w:tblInd w:w="-459" w:type="dxa"/>
        <w:tblLook w:val="04A0" w:firstRow="1" w:lastRow="0" w:firstColumn="1" w:lastColumn="0" w:noHBand="0" w:noVBand="1"/>
      </w:tblPr>
      <w:tblGrid>
        <w:gridCol w:w="3261"/>
        <w:gridCol w:w="3260"/>
        <w:gridCol w:w="7229"/>
      </w:tblGrid>
      <w:tr w:rsidR="00BA21F5" w:rsidRPr="008460F6" w:rsidTr="00BA21F5">
        <w:tc>
          <w:tcPr>
            <w:tcW w:w="3261" w:type="dxa"/>
          </w:tcPr>
          <w:p w:rsidR="00BA21F5" w:rsidRPr="008460F6" w:rsidRDefault="00BA21F5" w:rsidP="00FE786C">
            <w:pPr>
              <w:pStyle w:val="ListParagraph"/>
              <w:ind w:left="317"/>
              <w:rPr>
                <w:b/>
                <w:bCs/>
              </w:rPr>
            </w:pPr>
            <w:r w:rsidRPr="008460F6">
              <w:rPr>
                <w:b/>
                <w:bCs/>
              </w:rPr>
              <w:lastRenderedPageBreak/>
              <w:t>Applicant Actions</w:t>
            </w:r>
          </w:p>
        </w:tc>
        <w:tc>
          <w:tcPr>
            <w:tcW w:w="3260" w:type="dxa"/>
          </w:tcPr>
          <w:p w:rsidR="00BA21F5" w:rsidRPr="008460F6" w:rsidRDefault="00BA21F5" w:rsidP="00FE786C">
            <w:pPr>
              <w:ind w:left="92"/>
              <w:jc w:val="center"/>
              <w:rPr>
                <w:b/>
                <w:bCs/>
              </w:rPr>
            </w:pPr>
            <w:r w:rsidRPr="008460F6">
              <w:rPr>
                <w:b/>
                <w:bCs/>
              </w:rPr>
              <w:t>Timeline</w:t>
            </w:r>
            <w:r>
              <w:rPr>
                <w:b/>
                <w:bCs/>
              </w:rPr>
              <w:t xml:space="preserve">* </w:t>
            </w:r>
            <w:r w:rsidRPr="00231830">
              <w:rPr>
                <w:b/>
                <w:bCs/>
                <w:u w:val="single"/>
              </w:rPr>
              <w:t>(assuming no acceleration or suspension)</w:t>
            </w:r>
          </w:p>
        </w:tc>
        <w:tc>
          <w:tcPr>
            <w:tcW w:w="7229" w:type="dxa"/>
          </w:tcPr>
          <w:p w:rsidR="00BA21F5" w:rsidRPr="008460F6" w:rsidRDefault="00BA21F5" w:rsidP="00FE786C">
            <w:pPr>
              <w:ind w:left="317"/>
              <w:rPr>
                <w:b/>
                <w:bCs/>
              </w:rPr>
            </w:pPr>
            <w:r w:rsidRPr="008460F6">
              <w:rPr>
                <w:b/>
                <w:bCs/>
              </w:rPr>
              <w:t>IPO/Office Actions/Milestones</w:t>
            </w:r>
          </w:p>
        </w:tc>
      </w:tr>
      <w:tr w:rsidR="004D221B" w:rsidRPr="008460F6" w:rsidTr="00BA21F5">
        <w:tc>
          <w:tcPr>
            <w:tcW w:w="3261" w:type="dxa"/>
          </w:tcPr>
          <w:p w:rsidR="004D221B" w:rsidRPr="008460F6" w:rsidRDefault="004047AD" w:rsidP="00BA21F5">
            <w:pPr>
              <w:pStyle w:val="ListParagraph"/>
              <w:numPr>
                <w:ilvl w:val="0"/>
                <w:numId w:val="1"/>
              </w:numPr>
              <w:ind w:left="317"/>
            </w:pPr>
            <w:r>
              <w:t xml:space="preserve">If Office Action issued, </w:t>
            </w:r>
            <w:r w:rsidRPr="008460F6">
              <w:t xml:space="preserve">Applicant responds </w:t>
            </w:r>
          </w:p>
        </w:tc>
        <w:tc>
          <w:tcPr>
            <w:tcW w:w="3260" w:type="dxa"/>
          </w:tcPr>
          <w:p w:rsidR="004D221B" w:rsidRPr="008460F6" w:rsidRDefault="004047AD" w:rsidP="00BA21F5">
            <w:pPr>
              <w:ind w:left="92"/>
            </w:pPr>
            <w:r>
              <w:t xml:space="preserve">Within 4 months of issuance; may be extended by up to 6 months provided total extensions for responding to Office Actions do not exceed 15 months; payment </w:t>
            </w:r>
            <w:r w:rsidR="00A4642C">
              <w:t>for extension</w:t>
            </w:r>
            <w:r w:rsidR="00D360F4">
              <w:t>s</w:t>
            </w:r>
            <w:r w:rsidR="00A4642C">
              <w:t xml:space="preserve"> </w:t>
            </w:r>
            <w:r>
              <w:t>can be made in arrears</w:t>
            </w:r>
          </w:p>
        </w:tc>
        <w:tc>
          <w:tcPr>
            <w:tcW w:w="7229" w:type="dxa"/>
          </w:tcPr>
          <w:p w:rsidR="004D221B" w:rsidRPr="008460F6" w:rsidRDefault="004047AD" w:rsidP="00BA21F5">
            <w:pPr>
              <w:pStyle w:val="ListParagraph"/>
              <w:numPr>
                <w:ilvl w:val="0"/>
                <w:numId w:val="1"/>
              </w:numPr>
              <w:ind w:left="317"/>
            </w:pPr>
            <w:r w:rsidRPr="008460F6">
              <w:t xml:space="preserve">If all requirements met, </w:t>
            </w:r>
            <w:r>
              <w:t>Notice of Allowability (PK13) issued</w:t>
            </w:r>
            <w:r w:rsidR="006800AA">
              <w:t xml:space="preserve"> [#14]</w:t>
            </w:r>
            <w:r>
              <w:t>, otherwise repeat step 11 with regard to all remaining matters.</w:t>
            </w:r>
          </w:p>
        </w:tc>
      </w:tr>
      <w:tr w:rsidR="004D221B" w:rsidRPr="008460F6" w:rsidTr="00BA21F5">
        <w:tc>
          <w:tcPr>
            <w:tcW w:w="3261" w:type="dxa"/>
          </w:tcPr>
          <w:p w:rsidR="004D221B" w:rsidRPr="008460F6" w:rsidRDefault="004D221B" w:rsidP="00BA21F5">
            <w:pPr>
              <w:ind w:left="317"/>
              <w:jc w:val="center"/>
            </w:pPr>
          </w:p>
        </w:tc>
        <w:tc>
          <w:tcPr>
            <w:tcW w:w="3260" w:type="dxa"/>
          </w:tcPr>
          <w:p w:rsidR="004D221B" w:rsidRPr="008460F6" w:rsidRDefault="004D221B" w:rsidP="00BA21F5">
            <w:pPr>
              <w:ind w:left="92"/>
            </w:pPr>
          </w:p>
        </w:tc>
        <w:tc>
          <w:tcPr>
            <w:tcW w:w="7229" w:type="dxa"/>
          </w:tcPr>
          <w:p w:rsidR="006800AA" w:rsidRPr="008460F6" w:rsidRDefault="006800AA" w:rsidP="00BA21F5">
            <w:pPr>
              <w:pStyle w:val="ListParagraph"/>
              <w:numPr>
                <w:ilvl w:val="0"/>
                <w:numId w:val="1"/>
              </w:numPr>
              <w:ind w:left="317"/>
            </w:pPr>
            <w:r>
              <w:t>Issuance of Notice of Allowability (PK13), inviting applicant to pay issue fee within non-</w:t>
            </w:r>
            <w:proofErr w:type="gramStart"/>
            <w:r>
              <w:t>extendable  3</w:t>
            </w:r>
            <w:proofErr w:type="gramEnd"/>
            <w:r>
              <w:t xml:space="preserve"> month period.</w:t>
            </w:r>
          </w:p>
        </w:tc>
      </w:tr>
      <w:tr w:rsidR="004D221B" w:rsidRPr="008460F6" w:rsidTr="00BA21F5">
        <w:tc>
          <w:tcPr>
            <w:tcW w:w="3261" w:type="dxa"/>
          </w:tcPr>
          <w:p w:rsidR="004D221B" w:rsidRPr="008460F6" w:rsidRDefault="006800AA" w:rsidP="00BA21F5">
            <w:pPr>
              <w:pStyle w:val="ListParagraph"/>
              <w:numPr>
                <w:ilvl w:val="0"/>
                <w:numId w:val="1"/>
              </w:numPr>
              <w:ind w:left="317"/>
            </w:pPr>
            <w:r>
              <w:t>Applicant pays issue fe</w:t>
            </w:r>
            <w:r w:rsidRPr="001E02FF">
              <w:t>e, files</w:t>
            </w:r>
            <w:r w:rsidR="00AD435C" w:rsidRPr="001E02FF">
              <w:t xml:space="preserve"> any</w:t>
            </w:r>
            <w:r w:rsidRPr="001E02FF">
              <w:t xml:space="preserve"> divisional* applications</w:t>
            </w:r>
            <w:r w:rsidR="00AD435C" w:rsidRPr="001E02FF">
              <w:t xml:space="preserve"> not yet filed</w:t>
            </w:r>
            <w:r w:rsidRPr="001E02FF">
              <w:t>, and provides final update* of prior art.</w:t>
            </w:r>
          </w:p>
        </w:tc>
        <w:tc>
          <w:tcPr>
            <w:tcW w:w="3260" w:type="dxa"/>
            <w:vAlign w:val="center"/>
          </w:tcPr>
          <w:p w:rsidR="004D221B" w:rsidRDefault="006800AA" w:rsidP="00BA21F5">
            <w:pPr>
              <w:ind w:left="92"/>
            </w:pPr>
            <w:r>
              <w:t>Strictly within 3 months of issuance of Notice of Allowability</w:t>
            </w:r>
          </w:p>
        </w:tc>
        <w:tc>
          <w:tcPr>
            <w:tcW w:w="7229" w:type="dxa"/>
          </w:tcPr>
          <w:p w:rsidR="004D221B" w:rsidRPr="008460F6" w:rsidRDefault="004D221B" w:rsidP="00BA21F5">
            <w:pPr>
              <w:pStyle w:val="ListParagraph"/>
              <w:ind w:left="317"/>
            </w:pPr>
          </w:p>
        </w:tc>
      </w:tr>
      <w:tr w:rsidR="004D221B" w:rsidRPr="008460F6" w:rsidTr="00BA21F5">
        <w:tc>
          <w:tcPr>
            <w:tcW w:w="3261" w:type="dxa"/>
          </w:tcPr>
          <w:p w:rsidR="004D221B" w:rsidRPr="008460F6" w:rsidRDefault="004D221B" w:rsidP="00BA21F5">
            <w:pPr>
              <w:pStyle w:val="ListParagraph"/>
              <w:ind w:left="317"/>
            </w:pPr>
          </w:p>
        </w:tc>
        <w:tc>
          <w:tcPr>
            <w:tcW w:w="3260" w:type="dxa"/>
            <w:vAlign w:val="center"/>
          </w:tcPr>
          <w:p w:rsidR="004D221B" w:rsidRDefault="004D221B" w:rsidP="00BA21F5">
            <w:pPr>
              <w:ind w:left="92"/>
            </w:pPr>
          </w:p>
        </w:tc>
        <w:tc>
          <w:tcPr>
            <w:tcW w:w="7229" w:type="dxa"/>
          </w:tcPr>
          <w:p w:rsidR="004D221B" w:rsidRPr="008460F6" w:rsidRDefault="006800AA" w:rsidP="00BA21F5">
            <w:pPr>
              <w:pStyle w:val="ListParagraph"/>
              <w:numPr>
                <w:ilvl w:val="0"/>
                <w:numId w:val="1"/>
              </w:numPr>
              <w:ind w:left="317"/>
            </w:pPr>
            <w:r>
              <w:t>Issuance of intention to publish for Opposition</w:t>
            </w:r>
            <w:r w:rsidR="007815DA">
              <w:t>, normally at the end of the month of payment of the issue fee or the end of the following month.</w:t>
            </w:r>
          </w:p>
        </w:tc>
      </w:tr>
      <w:tr w:rsidR="008460F6" w:rsidRPr="008460F6" w:rsidTr="00BA21F5">
        <w:tc>
          <w:tcPr>
            <w:tcW w:w="3261" w:type="dxa"/>
          </w:tcPr>
          <w:p w:rsidR="008460F6" w:rsidRPr="008460F6" w:rsidRDefault="008460F6" w:rsidP="00BA21F5">
            <w:pPr>
              <w:pStyle w:val="ListParagraph"/>
              <w:ind w:left="317"/>
            </w:pPr>
          </w:p>
        </w:tc>
        <w:tc>
          <w:tcPr>
            <w:tcW w:w="3260" w:type="dxa"/>
            <w:vAlign w:val="center"/>
          </w:tcPr>
          <w:p w:rsidR="008460F6" w:rsidRPr="008460F6" w:rsidRDefault="008460F6" w:rsidP="00BA21F5">
            <w:pPr>
              <w:ind w:left="92"/>
            </w:pPr>
          </w:p>
        </w:tc>
        <w:tc>
          <w:tcPr>
            <w:tcW w:w="7229" w:type="dxa"/>
          </w:tcPr>
          <w:p w:rsidR="008460F6" w:rsidRPr="008460F6" w:rsidRDefault="007815DA" w:rsidP="00BA21F5">
            <w:pPr>
              <w:pStyle w:val="ListParagraph"/>
              <w:numPr>
                <w:ilvl w:val="0"/>
                <w:numId w:val="1"/>
              </w:numPr>
              <w:ind w:left="317"/>
            </w:pPr>
            <w:r>
              <w:t>Publication of allowance, enabling the filing of third party Oppositions.</w:t>
            </w:r>
          </w:p>
        </w:tc>
      </w:tr>
      <w:tr w:rsidR="007815DA" w:rsidRPr="008460F6" w:rsidTr="00BA21F5">
        <w:tc>
          <w:tcPr>
            <w:tcW w:w="3261" w:type="dxa"/>
          </w:tcPr>
          <w:p w:rsidR="007815DA" w:rsidRPr="008460F6" w:rsidRDefault="007815DA" w:rsidP="00BA21F5">
            <w:pPr>
              <w:ind w:left="317"/>
            </w:pPr>
          </w:p>
        </w:tc>
        <w:tc>
          <w:tcPr>
            <w:tcW w:w="3260" w:type="dxa"/>
            <w:vAlign w:val="center"/>
          </w:tcPr>
          <w:p w:rsidR="007815DA" w:rsidRPr="008460F6" w:rsidRDefault="007815DA" w:rsidP="00BA21F5">
            <w:pPr>
              <w:ind w:left="92"/>
            </w:pPr>
          </w:p>
        </w:tc>
        <w:tc>
          <w:tcPr>
            <w:tcW w:w="7229" w:type="dxa"/>
          </w:tcPr>
          <w:p w:rsidR="007815DA" w:rsidRPr="008460F6" w:rsidRDefault="007815DA" w:rsidP="00BA21F5">
            <w:pPr>
              <w:pStyle w:val="ListParagraph"/>
              <w:numPr>
                <w:ilvl w:val="0"/>
                <w:numId w:val="1"/>
              </w:numPr>
              <w:ind w:left="317"/>
            </w:pPr>
            <w:r>
              <w:t xml:space="preserve">If no Opposition filed, Patent is granted. </w:t>
            </w:r>
          </w:p>
        </w:tc>
      </w:tr>
      <w:tr w:rsidR="007815DA" w:rsidRPr="008460F6" w:rsidTr="00BA21F5">
        <w:tc>
          <w:tcPr>
            <w:tcW w:w="3261" w:type="dxa"/>
          </w:tcPr>
          <w:p w:rsidR="007815DA" w:rsidRPr="008460F6" w:rsidRDefault="007815DA" w:rsidP="00BA21F5">
            <w:pPr>
              <w:ind w:left="317"/>
            </w:pPr>
          </w:p>
        </w:tc>
        <w:tc>
          <w:tcPr>
            <w:tcW w:w="3260" w:type="dxa"/>
            <w:vAlign w:val="center"/>
          </w:tcPr>
          <w:p w:rsidR="007815DA" w:rsidRPr="008460F6" w:rsidRDefault="007815DA" w:rsidP="00BA21F5">
            <w:pPr>
              <w:ind w:left="92"/>
            </w:pPr>
            <w:r>
              <w:t>Normally within one month of end of Opposition period</w:t>
            </w:r>
          </w:p>
        </w:tc>
        <w:tc>
          <w:tcPr>
            <w:tcW w:w="7229" w:type="dxa"/>
          </w:tcPr>
          <w:p w:rsidR="007815DA" w:rsidRPr="008460F6" w:rsidRDefault="007815DA" w:rsidP="00BA21F5">
            <w:pPr>
              <w:pStyle w:val="ListParagraph"/>
              <w:numPr>
                <w:ilvl w:val="0"/>
                <w:numId w:val="1"/>
              </w:numPr>
              <w:ind w:left="317"/>
            </w:pPr>
            <w:r>
              <w:t>I</w:t>
            </w:r>
            <w:r w:rsidRPr="008460F6">
              <w:t>ssue Certificate of Registration</w:t>
            </w:r>
          </w:p>
        </w:tc>
      </w:tr>
      <w:tr w:rsidR="007815DA" w:rsidRPr="008460F6" w:rsidTr="00BA21F5">
        <w:tc>
          <w:tcPr>
            <w:tcW w:w="3261" w:type="dxa"/>
          </w:tcPr>
          <w:p w:rsidR="007815DA" w:rsidRPr="008460F6" w:rsidRDefault="007815DA" w:rsidP="00591EFC">
            <w:pPr>
              <w:pStyle w:val="ListParagraph"/>
              <w:numPr>
                <w:ilvl w:val="0"/>
                <w:numId w:val="1"/>
              </w:numPr>
              <w:ind w:left="317"/>
            </w:pPr>
            <w:r>
              <w:t>payment of 1-6 years/post –grant renewal, plus all intervening renewal fees, if any, (end of 6</w:t>
            </w:r>
            <w:r w:rsidRPr="007815DA">
              <w:rPr>
                <w:vertAlign w:val="superscript"/>
              </w:rPr>
              <w:t>th</w:t>
            </w:r>
            <w:r>
              <w:t>, 10</w:t>
            </w:r>
            <w:r w:rsidRPr="007815DA">
              <w:rPr>
                <w:vertAlign w:val="superscript"/>
              </w:rPr>
              <w:t>th</w:t>
            </w:r>
            <w:r>
              <w:t>, 14</w:t>
            </w:r>
            <w:r w:rsidRPr="007815DA">
              <w:rPr>
                <w:vertAlign w:val="superscript"/>
              </w:rPr>
              <w:t>th</w:t>
            </w:r>
            <w:r>
              <w:t>, 18</w:t>
            </w:r>
            <w:r w:rsidRPr="007815DA">
              <w:rPr>
                <w:vertAlign w:val="superscript"/>
              </w:rPr>
              <w:t>th</w:t>
            </w:r>
            <w:r>
              <w:t xml:space="preserve"> years</w:t>
            </w:r>
            <w:r w:rsidR="00AD435C">
              <w:t xml:space="preserve"> from </w:t>
            </w:r>
            <w:r w:rsidR="00C601BE">
              <w:t>date of application (international filing date</w:t>
            </w:r>
            <w:r>
              <w:t>)</w:t>
            </w:r>
            <w:r w:rsidR="00591EFC">
              <w:t>)</w:t>
            </w:r>
          </w:p>
        </w:tc>
        <w:tc>
          <w:tcPr>
            <w:tcW w:w="3260" w:type="dxa"/>
            <w:vAlign w:val="center"/>
          </w:tcPr>
          <w:p w:rsidR="007815DA" w:rsidRPr="008460F6" w:rsidRDefault="007815DA" w:rsidP="00BA21F5">
            <w:pPr>
              <w:ind w:left="92"/>
            </w:pPr>
            <w:r>
              <w:t>Within 3 months of grant; extendible for a maximum of 6 months on payment of extension fees</w:t>
            </w:r>
          </w:p>
        </w:tc>
        <w:tc>
          <w:tcPr>
            <w:tcW w:w="7229" w:type="dxa"/>
          </w:tcPr>
          <w:p w:rsidR="007815DA" w:rsidRDefault="007815DA" w:rsidP="00BA21F5">
            <w:pPr>
              <w:pStyle w:val="ListParagraph"/>
              <w:ind w:left="317"/>
            </w:pPr>
          </w:p>
        </w:tc>
      </w:tr>
      <w:tr w:rsidR="007815DA" w:rsidRPr="008460F6" w:rsidTr="00BA21F5">
        <w:tc>
          <w:tcPr>
            <w:tcW w:w="3261" w:type="dxa"/>
          </w:tcPr>
          <w:p w:rsidR="007815DA" w:rsidRDefault="007815DA" w:rsidP="00BA21F5">
            <w:pPr>
              <w:ind w:left="317"/>
            </w:pPr>
          </w:p>
        </w:tc>
        <w:tc>
          <w:tcPr>
            <w:tcW w:w="3260" w:type="dxa"/>
            <w:vAlign w:val="center"/>
          </w:tcPr>
          <w:p w:rsidR="007815DA" w:rsidRDefault="007815DA" w:rsidP="00BA21F5">
            <w:pPr>
              <w:ind w:left="92"/>
              <w:jc w:val="center"/>
            </w:pPr>
          </w:p>
        </w:tc>
        <w:tc>
          <w:tcPr>
            <w:tcW w:w="7229" w:type="dxa"/>
          </w:tcPr>
          <w:p w:rsidR="007815DA" w:rsidRDefault="007815DA" w:rsidP="00BA21F5">
            <w:pPr>
              <w:pStyle w:val="ListParagraph"/>
              <w:numPr>
                <w:ilvl w:val="0"/>
                <w:numId w:val="1"/>
              </w:numPr>
              <w:ind w:left="317"/>
            </w:pPr>
            <w:r>
              <w:t>Expires on non-payment of requisite renewal fees or 20 years after date of application.</w:t>
            </w:r>
          </w:p>
        </w:tc>
      </w:tr>
    </w:tbl>
    <w:p w:rsidR="008460F6" w:rsidRDefault="008460F6" w:rsidP="008460F6"/>
    <w:p w:rsidR="006800AA" w:rsidRPr="001E02FF" w:rsidRDefault="006800AA" w:rsidP="001E02FF">
      <w:r w:rsidRPr="001E02FF">
        <w:t>*</w:t>
      </w:r>
      <w:r w:rsidR="001E02FF">
        <w:t xml:space="preserve">The submission </w:t>
      </w:r>
      <w:r w:rsidR="00AD435C" w:rsidRPr="001E02FF">
        <w:t xml:space="preserve">of divisional applications and updating of prior art </w:t>
      </w:r>
      <w:r w:rsidR="00AD435C" w:rsidRPr="001E02FF">
        <w:rPr>
          <w:u w:val="single"/>
        </w:rPr>
        <w:t>should</w:t>
      </w:r>
      <w:r w:rsidR="00AD435C" w:rsidRPr="001E02FF">
        <w:t xml:space="preserve"> be on an ongoing basis during the examination process</w:t>
      </w:r>
      <w:r w:rsidR="001E02FF">
        <w:t xml:space="preserve">, and are valid </w:t>
      </w:r>
      <w:r w:rsidRPr="001E02FF">
        <w:t>at any time prior to allowance</w:t>
      </w:r>
      <w:r w:rsidR="001E02FF">
        <w:t xml:space="preserve"> (</w:t>
      </w:r>
      <w:r w:rsidRPr="001E02FF">
        <w:t>publication for opposition</w:t>
      </w:r>
      <w:r w:rsidR="001E02FF">
        <w:t>)</w:t>
      </w:r>
      <w:r w:rsidRPr="001E02FF">
        <w:t>, although it is not normally recommended to rely on this somewhat unpredictable time period.</w:t>
      </w:r>
    </w:p>
    <w:sectPr w:rsidR="006800AA" w:rsidRPr="001E02FF" w:rsidSect="00BA21F5">
      <w:headerReference w:type="default" r:id="rId8"/>
      <w:footerReference w:type="default" r:id="rId9"/>
      <w:pgSz w:w="15840" w:h="12240" w:orient="landscape"/>
      <w:pgMar w:top="709" w:right="851" w:bottom="567" w:left="1440" w:header="708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67F" w:rsidRDefault="0044667F" w:rsidP="00C601BE">
      <w:pPr>
        <w:spacing w:after="0" w:line="240" w:lineRule="auto"/>
      </w:pPr>
      <w:r>
        <w:separator/>
      </w:r>
    </w:p>
  </w:endnote>
  <w:endnote w:type="continuationSeparator" w:id="0">
    <w:p w:rsidR="0044667F" w:rsidRDefault="0044667F" w:rsidP="00C6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5955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A21F5" w:rsidRDefault="00BA21F5" w:rsidP="00BA21F5">
            <w:pPr>
              <w:pStyle w:val="Footer"/>
              <w:spacing w:before="120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06F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06F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A21F5" w:rsidRDefault="00BA21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67F" w:rsidRDefault="0044667F" w:rsidP="00C601BE">
      <w:pPr>
        <w:spacing w:after="0" w:line="240" w:lineRule="auto"/>
      </w:pPr>
      <w:r>
        <w:separator/>
      </w:r>
    </w:p>
  </w:footnote>
  <w:footnote w:type="continuationSeparator" w:id="0">
    <w:p w:rsidR="0044667F" w:rsidRDefault="0044667F" w:rsidP="00C60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1BE" w:rsidRDefault="00D9697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-371475</wp:posOffset>
          </wp:positionH>
          <wp:positionV relativeFrom="paragraph">
            <wp:posOffset>-306705</wp:posOffset>
          </wp:positionV>
          <wp:extent cx="2047875" cy="351790"/>
          <wp:effectExtent l="0" t="0" r="9525" b="0"/>
          <wp:wrapSquare wrapText="bothSides"/>
          <wp:docPr id="1" name="Picture 1" descr="JMB DAVIS BEN-DAVID sh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MB DAVIS BEN-DAVID sh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01BE" w:rsidRDefault="00C601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31904"/>
    <w:multiLevelType w:val="hybridMultilevel"/>
    <w:tmpl w:val="E7D8CE64"/>
    <w:lvl w:ilvl="0" w:tplc="0DA60ED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8EC75CC"/>
    <w:multiLevelType w:val="hybridMultilevel"/>
    <w:tmpl w:val="8338926A"/>
    <w:lvl w:ilvl="0" w:tplc="454E4B1A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F6"/>
    <w:rsid w:val="000A5F40"/>
    <w:rsid w:val="001537E3"/>
    <w:rsid w:val="001D1915"/>
    <w:rsid w:val="001E02FF"/>
    <w:rsid w:val="002061D0"/>
    <w:rsid w:val="00231830"/>
    <w:rsid w:val="00246FDE"/>
    <w:rsid w:val="002550F9"/>
    <w:rsid w:val="002F1C3B"/>
    <w:rsid w:val="004047AD"/>
    <w:rsid w:val="0044667F"/>
    <w:rsid w:val="004D221B"/>
    <w:rsid w:val="00591EFC"/>
    <w:rsid w:val="005E52BB"/>
    <w:rsid w:val="00607F3E"/>
    <w:rsid w:val="00613E09"/>
    <w:rsid w:val="006800AA"/>
    <w:rsid w:val="006F4636"/>
    <w:rsid w:val="006F7707"/>
    <w:rsid w:val="007815DA"/>
    <w:rsid w:val="007A588C"/>
    <w:rsid w:val="008460F6"/>
    <w:rsid w:val="008A37AF"/>
    <w:rsid w:val="009331C0"/>
    <w:rsid w:val="0095258E"/>
    <w:rsid w:val="00A4642C"/>
    <w:rsid w:val="00AD435C"/>
    <w:rsid w:val="00AF252A"/>
    <w:rsid w:val="00BA21F5"/>
    <w:rsid w:val="00C006FC"/>
    <w:rsid w:val="00C23DFF"/>
    <w:rsid w:val="00C262B7"/>
    <w:rsid w:val="00C57344"/>
    <w:rsid w:val="00C601BE"/>
    <w:rsid w:val="00C92C8C"/>
    <w:rsid w:val="00D360F4"/>
    <w:rsid w:val="00D96974"/>
    <w:rsid w:val="00E41009"/>
    <w:rsid w:val="00EB32C2"/>
    <w:rsid w:val="00FC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0F6"/>
    <w:pPr>
      <w:ind w:left="720"/>
      <w:contextualSpacing/>
    </w:pPr>
  </w:style>
  <w:style w:type="table" w:styleId="TableGrid">
    <w:name w:val="Table Grid"/>
    <w:basedOn w:val="TableNormal"/>
    <w:uiPriority w:val="59"/>
    <w:rsid w:val="0084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01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1BE"/>
  </w:style>
  <w:style w:type="paragraph" w:styleId="Footer">
    <w:name w:val="footer"/>
    <w:basedOn w:val="Normal"/>
    <w:link w:val="FooterChar"/>
    <w:uiPriority w:val="99"/>
    <w:unhideWhenUsed/>
    <w:rsid w:val="00C601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1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0F6"/>
    <w:pPr>
      <w:ind w:left="720"/>
      <w:contextualSpacing/>
    </w:pPr>
  </w:style>
  <w:style w:type="table" w:styleId="TableGrid">
    <w:name w:val="Table Grid"/>
    <w:basedOn w:val="TableNormal"/>
    <w:uiPriority w:val="59"/>
    <w:rsid w:val="0084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01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1BE"/>
  </w:style>
  <w:style w:type="paragraph" w:styleId="Footer">
    <w:name w:val="footer"/>
    <w:basedOn w:val="Normal"/>
    <w:link w:val="FooterChar"/>
    <w:uiPriority w:val="99"/>
    <w:unhideWhenUsed/>
    <w:rsid w:val="00C601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Israel Designs Timeline</vt:lpstr>
    </vt:vector>
  </TitlesOfParts>
  <Manager>ירמיהו מ. בן-דוד ושות' בע"מ</Manager>
  <Company>Dyson Technology Limited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Israel Designs Timeline</dc:title>
  <dc:subject>414/901</dc:subject>
  <dc:creator>G324047-V1</dc:creator>
  <cp:keywords>H:\COMMITDOCS\414\00901\Israel Designs Timeline-V001.DOC.doc Dyson Technology Limited DYSON LIMITED - GENERAL MATTERS 414/901 Israel Designs Timeline 324047-V1 G324047-V1</cp:keywords>
  <dc:description>JMB_x000d_
Dyson Technology Limited_x000d_
Israel Designs Timeline</dc:description>
  <cp:lastModifiedBy>Irving Wiesen</cp:lastModifiedBy>
  <cp:revision>2</cp:revision>
  <cp:lastPrinted>2016-06-27T07:53:00Z</cp:lastPrinted>
  <dcterms:created xsi:type="dcterms:W3CDTF">2017-01-01T10:38:00Z</dcterms:created>
  <dcterms:modified xsi:type="dcterms:W3CDTF">2017-01-01T10:38:00Z</dcterms:modified>
  <cp:category>3-DESIGNS</cp:category>
</cp:coreProperties>
</file>