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1687"/>
        <w:gridCol w:w="1839"/>
        <w:gridCol w:w="1686"/>
        <w:gridCol w:w="6308"/>
      </w:tblGrid>
      <w:tr w:rsidR="00F01516" w:rsidRPr="00AC5103" w14:paraId="3B499161" w14:textId="77777777" w:rsidTr="00F01516">
        <w:trPr>
          <w:trHeight w:val="360"/>
        </w:trPr>
        <w:tc>
          <w:tcPr>
            <w:tcW w:w="1687" w:type="dxa"/>
            <w:vAlign w:val="center"/>
          </w:tcPr>
          <w:p w14:paraId="022CE7A6" w14:textId="77777777" w:rsidR="00F01516" w:rsidRPr="000D21C5" w:rsidRDefault="00F01516" w:rsidP="007B7864">
            <w:pPr>
              <w:tabs>
                <w:tab w:val="center" w:pos="5400"/>
                <w:tab w:val="right" w:pos="10800"/>
              </w:tabs>
              <w:contextualSpacing/>
              <w:rPr>
                <w:rFonts w:ascii="Arial Narrow" w:hAnsi="Arial Narrow" w:cs="Arial"/>
                <w:b/>
                <w:bCs/>
              </w:rPr>
            </w:pPr>
            <w:r w:rsidRPr="0069791D">
              <w:rPr>
                <w:rFonts w:ascii="Arial Narrow" w:hAnsi="Arial Narrow" w:cs="Arial"/>
                <w:b/>
                <w:bCs/>
                <w:noProof/>
                <w:sz w:val="16"/>
                <w:szCs w:val="16"/>
                <w:lang w:val="en-US" w:eastAsia="en-US"/>
              </w:rPr>
              <w:drawing>
                <wp:anchor distT="0" distB="0" distL="114300" distR="114300" simplePos="0" relativeHeight="251670528" behindDoc="0" locked="0" layoutInCell="1" allowOverlap="1" wp14:anchorId="1FFF895B" wp14:editId="29452B6C">
                  <wp:simplePos x="0" y="0"/>
                  <wp:positionH relativeFrom="column">
                    <wp:posOffset>1905</wp:posOffset>
                  </wp:positionH>
                  <wp:positionV relativeFrom="paragraph">
                    <wp:posOffset>-17780</wp:posOffset>
                  </wp:positionV>
                  <wp:extent cx="195580" cy="182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MANUFACTUR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 cy="182880"/>
                          </a:xfrm>
                          <a:prstGeom prst="rect">
                            <a:avLst/>
                          </a:prstGeom>
                        </pic:spPr>
                      </pic:pic>
                    </a:graphicData>
                  </a:graphic>
                  <wp14:sizeRelH relativeFrom="page">
                    <wp14:pctWidth>0</wp14:pctWidth>
                  </wp14:sizeRelH>
                  <wp14:sizeRelV relativeFrom="page">
                    <wp14:pctHeight>0</wp14:pctHeight>
                  </wp14:sizeRelV>
                </wp:anchor>
              </w:drawing>
            </w:r>
            <w:r w:rsidRPr="0069791D">
              <w:rPr>
                <w:rFonts w:ascii="Arial Narrow" w:hAnsi="Arial Narrow" w:cs="Arial"/>
                <w:b/>
                <w:bCs/>
                <w:sz w:val="16"/>
                <w:szCs w:val="16"/>
              </w:rPr>
              <w:t xml:space="preserve">         Manufactured for:</w:t>
            </w:r>
          </w:p>
        </w:tc>
        <w:tc>
          <w:tcPr>
            <w:tcW w:w="1839" w:type="dxa"/>
            <w:vAlign w:val="center"/>
          </w:tcPr>
          <w:p w14:paraId="0FBF72CC" w14:textId="77777777" w:rsidR="00F01516" w:rsidRPr="004658CC" w:rsidRDefault="00F01516" w:rsidP="007B7864">
            <w:pPr>
              <w:contextualSpacing/>
              <w:rPr>
                <w:rFonts w:ascii="Arial Narrow" w:hAnsi="Arial Narrow" w:cs="Arial"/>
                <w:b/>
              </w:rPr>
            </w:pPr>
            <w:r w:rsidRPr="00B44FB7">
              <w:rPr>
                <w:rFonts w:cs="Arial"/>
                <w:noProof/>
                <w:sz w:val="8"/>
                <w:szCs w:val="8"/>
                <w:lang w:val="en-US" w:eastAsia="en-US"/>
              </w:rPr>
              <w:drawing>
                <wp:anchor distT="0" distB="0" distL="114300" distR="114300" simplePos="0" relativeHeight="251671552" behindDoc="0" locked="0" layoutInCell="1" allowOverlap="1" wp14:anchorId="5D9F8D06" wp14:editId="4CF20143">
                  <wp:simplePos x="0" y="0"/>
                  <wp:positionH relativeFrom="column">
                    <wp:posOffset>1166495</wp:posOffset>
                  </wp:positionH>
                  <wp:positionV relativeFrom="paragraph">
                    <wp:posOffset>-31115</wp:posOffset>
                  </wp:positionV>
                  <wp:extent cx="531495" cy="228600"/>
                  <wp:effectExtent l="0" t="0" r="1905"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 REP, Emergo Europ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27" t="3903" r="1725" b="2342"/>
                          <a:stretch/>
                        </pic:blipFill>
                        <pic:spPr bwMode="auto">
                          <a:xfrm>
                            <a:off x="0" y="0"/>
                            <a:ext cx="531495" cy="22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58CC">
              <w:rPr>
                <w:rFonts w:ascii="Arial Narrow" w:hAnsi="Arial Narrow" w:cs="Arial"/>
                <w:b/>
              </w:rPr>
              <w:t>Australian Sponsor</w:t>
            </w:r>
          </w:p>
        </w:tc>
        <w:tc>
          <w:tcPr>
            <w:tcW w:w="1686" w:type="dxa"/>
            <w:vAlign w:val="bottom"/>
          </w:tcPr>
          <w:p w14:paraId="3EA3A506" w14:textId="77777777" w:rsidR="00F01516" w:rsidRPr="00A73147" w:rsidRDefault="00F01516" w:rsidP="007B7864">
            <w:pPr>
              <w:tabs>
                <w:tab w:val="center" w:pos="5400"/>
                <w:tab w:val="right" w:pos="10800"/>
              </w:tabs>
              <w:rPr>
                <w:rFonts w:asciiTheme="minorBidi" w:hAnsiTheme="minorBidi" w:cstheme="minorBidi"/>
                <w:sz w:val="16"/>
                <w:szCs w:val="16"/>
              </w:rPr>
            </w:pPr>
            <w:r w:rsidRPr="00BE1B16">
              <w:rPr>
                <w:noProof/>
                <w:sz w:val="16"/>
                <w:szCs w:val="16"/>
                <w:lang w:val="en-US" w:eastAsia="en-US"/>
              </w:rPr>
              <mc:AlternateContent>
                <mc:Choice Requires="wps">
                  <w:drawing>
                    <wp:anchor distT="0" distB="0" distL="114300" distR="114300" simplePos="0" relativeHeight="251673600" behindDoc="0" locked="0" layoutInCell="1" allowOverlap="1" wp14:anchorId="7B273842" wp14:editId="2AA642C6">
                      <wp:simplePos x="0" y="0"/>
                      <wp:positionH relativeFrom="column">
                        <wp:posOffset>1063625</wp:posOffset>
                      </wp:positionH>
                      <wp:positionV relativeFrom="paragraph">
                        <wp:posOffset>14605</wp:posOffset>
                      </wp:positionV>
                      <wp:extent cx="521970" cy="542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42925"/>
                              </a:xfrm>
                              <a:prstGeom prst="rect">
                                <a:avLst/>
                              </a:prstGeom>
                              <a:solidFill>
                                <a:srgbClr val="FFFFFF"/>
                              </a:solidFill>
                              <a:ln w="9525">
                                <a:noFill/>
                                <a:miter lim="800000"/>
                                <a:headEnd/>
                                <a:tailEnd/>
                              </a:ln>
                            </wps:spPr>
                            <wps:txbx>
                              <w:txbxContent>
                                <w:p w14:paraId="05AE3A85" w14:textId="77777777" w:rsidR="007B7864" w:rsidRDefault="007B7864" w:rsidP="00F01516">
                                  <w:pPr>
                                    <w:spacing w:before="0" w:after="0"/>
                                    <w:jc w:val="center"/>
                                    <w:rPr>
                                      <w:smallCaps/>
                                    </w:rPr>
                                  </w:pPr>
                                  <w:r>
                                    <w:rPr>
                                      <w:smallCaps/>
                                      <w:noProof/>
                                      <w:lang w:val="en-US" w:eastAsia="en-US"/>
                                    </w:rPr>
                                    <w:drawing>
                                      <wp:inline distT="0" distB="0" distL="0" distR="0" wp14:anchorId="0BEBE0FC" wp14:editId="7322CD81">
                                        <wp:extent cx="457200" cy="42898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DO NOT REUSE.jpg"/>
                                                <pic:cNvPicPr/>
                                              </pic:nvPicPr>
                                              <pic:blipFill rotWithShape="1">
                                                <a:blip r:embed="rId10" cstate="print">
                                                  <a:extLst>
                                                    <a:ext uri="{28A0092B-C50C-407E-A947-70E740481C1C}">
                                                      <a14:useLocalDpi xmlns:a14="http://schemas.microsoft.com/office/drawing/2010/main" val="0"/>
                                                    </a:ext>
                                                  </a:extLst>
                                                </a:blip>
                                                <a:srcRect l="6132" t="2100" r="7222" b="4803"/>
                                                <a:stretch/>
                                              </pic:blipFill>
                                              <pic:spPr bwMode="auto">
                                                <a:xfrm>
                                                  <a:off x="0" y="0"/>
                                                  <a:ext cx="457200" cy="428983"/>
                                                </a:xfrm>
                                                <a:prstGeom prst="rect">
                                                  <a:avLst/>
                                                </a:prstGeom>
                                                <a:ln>
                                                  <a:noFill/>
                                                </a:ln>
                                                <a:extLst>
                                                  <a:ext uri="{53640926-AAD7-44D8-BBD7-CCE9431645EC}">
                                                    <a14:shadowObscured xmlns:a14="http://schemas.microsoft.com/office/drawing/2010/main"/>
                                                  </a:ext>
                                                </a:extLst>
                                              </pic:spPr>
                                            </pic:pic>
                                          </a:graphicData>
                                        </a:graphic>
                                      </wp:inline>
                                    </w:drawing>
                                  </w:r>
                                </w:p>
                                <w:p w14:paraId="0807BFDD" w14:textId="77777777" w:rsidR="007B7864" w:rsidRPr="006F3250" w:rsidRDefault="007B7864" w:rsidP="00F01516">
                                  <w:pPr>
                                    <w:spacing w:before="0" w:after="0"/>
                                    <w:jc w:val="center"/>
                                    <w:rPr>
                                      <w:smallCaps/>
                                      <w:sz w:val="12"/>
                                      <w:szCs w:val="12"/>
                                    </w:rPr>
                                  </w:pPr>
                                  <w:r w:rsidRPr="006F3250">
                                    <w:rPr>
                                      <w:smallCaps/>
                                      <w:sz w:val="12"/>
                                      <w:szCs w:val="12"/>
                                    </w:rPr>
                                    <w:t>Do Not Reuse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C08F1E5" id="_x0000_t202" coordsize="21600,21600" o:spt="202" path="m,l,21600r21600,l21600,xe">
                      <v:stroke joinstyle="miter"/>
                      <v:path gradientshapeok="t" o:connecttype="rect"/>
                    </v:shapetype>
                    <v:shape id="Text Box 2" o:spid="_x0000_s1026" type="#_x0000_t202" style="position:absolute;margin-left:83.75pt;margin-top:1.15pt;width:41.1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4d+QFgIAAAwEAAAOAAAAZHJzL2Uyb0RvYy54bWysU9uO0zAQfUfiHyy/06SBstuo6WrpUoS0 XKRdPmDiOI2F4zG226R8PWOn7S7whvCDNbZnzsycOV7djL1mB+m8QlPx+SznTBqBjTK7in973L66 5swHMA1oNLLiR+n5zfrli9VgS1lgh7qRjhGI8eVgK96FYMss86KTPfgZWmnosUXXQ6Cj22WNg4HQ e50Vef42G9A11qGQ3tPt3fTI1wm/baUIX9rWy8B0xam2kHaX9jru2XoF5c6B7ZQ4lQH/UEUPylDS C9QdBGB7p/6C6pVw6LENM4F9hm2rhEw9UDfz/I9uHjqwMvVC5Hh7ocn/P1jx+fDVMdVU/HV+xZmB nob0KMfA3uHIisjPYH1Jbg+WHMNI1zTn1Ku39yi+e2Zw04HZyVvncOgkNFTfPEZmz0InHB9B6uET NpQG9gET0Ni6PpJHdDBCpzkdL7OJpQi6XBTz5RW9CHpavCmWxSJlgPIcbJ0PHyT2LBoVdzT6BA6H ex9iMVCeXWIuj1o1W6V1OrhdvdGOHYBksk3rhP6bmzZsqPhyQbljlMEYnxTUq0Ay1qqv+HUeVwyH MpLx3jTJDqD0ZFMl2pzYiYRM1ISxHskxUlZjcySeHE5ype9FRofuJ2cDSbXi/scenORMfzTEddT1 2XBnoz4bYASFVrzmbDI3Iel/6uCWZtCqxM9T5lNtJLlE2+l7RE0/Pyevp0+8/gUAAP//AwBQSwME FAAGAAgAAAAhAOUO2IveAAAACAEAAA8AAABkcnMvZG93bnJldi54bWxMj8FOwzAQRO9I/IO1SNyo Q0qaNI1TQaVyKqoofMA23iaB2A6x04a/ZznBcTSjmTfFejKdONPgW2cV3M8iEGQrp1tbK3h/295l IHxAq7FzlhR8k4d1eX1VYK7dxb7S+RBqwSXW56igCaHPpfRVQwb9zPVk2Tu5wWBgOdRSD3jhctPJ OIoW0mBreaHBnjYNVZ+H0SjYfSR7v6+2p6/EPT/hfNy8TLtWqdub6XEFItAU/sLwi8/oUDLT0Y1W e9GxXqQJRxXEcxDsxw/LFMRRQZZmIMtC/j9Q/gAAAP//AwBQSwECLQAUAAYACAAAACEAtoM4kv4A AADhAQAAEwAAAAAAAAAAAAAAAAAAAAAAW0NvbnRlbnRfVHlwZXNdLnhtbFBLAQItABQABgAIAAAA IQA4/SH/1gAAAJQBAAALAAAAAAAAAAAAAAAAAC8BAABfcmVscy8ucmVsc1BLAQItABQABgAIAAAA IQCf4d+QFgIAAAwEAAAOAAAAAAAAAAAAAAAAAC4CAABkcnMvZTJvRG9jLnhtbFBLAQItABQABgAI AAAAIQDlDtiL3gAAAAgBAAAPAAAAAAAAAAAAAAAAAHAEAABkcnMvZG93bnJldi54bWxQSwUGAAAA AAQABADzAAAAewUAAAAA " stroked="f">
                      <v:textbox inset="0,0,0,0">
                        <w:txbxContent>
                          <w:p w:rsidR="007B7864" w:rsidRDefault="007B7864" w:rsidP="00F01516">
                            <w:pPr>
                              <w:spacing w:before="0" w:after="0"/>
                              <w:jc w:val="center"/>
                              <w:rPr>
                                <w:smallCaps/>
                              </w:rPr>
                            </w:pPr>
                            <w:r>
                              <w:rPr>
                                <w:smallCaps/>
                                <w:noProof/>
                                <w:lang w:val="en-US" w:eastAsia="en-US"/>
                              </w:rPr>
                              <w:drawing>
                                <wp:inline distT="0" distB="0" distL="0" distR="0" wp14:anchorId="477A66E4" wp14:editId="3DCA1969">
                                  <wp:extent cx="457200" cy="42898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DO NOT REUSE.jpg"/>
                                          <pic:cNvPicPr/>
                                        </pic:nvPicPr>
                                        <pic:blipFill rotWithShape="1">
                                          <a:blip r:embed="rId11" cstate="print">
                                            <a:extLst>
                                              <a:ext uri="{28A0092B-C50C-407E-A947-70E740481C1C}">
                                                <a14:useLocalDpi xmlns:a14="http://schemas.microsoft.com/office/drawing/2010/main" val="0"/>
                                              </a:ext>
                                            </a:extLst>
                                          </a:blip>
                                          <a:srcRect l="6132" t="2100" r="7222" b="4803"/>
                                          <a:stretch/>
                                        </pic:blipFill>
                                        <pic:spPr bwMode="auto">
                                          <a:xfrm>
                                            <a:off x="0" y="0"/>
                                            <a:ext cx="457200" cy="428983"/>
                                          </a:xfrm>
                                          <a:prstGeom prst="rect">
                                            <a:avLst/>
                                          </a:prstGeom>
                                          <a:ln>
                                            <a:noFill/>
                                          </a:ln>
                                          <a:extLst>
                                            <a:ext uri="{53640926-AAD7-44D8-BBD7-CCE9431645EC}">
                                              <a14:shadowObscured xmlns:a14="http://schemas.microsoft.com/office/drawing/2010/main"/>
                                            </a:ext>
                                          </a:extLst>
                                        </pic:spPr>
                                      </pic:pic>
                                    </a:graphicData>
                                  </a:graphic>
                                </wp:inline>
                              </w:drawing>
                            </w:r>
                          </w:p>
                          <w:p w:rsidR="007B7864" w:rsidRPr="006F3250" w:rsidRDefault="007B7864" w:rsidP="00F01516">
                            <w:pPr>
                              <w:spacing w:before="0" w:after="0"/>
                              <w:jc w:val="center"/>
                              <w:rPr>
                                <w:smallCaps/>
                                <w:sz w:val="12"/>
                                <w:szCs w:val="12"/>
                              </w:rPr>
                            </w:pPr>
                            <w:r w:rsidRPr="006F3250">
                              <w:rPr>
                                <w:smallCaps/>
                                <w:sz w:val="12"/>
                                <w:szCs w:val="12"/>
                              </w:rPr>
                              <w:t>Do Not Reuse</w:t>
                            </w:r>
                          </w:p>
                        </w:txbxContent>
                      </v:textbox>
                    </v:shape>
                  </w:pict>
                </mc:Fallback>
              </mc:AlternateContent>
            </w:r>
          </w:p>
        </w:tc>
        <w:tc>
          <w:tcPr>
            <w:tcW w:w="6308" w:type="dxa"/>
            <w:vMerge w:val="restart"/>
            <w:vAlign w:val="bottom"/>
          </w:tcPr>
          <w:p w14:paraId="26FEA867" w14:textId="77777777" w:rsidR="00F01516" w:rsidRPr="00AC5103" w:rsidRDefault="00F01516" w:rsidP="007B7864">
            <w:pPr>
              <w:tabs>
                <w:tab w:val="center" w:pos="5400"/>
                <w:tab w:val="right" w:pos="10800"/>
              </w:tabs>
              <w:jc w:val="center"/>
              <w:rPr>
                <w:sz w:val="16"/>
                <w:szCs w:val="16"/>
              </w:rPr>
            </w:pPr>
            <w:r w:rsidRPr="00475CED">
              <w:rPr>
                <w:noProof/>
                <w:sz w:val="16"/>
                <w:szCs w:val="16"/>
                <w:lang w:val="en-US" w:eastAsia="en-US"/>
              </w:rPr>
              <w:drawing>
                <wp:anchor distT="0" distB="0" distL="114300" distR="114300" simplePos="0" relativeHeight="251672576" behindDoc="0" locked="0" layoutInCell="1" allowOverlap="1" wp14:anchorId="475C7714" wp14:editId="4151093E">
                  <wp:simplePos x="0" y="0"/>
                  <wp:positionH relativeFrom="column">
                    <wp:posOffset>2670175</wp:posOffset>
                  </wp:positionH>
                  <wp:positionV relativeFrom="line">
                    <wp:posOffset>-357505</wp:posOffset>
                  </wp:positionV>
                  <wp:extent cx="1329690" cy="441325"/>
                  <wp:effectExtent l="0" t="0" r="381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ho_logo_web"/>
                          <pic:cNvPicPr>
                            <a:picLocks noChangeAspect="1" noChangeArrowheads="1"/>
                          </pic:cNvPicPr>
                        </pic:nvPicPr>
                        <pic:blipFill>
                          <a:blip r:embed="rId12" cstate="print">
                            <a:clrChange>
                              <a:clrFrom>
                                <a:srgbClr val="FFFFFE"/>
                              </a:clrFrom>
                              <a:clrTo>
                                <a:srgbClr val="FFFFFE">
                                  <a:alpha val="0"/>
                                </a:srgbClr>
                              </a:clrTo>
                            </a:clrChange>
                            <a:biLevel thresh="75000"/>
                            <a:extLst>
                              <a:ext uri="{28A0092B-C50C-407E-A947-70E740481C1C}">
                                <a14:useLocalDpi xmlns:a14="http://schemas.microsoft.com/office/drawing/2010/main" val="0"/>
                              </a:ext>
                            </a:extLst>
                          </a:blip>
                          <a:stretch>
                            <a:fillRect/>
                          </a:stretch>
                        </pic:blipFill>
                        <pic:spPr bwMode="auto">
                          <a:xfrm>
                            <a:off x="0" y="0"/>
                            <a:ext cx="1329690" cy="441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1B16">
              <w:rPr>
                <w:noProof/>
                <w:sz w:val="16"/>
                <w:szCs w:val="16"/>
                <w:lang w:val="en-US" w:eastAsia="en-US"/>
              </w:rPr>
              <mc:AlternateContent>
                <mc:Choice Requires="wps">
                  <w:drawing>
                    <wp:anchor distT="0" distB="0" distL="114300" distR="114300" simplePos="0" relativeHeight="251674624" behindDoc="0" locked="0" layoutInCell="1" allowOverlap="1" wp14:anchorId="5CDC543B" wp14:editId="0B984AEE">
                      <wp:simplePos x="0" y="0"/>
                      <wp:positionH relativeFrom="column">
                        <wp:posOffset>685800</wp:posOffset>
                      </wp:positionH>
                      <wp:positionV relativeFrom="paragraph">
                        <wp:posOffset>-360680</wp:posOffset>
                      </wp:positionV>
                      <wp:extent cx="464820" cy="47815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478155"/>
                              </a:xfrm>
                              <a:prstGeom prst="rect">
                                <a:avLst/>
                              </a:prstGeom>
                              <a:solidFill>
                                <a:srgbClr val="FFFFFF"/>
                              </a:solidFill>
                              <a:ln w="9525">
                                <a:noFill/>
                                <a:miter lim="800000"/>
                                <a:headEnd/>
                                <a:tailEnd/>
                              </a:ln>
                            </wps:spPr>
                            <wps:txbx>
                              <w:txbxContent>
                                <w:p w14:paraId="4CCD4AF8" w14:textId="77777777" w:rsidR="007B7864" w:rsidRDefault="007B7864" w:rsidP="00F01516">
                                  <w:pPr>
                                    <w:spacing w:before="0" w:after="0"/>
                                    <w:jc w:val="center"/>
                                    <w:rPr>
                                      <w:smallCaps/>
                                    </w:rPr>
                                  </w:pPr>
                                  <w:r>
                                    <w:rPr>
                                      <w:smallCaps/>
                                      <w:noProof/>
                                      <w:lang w:val="en-US" w:eastAsia="en-US"/>
                                    </w:rPr>
                                    <w:drawing>
                                      <wp:inline distT="0" distB="0" distL="0" distR="0" wp14:anchorId="1932C347" wp14:editId="4B7A468C">
                                        <wp:extent cx="457200" cy="384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DO NOT REUSE.jpg"/>
                                                <pic:cNvPicPr/>
                                              </pic:nvPicPr>
                                              <pic:blipFill rotWithShape="1">
                                                <a:blip r:embed="rId13" cstate="print">
                                                  <a:extLst>
                                                    <a:ext uri="{28A0092B-C50C-407E-A947-70E740481C1C}">
                                                      <a14:useLocalDpi xmlns:a14="http://schemas.microsoft.com/office/drawing/2010/main" val="0"/>
                                                    </a:ext>
                                                  </a:extLst>
                                                </a:blip>
                                                <a:srcRect l="2085" t="2418" r="338" b="2413"/>
                                                <a:stretch/>
                                              </pic:blipFill>
                                              <pic:spPr bwMode="auto">
                                                <a:xfrm>
                                                  <a:off x="0" y="0"/>
                                                  <a:ext cx="457200" cy="384908"/>
                                                </a:xfrm>
                                                <a:prstGeom prst="rect">
                                                  <a:avLst/>
                                                </a:prstGeom>
                                                <a:ln>
                                                  <a:noFill/>
                                                </a:ln>
                                                <a:extLst>
                                                  <a:ext uri="{53640926-AAD7-44D8-BBD7-CCE9431645EC}">
                                                    <a14:shadowObscured xmlns:a14="http://schemas.microsoft.com/office/drawing/2010/main"/>
                                                  </a:ext>
                                                </a:extLst>
                                              </pic:spPr>
                                            </pic:pic>
                                          </a:graphicData>
                                        </a:graphic>
                                      </wp:inline>
                                    </w:drawing>
                                  </w:r>
                                </w:p>
                                <w:p w14:paraId="7AC1F66A" w14:textId="77777777" w:rsidR="007B7864" w:rsidRPr="006F3250" w:rsidRDefault="007B7864" w:rsidP="00F01516">
                                  <w:pPr>
                                    <w:spacing w:before="0" w:after="0"/>
                                    <w:jc w:val="center"/>
                                    <w:rPr>
                                      <w:smallCaps/>
                                      <w:sz w:val="12"/>
                                      <w:szCs w:val="12"/>
                                    </w:rPr>
                                  </w:pPr>
                                  <w:r>
                                    <w:rPr>
                                      <w:smallCaps/>
                                      <w:sz w:val="12"/>
                                      <w:szCs w:val="12"/>
                                    </w:rPr>
                                    <w:t>Non Sterile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F659067" id="_x0000_s1027" type="#_x0000_t202" style="position:absolute;left:0;text-align:left;margin-left:54pt;margin-top:-28.4pt;width:36.6pt;height:3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a/8cFwIAABEEAAAOAAAAZHJzL2Uyb0RvYy54bWysU8FuEzEQvSPxD5bvZJMoKWHVTVVSgpBK QWr5gFmvN2the4ztZDd8PWNvkha4IXywxvbMmzdvxtc3g9HsIH1QaCs+m0w5k1Zgo+yu4t+etm9W nIUItgGNVlb8KAO/Wb9+dd27Us6xQ91IzwjEhrJ3Fe9idGVRBNFJA2GCTlp6bNEbiHT0u6Lx0BO6 0cV8Or0qevSN8yhkCHR7Nz7ydcZvWynil7YNMjJdceIW8+7zXqe9WF9DufPgOiVONOAfWBhQlpJe oO4gAtt79ReUUcJjwDZOBJoC21YJmWugambTP6p57MDJXAuJE9xFpvD/YMXD4atnqqn4O84sGGrR kxwie48Dmyd1ehdKcnp05BYHuqYu50qDu0fxPTCLmw7sTt56j30noSF2sxRZvAgdcUICqfvP2FAa 2EfMQEPrTZKOxGCETl06XjqTqAi6XFwtVnN6EfS0eLuaLZc5A5TnYOdD/CjRsGRU3FPjMzgc7kNM ZKA8u6RcAbVqtkrrfPC7eqM9OwANyTavE/pvbtqynmRazpcZ2WKKz/NjVKQh1spUfDVNK4VDmcT4 YJtsR1B6tImJtid1kiCjNHGoh9yGLF1SrsbmSHJ5HGeW/hgZHfqfnPU0rxUPP/bgJWf6kyXJ03Cf DX826rMBVlBoxWvORnMT8ydINC3eUitalWV6znyiSHOX1Tv9kTTYL8/Z6/knr38BAAD//wMAUEsD BBQABgAIAAAAIQDCFJfL3gAAAAoBAAAPAAAAZHJzL2Rvd25yZXYueG1sTI9BT8JAEIXvJv6HzZh4 gy2YkqZ2S5QETxgi+gOGdmgL3dna3UL9905PepuXeXnvfdl6tK26Uu8bxwYW8wgUceHKhisDX5/b WQLKB+QSW8dk4Ic8rPP7uwzT0t34g66HUCkJYZ+igTqELtXaFzVZ9HPXEcvv5HqLQWRf6bLHm4Tb Vi+jaKUtNiwNNXa0qam4HAZrYHeO935fbE/fsXt7xadh8z7uGmMeH8aXZ1CBxvBnhmm+TIdcNh3d wKVXregoEZZgYBavhGFyJIslqON0xKDzTP9HyH8BAAD//wMAUEsBAi0AFAAGAAgAAAAhALaDOJL+ AAAA4QEAABMAAAAAAAAAAAAAAAAAAAAAAFtDb250ZW50X1R5cGVzXS54bWxQSwECLQAUAAYACAAA ACEAOP0h/9YAAACUAQAACwAAAAAAAAAAAAAAAAAvAQAAX3JlbHMvLnJlbHNQSwECLQAUAAYACAAA ACEAJWv/HBcCAAARBAAADgAAAAAAAAAAAAAAAAAuAgAAZHJzL2Uyb0RvYy54bWxQSwECLQAUAAYA CAAAACEAwhSXy94AAAAKAQAADwAAAAAAAAAAAAAAAABxBAAAZHJzL2Rvd25yZXYueG1sUEsFBgAA AAAEAAQA8wAAAHwFAAAAAA== " stroked="f">
                      <v:textbox inset="0,0,0,0">
                        <w:txbxContent>
                          <w:p w:rsidR="007B7864" w:rsidRDefault="007B7864" w:rsidP="00F01516">
                            <w:pPr>
                              <w:spacing w:before="0" w:after="0"/>
                              <w:jc w:val="center"/>
                              <w:rPr>
                                <w:smallCaps/>
                              </w:rPr>
                            </w:pPr>
                            <w:r>
                              <w:rPr>
                                <w:smallCaps/>
                                <w:noProof/>
                                <w:lang w:val="en-US" w:eastAsia="en-US"/>
                              </w:rPr>
                              <w:drawing>
                                <wp:inline distT="0" distB="0" distL="0" distR="0" wp14:anchorId="4C3DE009" wp14:editId="7CC88CE3">
                                  <wp:extent cx="457200" cy="384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DO NOT REUSE.jpg"/>
                                          <pic:cNvPicPr/>
                                        </pic:nvPicPr>
                                        <pic:blipFill rotWithShape="1">
                                          <a:blip r:embed="rId14" cstate="print">
                                            <a:extLst>
                                              <a:ext uri="{28A0092B-C50C-407E-A947-70E740481C1C}">
                                                <a14:useLocalDpi xmlns:a14="http://schemas.microsoft.com/office/drawing/2010/main" val="0"/>
                                              </a:ext>
                                            </a:extLst>
                                          </a:blip>
                                          <a:srcRect l="2085" t="2418" r="338" b="2413"/>
                                          <a:stretch/>
                                        </pic:blipFill>
                                        <pic:spPr bwMode="auto">
                                          <a:xfrm>
                                            <a:off x="0" y="0"/>
                                            <a:ext cx="457200" cy="384908"/>
                                          </a:xfrm>
                                          <a:prstGeom prst="rect">
                                            <a:avLst/>
                                          </a:prstGeom>
                                          <a:ln>
                                            <a:noFill/>
                                          </a:ln>
                                          <a:extLst>
                                            <a:ext uri="{53640926-AAD7-44D8-BBD7-CCE9431645EC}">
                                              <a14:shadowObscured xmlns:a14="http://schemas.microsoft.com/office/drawing/2010/main"/>
                                            </a:ext>
                                          </a:extLst>
                                        </pic:spPr>
                                      </pic:pic>
                                    </a:graphicData>
                                  </a:graphic>
                                </wp:inline>
                              </w:drawing>
                            </w:r>
                          </w:p>
                          <w:p w:rsidR="007B7864" w:rsidRPr="006F3250" w:rsidRDefault="007B7864" w:rsidP="00F01516">
                            <w:pPr>
                              <w:spacing w:before="0" w:after="0"/>
                              <w:jc w:val="center"/>
                              <w:rPr>
                                <w:smallCaps/>
                                <w:sz w:val="12"/>
                                <w:szCs w:val="12"/>
                              </w:rPr>
                            </w:pPr>
                            <w:r>
                              <w:rPr>
                                <w:smallCaps/>
                                <w:sz w:val="12"/>
                                <w:szCs w:val="12"/>
                              </w:rPr>
                              <w:t>Non Sterile</w:t>
                            </w:r>
                          </w:p>
                        </w:txbxContent>
                      </v:textbox>
                    </v:shape>
                  </w:pict>
                </mc:Fallback>
              </mc:AlternateContent>
            </w:r>
            <w:r>
              <w:rPr>
                <w:noProof/>
                <w:sz w:val="16"/>
                <w:szCs w:val="16"/>
                <w:lang w:val="en-US" w:eastAsia="en-US"/>
              </w:rPr>
              <mc:AlternateContent>
                <mc:Choice Requires="wps">
                  <w:drawing>
                    <wp:anchor distT="0" distB="0" distL="114300" distR="114300" simplePos="0" relativeHeight="251675648" behindDoc="0" locked="0" layoutInCell="1" allowOverlap="1" wp14:anchorId="6C7F4AB9" wp14:editId="6A62993C">
                      <wp:simplePos x="0" y="0"/>
                      <wp:positionH relativeFrom="column">
                        <wp:posOffset>1389380</wp:posOffset>
                      </wp:positionH>
                      <wp:positionV relativeFrom="paragraph">
                        <wp:posOffset>-308610</wp:posOffset>
                      </wp:positionV>
                      <wp:extent cx="1143000" cy="302260"/>
                      <wp:effectExtent l="0" t="0" r="19050" b="2159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2260"/>
                              </a:xfrm>
                              <a:prstGeom prst="rect">
                                <a:avLst/>
                              </a:prstGeom>
                              <a:solidFill>
                                <a:srgbClr val="FFFFFF"/>
                              </a:solidFill>
                              <a:ln w="9525">
                                <a:solidFill>
                                  <a:srgbClr val="000000"/>
                                </a:solidFill>
                                <a:miter lim="800000"/>
                                <a:headEnd/>
                                <a:tailEnd/>
                              </a:ln>
                            </wps:spPr>
                            <wps:txbx>
                              <w:txbxContent>
                                <w:p w14:paraId="5BA7889F" w14:textId="77777777" w:rsidR="007B7864" w:rsidRDefault="007B7864" w:rsidP="00F01516">
                                  <w:pPr>
                                    <w:pStyle w:val="Graphic"/>
                                  </w:pPr>
                                  <w:r>
                                    <w:drawing>
                                      <wp:inline distT="0" distB="0" distL="0" distR="0" wp14:anchorId="2CF134D7" wp14:editId="3C84D6A0">
                                        <wp:extent cx="327660" cy="233045"/>
                                        <wp:effectExtent l="19050" t="0" r="0" b="0"/>
                                        <wp:docPr id="3" name="Picture 1" descr="c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_logo.gif"/>
                                                <pic:cNvPicPr>
                                                  <a:picLocks noChangeAspect="1" noChangeArrowheads="1"/>
                                                </pic:cNvPicPr>
                                              </pic:nvPicPr>
                                              <pic:blipFill>
                                                <a:blip r:embed="rId15"/>
                                                <a:srcRect/>
                                                <a:stretch>
                                                  <a:fillRect/>
                                                </a:stretch>
                                              </pic:blipFill>
                                              <pic:spPr bwMode="auto">
                                                <a:xfrm>
                                                  <a:off x="0" y="0"/>
                                                  <a:ext cx="327660" cy="233045"/>
                                                </a:xfrm>
                                                <a:prstGeom prst="rect">
                                                  <a:avLst/>
                                                </a:prstGeom>
                                                <a:noFill/>
                                                <a:ln w="9525">
                                                  <a:noFill/>
                                                  <a:miter lim="800000"/>
                                                  <a:headEnd/>
                                                  <a:tailEnd/>
                                                </a:ln>
                                              </pic:spPr>
                                            </pic:pic>
                                          </a:graphicData>
                                        </a:graphic>
                                      </wp:inline>
                                    </w:drawing>
                                  </w:r>
                                  <w:r>
                                    <w:t xml:space="preserve"> 0086</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D782C" id="Text Box 293" o:spid="_x0000_s1028" type="#_x0000_t202" style="position:absolute;left:0;text-align:left;margin-left:109.4pt;margin-top:-24.3pt;width:90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QvjyKQIAAE0EAAAOAAAAZHJzL2Uyb0RvYy54bWysVFFv0zAQfkfiP1h+Z0k7Nm1R02lsDCGN gbTxA66O01g4PnN2m5Rfz9lpyxjiBdEH6xyfv/vu+85dXI29FVtNwaCr5eyklEI7hY1x61p+fbp7 cyFFiOAasOh0LXc6yKvl61eLwVd6jh3aRpNgEBeqwdeyi9FXRRFUp3sIJ+i148MWqYfIW1oXDcHA 6L0t5mV5XgxIjSdUOgT+ejsdymXGb1ut4ue2DToKW0vmFvNKeV2ltVguoFoT+M6oPQ34BxY9GMdF j1C3EEFsyPwB1RtFGLCNJwr7AtvWKJ174G5m5YtuHjvwOvfC4gR/lCn8P1j1sP1CwjS1nF+eSuGg Z5Oe9BjFOxxF+sYKDT5UnPjoOTWOfMBO526Dv0f1LQiHNx24tb4mwqHT0DDDWbpZPLs64YQEsho+ YcOFYBMxA40t9Uk+FkQwOju1O7qTyKhUcvb2tCz5SPHZaTmfn2f7CqgOtz2F+EFjL1JQS2L3Mzps 70NMbKA6pKRiAa1p7oy1eUPr1Y0lsQWelLv8yw28SLNODLW8PJufTQL8FYKZJrJT1d8q9SbyyFvT 1/LimARVku29a/gCVBGMnWKmbN1exyTdJGIcV+Nk2sGeFTY7FpZwmnB+kRx0SD+kGHi6axm+b4C0 FPajY3PSUzgEdAhWhwCc4qu1VJGkmDY3cXo0G09m3TH2NAAOr9nC1mR1k9cTjz1hntks+v59pUfx fJ+zfv0LLH8CAAD//wMAUEsDBBQABgAIAAAAIQD9S/8m3AAAAAoBAAAPAAAAZHJzL2Rvd25yZXYu eG1sTI/PToNAEMbvJr7DZky8tQtoGkSWprExMd5s+wBTdgQqO0vYbUGf3ulJj9+ffPObcj27Xl1o DJ1nA+kyAUVce9txY+Cwf13koEJEtth7JgPfFGBd3d6UWFg/8QdddrFRMsKhQANtjEOhdahbchiW fiCW7NOPDqPIsdF2xEnGXa+zJFlphx3LhRYHemmp/tqdnQHOti6t+/mkN3v8eZve7bQ9RWPu7+bN M6hIc/wrwxVf0KESpqM/sw2qN5CluaBHA4vHfAVKGg9PV+coTpqArkr9/4XqFwAA//8DAFBLAQIt ABQABgAIAAAAIQC2gziS/gAAAOEBAAATAAAAAAAAAAAAAAAAAAAAAABbQ29udGVudF9UeXBlc10u eG1sUEsBAi0AFAAGAAgAAAAhADj9If/WAAAAlAEAAAsAAAAAAAAAAAAAAAAALwEAAF9yZWxzLy5y ZWxzUEsBAi0AFAAGAAgAAAAhAHBC+PIpAgAATQQAAA4AAAAAAAAAAAAAAAAALgIAAGRycy9lMm9E b2MueG1sUEsBAi0AFAAGAAgAAAAhAP1L/ybcAAAACgEAAA8AAAAAAAAAAAAAAAAAgwQAAGRycy9k b3ducmV2LnhtbFBLBQYAAAAABAAEAPMAAACMBQAAAAA= ">
                      <v:textbox inset="0,0,0,0">
                        <w:txbxContent>
                          <w:p w:rsidR="007B7864" w:rsidRDefault="007B7864" w:rsidP="00F01516">
                            <w:pPr>
                              <w:pStyle w:val="Graphic"/>
                            </w:pPr>
                            <w:r>
                              <w:drawing>
                                <wp:inline distT="0" distB="0" distL="0" distR="0" wp14:anchorId="775EDA2F" wp14:editId="0CE542D3">
                                  <wp:extent cx="327660" cy="233045"/>
                                  <wp:effectExtent l="19050" t="0" r="0" b="0"/>
                                  <wp:docPr id="3" name="Picture 1" descr="c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_logo.gif"/>
                                          <pic:cNvPicPr>
                                            <a:picLocks noChangeAspect="1" noChangeArrowheads="1"/>
                                          </pic:cNvPicPr>
                                        </pic:nvPicPr>
                                        <pic:blipFill>
                                          <a:blip r:embed="rId16"/>
                                          <a:srcRect/>
                                          <a:stretch>
                                            <a:fillRect/>
                                          </a:stretch>
                                        </pic:blipFill>
                                        <pic:spPr bwMode="auto">
                                          <a:xfrm>
                                            <a:off x="0" y="0"/>
                                            <a:ext cx="327660" cy="233045"/>
                                          </a:xfrm>
                                          <a:prstGeom prst="rect">
                                            <a:avLst/>
                                          </a:prstGeom>
                                          <a:noFill/>
                                          <a:ln w="9525">
                                            <a:noFill/>
                                            <a:miter lim="800000"/>
                                            <a:headEnd/>
                                            <a:tailEnd/>
                                          </a:ln>
                                        </pic:spPr>
                                      </pic:pic>
                                    </a:graphicData>
                                  </a:graphic>
                                </wp:inline>
                              </w:drawing>
                            </w:r>
                            <w:r>
                              <w:t xml:space="preserve"> 0086</w:t>
                            </w:r>
                          </w:p>
                        </w:txbxContent>
                      </v:textbox>
                    </v:shape>
                  </w:pict>
                </mc:Fallback>
              </mc:AlternateContent>
            </w:r>
          </w:p>
          <w:p w14:paraId="128F4D5D" w14:textId="0341B9DF" w:rsidR="00F01516" w:rsidRPr="00AC5103" w:rsidRDefault="00DC1AC1" w:rsidP="007B7864">
            <w:pPr>
              <w:pStyle w:val="Footer"/>
              <w:tabs>
                <w:tab w:val="clear" w:pos="4536"/>
                <w:tab w:val="clear" w:pos="9072"/>
                <w:tab w:val="right" w:pos="6128"/>
                <w:tab w:val="right" w:pos="10800"/>
              </w:tabs>
              <w:ind w:left="98"/>
              <w:jc w:val="center"/>
              <w:rPr>
                <w:szCs w:val="16"/>
              </w:rPr>
            </w:pPr>
            <w:r>
              <w:rPr>
                <w:rFonts w:asciiTheme="minorBidi" w:hAnsiTheme="minorBidi" w:cstheme="minorBidi"/>
                <w:szCs w:val="16"/>
              </w:rPr>
              <w:t>IFU-99-1015-1</w:t>
            </w:r>
            <w:r w:rsidR="00B25F03">
              <w:rPr>
                <w:rFonts w:asciiTheme="minorBidi" w:hAnsiTheme="minorBidi" w:cstheme="minorBidi"/>
                <w:szCs w:val="16"/>
              </w:rPr>
              <w:t>02</w:t>
            </w:r>
            <w:r w:rsidR="00F01516" w:rsidRPr="005D069A">
              <w:rPr>
                <w:rFonts w:asciiTheme="minorBidi" w:hAnsiTheme="minorBidi" w:cstheme="minorBidi"/>
                <w:szCs w:val="16"/>
              </w:rPr>
              <w:t xml:space="preserve">   Rev </w:t>
            </w:r>
            <w:r w:rsidR="00B25F03">
              <w:rPr>
                <w:rFonts w:asciiTheme="minorBidi" w:hAnsiTheme="minorBidi" w:cstheme="minorBidi"/>
                <w:szCs w:val="16"/>
              </w:rPr>
              <w:t>A</w:t>
            </w:r>
            <w:r w:rsidR="00F01516" w:rsidRPr="00AC5103">
              <w:rPr>
                <w:szCs w:val="16"/>
              </w:rPr>
              <w:tab/>
            </w:r>
            <w:r w:rsidR="00B25F03">
              <w:rPr>
                <w:rFonts w:asciiTheme="minorBidi" w:hAnsiTheme="minorBidi" w:cstheme="minorBidi"/>
                <w:szCs w:val="16"/>
              </w:rPr>
              <w:t>January</w:t>
            </w:r>
            <w:r w:rsidR="006276D5">
              <w:rPr>
                <w:rFonts w:asciiTheme="minorBidi" w:hAnsiTheme="minorBidi" w:cstheme="minorBidi"/>
                <w:szCs w:val="16"/>
              </w:rPr>
              <w:t xml:space="preserve"> 201</w:t>
            </w:r>
            <w:r w:rsidR="00B25F03">
              <w:rPr>
                <w:rFonts w:asciiTheme="minorBidi" w:hAnsiTheme="minorBidi" w:cstheme="minorBidi"/>
                <w:szCs w:val="16"/>
              </w:rPr>
              <w:t>7</w:t>
            </w:r>
          </w:p>
          <w:p w14:paraId="1E97A960" w14:textId="77777777" w:rsidR="00F01516" w:rsidRPr="00BE1B16" w:rsidRDefault="00F01516" w:rsidP="007B7864">
            <w:pPr>
              <w:pStyle w:val="Footer"/>
              <w:tabs>
                <w:tab w:val="clear" w:pos="4536"/>
                <w:tab w:val="clear" w:pos="9072"/>
                <w:tab w:val="center" w:pos="2700"/>
                <w:tab w:val="right" w:pos="10800"/>
              </w:tabs>
              <w:ind w:left="450" w:right="450"/>
              <w:jc w:val="center"/>
              <w:rPr>
                <w:rFonts w:ascii="Arial Narrow" w:hAnsi="Arial Narrow"/>
                <w:szCs w:val="16"/>
                <w:lang w:eastAsia="en-US"/>
              </w:rPr>
            </w:pPr>
            <w:r w:rsidRPr="00BE1B16">
              <w:rPr>
                <w:rFonts w:ascii="Arial Narrow" w:hAnsi="Arial Narrow"/>
                <w:szCs w:val="16"/>
                <w:lang w:eastAsia="en-US"/>
              </w:rPr>
              <w:t>OrthoPediatrics is a trademark, registered in the United States, of OrthoPediatrics Corp.</w:t>
            </w:r>
          </w:p>
        </w:tc>
      </w:tr>
      <w:tr w:rsidR="00F01516" w:rsidRPr="00AC5103" w14:paraId="317635BD" w14:textId="77777777" w:rsidTr="00F01516">
        <w:trPr>
          <w:trHeight w:val="1008"/>
        </w:trPr>
        <w:tc>
          <w:tcPr>
            <w:tcW w:w="1687" w:type="dxa"/>
          </w:tcPr>
          <w:p w14:paraId="105B1759" w14:textId="77777777" w:rsidR="00F01516" w:rsidRPr="004F1475" w:rsidRDefault="00F01516" w:rsidP="007B7864">
            <w:pPr>
              <w:tabs>
                <w:tab w:val="center" w:pos="5400"/>
                <w:tab w:val="right" w:pos="10800"/>
              </w:tabs>
              <w:contextualSpacing/>
              <w:rPr>
                <w:rFonts w:ascii="Arial Narrow" w:hAnsi="Arial Narrow" w:cs="Arial"/>
                <w:sz w:val="14"/>
                <w:szCs w:val="14"/>
              </w:rPr>
            </w:pPr>
            <w:r w:rsidRPr="004F1475">
              <w:rPr>
                <w:rFonts w:ascii="Arial Narrow" w:hAnsi="Arial Narrow" w:cs="Arial"/>
                <w:sz w:val="14"/>
                <w:szCs w:val="14"/>
              </w:rPr>
              <w:t>ORTHOPEDIATRICS</w:t>
            </w:r>
          </w:p>
          <w:p w14:paraId="119B7465" w14:textId="77777777" w:rsidR="00F01516" w:rsidRPr="004F1475" w:rsidRDefault="00F01516" w:rsidP="007B7864">
            <w:pPr>
              <w:tabs>
                <w:tab w:val="center" w:pos="5400"/>
                <w:tab w:val="right" w:pos="10800"/>
              </w:tabs>
              <w:contextualSpacing/>
              <w:rPr>
                <w:rFonts w:ascii="Arial Narrow" w:hAnsi="Arial Narrow" w:cs="Arial"/>
                <w:sz w:val="14"/>
                <w:szCs w:val="14"/>
              </w:rPr>
            </w:pPr>
            <w:r w:rsidRPr="004F1475">
              <w:rPr>
                <w:rFonts w:ascii="Arial Narrow" w:hAnsi="Arial Narrow" w:cs="Arial"/>
                <w:sz w:val="14"/>
                <w:szCs w:val="14"/>
              </w:rPr>
              <w:t>2850 Frontier Drive</w:t>
            </w:r>
          </w:p>
          <w:p w14:paraId="13CD0FF9" w14:textId="77777777" w:rsidR="00F01516" w:rsidRPr="004F1475" w:rsidRDefault="00F01516" w:rsidP="007B7864">
            <w:pPr>
              <w:tabs>
                <w:tab w:val="center" w:pos="5400"/>
                <w:tab w:val="right" w:pos="10800"/>
              </w:tabs>
              <w:contextualSpacing/>
              <w:rPr>
                <w:rFonts w:ascii="Arial Narrow" w:hAnsi="Arial Narrow" w:cs="Arial"/>
                <w:sz w:val="14"/>
                <w:szCs w:val="14"/>
              </w:rPr>
            </w:pPr>
            <w:r w:rsidRPr="004F1475">
              <w:rPr>
                <w:rFonts w:ascii="Arial Narrow" w:hAnsi="Arial Narrow" w:cs="Arial"/>
                <w:sz w:val="14"/>
                <w:szCs w:val="14"/>
              </w:rPr>
              <w:t>Warsaw, IN 46582, USA</w:t>
            </w:r>
          </w:p>
          <w:p w14:paraId="3CEA8FA9" w14:textId="77777777" w:rsidR="00F01516" w:rsidRPr="004F1475" w:rsidRDefault="00F01516" w:rsidP="007B7864">
            <w:pPr>
              <w:tabs>
                <w:tab w:val="center" w:pos="5400"/>
                <w:tab w:val="right" w:pos="10800"/>
              </w:tabs>
              <w:contextualSpacing/>
              <w:rPr>
                <w:rFonts w:ascii="Arial Narrow" w:hAnsi="Arial Narrow" w:cs="Arial"/>
                <w:b/>
                <w:bCs/>
                <w:sz w:val="14"/>
                <w:szCs w:val="14"/>
              </w:rPr>
            </w:pPr>
            <w:r w:rsidRPr="004F1475">
              <w:rPr>
                <w:rFonts w:ascii="Arial Narrow" w:hAnsi="Arial Narrow" w:cs="Arial"/>
                <w:sz w:val="14"/>
                <w:szCs w:val="14"/>
              </w:rPr>
              <w:t>Ph 574-268-6379</w:t>
            </w:r>
          </w:p>
        </w:tc>
        <w:tc>
          <w:tcPr>
            <w:tcW w:w="1839" w:type="dxa"/>
          </w:tcPr>
          <w:p w14:paraId="0D9615D2" w14:textId="77777777" w:rsidR="00F01516" w:rsidRPr="00CE65C7" w:rsidRDefault="00A13066" w:rsidP="007B7864">
            <w:pPr>
              <w:tabs>
                <w:tab w:val="center" w:pos="5400"/>
                <w:tab w:val="right" w:pos="10800"/>
              </w:tabs>
              <w:contextualSpacing/>
              <w:rPr>
                <w:rFonts w:ascii="Arial Narrow" w:hAnsi="Arial Narrow" w:cs="Arial"/>
                <w:b/>
                <w:bCs/>
                <w:sz w:val="14"/>
                <w:szCs w:val="14"/>
              </w:rPr>
            </w:pPr>
            <w:r>
              <w:rPr>
                <w:rFonts w:ascii="Arial Narrow" w:hAnsi="Arial Narrow" w:cs="Arial"/>
                <w:b/>
                <w:bCs/>
                <w:sz w:val="14"/>
                <w:szCs w:val="14"/>
              </w:rPr>
              <w:t>Surgical Special</w:t>
            </w:r>
            <w:r w:rsidR="00F01516" w:rsidRPr="00CE65C7">
              <w:rPr>
                <w:rFonts w:ascii="Arial Narrow" w:hAnsi="Arial Narrow" w:cs="Arial"/>
                <w:b/>
                <w:bCs/>
                <w:sz w:val="14"/>
                <w:szCs w:val="14"/>
              </w:rPr>
              <w:t>ties Pty Ltd</w:t>
            </w:r>
          </w:p>
          <w:p w14:paraId="51CFE172" w14:textId="5884E8E2" w:rsidR="00F01516" w:rsidRPr="00863A11" w:rsidRDefault="00DC1AC1" w:rsidP="007B7864">
            <w:pPr>
              <w:tabs>
                <w:tab w:val="center" w:pos="5400"/>
                <w:tab w:val="right" w:pos="10800"/>
              </w:tabs>
              <w:contextualSpacing/>
              <w:rPr>
                <w:rFonts w:ascii="Arial Narrow" w:hAnsi="Arial Narrow" w:cs="Arial"/>
                <w:bCs/>
                <w:sz w:val="14"/>
                <w:szCs w:val="14"/>
              </w:rPr>
            </w:pPr>
            <w:r>
              <w:rPr>
                <w:rFonts w:ascii="Arial Narrow" w:hAnsi="Arial Narrow" w:cs="Arial"/>
                <w:bCs/>
                <w:sz w:val="14"/>
                <w:szCs w:val="14"/>
              </w:rPr>
              <w:t>Unit 1</w:t>
            </w:r>
          </w:p>
          <w:p w14:paraId="2F08A92F" w14:textId="77777777" w:rsidR="00F01516" w:rsidRPr="00863A11" w:rsidRDefault="00F01516" w:rsidP="007B7864">
            <w:pPr>
              <w:tabs>
                <w:tab w:val="center" w:pos="5400"/>
                <w:tab w:val="right" w:pos="10800"/>
              </w:tabs>
              <w:contextualSpacing/>
              <w:rPr>
                <w:rFonts w:ascii="Arial Narrow" w:hAnsi="Arial Narrow" w:cs="Arial"/>
                <w:bCs/>
                <w:sz w:val="14"/>
                <w:szCs w:val="14"/>
              </w:rPr>
            </w:pPr>
            <w:r w:rsidRPr="00863A11">
              <w:rPr>
                <w:rFonts w:ascii="Arial Narrow" w:hAnsi="Arial Narrow" w:cs="Arial"/>
                <w:bCs/>
                <w:sz w:val="14"/>
                <w:szCs w:val="14"/>
              </w:rPr>
              <w:t>17 Rodborough Road</w:t>
            </w:r>
          </w:p>
          <w:p w14:paraId="7A4F3096" w14:textId="77777777" w:rsidR="00F01516" w:rsidRPr="00863A11" w:rsidRDefault="00F01516" w:rsidP="007B7864">
            <w:pPr>
              <w:tabs>
                <w:tab w:val="center" w:pos="5400"/>
                <w:tab w:val="right" w:pos="10800"/>
              </w:tabs>
              <w:contextualSpacing/>
              <w:rPr>
                <w:rFonts w:ascii="Arial Narrow" w:hAnsi="Arial Narrow" w:cs="Arial"/>
                <w:bCs/>
                <w:sz w:val="14"/>
                <w:szCs w:val="14"/>
              </w:rPr>
            </w:pPr>
            <w:r w:rsidRPr="00863A11">
              <w:rPr>
                <w:rFonts w:ascii="Arial Narrow" w:hAnsi="Arial Narrow" w:cs="Arial"/>
                <w:bCs/>
                <w:sz w:val="14"/>
                <w:szCs w:val="14"/>
              </w:rPr>
              <w:t>Frenchs Forest, NSW</w:t>
            </w:r>
          </w:p>
          <w:p w14:paraId="4B07D364" w14:textId="77777777" w:rsidR="00F01516" w:rsidRDefault="00F01516" w:rsidP="007B7864">
            <w:pPr>
              <w:tabs>
                <w:tab w:val="center" w:pos="5400"/>
                <w:tab w:val="right" w:pos="10800"/>
              </w:tabs>
              <w:contextualSpacing/>
              <w:rPr>
                <w:rFonts w:ascii="Arial Narrow" w:hAnsi="Arial Narrow" w:cs="Arial"/>
                <w:bCs/>
                <w:sz w:val="14"/>
                <w:szCs w:val="14"/>
              </w:rPr>
            </w:pPr>
            <w:r w:rsidRPr="00863A11">
              <w:rPr>
                <w:rFonts w:ascii="Arial Narrow" w:hAnsi="Arial Narrow" w:cs="Arial"/>
                <w:bCs/>
                <w:sz w:val="14"/>
                <w:szCs w:val="14"/>
              </w:rPr>
              <w:t>2086 Australia</w:t>
            </w:r>
          </w:p>
          <w:p w14:paraId="0645888F" w14:textId="77777777" w:rsidR="00F01516" w:rsidRPr="00CE65C7" w:rsidRDefault="00F01516" w:rsidP="007B7864">
            <w:pPr>
              <w:tabs>
                <w:tab w:val="center" w:pos="5400"/>
                <w:tab w:val="right" w:pos="10800"/>
              </w:tabs>
              <w:contextualSpacing/>
              <w:rPr>
                <w:rFonts w:ascii="Arial Narrow" w:hAnsi="Arial Narrow" w:cs="Arial"/>
                <w:bCs/>
                <w:sz w:val="14"/>
                <w:szCs w:val="14"/>
              </w:rPr>
            </w:pPr>
            <w:r w:rsidRPr="004F1475">
              <w:rPr>
                <w:rFonts w:ascii="Arial Narrow" w:hAnsi="Arial Narrow" w:cs="Arial"/>
                <w:bCs/>
                <w:sz w:val="14"/>
                <w:szCs w:val="14"/>
              </w:rPr>
              <w:t xml:space="preserve">Tel: </w:t>
            </w:r>
            <w:r>
              <w:rPr>
                <w:rFonts w:ascii="Arial Narrow" w:hAnsi="Arial Narrow" w:cs="Arial"/>
                <w:bCs/>
                <w:sz w:val="14"/>
                <w:szCs w:val="14"/>
              </w:rPr>
              <w:t xml:space="preserve">61 </w:t>
            </w:r>
            <w:r w:rsidRPr="004F1475">
              <w:rPr>
                <w:rFonts w:ascii="Arial Narrow" w:hAnsi="Arial Narrow" w:cs="Arial"/>
                <w:bCs/>
                <w:sz w:val="14"/>
                <w:szCs w:val="14"/>
              </w:rPr>
              <w:t>1300 665 884</w:t>
            </w:r>
          </w:p>
        </w:tc>
        <w:tc>
          <w:tcPr>
            <w:tcW w:w="1686" w:type="dxa"/>
          </w:tcPr>
          <w:p w14:paraId="349498A3" w14:textId="77777777" w:rsidR="00F01516" w:rsidRPr="0069791D" w:rsidRDefault="00F01516" w:rsidP="007B7864">
            <w:pPr>
              <w:tabs>
                <w:tab w:val="center" w:pos="5400"/>
                <w:tab w:val="right" w:pos="10800"/>
              </w:tabs>
              <w:contextualSpacing/>
              <w:rPr>
                <w:rFonts w:ascii="Arial Narrow" w:hAnsi="Arial Narrow" w:cs="Arial"/>
                <w:b/>
                <w:bCs/>
                <w:sz w:val="14"/>
                <w:szCs w:val="14"/>
              </w:rPr>
            </w:pPr>
            <w:r w:rsidRPr="0069791D">
              <w:rPr>
                <w:rFonts w:ascii="Arial Narrow" w:hAnsi="Arial Narrow" w:cs="Arial"/>
                <w:b/>
                <w:bCs/>
                <w:sz w:val="14"/>
                <w:szCs w:val="14"/>
              </w:rPr>
              <w:t>Emergo Europe</w:t>
            </w:r>
          </w:p>
          <w:p w14:paraId="6312E442" w14:textId="52A09727" w:rsidR="00F01516" w:rsidRDefault="00DC1AC1" w:rsidP="007B7864">
            <w:pPr>
              <w:tabs>
                <w:tab w:val="center" w:pos="5400"/>
                <w:tab w:val="right" w:pos="10800"/>
              </w:tabs>
              <w:contextualSpacing/>
              <w:rPr>
                <w:rFonts w:ascii="Arial Narrow" w:hAnsi="Arial Narrow" w:cs="Arial"/>
                <w:sz w:val="14"/>
                <w:szCs w:val="14"/>
              </w:rPr>
            </w:pPr>
            <w:r>
              <w:rPr>
                <w:rFonts w:ascii="Arial Narrow" w:hAnsi="Arial Narrow" w:cs="Arial"/>
                <w:sz w:val="14"/>
                <w:szCs w:val="14"/>
              </w:rPr>
              <w:t>Prinsessegracht 20</w:t>
            </w:r>
          </w:p>
          <w:p w14:paraId="75D38B6E" w14:textId="7E56C3D9" w:rsidR="0006070F" w:rsidRPr="0069791D" w:rsidRDefault="00182E99" w:rsidP="007B7864">
            <w:pPr>
              <w:tabs>
                <w:tab w:val="center" w:pos="5400"/>
                <w:tab w:val="right" w:pos="10800"/>
              </w:tabs>
              <w:contextualSpacing/>
              <w:rPr>
                <w:rFonts w:ascii="Arial Narrow" w:hAnsi="Arial Narrow" w:cs="Arial"/>
                <w:sz w:val="14"/>
                <w:szCs w:val="14"/>
              </w:rPr>
            </w:pPr>
            <w:r>
              <w:rPr>
                <w:rFonts w:ascii="Arial Narrow" w:hAnsi="Arial Narrow" w:cs="Arial"/>
                <w:sz w:val="14"/>
                <w:szCs w:val="14"/>
              </w:rPr>
              <w:t>The Hague 2514 AP</w:t>
            </w:r>
            <w:bookmarkStart w:id="0" w:name="_GoBack"/>
            <w:bookmarkEnd w:id="0"/>
          </w:p>
          <w:p w14:paraId="66CBABE3" w14:textId="77777777" w:rsidR="00F01516" w:rsidRPr="0069791D" w:rsidRDefault="00F01516" w:rsidP="007B7864">
            <w:pPr>
              <w:tabs>
                <w:tab w:val="center" w:pos="5400"/>
                <w:tab w:val="right" w:pos="10800"/>
              </w:tabs>
              <w:contextualSpacing/>
              <w:rPr>
                <w:rFonts w:ascii="Arial Narrow" w:hAnsi="Arial Narrow" w:cs="Arial"/>
                <w:sz w:val="14"/>
                <w:szCs w:val="14"/>
              </w:rPr>
            </w:pPr>
            <w:r w:rsidRPr="0069791D">
              <w:rPr>
                <w:rFonts w:ascii="Arial Narrow" w:hAnsi="Arial Narrow" w:cs="Arial"/>
                <w:sz w:val="14"/>
                <w:szCs w:val="14"/>
              </w:rPr>
              <w:t>The Netherlands</w:t>
            </w:r>
          </w:p>
          <w:p w14:paraId="2E8E2398" w14:textId="77777777" w:rsidR="00F01516" w:rsidRPr="0069791D" w:rsidRDefault="00F01516" w:rsidP="007B7864">
            <w:pPr>
              <w:tabs>
                <w:tab w:val="center" w:pos="5400"/>
                <w:tab w:val="right" w:pos="10800"/>
              </w:tabs>
              <w:contextualSpacing/>
              <w:rPr>
                <w:rFonts w:ascii="Arial Narrow" w:hAnsi="Arial Narrow" w:cs="Arial"/>
                <w:sz w:val="14"/>
                <w:szCs w:val="14"/>
              </w:rPr>
            </w:pPr>
            <w:r w:rsidRPr="0069791D">
              <w:rPr>
                <w:rFonts w:ascii="Arial Narrow" w:hAnsi="Arial Narrow" w:cs="Arial"/>
                <w:sz w:val="14"/>
                <w:szCs w:val="14"/>
              </w:rPr>
              <w:t>Tel: +31 (0)70 345 8570</w:t>
            </w:r>
          </w:p>
          <w:p w14:paraId="1DF848ED" w14:textId="77777777" w:rsidR="00F01516" w:rsidRPr="00A73147" w:rsidRDefault="00F01516" w:rsidP="007B7864">
            <w:pPr>
              <w:tabs>
                <w:tab w:val="center" w:pos="5400"/>
                <w:tab w:val="right" w:pos="10800"/>
              </w:tabs>
              <w:contextualSpacing/>
              <w:rPr>
                <w:rFonts w:asciiTheme="minorBidi" w:hAnsiTheme="minorBidi" w:cstheme="minorBidi"/>
                <w:sz w:val="16"/>
                <w:szCs w:val="16"/>
                <w:lang w:eastAsia="zh-CN" w:bidi="th-TH"/>
              </w:rPr>
            </w:pPr>
            <w:r w:rsidRPr="0069791D">
              <w:rPr>
                <w:rFonts w:ascii="Arial Narrow" w:hAnsi="Arial Narrow" w:cs="Arial"/>
                <w:sz w:val="14"/>
                <w:szCs w:val="14"/>
              </w:rPr>
              <w:t>Fax: +31 (0)70 346 7299</w:t>
            </w:r>
          </w:p>
        </w:tc>
        <w:tc>
          <w:tcPr>
            <w:tcW w:w="6308" w:type="dxa"/>
            <w:vMerge/>
            <w:vAlign w:val="bottom"/>
          </w:tcPr>
          <w:p w14:paraId="5912633E" w14:textId="77777777" w:rsidR="00F01516" w:rsidRPr="00AC5103" w:rsidRDefault="00F01516" w:rsidP="007B7864">
            <w:pPr>
              <w:tabs>
                <w:tab w:val="center" w:pos="5400"/>
                <w:tab w:val="right" w:pos="10800"/>
              </w:tabs>
              <w:rPr>
                <w:sz w:val="16"/>
                <w:szCs w:val="16"/>
              </w:rPr>
            </w:pPr>
          </w:p>
        </w:tc>
      </w:tr>
    </w:tbl>
    <w:p w14:paraId="1EF862F0" w14:textId="77777777" w:rsidR="00A73147" w:rsidRPr="00A73147" w:rsidRDefault="00A73147" w:rsidP="00A73147">
      <w:pPr>
        <w:spacing w:before="0" w:after="0"/>
        <w:rPr>
          <w:rFonts w:asciiTheme="minorBidi" w:hAnsiTheme="minorBidi" w:cstheme="minorBidi"/>
          <w:sz w:val="16"/>
          <w:szCs w:val="16"/>
        </w:rPr>
      </w:pPr>
    </w:p>
    <w:p w14:paraId="39F84B68" w14:textId="77777777" w:rsidR="00A73147" w:rsidRPr="00A73147" w:rsidRDefault="00A73147" w:rsidP="00F01516">
      <w:pPr>
        <w:pBdr>
          <w:top w:val="single" w:sz="12" w:space="1" w:color="auto"/>
        </w:pBdr>
        <w:tabs>
          <w:tab w:val="center" w:pos="5400"/>
          <w:tab w:val="right" w:pos="11520"/>
        </w:tabs>
        <w:spacing w:line="360" w:lineRule="exact"/>
        <w:rPr>
          <w:rFonts w:asciiTheme="minorBidi" w:hAnsiTheme="minorBidi" w:cstheme="minorBidi"/>
        </w:rPr>
      </w:pPr>
      <w:r w:rsidRPr="00A73147">
        <w:rPr>
          <w:rFonts w:asciiTheme="minorBidi" w:hAnsiTheme="minorBidi" w:cstheme="minorBidi"/>
          <w:b/>
        </w:rPr>
        <w:t>Packaging Insert</w:t>
      </w:r>
      <w:r w:rsidRPr="00A73147">
        <w:rPr>
          <w:rFonts w:asciiTheme="minorBidi" w:hAnsiTheme="minorBidi" w:cstheme="minorBidi"/>
          <w:b/>
        </w:rPr>
        <w:tab/>
      </w:r>
      <w:r w:rsidRPr="00A73147">
        <w:rPr>
          <w:rFonts w:asciiTheme="minorBidi" w:hAnsiTheme="minorBidi" w:cstheme="minorBidi"/>
          <w:b/>
          <w:u w:val="single"/>
        </w:rPr>
        <w:t>IMPORTANT MEDICAL INFORMATION</w:t>
      </w:r>
      <w:r w:rsidRPr="00A73147">
        <w:rPr>
          <w:rFonts w:asciiTheme="minorBidi" w:hAnsiTheme="minorBidi" w:cstheme="minorBidi"/>
          <w:b/>
        </w:rPr>
        <w:tab/>
      </w:r>
      <w:r w:rsidRPr="00A73147">
        <w:rPr>
          <w:rFonts w:asciiTheme="minorBidi" w:hAnsiTheme="minorBidi" w:cstheme="minorBidi"/>
        </w:rPr>
        <w:t>English</w:t>
      </w:r>
    </w:p>
    <w:p w14:paraId="0571B3CB" w14:textId="77777777" w:rsidR="007B182D" w:rsidRPr="00A73147" w:rsidRDefault="00780CC0" w:rsidP="00A73147">
      <w:pPr>
        <w:pStyle w:val="Heading3"/>
        <w:spacing w:before="0" w:after="0"/>
        <w:rPr>
          <w:rFonts w:asciiTheme="minorBidi" w:hAnsiTheme="minorBidi" w:cstheme="minorBidi"/>
          <w:sz w:val="28"/>
          <w:szCs w:val="28"/>
          <w:lang w:val="en-US"/>
        </w:rPr>
      </w:pPr>
      <w:r w:rsidRPr="00A73147">
        <w:rPr>
          <w:rFonts w:asciiTheme="minorBidi" w:hAnsiTheme="minorBidi" w:cstheme="minorBidi"/>
          <w:sz w:val="28"/>
          <w:szCs w:val="28"/>
          <w:lang w:val="en-US"/>
        </w:rPr>
        <w:t xml:space="preserve">OrthoPediatrics® </w:t>
      </w:r>
      <w:r w:rsidR="00B25F03">
        <w:rPr>
          <w:rFonts w:asciiTheme="minorBidi" w:hAnsiTheme="minorBidi" w:cstheme="minorBidi"/>
          <w:sz w:val="28"/>
          <w:szCs w:val="28"/>
          <w:lang w:val="en-US"/>
        </w:rPr>
        <w:t xml:space="preserve">Titanium </w:t>
      </w:r>
      <w:r w:rsidR="00AD7C35" w:rsidRPr="00A73147">
        <w:rPr>
          <w:rFonts w:asciiTheme="minorBidi" w:hAnsiTheme="minorBidi" w:cstheme="minorBidi"/>
          <w:sz w:val="28"/>
          <w:szCs w:val="28"/>
          <w:lang w:val="en-US"/>
        </w:rPr>
        <w:t>Pedi</w:t>
      </w:r>
      <w:r w:rsidR="00C2399D" w:rsidRPr="00A73147">
        <w:rPr>
          <w:rFonts w:asciiTheme="minorBidi" w:hAnsiTheme="minorBidi" w:cstheme="minorBidi"/>
          <w:sz w:val="28"/>
          <w:szCs w:val="28"/>
          <w:lang w:val="en-US"/>
        </w:rPr>
        <w:t>Plate</w:t>
      </w:r>
      <w:r w:rsidRPr="00A73147">
        <w:rPr>
          <w:rFonts w:asciiTheme="minorBidi" w:hAnsiTheme="minorBidi" w:cstheme="minorBidi"/>
          <w:sz w:val="28"/>
          <w:szCs w:val="28"/>
          <w:lang w:val="en-US"/>
        </w:rPr>
        <w:t>™</w:t>
      </w:r>
      <w:r w:rsidR="007B182D" w:rsidRPr="00A73147">
        <w:rPr>
          <w:rFonts w:asciiTheme="minorBidi" w:hAnsiTheme="minorBidi" w:cstheme="minorBidi"/>
          <w:sz w:val="28"/>
          <w:szCs w:val="28"/>
          <w:lang w:val="en-US"/>
        </w:rPr>
        <w:t xml:space="preserve"> </w:t>
      </w:r>
      <w:r w:rsidRPr="00A73147">
        <w:rPr>
          <w:rFonts w:asciiTheme="minorBidi" w:hAnsiTheme="minorBidi" w:cstheme="minorBidi"/>
          <w:sz w:val="28"/>
          <w:szCs w:val="28"/>
          <w:lang w:val="en-US"/>
        </w:rPr>
        <w:t xml:space="preserve">Bone Plating </w:t>
      </w:r>
      <w:r w:rsidR="007B182D" w:rsidRPr="00A73147">
        <w:rPr>
          <w:rFonts w:asciiTheme="minorBidi" w:hAnsiTheme="minorBidi" w:cstheme="minorBidi"/>
          <w:sz w:val="28"/>
          <w:szCs w:val="28"/>
          <w:lang w:val="en-US"/>
        </w:rPr>
        <w:t>System</w:t>
      </w:r>
    </w:p>
    <w:p w14:paraId="760B3282" w14:textId="77777777" w:rsidR="007B182D" w:rsidRPr="00FC2F0E" w:rsidRDefault="007B182D" w:rsidP="00FC2F0E">
      <w:pPr>
        <w:pStyle w:val="Heading1"/>
      </w:pPr>
      <w:r w:rsidRPr="00FC2F0E">
        <w:t>Description</w:t>
      </w:r>
    </w:p>
    <w:p w14:paraId="269D952C" w14:textId="77777777" w:rsidR="007B182D" w:rsidRPr="00A73147" w:rsidRDefault="007B182D" w:rsidP="001C2462">
      <w:pPr>
        <w:rPr>
          <w:rFonts w:asciiTheme="minorBidi" w:hAnsiTheme="minorBidi" w:cstheme="minorBidi"/>
          <w:sz w:val="19"/>
          <w:szCs w:val="19"/>
        </w:rPr>
      </w:pPr>
      <w:r w:rsidRPr="00A73147">
        <w:rPr>
          <w:rFonts w:asciiTheme="minorBidi" w:hAnsiTheme="minorBidi" w:cstheme="minorBidi"/>
          <w:sz w:val="19"/>
          <w:szCs w:val="19"/>
        </w:rPr>
        <w:t xml:space="preserve">The </w:t>
      </w:r>
      <w:r w:rsidR="00AD7C35" w:rsidRPr="00A73147">
        <w:rPr>
          <w:rFonts w:asciiTheme="minorBidi" w:hAnsiTheme="minorBidi" w:cstheme="minorBidi"/>
          <w:sz w:val="19"/>
          <w:szCs w:val="19"/>
        </w:rPr>
        <w:t>Pedi</w:t>
      </w:r>
      <w:r w:rsidR="00B63853" w:rsidRPr="00A73147">
        <w:rPr>
          <w:rFonts w:asciiTheme="minorBidi" w:hAnsiTheme="minorBidi" w:cstheme="minorBidi"/>
          <w:sz w:val="19"/>
          <w:szCs w:val="19"/>
        </w:rPr>
        <w:t>Plate</w:t>
      </w:r>
      <w:r w:rsidRPr="00A73147">
        <w:rPr>
          <w:rFonts w:asciiTheme="minorBidi" w:hAnsiTheme="minorBidi" w:cstheme="minorBidi"/>
          <w:sz w:val="19"/>
          <w:szCs w:val="19"/>
        </w:rPr>
        <w:t xml:space="preserve"> system includes </w:t>
      </w:r>
      <w:r w:rsidR="00B63853" w:rsidRPr="00A73147">
        <w:rPr>
          <w:rFonts w:asciiTheme="minorBidi" w:hAnsiTheme="minorBidi" w:cstheme="minorBidi"/>
          <w:sz w:val="19"/>
          <w:szCs w:val="19"/>
        </w:rPr>
        <w:t xml:space="preserve">instruments, </w:t>
      </w:r>
      <w:r w:rsidRPr="00A73147">
        <w:rPr>
          <w:rFonts w:asciiTheme="minorBidi" w:hAnsiTheme="minorBidi" w:cstheme="minorBidi"/>
          <w:sz w:val="19"/>
          <w:szCs w:val="19"/>
        </w:rPr>
        <w:t xml:space="preserve">bone plates and screws for the application of aiding bone fracture repair and healing.  The range includes medical devices from Class </w:t>
      </w:r>
      <w:r w:rsidR="00B63853" w:rsidRPr="00A73147">
        <w:rPr>
          <w:rFonts w:asciiTheme="minorBidi" w:hAnsiTheme="minorBidi" w:cstheme="minorBidi"/>
          <w:sz w:val="19"/>
          <w:szCs w:val="19"/>
        </w:rPr>
        <w:t xml:space="preserve">I and </w:t>
      </w:r>
      <w:r w:rsidR="00C74954" w:rsidRPr="00A73147">
        <w:rPr>
          <w:rFonts w:asciiTheme="minorBidi" w:hAnsiTheme="minorBidi" w:cstheme="minorBidi"/>
          <w:sz w:val="19"/>
          <w:szCs w:val="19"/>
        </w:rPr>
        <w:t>Class IIa/</w:t>
      </w:r>
      <w:r w:rsidR="006C3333" w:rsidRPr="00A73147">
        <w:rPr>
          <w:rFonts w:asciiTheme="minorBidi" w:hAnsiTheme="minorBidi" w:cstheme="minorBidi"/>
          <w:sz w:val="19"/>
          <w:szCs w:val="19"/>
        </w:rPr>
        <w:t>II</w:t>
      </w:r>
      <w:r w:rsidRPr="00A73147">
        <w:rPr>
          <w:rFonts w:asciiTheme="minorBidi" w:hAnsiTheme="minorBidi" w:cstheme="minorBidi"/>
          <w:sz w:val="19"/>
          <w:szCs w:val="19"/>
        </w:rPr>
        <w:t>b (93/42/CEE Directive).</w:t>
      </w:r>
    </w:p>
    <w:p w14:paraId="06707ADA" w14:textId="77777777" w:rsidR="007B182D" w:rsidRPr="00A73147" w:rsidRDefault="007B182D" w:rsidP="00FC2F0E">
      <w:pPr>
        <w:pStyle w:val="Heading1"/>
      </w:pPr>
      <w:r w:rsidRPr="00A73147">
        <w:t>Materials</w:t>
      </w:r>
    </w:p>
    <w:p w14:paraId="2425A3B6" w14:textId="77777777" w:rsidR="007B182D" w:rsidRPr="00A73147" w:rsidRDefault="007B182D" w:rsidP="001C2462">
      <w:pPr>
        <w:rPr>
          <w:rFonts w:asciiTheme="minorBidi" w:hAnsiTheme="minorBidi" w:cstheme="minorBidi"/>
          <w:sz w:val="19"/>
          <w:szCs w:val="19"/>
        </w:rPr>
      </w:pPr>
      <w:r w:rsidRPr="00A73147">
        <w:rPr>
          <w:rFonts w:asciiTheme="minorBidi" w:hAnsiTheme="minorBidi" w:cstheme="minorBidi"/>
          <w:sz w:val="19"/>
          <w:szCs w:val="19"/>
        </w:rPr>
        <w:t xml:space="preserve">The bone plates and bone screws are </w:t>
      </w:r>
      <w:r w:rsidR="00B3084E">
        <w:rPr>
          <w:rFonts w:asciiTheme="minorBidi" w:hAnsiTheme="minorBidi" w:cstheme="minorBidi"/>
          <w:sz w:val="19"/>
          <w:szCs w:val="19"/>
        </w:rPr>
        <w:t>manufactured</w:t>
      </w:r>
      <w:r w:rsidRPr="00A73147">
        <w:rPr>
          <w:rFonts w:asciiTheme="minorBidi" w:hAnsiTheme="minorBidi" w:cstheme="minorBidi"/>
          <w:sz w:val="19"/>
          <w:szCs w:val="19"/>
        </w:rPr>
        <w:t xml:space="preserve"> from </w:t>
      </w:r>
      <w:r w:rsidR="00B3084E">
        <w:rPr>
          <w:rFonts w:asciiTheme="minorBidi" w:hAnsiTheme="minorBidi" w:cstheme="minorBidi"/>
          <w:sz w:val="19"/>
          <w:szCs w:val="19"/>
        </w:rPr>
        <w:t>titanium alloy conforming to ASTM F-136</w:t>
      </w:r>
      <w:r w:rsidRPr="00A73147">
        <w:rPr>
          <w:rFonts w:asciiTheme="minorBidi" w:hAnsiTheme="minorBidi" w:cstheme="minorBidi"/>
          <w:sz w:val="19"/>
          <w:szCs w:val="19"/>
        </w:rPr>
        <w:t>.</w:t>
      </w:r>
      <w:r w:rsidR="00A06105" w:rsidRPr="00A73147">
        <w:rPr>
          <w:rFonts w:asciiTheme="minorBidi" w:hAnsiTheme="minorBidi" w:cstheme="minorBidi"/>
          <w:sz w:val="19"/>
          <w:szCs w:val="19"/>
        </w:rPr>
        <w:t xml:space="preserve"> </w:t>
      </w:r>
      <w:r w:rsidR="00B63853" w:rsidRPr="00A73147">
        <w:rPr>
          <w:rFonts w:asciiTheme="minorBidi" w:hAnsiTheme="minorBidi" w:cstheme="minorBidi"/>
          <w:sz w:val="19"/>
          <w:szCs w:val="19"/>
        </w:rPr>
        <w:t>The instruments are made from stainless steel.</w:t>
      </w:r>
      <w:r w:rsidR="00A06105" w:rsidRPr="00A73147">
        <w:rPr>
          <w:rFonts w:asciiTheme="minorBidi" w:hAnsiTheme="minorBidi" w:cstheme="minorBidi"/>
          <w:sz w:val="19"/>
          <w:szCs w:val="19"/>
        </w:rPr>
        <w:t xml:space="preserve"> </w:t>
      </w:r>
    </w:p>
    <w:p w14:paraId="53063E87" w14:textId="77777777" w:rsidR="007B182D" w:rsidRPr="00A73147" w:rsidRDefault="007B7864" w:rsidP="00FC2F0E">
      <w:pPr>
        <w:pStyle w:val="Heading1"/>
      </w:pPr>
      <w:r>
        <w:t>Indications and</w:t>
      </w:r>
      <w:r w:rsidR="007B182D" w:rsidRPr="00A73147">
        <w:t xml:space="preserve"> Usage</w:t>
      </w:r>
    </w:p>
    <w:p w14:paraId="3199B0D6" w14:textId="77777777" w:rsidR="007F0079" w:rsidRPr="00A73147" w:rsidRDefault="007F0079" w:rsidP="001C2462">
      <w:pPr>
        <w:rPr>
          <w:rFonts w:asciiTheme="minorBidi" w:hAnsiTheme="minorBidi" w:cstheme="minorBidi"/>
          <w:sz w:val="19"/>
          <w:szCs w:val="19"/>
        </w:rPr>
      </w:pPr>
      <w:r w:rsidRPr="00A73147">
        <w:rPr>
          <w:rFonts w:asciiTheme="minorBidi" w:hAnsiTheme="minorBidi" w:cstheme="minorBidi"/>
          <w:sz w:val="19"/>
          <w:szCs w:val="19"/>
        </w:rPr>
        <w:t xml:space="preserve">The OrthoPediatrics </w:t>
      </w:r>
      <w:r w:rsidR="00B25F03">
        <w:rPr>
          <w:rFonts w:asciiTheme="minorBidi" w:hAnsiTheme="minorBidi" w:cstheme="minorBidi"/>
          <w:sz w:val="19"/>
          <w:szCs w:val="19"/>
        </w:rPr>
        <w:t xml:space="preserve">Titanium </w:t>
      </w:r>
      <w:r w:rsidRPr="00A73147">
        <w:rPr>
          <w:rFonts w:asciiTheme="minorBidi" w:hAnsiTheme="minorBidi" w:cstheme="minorBidi"/>
          <w:sz w:val="19"/>
          <w:szCs w:val="19"/>
        </w:rPr>
        <w:t>PediPlate system is used for adult and pediatric patients as indicated for pelvic, small and long bone fracture</w:t>
      </w:r>
      <w:r w:rsidR="008B0446" w:rsidRPr="00A73147">
        <w:rPr>
          <w:rFonts w:asciiTheme="minorBidi" w:hAnsiTheme="minorBidi" w:cstheme="minorBidi"/>
          <w:sz w:val="19"/>
          <w:szCs w:val="19"/>
        </w:rPr>
        <w:t xml:space="preserve"> fixation and fixation of bones that have been surgically prepared (osteotomy) for correction of deformity or arthrodesis</w:t>
      </w:r>
      <w:r w:rsidRPr="00A73147">
        <w:rPr>
          <w:rFonts w:asciiTheme="minorBidi" w:hAnsiTheme="minorBidi" w:cstheme="minorBidi"/>
          <w:sz w:val="19"/>
          <w:szCs w:val="19"/>
        </w:rPr>
        <w:t>.   Indications for use include fractures of the tibia, fibula, fem</w:t>
      </w:r>
      <w:r w:rsidR="008A4F10" w:rsidRPr="00A73147">
        <w:rPr>
          <w:rFonts w:asciiTheme="minorBidi" w:hAnsiTheme="minorBidi" w:cstheme="minorBidi"/>
          <w:sz w:val="19"/>
          <w:szCs w:val="19"/>
        </w:rPr>
        <w:t>ur</w:t>
      </w:r>
      <w:r w:rsidRPr="00A73147">
        <w:rPr>
          <w:rFonts w:asciiTheme="minorBidi" w:hAnsiTheme="minorBidi" w:cstheme="minorBidi"/>
          <w:sz w:val="19"/>
          <w:szCs w:val="19"/>
        </w:rPr>
        <w:t xml:space="preserve">, pelvis, acetabulum, metacarpals, metatarsals, humerus, ulna, </w:t>
      </w:r>
      <w:r w:rsidR="008A4F10" w:rsidRPr="00A73147">
        <w:rPr>
          <w:rFonts w:asciiTheme="minorBidi" w:hAnsiTheme="minorBidi" w:cstheme="minorBidi"/>
          <w:sz w:val="19"/>
          <w:szCs w:val="19"/>
        </w:rPr>
        <w:t xml:space="preserve">radius, </w:t>
      </w:r>
      <w:r w:rsidRPr="00A73147">
        <w:rPr>
          <w:rFonts w:asciiTheme="minorBidi" w:hAnsiTheme="minorBidi" w:cstheme="minorBidi"/>
          <w:sz w:val="19"/>
          <w:szCs w:val="19"/>
        </w:rPr>
        <w:t>middle hand and middle foot bones, treatment of the calcaneal; hip arth</w:t>
      </w:r>
      <w:r w:rsidR="003F30C5" w:rsidRPr="00A73147">
        <w:rPr>
          <w:rFonts w:asciiTheme="minorBidi" w:hAnsiTheme="minorBidi" w:cstheme="minorBidi"/>
          <w:sz w:val="19"/>
          <w:szCs w:val="19"/>
        </w:rPr>
        <w:t>r</w:t>
      </w:r>
      <w:r w:rsidRPr="00A73147">
        <w:rPr>
          <w:rFonts w:asciiTheme="minorBidi" w:hAnsiTheme="minorBidi" w:cstheme="minorBidi"/>
          <w:sz w:val="19"/>
          <w:szCs w:val="19"/>
        </w:rPr>
        <w:t xml:space="preserve">odesis, and provisional hole fixation; as well as for redirecting the angle of growth of long bones.  This is useful for gradually correcting angular deformities in growing children.  </w:t>
      </w:r>
    </w:p>
    <w:p w14:paraId="7021DBE1" w14:textId="77777777" w:rsidR="007F0079" w:rsidRPr="00A73147" w:rsidRDefault="007F0079" w:rsidP="001C2462">
      <w:pPr>
        <w:rPr>
          <w:rFonts w:asciiTheme="minorBidi" w:hAnsiTheme="minorBidi" w:cstheme="minorBidi"/>
          <w:sz w:val="19"/>
          <w:szCs w:val="19"/>
        </w:rPr>
      </w:pPr>
      <w:r w:rsidRPr="00A73147">
        <w:rPr>
          <w:rFonts w:asciiTheme="minorBidi" w:hAnsiTheme="minorBidi" w:cstheme="minorBidi"/>
          <w:sz w:val="19"/>
          <w:szCs w:val="19"/>
        </w:rPr>
        <w:t>Specific pediatric conditions/diseases for which the devices will be indicated include:</w:t>
      </w:r>
    </w:p>
    <w:p w14:paraId="5DFD3448" w14:textId="77777777" w:rsidR="007F0079" w:rsidRPr="00A73147" w:rsidRDefault="007F0079"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Valgus, varus, or flexion, extension deformities of the knee (femur and/or tibia)</w:t>
      </w:r>
    </w:p>
    <w:p w14:paraId="55CB9D93" w14:textId="77777777" w:rsidR="007F0079" w:rsidRPr="00A73147" w:rsidRDefault="007F0079"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Valgus, varus, or plantar flexion deformities of the ankle</w:t>
      </w:r>
    </w:p>
    <w:p w14:paraId="7F68EE0F" w14:textId="77777777" w:rsidR="007F0079" w:rsidRPr="00A73147" w:rsidRDefault="007F0079"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Valgus or varus deformities of the elbow (humerus)</w:t>
      </w:r>
    </w:p>
    <w:p w14:paraId="7781B799" w14:textId="77777777" w:rsidR="007F0079" w:rsidRPr="00A73147" w:rsidRDefault="007F0079"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Radial or ulnar deviation, flexion or extension deformities of the wrist (radius)</w:t>
      </w:r>
    </w:p>
    <w:p w14:paraId="466D560D" w14:textId="77777777" w:rsidR="00CA6F7E" w:rsidRPr="00A73147" w:rsidRDefault="00CA6F7E" w:rsidP="00FC2F0E">
      <w:pPr>
        <w:pStyle w:val="Heading1"/>
      </w:pPr>
      <w:r w:rsidRPr="00A73147">
        <w:t>Contra-Indications</w:t>
      </w:r>
    </w:p>
    <w:p w14:paraId="6B8B1918" w14:textId="77777777" w:rsidR="00943B05" w:rsidRPr="00A73147" w:rsidRDefault="00CA6F7E"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Metallic bone fixation devices should not be used</w:t>
      </w:r>
      <w:r w:rsidR="007B182D" w:rsidRPr="00A73147">
        <w:rPr>
          <w:rFonts w:asciiTheme="minorBidi" w:hAnsiTheme="minorBidi" w:cstheme="minorBidi"/>
          <w:sz w:val="19"/>
          <w:szCs w:val="19"/>
        </w:rPr>
        <w:t xml:space="preserve"> in patients</w:t>
      </w:r>
      <w:r w:rsidR="00DF6FC5" w:rsidRPr="00A73147">
        <w:rPr>
          <w:rFonts w:asciiTheme="minorBidi" w:hAnsiTheme="minorBidi" w:cstheme="minorBidi"/>
          <w:sz w:val="19"/>
          <w:szCs w:val="19"/>
        </w:rPr>
        <w:t xml:space="preserve"> with</w:t>
      </w:r>
      <w:r w:rsidR="00943B05" w:rsidRPr="00A73147">
        <w:rPr>
          <w:rFonts w:asciiTheme="minorBidi" w:hAnsiTheme="minorBidi" w:cstheme="minorBidi"/>
          <w:sz w:val="19"/>
          <w:szCs w:val="19"/>
        </w:rPr>
        <w:t>:</w:t>
      </w:r>
    </w:p>
    <w:p w14:paraId="524EAEE5" w14:textId="77777777" w:rsidR="00943B05" w:rsidRPr="00A73147" w:rsidRDefault="007B182D" w:rsidP="00A73147">
      <w:pPr>
        <w:pStyle w:val="Bullet2"/>
        <w:contextualSpacing/>
        <w:rPr>
          <w:rFonts w:asciiTheme="minorBidi" w:hAnsiTheme="minorBidi" w:cstheme="minorBidi"/>
          <w:sz w:val="19"/>
          <w:szCs w:val="19"/>
        </w:rPr>
      </w:pPr>
      <w:r w:rsidRPr="00A73147">
        <w:rPr>
          <w:rFonts w:asciiTheme="minorBidi" w:hAnsiTheme="minorBidi" w:cstheme="minorBidi"/>
          <w:sz w:val="19"/>
          <w:szCs w:val="19"/>
        </w:rPr>
        <w:t>active infections in or near the</w:t>
      </w:r>
      <w:r w:rsidR="003F30C5" w:rsidRPr="00A73147">
        <w:rPr>
          <w:rFonts w:asciiTheme="minorBidi" w:hAnsiTheme="minorBidi" w:cstheme="minorBidi"/>
          <w:sz w:val="19"/>
          <w:szCs w:val="19"/>
        </w:rPr>
        <w:t xml:space="preserve"> fixation site</w:t>
      </w:r>
    </w:p>
    <w:p w14:paraId="2F9866BA" w14:textId="77777777" w:rsidR="00943B05" w:rsidRPr="00A73147" w:rsidRDefault="00CA6F7E" w:rsidP="00A73147">
      <w:pPr>
        <w:pStyle w:val="Bullet2"/>
        <w:contextualSpacing/>
        <w:rPr>
          <w:rFonts w:asciiTheme="minorBidi" w:hAnsiTheme="minorBidi" w:cstheme="minorBidi"/>
          <w:sz w:val="19"/>
          <w:szCs w:val="19"/>
        </w:rPr>
      </w:pPr>
      <w:r w:rsidRPr="00A73147">
        <w:rPr>
          <w:rFonts w:asciiTheme="minorBidi" w:hAnsiTheme="minorBidi" w:cstheme="minorBidi"/>
          <w:sz w:val="19"/>
          <w:szCs w:val="19"/>
        </w:rPr>
        <w:t>a demo</w:t>
      </w:r>
      <w:r w:rsidR="003F30C5" w:rsidRPr="00A73147">
        <w:rPr>
          <w:rFonts w:asciiTheme="minorBidi" w:hAnsiTheme="minorBidi" w:cstheme="minorBidi"/>
          <w:sz w:val="19"/>
          <w:szCs w:val="19"/>
        </w:rPr>
        <w:t>nstrated sensitivity to metals</w:t>
      </w:r>
    </w:p>
    <w:p w14:paraId="04A9B7C1" w14:textId="77777777" w:rsidR="007B182D" w:rsidRPr="00A73147" w:rsidRDefault="00CA6F7E" w:rsidP="00A73147">
      <w:pPr>
        <w:pStyle w:val="Bullet2"/>
        <w:contextualSpacing/>
        <w:rPr>
          <w:rFonts w:asciiTheme="minorBidi" w:hAnsiTheme="minorBidi" w:cstheme="minorBidi"/>
          <w:sz w:val="19"/>
          <w:szCs w:val="19"/>
        </w:rPr>
      </w:pPr>
      <w:r w:rsidRPr="00A73147">
        <w:rPr>
          <w:rFonts w:asciiTheme="minorBidi" w:hAnsiTheme="minorBidi" w:cstheme="minorBidi"/>
          <w:sz w:val="19"/>
          <w:szCs w:val="19"/>
        </w:rPr>
        <w:t xml:space="preserve">an inability to </w:t>
      </w:r>
      <w:r w:rsidR="003F30C5" w:rsidRPr="00A73147">
        <w:rPr>
          <w:rFonts w:asciiTheme="minorBidi" w:hAnsiTheme="minorBidi" w:cstheme="minorBidi"/>
          <w:sz w:val="19"/>
          <w:szCs w:val="19"/>
        </w:rPr>
        <w:t>follow a post-operative regimen</w:t>
      </w:r>
    </w:p>
    <w:p w14:paraId="7DFB13D8" w14:textId="77777777" w:rsidR="00C74954" w:rsidRPr="00A73147" w:rsidRDefault="00C74954" w:rsidP="00FC2F0E">
      <w:pPr>
        <w:pStyle w:val="Heading1"/>
      </w:pPr>
      <w:r w:rsidRPr="00A73147">
        <w:t xml:space="preserve">Warnings  </w:t>
      </w:r>
    </w:p>
    <w:p w14:paraId="2435302B" w14:textId="77777777" w:rsidR="006276D5" w:rsidRPr="00A73147" w:rsidRDefault="006276D5" w:rsidP="006276D5">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Federal (USA) law restricts this device to sale by or on the order of a physician.</w:t>
      </w:r>
    </w:p>
    <w:p w14:paraId="2785AE46"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Before clinical use, the surgeon should thoroughly understand all aspects of the surgical procedure and the limitations of the instrumentation.  Pre-operative procedures, knowledge of applicable surgical techniques, good reduction of bone fragments, proper patient selection and correct placement of the implants are all equally important for the successful use of these products.</w:t>
      </w:r>
    </w:p>
    <w:p w14:paraId="4E7B864D"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 xml:space="preserve">The OrthoPediatrics </w:t>
      </w:r>
      <w:r w:rsidR="00B25F03">
        <w:rPr>
          <w:rFonts w:asciiTheme="minorBidi" w:hAnsiTheme="minorBidi" w:cstheme="minorBidi"/>
          <w:sz w:val="19"/>
          <w:szCs w:val="19"/>
        </w:rPr>
        <w:t xml:space="preserve">Titanium </w:t>
      </w:r>
      <w:r w:rsidRPr="00A73147">
        <w:rPr>
          <w:rFonts w:asciiTheme="minorBidi" w:hAnsiTheme="minorBidi" w:cstheme="minorBidi"/>
          <w:sz w:val="19"/>
          <w:szCs w:val="19"/>
        </w:rPr>
        <w:t>PediPlate System is not intended to support the patient’s weight as excessive loads may cause the device to fail.  Weight bearing will depend upon the fracture pattern and stability, patient compliance and other associated injuries.  Progression of weight bearing should be at the discretion of the surgeon.</w:t>
      </w:r>
    </w:p>
    <w:p w14:paraId="73DC0DC3"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Use extreme care in the handling and storage of implants and instruments.  Cutting, bending or scratching the surface of metal components can significantly reduce the corrosion, strength, and fatigue resistance of the implant and instrument system.</w:t>
      </w:r>
    </w:p>
    <w:p w14:paraId="5C08F137"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Repeat use of a surgical implant is strictly forbidden.  Each implant used once must be disposed of properly.  This is the same even where it appears to be intact. The device may have small faults or internal stresses that if the item is re-used may lead to fatigue failure.</w:t>
      </w:r>
    </w:p>
    <w:p w14:paraId="5E1AC317"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Mixing of implants from different suppliers is not recommended for reasons of metallurgy, mechanics and design.  We decline all responsibility in the case of implants from different sources being mixed.</w:t>
      </w:r>
    </w:p>
    <w:p w14:paraId="43BB29B7"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 xml:space="preserve">Implant Retrieval. The final decision to recover the implant falls to the surgeon. If the patient is suitable, OrthoPediatrics recommends the retrieval of implants as otherwise they may replace the function of the bone and lead to bone reduction and weakening. This is especially important for young and active patients. Routine removal of internal fixation devices after healing may also reduce the occurrence of symptomatic complications of implant breakage, implant loosening or implant related pain. </w:t>
      </w:r>
    </w:p>
    <w:p w14:paraId="7E3C1B95" w14:textId="77777777" w:rsidR="00C74954" w:rsidRDefault="00C74954" w:rsidP="007B7864">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 xml:space="preserve">Care should be taken not to cut through surgical gloves when handling any sharp-edged surgical instrument and to take into account the risk of infection if a cut appears.  </w:t>
      </w:r>
    </w:p>
    <w:p w14:paraId="62FB159E" w14:textId="77777777" w:rsidR="007B7864" w:rsidRDefault="007B7864" w:rsidP="007B7864">
      <w:pPr>
        <w:pStyle w:val="Heading1"/>
      </w:pPr>
      <w:r w:rsidRPr="007B7864">
        <w:t>MRI Safety</w:t>
      </w:r>
      <w:r>
        <w:t xml:space="preserve"> Information</w:t>
      </w:r>
    </w:p>
    <w:p w14:paraId="55793D37" w14:textId="77777777" w:rsidR="007B7864" w:rsidRPr="007B7864" w:rsidRDefault="007B7864" w:rsidP="007B7864">
      <w:pPr>
        <w:spacing w:after="0"/>
        <w:ind w:firstLine="18"/>
        <w:rPr>
          <w:b/>
          <w:sz w:val="19"/>
          <w:szCs w:val="19"/>
        </w:rPr>
      </w:pPr>
      <w:r w:rsidRPr="007B7864">
        <w:rPr>
          <w:b/>
          <w:sz w:val="19"/>
          <w:szCs w:val="19"/>
        </w:rPr>
        <w:t>Static Magnetic Field</w:t>
      </w:r>
    </w:p>
    <w:p w14:paraId="272E599F" w14:textId="77777777" w:rsidR="007B7864" w:rsidRPr="007B7864" w:rsidRDefault="007B7864" w:rsidP="007B7864">
      <w:pPr>
        <w:pStyle w:val="ListParagraph"/>
        <w:numPr>
          <w:ilvl w:val="0"/>
          <w:numId w:val="28"/>
        </w:numPr>
        <w:autoSpaceDE w:val="0"/>
        <w:autoSpaceDN w:val="0"/>
        <w:adjustRightInd w:val="0"/>
        <w:spacing w:before="0" w:after="0"/>
        <w:ind w:left="450" w:hanging="180"/>
        <w:rPr>
          <w:sz w:val="19"/>
          <w:szCs w:val="19"/>
        </w:rPr>
      </w:pPr>
      <w:r w:rsidRPr="007B7864">
        <w:rPr>
          <w:sz w:val="19"/>
          <w:szCs w:val="19"/>
        </w:rPr>
        <w:t>Static magnetic field of 1.5 Tesla and 3-Tesla.</w:t>
      </w:r>
    </w:p>
    <w:p w14:paraId="3830FF28" w14:textId="77777777" w:rsidR="007B7864" w:rsidRPr="007B7864" w:rsidRDefault="007B7864" w:rsidP="007B7864">
      <w:pPr>
        <w:pStyle w:val="ListParagraph"/>
        <w:numPr>
          <w:ilvl w:val="0"/>
          <w:numId w:val="28"/>
        </w:numPr>
        <w:autoSpaceDE w:val="0"/>
        <w:autoSpaceDN w:val="0"/>
        <w:adjustRightInd w:val="0"/>
        <w:spacing w:before="0" w:after="0"/>
        <w:ind w:left="450" w:hanging="180"/>
        <w:rPr>
          <w:sz w:val="19"/>
          <w:szCs w:val="19"/>
        </w:rPr>
      </w:pPr>
      <w:r w:rsidRPr="007B7864">
        <w:rPr>
          <w:sz w:val="19"/>
          <w:szCs w:val="19"/>
        </w:rPr>
        <w:t xml:space="preserve">Maximum spatial gradient magnetic field of 3000-Gauss/cm or less </w:t>
      </w:r>
    </w:p>
    <w:p w14:paraId="4AB96591" w14:textId="77777777" w:rsidR="007B7864" w:rsidRPr="007B7864" w:rsidRDefault="007B7864" w:rsidP="007B7864">
      <w:pPr>
        <w:pStyle w:val="ListParagraph"/>
        <w:numPr>
          <w:ilvl w:val="0"/>
          <w:numId w:val="28"/>
        </w:numPr>
        <w:autoSpaceDE w:val="0"/>
        <w:autoSpaceDN w:val="0"/>
        <w:adjustRightInd w:val="0"/>
        <w:spacing w:before="0" w:after="0"/>
        <w:ind w:left="450" w:hanging="180"/>
        <w:rPr>
          <w:sz w:val="19"/>
          <w:szCs w:val="19"/>
        </w:rPr>
      </w:pPr>
      <w:r w:rsidRPr="007B7864">
        <w:rPr>
          <w:sz w:val="19"/>
          <w:szCs w:val="19"/>
        </w:rPr>
        <w:t>Maximum whole body average specific absorption rate (SAR) of 1.0 -W/kg or less under Normal mode for 15 minutes of scanning per pulse sequence.</w:t>
      </w:r>
    </w:p>
    <w:p w14:paraId="457A42D1" w14:textId="77777777" w:rsidR="007B7864" w:rsidRPr="007B7864" w:rsidRDefault="007B7864" w:rsidP="007B7864">
      <w:pPr>
        <w:pStyle w:val="ListParagraph"/>
        <w:autoSpaceDE w:val="0"/>
        <w:autoSpaceDN w:val="0"/>
        <w:adjustRightInd w:val="0"/>
        <w:spacing w:after="0"/>
        <w:ind w:left="0"/>
        <w:rPr>
          <w:sz w:val="19"/>
          <w:szCs w:val="19"/>
        </w:rPr>
      </w:pPr>
    </w:p>
    <w:p w14:paraId="7E622F47" w14:textId="77777777" w:rsidR="007B7864" w:rsidRPr="007B7864" w:rsidRDefault="007B7864" w:rsidP="007B7864">
      <w:pPr>
        <w:spacing w:after="0"/>
        <w:ind w:firstLine="18"/>
        <w:rPr>
          <w:b/>
          <w:sz w:val="19"/>
          <w:szCs w:val="19"/>
        </w:rPr>
      </w:pPr>
      <w:r w:rsidRPr="007B7864">
        <w:rPr>
          <w:b/>
          <w:sz w:val="19"/>
          <w:szCs w:val="19"/>
        </w:rPr>
        <w:t>MRI-Related Heating</w:t>
      </w:r>
    </w:p>
    <w:p w14:paraId="17BCB174" w14:textId="77777777" w:rsidR="007B7864" w:rsidRPr="007B7864" w:rsidRDefault="007B7864" w:rsidP="007B7864">
      <w:pPr>
        <w:autoSpaceDE w:val="0"/>
        <w:autoSpaceDN w:val="0"/>
        <w:adjustRightInd w:val="0"/>
        <w:spacing w:after="0"/>
        <w:ind w:firstLine="18"/>
        <w:rPr>
          <w:bCs/>
          <w:color w:val="000101"/>
          <w:sz w:val="19"/>
          <w:szCs w:val="19"/>
        </w:rPr>
      </w:pPr>
      <w:r w:rsidRPr="007B7864">
        <w:rPr>
          <w:bCs/>
          <w:color w:val="000101"/>
          <w:sz w:val="19"/>
          <w:szCs w:val="19"/>
        </w:rPr>
        <w:t>Based on measurements and calculations of RF heating according to ASTM F2182-11a, the OrthoPediatrics</w:t>
      </w:r>
      <w:r w:rsidR="004506C4">
        <w:rPr>
          <w:bCs/>
          <w:color w:val="000101"/>
          <w:sz w:val="19"/>
          <w:szCs w:val="19"/>
        </w:rPr>
        <w:t xml:space="preserve"> Titanium PediPlates </w:t>
      </w:r>
      <w:r w:rsidRPr="007B7864">
        <w:rPr>
          <w:bCs/>
          <w:color w:val="000101"/>
          <w:sz w:val="19"/>
          <w:szCs w:val="19"/>
        </w:rPr>
        <w:t>are expected to produce a maximum temperature rise of 6.1</w:t>
      </w:r>
      <w:r w:rsidR="004506C4">
        <w:rPr>
          <w:bCs/>
          <w:color w:val="000101"/>
          <w:sz w:val="19"/>
          <w:szCs w:val="19"/>
        </w:rPr>
        <w:t xml:space="preserve"> </w:t>
      </w:r>
      <w:r w:rsidRPr="007B7864">
        <w:rPr>
          <w:bCs/>
          <w:color w:val="000101"/>
          <w:sz w:val="19"/>
          <w:szCs w:val="19"/>
        </w:rPr>
        <w:t xml:space="preserve">°C for a whole body SAR of 1.0 W/kg in a </w:t>
      </w:r>
      <w:r w:rsidR="004506C4">
        <w:rPr>
          <w:bCs/>
          <w:color w:val="000101"/>
          <w:sz w:val="19"/>
          <w:szCs w:val="19"/>
        </w:rPr>
        <w:t>1.5-Tesla/64-MHz MR system and 4</w:t>
      </w:r>
      <w:r w:rsidRPr="007B7864">
        <w:rPr>
          <w:bCs/>
          <w:color w:val="000101"/>
          <w:sz w:val="19"/>
          <w:szCs w:val="19"/>
        </w:rPr>
        <w:t>.0</w:t>
      </w:r>
      <w:r w:rsidR="004506C4">
        <w:rPr>
          <w:bCs/>
          <w:color w:val="000101"/>
          <w:sz w:val="19"/>
          <w:szCs w:val="19"/>
        </w:rPr>
        <w:t xml:space="preserve"> </w:t>
      </w:r>
      <w:r w:rsidRPr="007B7864">
        <w:rPr>
          <w:bCs/>
          <w:color w:val="000101"/>
          <w:sz w:val="19"/>
          <w:szCs w:val="19"/>
        </w:rPr>
        <w:t xml:space="preserve">°C for a whole body SAR of 1.0 W/kg in a 3.0-Tesla/128-MHz MR system for a 15-minute scan.  </w:t>
      </w:r>
    </w:p>
    <w:p w14:paraId="3CF06FF4" w14:textId="77777777" w:rsidR="007B7864" w:rsidRPr="007B7864" w:rsidRDefault="007B7864" w:rsidP="007B7864">
      <w:pPr>
        <w:spacing w:after="0"/>
        <w:ind w:firstLine="18"/>
        <w:rPr>
          <w:b/>
          <w:sz w:val="19"/>
          <w:szCs w:val="19"/>
        </w:rPr>
      </w:pPr>
      <w:r w:rsidRPr="007B7864">
        <w:rPr>
          <w:b/>
          <w:sz w:val="19"/>
          <w:szCs w:val="19"/>
        </w:rPr>
        <w:t>Artifact Information</w:t>
      </w:r>
    </w:p>
    <w:p w14:paraId="6F03C20C" w14:textId="77777777" w:rsidR="007B7864" w:rsidRPr="007B7864" w:rsidRDefault="007B7864" w:rsidP="007B7864">
      <w:pPr>
        <w:autoSpaceDE w:val="0"/>
        <w:autoSpaceDN w:val="0"/>
        <w:adjustRightInd w:val="0"/>
        <w:spacing w:after="0"/>
        <w:ind w:firstLine="18"/>
        <w:rPr>
          <w:sz w:val="19"/>
          <w:szCs w:val="19"/>
        </w:rPr>
      </w:pPr>
      <w:r w:rsidRPr="007B7864">
        <w:rPr>
          <w:sz w:val="19"/>
          <w:szCs w:val="19"/>
        </w:rPr>
        <w:t xml:space="preserve">MR image quality may be compromised if the area of interest is in the same area or relatively close to the position to OrthoPediatrics implants.  </w:t>
      </w:r>
      <w:r w:rsidRPr="007B7864">
        <w:rPr>
          <w:bCs/>
          <w:iCs/>
          <w:sz w:val="19"/>
          <w:szCs w:val="19"/>
        </w:rPr>
        <w:t xml:space="preserve">The maximum artifact beyond the implant was 38 </w:t>
      </w:r>
      <w:r w:rsidRPr="007B7864">
        <w:rPr>
          <w:sz w:val="19"/>
          <w:szCs w:val="19"/>
        </w:rPr>
        <w:t>mm for the spin echo sequence and 53 mm for the gradient echo sequence</w:t>
      </w:r>
      <w:r w:rsidRPr="007B7864">
        <w:rPr>
          <w:bCs/>
          <w:iCs/>
          <w:sz w:val="19"/>
          <w:szCs w:val="19"/>
        </w:rPr>
        <w:t xml:space="preserve"> in a 3-Tesla MR system (</w:t>
      </w:r>
      <w:r w:rsidRPr="007B7864">
        <w:rPr>
          <w:sz w:val="19"/>
          <w:szCs w:val="19"/>
        </w:rPr>
        <w:t>GE Signa HDxt MR System</w:t>
      </w:r>
      <w:r w:rsidRPr="007B7864">
        <w:rPr>
          <w:bCs/>
          <w:iCs/>
          <w:sz w:val="19"/>
          <w:szCs w:val="19"/>
        </w:rPr>
        <w:t>).  T</w:t>
      </w:r>
      <w:r w:rsidRPr="007B7864">
        <w:rPr>
          <w:sz w:val="19"/>
          <w:szCs w:val="19"/>
        </w:rPr>
        <w:t>herefore, optimization of MR imaging parameters to compensate for the presence of this device may be necessary.</w:t>
      </w:r>
    </w:p>
    <w:p w14:paraId="7E384177" w14:textId="77777777" w:rsidR="007B7864" w:rsidRPr="007B7864" w:rsidRDefault="007B7864" w:rsidP="007B7864">
      <w:pPr>
        <w:spacing w:after="0"/>
        <w:ind w:firstLine="18"/>
        <w:rPr>
          <w:sz w:val="19"/>
          <w:szCs w:val="19"/>
        </w:rPr>
      </w:pPr>
      <w:r w:rsidRPr="007B7864">
        <w:rPr>
          <w:sz w:val="19"/>
          <w:szCs w:val="19"/>
        </w:rPr>
        <w:t xml:space="preserve">The presence of other implants or the health state of the patient may require a modification of the MR conditions. </w:t>
      </w:r>
    </w:p>
    <w:p w14:paraId="4F345CDA" w14:textId="77777777" w:rsidR="00C74954" w:rsidRPr="00A73147" w:rsidRDefault="00C74954" w:rsidP="00FC2F0E">
      <w:pPr>
        <w:pStyle w:val="Heading1"/>
      </w:pPr>
      <w:r w:rsidRPr="00A73147">
        <w:t>Adverse Effects</w:t>
      </w:r>
    </w:p>
    <w:p w14:paraId="26DB0352" w14:textId="77777777" w:rsidR="00C74954" w:rsidRPr="00A73147" w:rsidRDefault="00C74954" w:rsidP="00C74954">
      <w:pPr>
        <w:autoSpaceDE w:val="0"/>
        <w:autoSpaceDN w:val="0"/>
        <w:adjustRightInd w:val="0"/>
        <w:rPr>
          <w:rFonts w:asciiTheme="minorBidi" w:hAnsiTheme="minorBidi" w:cstheme="minorBidi"/>
          <w:sz w:val="19"/>
          <w:szCs w:val="19"/>
          <w:lang w:eastAsia="en-US"/>
        </w:rPr>
      </w:pPr>
      <w:r w:rsidRPr="00A73147">
        <w:rPr>
          <w:rFonts w:asciiTheme="minorBidi" w:hAnsiTheme="minorBidi" w:cstheme="minorBidi"/>
          <w:sz w:val="19"/>
          <w:szCs w:val="19"/>
          <w:lang w:eastAsia="en-US"/>
        </w:rPr>
        <w:t>The risks associated with this device are the same as with any metallic internal fixation device. These include, but are not limited to the following:</w:t>
      </w:r>
    </w:p>
    <w:p w14:paraId="3B1B1863"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Delayed or non-union that may lead to breakage of the implant</w:t>
      </w:r>
    </w:p>
    <w:p w14:paraId="19835F44"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Loss of fixation, attributable to non-union, osteoporosis, unstable comminuted fractures</w:t>
      </w:r>
    </w:p>
    <w:p w14:paraId="5FEA6A40"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Bending, fracture, or migration of the implant</w:t>
      </w:r>
    </w:p>
    <w:p w14:paraId="3EFAFC15"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Metal sensitivity, or allergic reaction to a foreign body</w:t>
      </w:r>
    </w:p>
    <w:p w14:paraId="3DA57B82"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Limb shortening, or decrease in bone density, due to compression of the fracture or bone resorption  Pain, discomfort, or abnormal sensations due to the presence of the device</w:t>
      </w:r>
    </w:p>
    <w:p w14:paraId="108007D1"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Nerve damage due to surgical trauma</w:t>
      </w:r>
    </w:p>
    <w:p w14:paraId="1AB88B62"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Necrosis of bone</w:t>
      </w:r>
    </w:p>
    <w:p w14:paraId="34C7F9C1"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Infection, both deep and superficial</w:t>
      </w:r>
    </w:p>
    <w:p w14:paraId="76C54211"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Death</w:t>
      </w:r>
    </w:p>
    <w:p w14:paraId="08848808"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Vascular disorders including thrombophlebitis, pulmonary embolus, wound hematomas, avascular necrosis</w:t>
      </w:r>
    </w:p>
    <w:p w14:paraId="5F634623" w14:textId="77777777" w:rsidR="00C74954" w:rsidRPr="00A73147" w:rsidRDefault="00C74954" w:rsidP="00C74954">
      <w:pPr>
        <w:jc w:val="both"/>
        <w:rPr>
          <w:rFonts w:asciiTheme="minorBidi" w:hAnsiTheme="minorBidi" w:cstheme="minorBidi"/>
          <w:bCs/>
          <w:color w:val="000000"/>
          <w:sz w:val="19"/>
          <w:szCs w:val="19"/>
        </w:rPr>
      </w:pPr>
      <w:r w:rsidRPr="00A73147">
        <w:rPr>
          <w:rFonts w:asciiTheme="minorBidi" w:hAnsiTheme="minorBidi" w:cstheme="minorBidi"/>
          <w:bCs/>
          <w:color w:val="000000"/>
          <w:sz w:val="19"/>
          <w:szCs w:val="19"/>
        </w:rPr>
        <w:t>These adverse effects include adverse effects that are important considerations for metallic internal fixation devices.  These risks and general surgical risks should be explained to the patient prior to surgery.</w:t>
      </w:r>
    </w:p>
    <w:p w14:paraId="7E86A57F" w14:textId="77777777" w:rsidR="00C74954" w:rsidRPr="00A73147" w:rsidRDefault="007B7864" w:rsidP="00FC2F0E">
      <w:pPr>
        <w:pStyle w:val="Heading1"/>
      </w:pPr>
      <w:r>
        <w:t>Sterilization Information</w:t>
      </w:r>
    </w:p>
    <w:p w14:paraId="0E87F1D9"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Implants and instruments are not sterile when shipped from OrthoPediatrics</w:t>
      </w:r>
    </w:p>
    <w:p w14:paraId="1055DD4A"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All implants and instruments must be sterilized before use. Implants are single use items; instruments may be reused after cleaning and sterilization.</w:t>
      </w:r>
    </w:p>
    <w:p w14:paraId="49170FFD"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If received in a package, implants are removed from their packaging prior to sterilization. If received as a set, implants and instruments may be sterilized individually or as a set.</w:t>
      </w:r>
    </w:p>
    <w:p w14:paraId="14CD27EB"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Recessed and hidden areas within an instrument should be inspected to ensure that entrapped or other residual materials are completely removed.  Instruments should be cleaned and sterilized as detailed in OrthoPediatrics Instrument Care, Cleaning and Sterilization Instructions CI-0001.</w:t>
      </w:r>
    </w:p>
    <w:p w14:paraId="1D810F08"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The sterilization parameters are only valid for devices that are adequately cleaned.</w:t>
      </w:r>
    </w:p>
    <w:p w14:paraId="7B2A6345" w14:textId="77777777" w:rsidR="00C74954" w:rsidRPr="00271A61" w:rsidRDefault="00C74954" w:rsidP="005F1891">
      <w:pPr>
        <w:pStyle w:val="Bullet1"/>
        <w:tabs>
          <w:tab w:val="clear" w:pos="360"/>
        </w:tabs>
        <w:ind w:left="187" w:hanging="187"/>
        <w:contextualSpacing/>
        <w:rPr>
          <w:rFonts w:asciiTheme="minorBidi" w:hAnsiTheme="minorBidi" w:cstheme="minorBidi"/>
          <w:b/>
          <w:bCs/>
          <w:sz w:val="19"/>
          <w:szCs w:val="19"/>
        </w:rPr>
      </w:pPr>
      <w:r w:rsidRPr="00271A61">
        <w:rPr>
          <w:rFonts w:asciiTheme="minorBidi" w:hAnsiTheme="minorBidi" w:cstheme="minorBidi"/>
          <w:b/>
          <w:bCs/>
          <w:sz w:val="19"/>
          <w:szCs w:val="19"/>
        </w:rPr>
        <w:t xml:space="preserve">OrthoPediatrics implants and instruments are recommended to be sterilized by steam autoclaving procedures regularly used in the hospital for wrapped instruments (based on ANSI/AAMI ST79: 2006) </w:t>
      </w:r>
      <w:r w:rsidRPr="00271A61">
        <w:rPr>
          <w:rFonts w:asciiTheme="minorBidi" w:hAnsiTheme="minorBidi" w:cstheme="minorBidi"/>
          <w:b/>
          <w:bCs/>
          <w:sz w:val="19"/>
          <w:szCs w:val="19"/>
          <w:u w:val="single"/>
        </w:rPr>
        <w:t xml:space="preserve">in accordance with the validated parameters, as detailed in OrthoPediatrics Instrument Care, Cleaning and Sterilization Instructions CI-0001. </w:t>
      </w:r>
    </w:p>
    <w:p w14:paraId="242F4534"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Sterilization cycle NOT validated for prion inactivation.</w:t>
      </w:r>
    </w:p>
    <w:p w14:paraId="447EAE89"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Other sterilization methods and cycles may also be suitable. However, individuals are advised to validate whichever method they deem appropriate at their institution and in accordance with the autoclave manufacturer’s recommendations.</w:t>
      </w:r>
    </w:p>
    <w:p w14:paraId="4AFAA505"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 xml:space="preserve">ETO sterilization and cold sterilization techniques are not recommended.  OrthoPediatrics disclaims any liability for any problem further to the use of these sterilization methods. </w:t>
      </w:r>
    </w:p>
    <w:p w14:paraId="0C999633" w14:textId="77777777" w:rsidR="00C74954" w:rsidRPr="00A73147" w:rsidRDefault="00C74954" w:rsidP="00FC2F0E">
      <w:pPr>
        <w:pStyle w:val="Heading1"/>
      </w:pPr>
      <w:r w:rsidRPr="00A73147">
        <w:t>Steam Sterilization Table (for reference only):</w:t>
      </w:r>
    </w:p>
    <w:tbl>
      <w:tblPr>
        <w:tblStyle w:val="TableGrid"/>
        <w:tblW w:w="0" w:type="auto"/>
        <w:tblInd w:w="2595" w:type="dxa"/>
        <w:tblLook w:val="04A0" w:firstRow="1" w:lastRow="0" w:firstColumn="1" w:lastColumn="0" w:noHBand="0" w:noVBand="1"/>
      </w:tblPr>
      <w:tblGrid>
        <w:gridCol w:w="1293"/>
        <w:gridCol w:w="1530"/>
        <w:gridCol w:w="1767"/>
        <w:gridCol w:w="2250"/>
      </w:tblGrid>
      <w:tr w:rsidR="00C74954" w:rsidRPr="00A73147" w14:paraId="2B4F5C05" w14:textId="77777777" w:rsidTr="00A73147">
        <w:tc>
          <w:tcPr>
            <w:tcW w:w="1293" w:type="dxa"/>
          </w:tcPr>
          <w:p w14:paraId="7B23CCC9" w14:textId="77777777" w:rsidR="00C74954" w:rsidRPr="00A73147" w:rsidRDefault="00C74954" w:rsidP="00A73147">
            <w:pPr>
              <w:jc w:val="center"/>
              <w:rPr>
                <w:rFonts w:asciiTheme="minorBidi" w:hAnsiTheme="minorBidi" w:cstheme="minorBidi"/>
                <w:b/>
                <w:bCs/>
                <w:color w:val="000000"/>
                <w:sz w:val="19"/>
                <w:szCs w:val="19"/>
              </w:rPr>
            </w:pPr>
            <w:r w:rsidRPr="00A73147">
              <w:rPr>
                <w:rFonts w:asciiTheme="minorBidi" w:hAnsiTheme="minorBidi" w:cstheme="minorBidi"/>
                <w:b/>
                <w:bCs/>
                <w:color w:val="000000"/>
                <w:sz w:val="19"/>
                <w:szCs w:val="19"/>
              </w:rPr>
              <w:t>Cycle</w:t>
            </w:r>
          </w:p>
        </w:tc>
        <w:tc>
          <w:tcPr>
            <w:tcW w:w="1530" w:type="dxa"/>
          </w:tcPr>
          <w:p w14:paraId="277425F2" w14:textId="77777777" w:rsidR="00C74954" w:rsidRPr="00A73147" w:rsidRDefault="00C74954" w:rsidP="00A73147">
            <w:pPr>
              <w:jc w:val="center"/>
              <w:rPr>
                <w:rFonts w:asciiTheme="minorBidi" w:hAnsiTheme="minorBidi" w:cstheme="minorBidi"/>
                <w:b/>
                <w:bCs/>
                <w:color w:val="000000"/>
                <w:sz w:val="19"/>
                <w:szCs w:val="19"/>
              </w:rPr>
            </w:pPr>
            <w:r w:rsidRPr="00A73147">
              <w:rPr>
                <w:rFonts w:asciiTheme="minorBidi" w:hAnsiTheme="minorBidi" w:cstheme="minorBidi"/>
                <w:b/>
                <w:bCs/>
                <w:color w:val="000000"/>
                <w:sz w:val="19"/>
                <w:szCs w:val="19"/>
              </w:rPr>
              <w:t>Temperature</w:t>
            </w:r>
          </w:p>
        </w:tc>
        <w:tc>
          <w:tcPr>
            <w:tcW w:w="1767" w:type="dxa"/>
          </w:tcPr>
          <w:p w14:paraId="2DE0702F" w14:textId="77777777" w:rsidR="00C74954" w:rsidRPr="00A73147" w:rsidRDefault="00C74954" w:rsidP="00A73147">
            <w:pPr>
              <w:jc w:val="center"/>
              <w:rPr>
                <w:rFonts w:asciiTheme="minorBidi" w:hAnsiTheme="minorBidi" w:cstheme="minorBidi"/>
                <w:b/>
                <w:bCs/>
                <w:color w:val="000000"/>
                <w:sz w:val="19"/>
                <w:szCs w:val="19"/>
              </w:rPr>
            </w:pPr>
            <w:r w:rsidRPr="00A73147">
              <w:rPr>
                <w:rFonts w:asciiTheme="minorBidi" w:hAnsiTheme="minorBidi" w:cstheme="minorBidi"/>
                <w:b/>
                <w:bCs/>
                <w:color w:val="000000"/>
                <w:sz w:val="19"/>
                <w:szCs w:val="19"/>
              </w:rPr>
              <w:t>Exposure Time</w:t>
            </w:r>
          </w:p>
        </w:tc>
        <w:tc>
          <w:tcPr>
            <w:tcW w:w="2250" w:type="dxa"/>
          </w:tcPr>
          <w:p w14:paraId="163C888E" w14:textId="77777777" w:rsidR="00C74954" w:rsidRPr="00A73147" w:rsidRDefault="00C74954" w:rsidP="00A73147">
            <w:pPr>
              <w:jc w:val="center"/>
              <w:rPr>
                <w:rFonts w:asciiTheme="minorBidi" w:hAnsiTheme="minorBidi" w:cstheme="minorBidi"/>
                <w:b/>
                <w:bCs/>
                <w:color w:val="000000"/>
                <w:sz w:val="19"/>
                <w:szCs w:val="19"/>
              </w:rPr>
            </w:pPr>
            <w:r w:rsidRPr="00A73147">
              <w:rPr>
                <w:rFonts w:asciiTheme="minorBidi" w:hAnsiTheme="minorBidi" w:cstheme="minorBidi"/>
                <w:b/>
                <w:bCs/>
                <w:color w:val="000000"/>
                <w:sz w:val="19"/>
                <w:szCs w:val="19"/>
              </w:rPr>
              <w:t>Minimum Drying Time</w:t>
            </w:r>
          </w:p>
        </w:tc>
      </w:tr>
      <w:tr w:rsidR="00C74954" w:rsidRPr="00A73147" w14:paraId="11EDD99D" w14:textId="77777777" w:rsidTr="00A73147">
        <w:tc>
          <w:tcPr>
            <w:tcW w:w="1293" w:type="dxa"/>
          </w:tcPr>
          <w:p w14:paraId="1E89FAA5" w14:textId="77777777" w:rsidR="00C74954" w:rsidRPr="00A73147" w:rsidRDefault="00C74954" w:rsidP="00A73147">
            <w:pPr>
              <w:jc w:val="center"/>
              <w:rPr>
                <w:rFonts w:asciiTheme="minorBidi" w:hAnsiTheme="minorBidi" w:cstheme="minorBidi"/>
                <w:bCs/>
                <w:color w:val="000000"/>
                <w:sz w:val="19"/>
                <w:szCs w:val="19"/>
              </w:rPr>
            </w:pPr>
            <w:r w:rsidRPr="00A73147">
              <w:rPr>
                <w:rFonts w:asciiTheme="minorBidi" w:hAnsiTheme="minorBidi" w:cstheme="minorBidi"/>
                <w:bCs/>
                <w:color w:val="000000"/>
                <w:sz w:val="19"/>
                <w:szCs w:val="19"/>
              </w:rPr>
              <w:t>Pre-vacuum</w:t>
            </w:r>
          </w:p>
        </w:tc>
        <w:tc>
          <w:tcPr>
            <w:tcW w:w="1530" w:type="dxa"/>
          </w:tcPr>
          <w:p w14:paraId="2E6142B7" w14:textId="77777777" w:rsidR="00C74954" w:rsidRPr="00A73147" w:rsidRDefault="00C74954" w:rsidP="00A73147">
            <w:pPr>
              <w:jc w:val="center"/>
              <w:rPr>
                <w:rFonts w:asciiTheme="minorBidi" w:hAnsiTheme="minorBidi" w:cstheme="minorBidi"/>
                <w:bCs/>
                <w:color w:val="000000"/>
                <w:sz w:val="19"/>
                <w:szCs w:val="19"/>
              </w:rPr>
            </w:pPr>
            <w:r w:rsidRPr="00A73147">
              <w:rPr>
                <w:rFonts w:asciiTheme="minorBidi" w:hAnsiTheme="minorBidi" w:cstheme="minorBidi"/>
                <w:bCs/>
                <w:color w:val="000000"/>
                <w:sz w:val="19"/>
                <w:szCs w:val="19"/>
              </w:rPr>
              <w:t>132 ° C</w:t>
            </w:r>
          </w:p>
        </w:tc>
        <w:tc>
          <w:tcPr>
            <w:tcW w:w="1767" w:type="dxa"/>
          </w:tcPr>
          <w:p w14:paraId="644937DA" w14:textId="77777777" w:rsidR="00C74954" w:rsidRPr="00A73147" w:rsidRDefault="00C74954" w:rsidP="00A73147">
            <w:pPr>
              <w:jc w:val="center"/>
              <w:rPr>
                <w:rFonts w:asciiTheme="minorBidi" w:hAnsiTheme="minorBidi" w:cstheme="minorBidi"/>
                <w:bCs/>
                <w:color w:val="000000"/>
                <w:sz w:val="19"/>
                <w:szCs w:val="19"/>
              </w:rPr>
            </w:pPr>
            <w:r w:rsidRPr="00A73147">
              <w:rPr>
                <w:rFonts w:asciiTheme="minorBidi" w:hAnsiTheme="minorBidi" w:cstheme="minorBidi"/>
                <w:bCs/>
                <w:color w:val="000000"/>
                <w:sz w:val="19"/>
                <w:szCs w:val="19"/>
              </w:rPr>
              <w:t>4 minutes</w:t>
            </w:r>
          </w:p>
        </w:tc>
        <w:tc>
          <w:tcPr>
            <w:tcW w:w="2250" w:type="dxa"/>
          </w:tcPr>
          <w:p w14:paraId="67F08A13" w14:textId="77777777" w:rsidR="00C74954" w:rsidRPr="00A73147" w:rsidRDefault="00C74954" w:rsidP="00A73147">
            <w:pPr>
              <w:jc w:val="center"/>
              <w:rPr>
                <w:rFonts w:asciiTheme="minorBidi" w:hAnsiTheme="minorBidi" w:cstheme="minorBidi"/>
                <w:bCs/>
                <w:color w:val="000000"/>
                <w:sz w:val="19"/>
                <w:szCs w:val="19"/>
              </w:rPr>
            </w:pPr>
            <w:r w:rsidRPr="00A73147">
              <w:rPr>
                <w:rFonts w:asciiTheme="minorBidi" w:hAnsiTheme="minorBidi" w:cstheme="minorBidi"/>
                <w:bCs/>
                <w:color w:val="000000"/>
                <w:sz w:val="19"/>
                <w:szCs w:val="19"/>
              </w:rPr>
              <w:t>30 minutes</w:t>
            </w:r>
          </w:p>
        </w:tc>
      </w:tr>
    </w:tbl>
    <w:p w14:paraId="6CC22649" w14:textId="77777777" w:rsidR="00C74954" w:rsidRPr="00A73147" w:rsidRDefault="00C74954" w:rsidP="00A73147">
      <w:pPr>
        <w:jc w:val="both"/>
        <w:rPr>
          <w:rFonts w:asciiTheme="minorBidi" w:hAnsiTheme="minorBidi" w:cstheme="minorBidi"/>
          <w:bCs/>
          <w:color w:val="000000"/>
          <w:sz w:val="18"/>
        </w:rPr>
      </w:pPr>
      <w:r w:rsidRPr="00A73147">
        <w:rPr>
          <w:rFonts w:asciiTheme="minorBidi" w:hAnsiTheme="minorBidi" w:cstheme="minorBidi"/>
          <w:b/>
          <w:bCs/>
          <w:color w:val="000000"/>
          <w:sz w:val="18"/>
        </w:rPr>
        <w:t>Note</w:t>
      </w:r>
      <w:r w:rsidRPr="00A73147">
        <w:rPr>
          <w:rFonts w:asciiTheme="minorBidi" w:hAnsiTheme="minorBidi" w:cstheme="minorBidi"/>
          <w:bCs/>
          <w:color w:val="000000"/>
          <w:sz w:val="18"/>
        </w:rPr>
        <w:t>: Drying times will vary according to the load size and should be increased for larger loads.</w:t>
      </w:r>
      <w:r w:rsidR="00A73147" w:rsidRPr="00A73147">
        <w:rPr>
          <w:rFonts w:asciiTheme="minorBidi" w:hAnsiTheme="minorBidi" w:cstheme="minorBidi"/>
          <w:bCs/>
          <w:color w:val="000000"/>
          <w:sz w:val="18"/>
        </w:rPr>
        <w:t xml:space="preserve"> </w:t>
      </w:r>
      <w:r w:rsidRPr="00A73147">
        <w:rPr>
          <w:rFonts w:asciiTheme="minorBidi" w:hAnsiTheme="minorBidi" w:cstheme="minorBidi"/>
          <w:bCs/>
          <w:color w:val="000000"/>
          <w:sz w:val="18"/>
        </w:rPr>
        <w:t>The autoclave must be properly installed, maintained, and calibrated. Only legally marketed, FDA cleared sterilization wrap/pouches should be used by the end-user for packaging terminally sterilized devices. The autoclave manufacturer’s operating instructions and recommended guidelines for maximum sterilization load should be followed.</w:t>
      </w:r>
    </w:p>
    <w:p w14:paraId="6F43BEF2" w14:textId="77777777" w:rsidR="00C74954" w:rsidRPr="00A73147" w:rsidRDefault="00C74954" w:rsidP="00FC2F0E">
      <w:pPr>
        <w:pStyle w:val="Heading1"/>
      </w:pPr>
      <w:r w:rsidRPr="00A73147">
        <w:t>Important Statement</w:t>
      </w:r>
    </w:p>
    <w:p w14:paraId="150130A5"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Please see the Surgical Technique for additional information.  To obtain a copy of the Surgical Technique or Instrument Care, Cleaning and Sterilization Instructions CI-0001, please call the Customer Service Group at OrthoPediatrics at 574-268-6379.</w:t>
      </w:r>
    </w:p>
    <w:p w14:paraId="69B3DE9D"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Surgical implants, instruments and packaging should be checked for defects before use and to verify the appropriate sizing.</w:t>
      </w:r>
    </w:p>
    <w:p w14:paraId="3470217A"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Any instrument with heavy scratches, flaws, corrosion, cracked seals, discoloration, or which has been damaged or does not function properly has reached its end of life, and should be discarded following hospital protocol.</w:t>
      </w:r>
    </w:p>
    <w:p w14:paraId="4CC10323"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lastRenderedPageBreak/>
        <w:t>It is strictly prohibited to carry out any modification whatsoever on an OrthoPediatrics instrument or implant. Only OrthoPediatrics has the competence to carry out such work.  If this recommendation is not followed, OrthoPediatrics disclaims any liability for any subsequent consequences.</w:t>
      </w:r>
    </w:p>
    <w:p w14:paraId="23A229F0"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5F1891">
        <w:rPr>
          <w:rFonts w:asciiTheme="minorBidi" w:hAnsiTheme="minorBidi" w:cstheme="minorBidi"/>
          <w:sz w:val="19"/>
          <w:szCs w:val="19"/>
        </w:rPr>
        <w:t>Instruments for this system do not require disassembly or special procedures for proper cleaning.</w:t>
      </w:r>
    </w:p>
    <w:p w14:paraId="1F2F95F6" w14:textId="77777777" w:rsidR="00C74954" w:rsidRPr="005F1891" w:rsidRDefault="00C74954" w:rsidP="00FC2F0E">
      <w:pPr>
        <w:pStyle w:val="Heading1"/>
      </w:pPr>
      <w:r w:rsidRPr="005F1891">
        <w:t>Storage and Handling</w:t>
      </w:r>
    </w:p>
    <w:p w14:paraId="7F98B390" w14:textId="77777777" w:rsidR="00C74954" w:rsidRPr="005F1891"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Medical devices are sensitive to damage.  Implants and instruments should be handled with care at all times.</w:t>
      </w:r>
    </w:p>
    <w:p w14:paraId="202D9A2B" w14:textId="77777777" w:rsidR="00C74954"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 xml:space="preserve">Storage zones for surgical instruments should be away from areas of humidity to avoid excessive corrosion. This recommendation is equally valid for transport and packaging of surgical instruments. </w:t>
      </w:r>
    </w:p>
    <w:p w14:paraId="10802B08" w14:textId="77777777" w:rsidR="007B182D" w:rsidRPr="00A73147" w:rsidRDefault="00C74954" w:rsidP="005F1891">
      <w:pPr>
        <w:pStyle w:val="Bullet1"/>
        <w:tabs>
          <w:tab w:val="clear" w:pos="360"/>
        </w:tabs>
        <w:ind w:left="187" w:hanging="187"/>
        <w:contextualSpacing/>
        <w:rPr>
          <w:rFonts w:asciiTheme="minorBidi" w:hAnsiTheme="minorBidi" w:cstheme="minorBidi"/>
          <w:sz w:val="19"/>
          <w:szCs w:val="19"/>
        </w:rPr>
      </w:pPr>
      <w:r w:rsidRPr="00A73147">
        <w:rPr>
          <w:rFonts w:asciiTheme="minorBidi" w:hAnsiTheme="minorBidi" w:cstheme="minorBidi"/>
          <w:sz w:val="19"/>
          <w:szCs w:val="19"/>
        </w:rPr>
        <w:t>Surgical implants, instruments and packaging should be checked for defects before use and to verify the appropriate sizing.</w:t>
      </w:r>
    </w:p>
    <w:sectPr w:rsidR="007B182D" w:rsidRPr="00A73147" w:rsidSect="00F01516">
      <w:footerReference w:type="default" r:id="rId17"/>
      <w:pgSz w:w="12240" w:h="15840" w:code="1"/>
      <w:pgMar w:top="288" w:right="360" w:bottom="432" w:left="36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F3D8E" w14:textId="77777777" w:rsidR="007B7864" w:rsidRDefault="007B7864" w:rsidP="001C2462">
      <w:r>
        <w:separator/>
      </w:r>
    </w:p>
    <w:p w14:paraId="1B496B2C" w14:textId="77777777" w:rsidR="007B7864" w:rsidRDefault="007B7864" w:rsidP="001C2462"/>
  </w:endnote>
  <w:endnote w:type="continuationSeparator" w:id="0">
    <w:p w14:paraId="44D837AD" w14:textId="77777777" w:rsidR="007B7864" w:rsidRDefault="007B7864" w:rsidP="001C2462">
      <w:r>
        <w:continuationSeparator/>
      </w:r>
    </w:p>
    <w:p w14:paraId="35DCC057" w14:textId="77777777" w:rsidR="007B7864" w:rsidRDefault="007B7864" w:rsidP="001C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1E07" w14:textId="48FFFB25" w:rsidR="007B7864" w:rsidRPr="00A73147" w:rsidRDefault="007B7864" w:rsidP="00A73147">
    <w:pPr>
      <w:pStyle w:val="Footer"/>
      <w:jc w:val="center"/>
      <w:rPr>
        <w:sz w:val="18"/>
      </w:rPr>
    </w:pPr>
    <w:r>
      <w:rPr>
        <w:sz w:val="18"/>
      </w:rPr>
      <w:fldChar w:fldCharType="begin"/>
    </w:r>
    <w:r>
      <w:rPr>
        <w:sz w:val="18"/>
      </w:rPr>
      <w:instrText xml:space="preserve"> PAGE </w:instrText>
    </w:r>
    <w:r>
      <w:rPr>
        <w:sz w:val="18"/>
      </w:rPr>
      <w:fldChar w:fldCharType="separate"/>
    </w:r>
    <w:r w:rsidR="00182E99">
      <w:rPr>
        <w:noProof/>
        <w:sz w:val="18"/>
      </w:rPr>
      <w:t>1</w:t>
    </w:r>
    <w:r>
      <w:rPr>
        <w:sz w:val="18"/>
      </w:rPr>
      <w:fldChar w:fldCharType="end"/>
    </w:r>
    <w:r>
      <w:rPr>
        <w:sz w:val="18"/>
      </w:rPr>
      <w:t xml:space="preserve"> / </w:t>
    </w:r>
    <w:r>
      <w:rPr>
        <w:sz w:val="18"/>
      </w:rPr>
      <w:fldChar w:fldCharType="begin"/>
    </w:r>
    <w:r>
      <w:rPr>
        <w:sz w:val="18"/>
      </w:rPr>
      <w:instrText xml:space="preserve"> NUMPAGES  </w:instrText>
    </w:r>
    <w:r>
      <w:rPr>
        <w:sz w:val="18"/>
      </w:rPr>
      <w:fldChar w:fldCharType="separate"/>
    </w:r>
    <w:r w:rsidR="00182E99">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D80B7" w14:textId="77777777" w:rsidR="007B7864" w:rsidRDefault="007B7864" w:rsidP="001C2462">
      <w:r>
        <w:separator/>
      </w:r>
    </w:p>
    <w:p w14:paraId="2C5FD83B" w14:textId="77777777" w:rsidR="007B7864" w:rsidRDefault="007B7864" w:rsidP="001C2462"/>
  </w:footnote>
  <w:footnote w:type="continuationSeparator" w:id="0">
    <w:p w14:paraId="675CA920" w14:textId="77777777" w:rsidR="007B7864" w:rsidRDefault="007B7864" w:rsidP="001C2462">
      <w:r>
        <w:continuationSeparator/>
      </w:r>
    </w:p>
    <w:p w14:paraId="68D10BA9" w14:textId="77777777" w:rsidR="007B7864" w:rsidRDefault="007B7864" w:rsidP="001C24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743"/>
    <w:multiLevelType w:val="hybridMultilevel"/>
    <w:tmpl w:val="A34A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33962"/>
    <w:multiLevelType w:val="hybridMultilevel"/>
    <w:tmpl w:val="66649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B416EB"/>
    <w:multiLevelType w:val="multilevel"/>
    <w:tmpl w:val="F1503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CD6774"/>
    <w:multiLevelType w:val="hybridMultilevel"/>
    <w:tmpl w:val="3F0E4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64D24"/>
    <w:multiLevelType w:val="hybridMultilevel"/>
    <w:tmpl w:val="612646B4"/>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E72FBB"/>
    <w:multiLevelType w:val="hybridMultilevel"/>
    <w:tmpl w:val="1618FB7E"/>
    <w:lvl w:ilvl="0" w:tplc="040C0001">
      <w:start w:val="1"/>
      <w:numFmt w:val="bullet"/>
      <w:lvlText w:val=""/>
      <w:lvlJc w:val="left"/>
      <w:pPr>
        <w:tabs>
          <w:tab w:val="num" w:pos="360"/>
        </w:tabs>
        <w:ind w:left="360" w:hanging="360"/>
      </w:pPr>
      <w:rPr>
        <w:rFonts w:ascii="Symbol" w:hAnsi="Symbol" w:hint="default"/>
      </w:rPr>
    </w:lvl>
    <w:lvl w:ilvl="1" w:tplc="A6DA8446">
      <w:start w:val="1"/>
      <w:numFmt w:val="bullet"/>
      <w:pStyle w:val="Bullet2"/>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4541F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D195186"/>
    <w:multiLevelType w:val="multilevel"/>
    <w:tmpl w:val="9126D01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40B40C14"/>
    <w:multiLevelType w:val="hybridMultilevel"/>
    <w:tmpl w:val="C55AA51E"/>
    <w:lvl w:ilvl="0" w:tplc="015688A0">
      <w:start w:val="3"/>
      <w:numFmt w:val="bullet"/>
      <w:lvlText w:val="-"/>
      <w:lvlJc w:val="left"/>
      <w:pPr>
        <w:ind w:left="1458" w:hanging="360"/>
      </w:pPr>
      <w:rPr>
        <w:rFonts w:ascii="Calibri" w:eastAsiaTheme="minorHAnsi" w:hAnsi="Calibri" w:cstheme="minorBidi"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9" w15:restartNumberingAfterBreak="0">
    <w:nsid w:val="40C506A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E44C6B"/>
    <w:multiLevelType w:val="hybridMultilevel"/>
    <w:tmpl w:val="75B07B96"/>
    <w:lvl w:ilvl="0" w:tplc="8ED6502C">
      <w:start w:val="1"/>
      <w:numFmt w:val="bullet"/>
      <w:pStyle w:val="Bullet1"/>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104419"/>
    <w:multiLevelType w:val="hybridMultilevel"/>
    <w:tmpl w:val="6454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8786C"/>
    <w:multiLevelType w:val="hybridMultilevel"/>
    <w:tmpl w:val="34A4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378E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2B6B6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C51B5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FBE2172"/>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6"/>
  </w:num>
  <w:num w:numId="3">
    <w:abstractNumId w:val="9"/>
  </w:num>
  <w:num w:numId="4">
    <w:abstractNumId w:val="16"/>
  </w:num>
  <w:num w:numId="5">
    <w:abstractNumId w:val="13"/>
  </w:num>
  <w:num w:numId="6">
    <w:abstractNumId w:val="10"/>
  </w:num>
  <w:num w:numId="7">
    <w:abstractNumId w:val="4"/>
  </w:num>
  <w:num w:numId="8">
    <w:abstractNumId w:val="15"/>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
  </w:num>
  <w:num w:numId="14">
    <w:abstractNumId w:val="12"/>
  </w:num>
  <w:num w:numId="15">
    <w:abstractNumId w:val="3"/>
  </w:num>
  <w:num w:numId="16">
    <w:abstractNumId w:val="11"/>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95"/>
    <w:rsid w:val="00022FD0"/>
    <w:rsid w:val="0004411B"/>
    <w:rsid w:val="00051F16"/>
    <w:rsid w:val="0006070F"/>
    <w:rsid w:val="000667B2"/>
    <w:rsid w:val="00070E10"/>
    <w:rsid w:val="00075B7A"/>
    <w:rsid w:val="00080D15"/>
    <w:rsid w:val="000842D9"/>
    <w:rsid w:val="00090D95"/>
    <w:rsid w:val="000A3045"/>
    <w:rsid w:val="000B3CA2"/>
    <w:rsid w:val="000C072A"/>
    <w:rsid w:val="000E4DB0"/>
    <w:rsid w:val="00127B05"/>
    <w:rsid w:val="001432A9"/>
    <w:rsid w:val="001535E5"/>
    <w:rsid w:val="00182E99"/>
    <w:rsid w:val="0018608F"/>
    <w:rsid w:val="001C2462"/>
    <w:rsid w:val="001C63D3"/>
    <w:rsid w:val="001D10A2"/>
    <w:rsid w:val="001E3F16"/>
    <w:rsid w:val="00201BB0"/>
    <w:rsid w:val="00210B38"/>
    <w:rsid w:val="0022402F"/>
    <w:rsid w:val="002321A2"/>
    <w:rsid w:val="002326CF"/>
    <w:rsid w:val="002365E1"/>
    <w:rsid w:val="0024076C"/>
    <w:rsid w:val="002654BD"/>
    <w:rsid w:val="00271A61"/>
    <w:rsid w:val="00296411"/>
    <w:rsid w:val="002A6247"/>
    <w:rsid w:val="002B5FDD"/>
    <w:rsid w:val="002C2F93"/>
    <w:rsid w:val="002D731A"/>
    <w:rsid w:val="00317DD6"/>
    <w:rsid w:val="00331594"/>
    <w:rsid w:val="0033473E"/>
    <w:rsid w:val="00351E41"/>
    <w:rsid w:val="0035386A"/>
    <w:rsid w:val="00353DB6"/>
    <w:rsid w:val="00360CD7"/>
    <w:rsid w:val="00374C57"/>
    <w:rsid w:val="003859F5"/>
    <w:rsid w:val="00396962"/>
    <w:rsid w:val="003A24B9"/>
    <w:rsid w:val="003A44B5"/>
    <w:rsid w:val="003A52AE"/>
    <w:rsid w:val="003A632C"/>
    <w:rsid w:val="003A6E48"/>
    <w:rsid w:val="003F0A03"/>
    <w:rsid w:val="003F30C5"/>
    <w:rsid w:val="003F72C5"/>
    <w:rsid w:val="004246BF"/>
    <w:rsid w:val="00446959"/>
    <w:rsid w:val="004506C4"/>
    <w:rsid w:val="00476BEF"/>
    <w:rsid w:val="004A1595"/>
    <w:rsid w:val="004A4B2A"/>
    <w:rsid w:val="004D0BFA"/>
    <w:rsid w:val="004D10E3"/>
    <w:rsid w:val="004D1F7A"/>
    <w:rsid w:val="004E03A6"/>
    <w:rsid w:val="004E5CA7"/>
    <w:rsid w:val="005060A2"/>
    <w:rsid w:val="0053338E"/>
    <w:rsid w:val="00540CE6"/>
    <w:rsid w:val="00563716"/>
    <w:rsid w:val="00565851"/>
    <w:rsid w:val="005A2DD3"/>
    <w:rsid w:val="005A3A68"/>
    <w:rsid w:val="005A71C9"/>
    <w:rsid w:val="005B0D65"/>
    <w:rsid w:val="005B23E8"/>
    <w:rsid w:val="005C6203"/>
    <w:rsid w:val="005D069A"/>
    <w:rsid w:val="005D1BCD"/>
    <w:rsid w:val="005E207D"/>
    <w:rsid w:val="005E2D7B"/>
    <w:rsid w:val="005F1891"/>
    <w:rsid w:val="005F551A"/>
    <w:rsid w:val="005F7073"/>
    <w:rsid w:val="006063C9"/>
    <w:rsid w:val="00607EB6"/>
    <w:rsid w:val="006276D5"/>
    <w:rsid w:val="00640B45"/>
    <w:rsid w:val="00646748"/>
    <w:rsid w:val="00653DF7"/>
    <w:rsid w:val="00665144"/>
    <w:rsid w:val="006666B0"/>
    <w:rsid w:val="0066677A"/>
    <w:rsid w:val="00671F26"/>
    <w:rsid w:val="00674DCD"/>
    <w:rsid w:val="006C18F3"/>
    <w:rsid w:val="006C3333"/>
    <w:rsid w:val="006E296E"/>
    <w:rsid w:val="006E6BEC"/>
    <w:rsid w:val="007052D5"/>
    <w:rsid w:val="00707C02"/>
    <w:rsid w:val="00746440"/>
    <w:rsid w:val="0075529A"/>
    <w:rsid w:val="007554F6"/>
    <w:rsid w:val="007624E1"/>
    <w:rsid w:val="00780CC0"/>
    <w:rsid w:val="007867ED"/>
    <w:rsid w:val="007A52C5"/>
    <w:rsid w:val="007A578D"/>
    <w:rsid w:val="007B182D"/>
    <w:rsid w:val="007B7864"/>
    <w:rsid w:val="007C2D74"/>
    <w:rsid w:val="007D0A23"/>
    <w:rsid w:val="007E075B"/>
    <w:rsid w:val="007E2905"/>
    <w:rsid w:val="007F0079"/>
    <w:rsid w:val="00801514"/>
    <w:rsid w:val="0080281F"/>
    <w:rsid w:val="0080484A"/>
    <w:rsid w:val="008169AE"/>
    <w:rsid w:val="008665C8"/>
    <w:rsid w:val="00870A16"/>
    <w:rsid w:val="008A27C7"/>
    <w:rsid w:val="008A4F10"/>
    <w:rsid w:val="008B0446"/>
    <w:rsid w:val="008B2CFD"/>
    <w:rsid w:val="008B3671"/>
    <w:rsid w:val="008C5D9F"/>
    <w:rsid w:val="008D65C2"/>
    <w:rsid w:val="008E09E0"/>
    <w:rsid w:val="008E178D"/>
    <w:rsid w:val="008E7FB6"/>
    <w:rsid w:val="00940DEE"/>
    <w:rsid w:val="00943B05"/>
    <w:rsid w:val="00987554"/>
    <w:rsid w:val="009A0759"/>
    <w:rsid w:val="009B4932"/>
    <w:rsid w:val="009C5BB7"/>
    <w:rsid w:val="009D19EE"/>
    <w:rsid w:val="009D2E67"/>
    <w:rsid w:val="009E18BA"/>
    <w:rsid w:val="00A013EF"/>
    <w:rsid w:val="00A06105"/>
    <w:rsid w:val="00A06394"/>
    <w:rsid w:val="00A11DFA"/>
    <w:rsid w:val="00A13066"/>
    <w:rsid w:val="00A57ED9"/>
    <w:rsid w:val="00A60569"/>
    <w:rsid w:val="00A61B28"/>
    <w:rsid w:val="00A63F04"/>
    <w:rsid w:val="00A65BB2"/>
    <w:rsid w:val="00A7109D"/>
    <w:rsid w:val="00A73147"/>
    <w:rsid w:val="00A92FE0"/>
    <w:rsid w:val="00AA0E28"/>
    <w:rsid w:val="00AA1620"/>
    <w:rsid w:val="00AB58A3"/>
    <w:rsid w:val="00AD434B"/>
    <w:rsid w:val="00AD7C35"/>
    <w:rsid w:val="00AE0437"/>
    <w:rsid w:val="00AE1663"/>
    <w:rsid w:val="00B25F03"/>
    <w:rsid w:val="00B3084E"/>
    <w:rsid w:val="00B40876"/>
    <w:rsid w:val="00B63853"/>
    <w:rsid w:val="00B748E9"/>
    <w:rsid w:val="00B8234D"/>
    <w:rsid w:val="00B84492"/>
    <w:rsid w:val="00B912F6"/>
    <w:rsid w:val="00B96995"/>
    <w:rsid w:val="00BA4BDD"/>
    <w:rsid w:val="00BA6129"/>
    <w:rsid w:val="00BC5CB3"/>
    <w:rsid w:val="00BC5E49"/>
    <w:rsid w:val="00BD3277"/>
    <w:rsid w:val="00BD3352"/>
    <w:rsid w:val="00BD7F1B"/>
    <w:rsid w:val="00BF24BF"/>
    <w:rsid w:val="00BF6817"/>
    <w:rsid w:val="00C15D5F"/>
    <w:rsid w:val="00C20B5C"/>
    <w:rsid w:val="00C20CD2"/>
    <w:rsid w:val="00C2399D"/>
    <w:rsid w:val="00C35623"/>
    <w:rsid w:val="00C35B31"/>
    <w:rsid w:val="00C44586"/>
    <w:rsid w:val="00C74954"/>
    <w:rsid w:val="00C96909"/>
    <w:rsid w:val="00CA6F7E"/>
    <w:rsid w:val="00CB1E96"/>
    <w:rsid w:val="00CD6F0E"/>
    <w:rsid w:val="00CF1BEA"/>
    <w:rsid w:val="00D16581"/>
    <w:rsid w:val="00D2387F"/>
    <w:rsid w:val="00D405B2"/>
    <w:rsid w:val="00D42BCC"/>
    <w:rsid w:val="00D45D22"/>
    <w:rsid w:val="00D61378"/>
    <w:rsid w:val="00D706D1"/>
    <w:rsid w:val="00D70AD3"/>
    <w:rsid w:val="00D73B48"/>
    <w:rsid w:val="00DA6D63"/>
    <w:rsid w:val="00DC0EF3"/>
    <w:rsid w:val="00DC1AC1"/>
    <w:rsid w:val="00DE32F0"/>
    <w:rsid w:val="00DF6FC5"/>
    <w:rsid w:val="00E0018B"/>
    <w:rsid w:val="00E00BF8"/>
    <w:rsid w:val="00E1066F"/>
    <w:rsid w:val="00E13176"/>
    <w:rsid w:val="00E15FF9"/>
    <w:rsid w:val="00E17CE0"/>
    <w:rsid w:val="00E17FB0"/>
    <w:rsid w:val="00E22D33"/>
    <w:rsid w:val="00E25020"/>
    <w:rsid w:val="00E5695F"/>
    <w:rsid w:val="00E745B5"/>
    <w:rsid w:val="00EB76A4"/>
    <w:rsid w:val="00EE66C4"/>
    <w:rsid w:val="00F0138A"/>
    <w:rsid w:val="00F01516"/>
    <w:rsid w:val="00F1090A"/>
    <w:rsid w:val="00F4282B"/>
    <w:rsid w:val="00F52675"/>
    <w:rsid w:val="00F638EA"/>
    <w:rsid w:val="00F7142C"/>
    <w:rsid w:val="00F80B50"/>
    <w:rsid w:val="00F81216"/>
    <w:rsid w:val="00F90FB0"/>
    <w:rsid w:val="00FB018D"/>
    <w:rsid w:val="00FC2F0E"/>
    <w:rsid w:val="00FC734D"/>
    <w:rsid w:val="00FD1365"/>
    <w:rsid w:val="00FD3E59"/>
    <w:rsid w:val="00FD7935"/>
    <w:rsid w:val="00FE0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626B96"/>
  <w15:docId w15:val="{9E95D459-83EE-412C-B2FF-C38150F4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C2462"/>
    <w:pPr>
      <w:spacing w:before="60" w:after="60"/>
    </w:pPr>
    <w:rPr>
      <w:rFonts w:ascii="Arial" w:hAnsi="Arial"/>
      <w:szCs w:val="18"/>
      <w:lang w:val="en-GB" w:eastAsia="fr-FR"/>
    </w:rPr>
  </w:style>
  <w:style w:type="paragraph" w:styleId="Heading1">
    <w:name w:val="heading 1"/>
    <w:basedOn w:val="Heading2"/>
    <w:next w:val="Normal"/>
    <w:qFormat/>
    <w:rsid w:val="00FC2F0E"/>
    <w:pPr>
      <w:keepNext/>
      <w:contextualSpacing/>
      <w:jc w:val="left"/>
      <w:outlineLvl w:val="0"/>
    </w:pPr>
    <w:rPr>
      <w:rFonts w:asciiTheme="minorBidi" w:hAnsiTheme="minorBidi" w:cstheme="minorBidi"/>
      <w:lang w:val="en-US" w:bidi="ar-KW"/>
    </w:rPr>
  </w:style>
  <w:style w:type="paragraph" w:styleId="Heading2">
    <w:name w:val="heading 2"/>
    <w:basedOn w:val="Header"/>
    <w:next w:val="Normal"/>
    <w:qFormat/>
    <w:rsid w:val="00D405B2"/>
    <w:pPr>
      <w:tabs>
        <w:tab w:val="clear" w:pos="4536"/>
        <w:tab w:val="clear" w:pos="9072"/>
      </w:tabs>
      <w:spacing w:before="120"/>
      <w:jc w:val="both"/>
      <w:outlineLvl w:val="1"/>
    </w:pPr>
    <w:rPr>
      <w:b/>
      <w:sz w:val="22"/>
      <w:szCs w:val="22"/>
      <w:lang w:val="en-GB"/>
    </w:rPr>
  </w:style>
  <w:style w:type="paragraph" w:styleId="Heading3">
    <w:name w:val="heading 3"/>
    <w:basedOn w:val="Normal"/>
    <w:next w:val="Normal"/>
    <w:uiPriority w:val="9"/>
    <w:qFormat/>
    <w:rsid w:val="00AD434B"/>
    <w:pPr>
      <w:keepNext/>
      <w:outlineLvl w:val="2"/>
    </w:pPr>
    <w:rPr>
      <w:b/>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462"/>
    <w:pPr>
      <w:tabs>
        <w:tab w:val="center" w:pos="4536"/>
        <w:tab w:val="right" w:pos="9072"/>
      </w:tabs>
    </w:pPr>
    <w:rPr>
      <w:sz w:val="16"/>
      <w:lang w:val="fr-FR"/>
    </w:rPr>
  </w:style>
  <w:style w:type="paragraph" w:styleId="Footer">
    <w:name w:val="footer"/>
    <w:basedOn w:val="Normal"/>
    <w:link w:val="FooterChar"/>
    <w:uiPriority w:val="99"/>
    <w:rsid w:val="00F4282B"/>
    <w:pPr>
      <w:tabs>
        <w:tab w:val="center" w:pos="4536"/>
        <w:tab w:val="right" w:pos="9072"/>
      </w:tabs>
    </w:pPr>
    <w:rPr>
      <w:sz w:val="16"/>
    </w:rPr>
  </w:style>
  <w:style w:type="paragraph" w:styleId="BodyText">
    <w:name w:val="Body Text"/>
    <w:basedOn w:val="Normal"/>
    <w:rsid w:val="00987554"/>
    <w:rPr>
      <w:sz w:val="24"/>
      <w:lang w:eastAsia="en-US"/>
    </w:rPr>
  </w:style>
  <w:style w:type="paragraph" w:styleId="BalloonText">
    <w:name w:val="Balloon Text"/>
    <w:basedOn w:val="Normal"/>
    <w:semiHidden/>
    <w:rsid w:val="008E7FB6"/>
    <w:rPr>
      <w:rFonts w:ascii="Tahoma" w:hAnsi="Tahoma" w:cs="Tahoma"/>
      <w:sz w:val="16"/>
      <w:szCs w:val="16"/>
    </w:rPr>
  </w:style>
  <w:style w:type="paragraph" w:styleId="DocumentMap">
    <w:name w:val="Document Map"/>
    <w:basedOn w:val="Normal"/>
    <w:semiHidden/>
    <w:rsid w:val="008E7FB6"/>
    <w:pPr>
      <w:shd w:val="clear" w:color="auto" w:fill="000080"/>
    </w:pPr>
    <w:rPr>
      <w:rFonts w:ascii="Tahoma" w:hAnsi="Tahoma" w:cs="Tahoma"/>
    </w:rPr>
  </w:style>
  <w:style w:type="character" w:customStyle="1" w:styleId="FooterChar">
    <w:name w:val="Footer Char"/>
    <w:basedOn w:val="DefaultParagraphFont"/>
    <w:link w:val="Footer"/>
    <w:uiPriority w:val="99"/>
    <w:rsid w:val="00F4282B"/>
    <w:rPr>
      <w:rFonts w:ascii="Arial" w:hAnsi="Arial"/>
      <w:sz w:val="16"/>
      <w:szCs w:val="18"/>
      <w:lang w:val="en-GB" w:eastAsia="fr-FR"/>
    </w:rPr>
  </w:style>
  <w:style w:type="paragraph" w:styleId="ListParagraph">
    <w:name w:val="List Paragraph"/>
    <w:basedOn w:val="Normal"/>
    <w:uiPriority w:val="34"/>
    <w:qFormat/>
    <w:rsid w:val="009D19EE"/>
    <w:pPr>
      <w:ind w:left="720"/>
      <w:contextualSpacing/>
    </w:pPr>
  </w:style>
  <w:style w:type="paragraph" w:customStyle="1" w:styleId="Bullet1">
    <w:name w:val="Bullet 1"/>
    <w:basedOn w:val="Normal"/>
    <w:qFormat/>
    <w:rsid w:val="001C2462"/>
    <w:pPr>
      <w:numPr>
        <w:numId w:val="6"/>
      </w:numPr>
    </w:pPr>
    <w:rPr>
      <w:rFonts w:cs="Arial"/>
      <w:szCs w:val="14"/>
    </w:rPr>
  </w:style>
  <w:style w:type="paragraph" w:customStyle="1" w:styleId="Bullet2">
    <w:name w:val="Bullet 2"/>
    <w:basedOn w:val="Header"/>
    <w:qFormat/>
    <w:rsid w:val="001C2462"/>
    <w:pPr>
      <w:numPr>
        <w:ilvl w:val="1"/>
        <w:numId w:val="9"/>
      </w:numPr>
      <w:tabs>
        <w:tab w:val="clear" w:pos="1080"/>
        <w:tab w:val="clear" w:pos="4536"/>
        <w:tab w:val="clear" w:pos="9072"/>
      </w:tabs>
      <w:ind w:left="360" w:hanging="180"/>
      <w:jc w:val="both"/>
    </w:pPr>
    <w:rPr>
      <w:sz w:val="20"/>
      <w:szCs w:val="14"/>
      <w:lang w:val="en-GB"/>
    </w:rPr>
  </w:style>
  <w:style w:type="paragraph" w:customStyle="1" w:styleId="Table">
    <w:name w:val="Table"/>
    <w:basedOn w:val="Normal"/>
    <w:qFormat/>
    <w:rsid w:val="001C2462"/>
    <w:pPr>
      <w:jc w:val="center"/>
    </w:pPr>
  </w:style>
  <w:style w:type="paragraph" w:customStyle="1" w:styleId="Graphic">
    <w:name w:val="Graphic"/>
    <w:basedOn w:val="Normal"/>
    <w:qFormat/>
    <w:rsid w:val="00F4282B"/>
    <w:pPr>
      <w:spacing w:before="0" w:after="0"/>
      <w:jc w:val="center"/>
    </w:pPr>
    <w:rPr>
      <w:noProof/>
      <w:sz w:val="44"/>
      <w:szCs w:val="44"/>
      <w:lang w:val="en-US" w:eastAsia="en-US"/>
    </w:rPr>
  </w:style>
  <w:style w:type="paragraph" w:customStyle="1" w:styleId="Graphic2">
    <w:name w:val="Graphic2"/>
    <w:basedOn w:val="Graphic"/>
    <w:qFormat/>
    <w:rsid w:val="00F4282B"/>
    <w:rPr>
      <w:sz w:val="16"/>
    </w:rPr>
  </w:style>
  <w:style w:type="character" w:customStyle="1" w:styleId="HeaderChar">
    <w:name w:val="Header Char"/>
    <w:basedOn w:val="DefaultParagraphFont"/>
    <w:link w:val="Header"/>
    <w:rsid w:val="00E00BF8"/>
    <w:rPr>
      <w:rFonts w:ascii="Arial" w:hAnsi="Arial"/>
      <w:sz w:val="16"/>
      <w:szCs w:val="18"/>
      <w:lang w:val="fr-FR" w:eastAsia="fr-FR"/>
    </w:rPr>
  </w:style>
  <w:style w:type="character" w:styleId="FollowedHyperlink">
    <w:name w:val="FollowedHyperlink"/>
    <w:basedOn w:val="DefaultParagraphFont"/>
    <w:rsid w:val="00E5695F"/>
    <w:rPr>
      <w:color w:val="800080" w:themeColor="followedHyperlink"/>
      <w:u w:val="single"/>
    </w:rPr>
  </w:style>
  <w:style w:type="table" w:styleId="TableGrid">
    <w:name w:val="Table Grid"/>
    <w:basedOn w:val="TableNormal"/>
    <w:uiPriority w:val="59"/>
    <w:rsid w:val="00C7495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0245">
      <w:bodyDiv w:val="1"/>
      <w:marLeft w:val="0"/>
      <w:marRight w:val="0"/>
      <w:marTop w:val="0"/>
      <w:marBottom w:val="0"/>
      <w:divBdr>
        <w:top w:val="none" w:sz="0" w:space="0" w:color="auto"/>
        <w:left w:val="none" w:sz="0" w:space="0" w:color="auto"/>
        <w:bottom w:val="none" w:sz="0" w:space="0" w:color="auto"/>
        <w:right w:val="none" w:sz="0" w:space="0" w:color="auto"/>
      </w:divBdr>
    </w:div>
    <w:div w:id="16331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3716-54C0-4E58-A2DA-6B836E6A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English</vt:lpstr>
    </vt:vector>
  </TitlesOfParts>
  <Company>PRECIFAR SA</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Gary Barnett</dc:creator>
  <cp:lastModifiedBy>Rebecka Zorn</cp:lastModifiedBy>
  <cp:revision>4</cp:revision>
  <cp:lastPrinted>2014-06-10T13:27:00Z</cp:lastPrinted>
  <dcterms:created xsi:type="dcterms:W3CDTF">2017-08-25T14:02:00Z</dcterms:created>
  <dcterms:modified xsi:type="dcterms:W3CDTF">2017-08-25T15:19:00Z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umber">
    <vt:lpwstr>IFU-99-1015-002</vt:lpwstr>
  </property>
  <property fmtid="{D5CDD505-2E9C-101B-9397-08002B2CF9AE}" pid="3" name="MC_Revision">
    <vt:lpwstr>A</vt:lpwstr>
  </property>
  <property fmtid="{D5CDD505-2E9C-101B-9397-08002B2CF9AE}" pid="4" name="MC_Title">
    <vt:lpwstr>Titanium PediPlates Bone Plating System IFU (en)</vt:lpwstr>
  </property>
  <property fmtid="{D5CDD505-2E9C-101B-9397-08002B2CF9AE}" pid="5" name="MC_Author">
    <vt:lpwstr>GGIBBS</vt:lpwstr>
  </property>
  <property fmtid="{D5CDD505-2E9C-101B-9397-08002B2CF9AE}" pid="6" name="MC_Owner">
    <vt:lpwstr>GGIBBS</vt:lpwstr>
  </property>
  <property fmtid="{D5CDD505-2E9C-101B-9397-08002B2CF9AE}" pid="7" name="MC_Notes">
    <vt:lpwstr>DHF-1012-001</vt:lpwstr>
  </property>
  <property fmtid="{D5CDD505-2E9C-101B-9397-08002B2CF9AE}" pid="8" name="MC_Vault">
    <vt:lpwstr>RCF - IFU Release (en)</vt:lpwstr>
  </property>
  <property fmtid="{D5CDD505-2E9C-101B-9397-08002B2CF9AE}" pid="9" name="MC_Status">
    <vt:lpwstr>Release</vt:lpwstr>
  </property>
  <property fmtid="{D5CDD505-2E9C-101B-9397-08002B2CF9AE}" pid="10" name="MC_CreatedDate">
    <vt:lpwstr>17 Jan 2017</vt:lpwstr>
  </property>
  <property fmtid="{D5CDD505-2E9C-101B-9397-08002B2CF9AE}" pid="11" name="MC_EffectiveDate">
    <vt:lpwstr>24 Apr 2017</vt:lpwstr>
  </property>
  <property fmtid="{D5CDD505-2E9C-101B-9397-08002B2CF9AE}" pid="12" name="MC_ExpirationDate">
    <vt:lpwstr/>
  </property>
  <property fmtid="{D5CDD505-2E9C-101B-9397-08002B2CF9AE}" pid="13" name="MC_ReleaseDate">
    <vt:lpwstr>24 Apr 2017</vt:lpwstr>
  </property>
  <property fmtid="{D5CDD505-2E9C-101B-9397-08002B2CF9AE}" pid="14" name="MC_NextReviewDate">
    <vt:lpwstr>24 Apr 2018</vt:lpwstr>
  </property>
</Properties>
</file>