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8560" w14:textId="77777777" w:rsidR="00DB212A" w:rsidRDefault="00DB212A" w:rsidP="00DB212A">
      <w:pPr>
        <w:bidi/>
        <w:spacing w:line="360" w:lineRule="auto"/>
        <w:jc w:val="both"/>
        <w:rPr>
          <w:rFonts w:ascii="Times New Roman" w:hAnsi="Times New Roman" w:cstheme="minorBidi"/>
        </w:rPr>
      </w:pPr>
      <w:r>
        <w:rPr>
          <w:rFonts w:cs="FrankRuehl" w:hint="cs"/>
          <w:sz w:val="24"/>
          <w:szCs w:val="24"/>
          <w:rtl/>
        </w:rPr>
        <w:t>בחיי שבטי רועים עבריים</w:t>
      </w:r>
      <w:r>
        <w:rPr>
          <w:rFonts w:cs="Times New Roman"/>
          <w:sz w:val="24"/>
          <w:szCs w:val="24"/>
          <w:rtl/>
        </w:rPr>
        <w:t xml:space="preserve"> </w:t>
      </w:r>
      <w:r>
        <w:rPr>
          <w:rFonts w:cs="FrankRuehl" w:hint="cs"/>
          <w:sz w:val="24"/>
          <w:szCs w:val="24"/>
          <w:rtl/>
        </w:rPr>
        <w:t>שנדדו על גבול מצרים צפונה אירע באמצע האלף השני לפי המניין הרגיל מאורע כביר שחתך</w:t>
      </w:r>
      <w:r>
        <w:rPr>
          <w:rFonts w:cs="Times New Roman"/>
          <w:sz w:val="24"/>
          <w:szCs w:val="24"/>
          <w:rtl/>
        </w:rPr>
        <w:t xml:space="preserve"> </w:t>
      </w:r>
      <w:r>
        <w:rPr>
          <w:rFonts w:cs="FrankRuehl" w:hint="cs"/>
          <w:sz w:val="24"/>
          <w:szCs w:val="24"/>
          <w:rtl/>
        </w:rPr>
        <w:t>את גורל השבטים האלה לדורות ועתיד היה להשפיע גם על תולדות העולם כולו: נולדה</w:t>
      </w:r>
      <w:r>
        <w:rPr>
          <w:rFonts w:cs="Times New Roman"/>
          <w:sz w:val="24"/>
          <w:szCs w:val="24"/>
          <w:rtl/>
        </w:rPr>
        <w:t xml:space="preserve"> </w:t>
      </w:r>
      <w:r>
        <w:rPr>
          <w:rFonts w:cs="FrankRuehl" w:hint="cs"/>
          <w:sz w:val="24"/>
          <w:szCs w:val="24"/>
          <w:rtl/>
        </w:rPr>
        <w:t>בקרבם אידיאה דתית חדשה ונזרעה בחייהם להפרותם. איך נולדה אידאה זו ומדוע נולדה עכשיו</w:t>
      </w:r>
      <w:r>
        <w:rPr>
          <w:rFonts w:cs="Times New Roman"/>
          <w:sz w:val="24"/>
          <w:szCs w:val="24"/>
          <w:rtl/>
        </w:rPr>
        <w:t xml:space="preserve"> </w:t>
      </w:r>
      <w:r>
        <w:rPr>
          <w:rFonts w:cs="FrankRuehl" w:hint="cs"/>
          <w:sz w:val="24"/>
          <w:szCs w:val="24"/>
          <w:rtl/>
        </w:rPr>
        <w:t>וכאן – זאת לא נוכל לבאר ביאור אחרון. סוד מסודות היצירה האנושית הוא ששורשיו</w:t>
      </w:r>
      <w:r>
        <w:rPr>
          <w:rFonts w:cs="Times New Roman"/>
          <w:sz w:val="24"/>
          <w:szCs w:val="24"/>
          <w:rtl/>
        </w:rPr>
        <w:t xml:space="preserve"> </w:t>
      </w:r>
      <w:r>
        <w:rPr>
          <w:rFonts w:cs="FrankRuehl" w:hint="cs"/>
          <w:sz w:val="24"/>
          <w:szCs w:val="24"/>
          <w:rtl/>
        </w:rPr>
        <w:t>חבויים בחביון מסתרי רוח האדם [...] האידיאה הזאת בניסוחה העיוני והמושגי היא</w:t>
      </w:r>
      <w:r>
        <w:rPr>
          <w:rFonts w:cs="Times New Roman"/>
          <w:sz w:val="24"/>
          <w:szCs w:val="24"/>
          <w:rtl/>
        </w:rPr>
        <w:t xml:space="preserve"> </w:t>
      </w:r>
      <w:r>
        <w:rPr>
          <w:rFonts w:cs="FrankRuehl" w:hint="cs"/>
          <w:sz w:val="24"/>
          <w:szCs w:val="24"/>
          <w:rtl/>
        </w:rPr>
        <w:t>האידיאה על דבר</w:t>
      </w:r>
      <w:r>
        <w:rPr>
          <w:rFonts w:cs="Times New Roman"/>
          <w:sz w:val="24"/>
          <w:szCs w:val="24"/>
          <w:rtl/>
        </w:rPr>
        <w:t xml:space="preserve"> </w:t>
      </w:r>
      <w:r>
        <w:rPr>
          <w:rFonts w:cs="FrankRuehl" w:hint="cs"/>
          <w:b/>
          <w:bCs/>
          <w:sz w:val="24"/>
          <w:szCs w:val="24"/>
          <w:rtl/>
        </w:rPr>
        <w:t>אלוהות עליונה על הטבע וכוחותיו</w:t>
      </w:r>
      <w:r>
        <w:rPr>
          <w:rFonts w:cs="Times New Roman"/>
          <w:sz w:val="24"/>
          <w:szCs w:val="24"/>
          <w:rtl/>
        </w:rPr>
        <w:t xml:space="preserve">, </w:t>
      </w:r>
      <w:r>
        <w:rPr>
          <w:rFonts w:cs="FrankRuehl" w:hint="cs"/>
          <w:sz w:val="24"/>
          <w:szCs w:val="24"/>
          <w:rtl/>
        </w:rPr>
        <w:t>אלוהות השונה בהווייתה</w:t>
      </w:r>
      <w:r>
        <w:rPr>
          <w:rFonts w:cs="Times New Roman"/>
          <w:sz w:val="24"/>
          <w:szCs w:val="24"/>
          <w:rtl/>
        </w:rPr>
        <w:t xml:space="preserve"> </w:t>
      </w:r>
      <w:r>
        <w:rPr>
          <w:rFonts w:cs="FrankRuehl" w:hint="cs"/>
          <w:sz w:val="24"/>
          <w:szCs w:val="24"/>
          <w:rtl/>
        </w:rPr>
        <w:t>מהווית הטבע, שישותה היא ישות שמעבר לטבע, שמעל לטבע [...]</w:t>
      </w:r>
    </w:p>
    <w:p w14:paraId="2542A6E4" w14:textId="40294E15" w:rsidR="00DB212A" w:rsidRPr="00DB212A" w:rsidRDefault="00DB212A" w:rsidP="00DB212A">
      <w:pPr>
        <w:ind w:left="720"/>
        <w:jc w:val="right"/>
        <w:rPr>
          <w:rFonts w:cs="FrankRuehl"/>
          <w:i/>
          <w:iCs/>
          <w:sz w:val="24"/>
          <w:szCs w:val="24"/>
        </w:rPr>
      </w:pPr>
      <w:r w:rsidRPr="00DB212A">
        <w:rPr>
          <w:rFonts w:cs="FrankRuehl" w:hint="cs"/>
          <w:i/>
          <w:iCs/>
          <w:sz w:val="24"/>
          <w:szCs w:val="24"/>
          <w:rtl/>
        </w:rPr>
        <w:t>קויפמן,</w:t>
      </w:r>
      <w:r w:rsidRPr="00DB212A">
        <w:rPr>
          <w:rFonts w:cs="Times New Roman"/>
          <w:i/>
          <w:iCs/>
          <w:sz w:val="24"/>
          <w:szCs w:val="24"/>
          <w:rtl/>
        </w:rPr>
        <w:t xml:space="preserve"> </w:t>
      </w:r>
      <w:r w:rsidRPr="00DB212A">
        <w:rPr>
          <w:rFonts w:cs="FrankRuehl" w:hint="cs"/>
          <w:i/>
          <w:iCs/>
          <w:sz w:val="24"/>
          <w:szCs w:val="24"/>
          <w:rtl/>
        </w:rPr>
        <w:t>גולה ונכר, א, עמ'</w:t>
      </w:r>
    </w:p>
    <w:p w14:paraId="0BA55BFD" w14:textId="61C6C303" w:rsidR="00DB212A" w:rsidRDefault="00DB212A" w:rsidP="00DB212A">
      <w:pPr>
        <w:rPr>
          <w:rFonts w:cs="FrankRuehl"/>
          <w:sz w:val="24"/>
          <w:szCs w:val="24"/>
        </w:rPr>
      </w:pPr>
    </w:p>
    <w:p w14:paraId="21343C95" w14:textId="77777777" w:rsidR="00DB212A" w:rsidRDefault="00DB212A" w:rsidP="00DB212A">
      <w:pPr>
        <w:rPr>
          <w:rFonts w:asciiTheme="minorHAnsi" w:hAnsiTheme="minorHAnsi" w:cstheme="minorBidi"/>
          <w:lang w:bidi="ar-SA"/>
        </w:rPr>
      </w:pPr>
    </w:p>
    <w:p w14:paraId="09094BB4" w14:textId="77777777" w:rsidR="00DB212A" w:rsidRDefault="00DB212A" w:rsidP="00DB212A">
      <w:pPr>
        <w:rPr>
          <w:rFonts w:asciiTheme="minorHAnsi" w:hAnsiTheme="minorHAnsi" w:cstheme="minorBidi"/>
          <w:lang w:bidi="ar-SA"/>
        </w:rPr>
      </w:pPr>
    </w:p>
    <w:p w14:paraId="44A9E7D2" w14:textId="77777777" w:rsidR="00DB212A" w:rsidRPr="00DB212A" w:rsidRDefault="00DB212A" w:rsidP="00DB212A">
      <w:pPr>
        <w:bidi/>
        <w:spacing w:line="360" w:lineRule="auto"/>
        <w:jc w:val="both"/>
        <w:rPr>
          <w:rFonts w:cs="FrankRuehl"/>
          <w:sz w:val="24"/>
          <w:szCs w:val="24"/>
        </w:rPr>
      </w:pPr>
      <w:r w:rsidRPr="00DB212A">
        <w:rPr>
          <w:rFonts w:cs="FrankRuehl"/>
          <w:sz w:val="24"/>
          <w:szCs w:val="24"/>
          <w:rtl/>
        </w:rPr>
        <w:t>האידיאה היסודית של האמונה הישראלית – עליונות הרצון האלוהי, העלאת האל על כל טבע וגורל  - לא השאירה מקום למתח של כוחות אלוהיים נלחמים זה בזה, לדרמה אלוהית מיתולוגית. היש מקום לדרמה, לפעולה, לשאיפה להתגלמות חיים במקום שיש רצון עליון מכריע? האמונה הישראלית העבירה את הדרמה האלוהית  - העולמית מרשות הטבע וכוחותיו לרשות הרצון האנושי. הרצון האלוהי שולט בכל. אבל יש בו 'צמצום אחד': רצון האדם, שנתנה לו הבחירה החופשית, והוא יכול לחטוא. בחטא האנושי כאילו נפגם הרצון האלוהי העליון וזהו פתח הרע בעולם. מול רצון האל מועמד רצון האדם: במקום המתח המיתולוגי בין כוחות אלוהיים בא המתח המוסרי בין רצון האל ורצון האדם [...] האל מצווה והאדם יכול למלא את מצוותו או להמרות את פיו. לא קורות האל וחייו, לא מאווייו, שאיפותיו, מלחמותיו, ניצחונותיו בין האלים היו עניין לאמונה זו, אלא קורות מצוותו, תורתו, פעולתו בין בני האדם. החברה האנושית, ההקדשה הדתית והמוסרית של האדם – אלה היו מערכות 'מלחמתו של האל העליון'. מפני זה נכון הדבר, שבין האמונה הישראלית ובין ההיסטוריה והמוסר יש קשר מיוחד. נכון שאלוהיה הוא אל היסטורי ומוסרי שמקום פעולתו המיוחדת הם חיי החברה האנושית.</w:t>
      </w:r>
    </w:p>
    <w:p w14:paraId="452F3C4E" w14:textId="77777777" w:rsidR="00DB212A" w:rsidRPr="00DB212A" w:rsidRDefault="00DB212A" w:rsidP="00DB212A">
      <w:pPr>
        <w:bidi/>
        <w:spacing w:line="360" w:lineRule="auto"/>
        <w:jc w:val="both"/>
        <w:rPr>
          <w:rFonts w:cs="FrankRuehl"/>
          <w:i/>
          <w:iCs/>
          <w:sz w:val="24"/>
          <w:szCs w:val="24"/>
        </w:rPr>
      </w:pPr>
      <w:bookmarkStart w:id="0" w:name="_GoBack"/>
      <w:r w:rsidRPr="00DB212A">
        <w:rPr>
          <w:rFonts w:cs="FrankRuehl"/>
          <w:i/>
          <w:iCs/>
          <w:sz w:val="24"/>
          <w:szCs w:val="24"/>
          <w:rtl/>
        </w:rPr>
        <w:t xml:space="preserve">קויפמן, תולדות האמונה הישראלית, א, עמ' 247 </w:t>
      </w:r>
      <w:bookmarkEnd w:id="0"/>
    </w:p>
    <w:p w14:paraId="12DB2BB5" w14:textId="77777777" w:rsidR="0030146B" w:rsidRDefault="0030146B"/>
    <w:sectPr w:rsidR="00301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2A"/>
    <w:rsid w:val="0030146B"/>
    <w:rsid w:val="00716D62"/>
    <w:rsid w:val="00DB2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99E4"/>
  <w15:chartTrackingRefBased/>
  <w15:docId w15:val="{321AE746-DAB2-4B12-BA37-5934A5C3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2A"/>
    <w:pPr>
      <w:spacing w:after="0" w:line="240" w:lineRule="auto"/>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8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Rubenstein</dc:creator>
  <cp:keywords/>
  <dc:description/>
  <cp:lastModifiedBy>Alan Rubenstein</cp:lastModifiedBy>
  <cp:revision>1</cp:revision>
  <dcterms:created xsi:type="dcterms:W3CDTF">2019-04-11T17:46:00Z</dcterms:created>
  <dcterms:modified xsi:type="dcterms:W3CDTF">2019-04-11T17:47:00Z</dcterms:modified>
</cp:coreProperties>
</file>