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9C7BD" w14:textId="566BD3C7" w:rsidR="00C80D30" w:rsidRDefault="00A13877" w:rsidP="00C9076E">
      <w:pPr>
        <w:pStyle w:val="Articletitle"/>
      </w:pPr>
      <w:bookmarkStart w:id="0" w:name="_Hlk95151981"/>
      <w:bookmarkStart w:id="1" w:name="_GoBack"/>
      <w:bookmarkEnd w:id="1"/>
      <w:r w:rsidRPr="00A13877">
        <w:t>Approaches to Sacred Space in the Pre-modern Synagogue</w:t>
      </w:r>
    </w:p>
    <w:bookmarkEnd w:id="0"/>
    <w:p w14:paraId="01A854A2" w14:textId="31C38E70" w:rsidR="006003BB" w:rsidRDefault="006003BB"/>
    <w:p w14:paraId="7E254B4C" w14:textId="44AC3CC1" w:rsidR="00D67BA9" w:rsidRDefault="00D67BA9" w:rsidP="00635AC0">
      <w:pPr>
        <w:pStyle w:val="Heading1"/>
      </w:pPr>
      <w:r w:rsidRPr="00635AC0">
        <w:t>Introduction</w:t>
      </w:r>
    </w:p>
    <w:p w14:paraId="2786ECDD" w14:textId="69E95BE1" w:rsidR="00D91732" w:rsidRDefault="00565F48" w:rsidP="00D91732">
      <w:pPr>
        <w:pStyle w:val="Paragraph"/>
      </w:pPr>
      <w:r>
        <w:t xml:space="preserve">How </w:t>
      </w:r>
      <w:r w:rsidR="00C077AE">
        <w:t xml:space="preserve">did </w:t>
      </w:r>
      <w:r w:rsidR="003E7F77">
        <w:t xml:space="preserve">the late ancient to pre-modern spaces of Jewish prayer </w:t>
      </w:r>
      <w:r w:rsidR="002751CE">
        <w:t>imply</w:t>
      </w:r>
      <w:r w:rsidR="003E7F77">
        <w:t xml:space="preserve"> sacredness</w:t>
      </w:r>
      <w:r w:rsidR="000A3519">
        <w:t>,</w:t>
      </w:r>
      <w:r w:rsidR="00C077AE">
        <w:t xml:space="preserve"> or in which ways </w:t>
      </w:r>
      <w:r w:rsidR="00995BA9">
        <w:t xml:space="preserve">architects and artists </w:t>
      </w:r>
      <w:r w:rsidR="00C077AE">
        <w:t xml:space="preserve">charged </w:t>
      </w:r>
      <w:r w:rsidR="002751CE">
        <w:t xml:space="preserve">the </w:t>
      </w:r>
      <w:r w:rsidR="00C077AE">
        <w:t>synagogue spaces with notions of the sacred</w:t>
      </w:r>
      <w:r w:rsidR="003E7F77">
        <w:t xml:space="preserve">? </w:t>
      </w:r>
      <w:r w:rsidR="003B5E1B">
        <w:t xml:space="preserve">What are the proper intellectual tools to detect </w:t>
      </w:r>
      <w:r w:rsidR="00017A81">
        <w:t xml:space="preserve">the ideas underlying </w:t>
      </w:r>
      <w:r w:rsidR="006E6E2E">
        <w:t xml:space="preserve">the notion of sanctity in </w:t>
      </w:r>
      <w:r w:rsidR="00017A81">
        <w:t>synagogue architecture and art</w:t>
      </w:r>
      <w:r w:rsidR="004F71E6">
        <w:rPr>
          <w:lang w:val="en-US"/>
        </w:rPr>
        <w:t>?</w:t>
      </w:r>
      <w:r w:rsidR="00017A81">
        <w:t xml:space="preserve"> </w:t>
      </w:r>
      <w:r w:rsidR="003E7F77">
        <w:t>Th</w:t>
      </w:r>
      <w:r w:rsidR="00C077AE">
        <w:t>ese</w:t>
      </w:r>
      <w:r w:rsidR="003E7F77">
        <w:t xml:space="preserve"> </w:t>
      </w:r>
      <w:r w:rsidR="00C077AE">
        <w:t xml:space="preserve">and similar </w:t>
      </w:r>
      <w:r w:rsidR="003E7F77">
        <w:t>question</w:t>
      </w:r>
      <w:r w:rsidR="00C077AE">
        <w:t>s</w:t>
      </w:r>
      <w:r w:rsidR="003E7F77">
        <w:t xml:space="preserve"> occupied the minds of historians, archaeologists, researchers of </w:t>
      </w:r>
      <w:r w:rsidR="00462528">
        <w:t>religion, architecture,</w:t>
      </w:r>
      <w:r w:rsidR="003E7F77">
        <w:t xml:space="preserve"> and visual culture</w:t>
      </w:r>
      <w:r w:rsidR="00771679">
        <w:t xml:space="preserve"> since the mid-1980s</w:t>
      </w:r>
      <w:r w:rsidR="000B0157">
        <w:t>.</w:t>
      </w:r>
      <w:r w:rsidR="0061334A">
        <w:t xml:space="preserve"> </w:t>
      </w:r>
    </w:p>
    <w:p w14:paraId="69A5DFA5" w14:textId="2168D99B" w:rsidR="003E7F77" w:rsidRDefault="00D91732" w:rsidP="00D91732">
      <w:pPr>
        <w:pStyle w:val="Newparagraph"/>
      </w:pPr>
      <w:r>
        <w:rPr>
          <w:lang w:val="en-US"/>
        </w:rPr>
        <w:t>Despite the lack of archaeological and epigraphic evidence prior to the third century B.C.E, the synagogue origins were variously dated to the times of Solomon’s kingdom through the Babylonian exile to the Hellenistic period. Recent scholarship propounded a gradual evolution of Jewish places of assembly for social, religious, and liturgical activities in Judea and the Diaspora of the Hellenistic and Roman times to the buildings imparted with a sense of holiness.</w:t>
      </w:r>
      <w:r>
        <w:rPr>
          <w:rStyle w:val="FootnoteReference"/>
          <w:lang w:val="en-US"/>
        </w:rPr>
        <w:footnoteReference w:id="1"/>
      </w:r>
      <w:r>
        <w:rPr>
          <w:lang w:val="en-US"/>
        </w:rPr>
        <w:t xml:space="preserve"> </w:t>
      </w:r>
      <w:r w:rsidR="000B0157">
        <w:t>T</w:t>
      </w:r>
      <w:r w:rsidR="0061334A">
        <w:t xml:space="preserve">o mention </w:t>
      </w:r>
      <w:r w:rsidR="00BE5DAE">
        <w:t xml:space="preserve">but </w:t>
      </w:r>
      <w:r w:rsidR="00466D16">
        <w:t xml:space="preserve">several of </w:t>
      </w:r>
      <w:r w:rsidR="0061334A">
        <w:t xml:space="preserve">those who </w:t>
      </w:r>
      <w:r w:rsidR="00795CB9">
        <w:lastRenderedPageBreak/>
        <w:t>purposefully</w:t>
      </w:r>
      <w:r w:rsidR="00C20E0C">
        <w:t xml:space="preserve"> </w:t>
      </w:r>
      <w:r w:rsidR="009449CC">
        <w:t xml:space="preserve">investigated </w:t>
      </w:r>
      <w:r w:rsidR="0061334A">
        <w:t>synagogue sanctity</w:t>
      </w:r>
      <w:r w:rsidR="00D60F23">
        <w:t>, they were</w:t>
      </w:r>
      <w:r w:rsidR="0061334A">
        <w:t xml:space="preserve"> </w:t>
      </w:r>
      <w:r w:rsidR="00462528">
        <w:t xml:space="preserve">Baruch M. </w:t>
      </w:r>
      <w:proofErr w:type="spellStart"/>
      <w:r w:rsidR="00462528">
        <w:t>Bokser</w:t>
      </w:r>
      <w:proofErr w:type="spellEnd"/>
      <w:r w:rsidR="00462528">
        <w:t xml:space="preserve"> (1945–1990), </w:t>
      </w:r>
      <w:r w:rsidR="00512229" w:rsidRPr="00512229">
        <w:t>Joan R. Branham</w:t>
      </w:r>
      <w:r w:rsidR="00512229">
        <w:t xml:space="preserve">, </w:t>
      </w:r>
      <w:r w:rsidR="0061334A">
        <w:t xml:space="preserve">Steven Fine, Lee I. </w:t>
      </w:r>
      <w:r w:rsidR="00462528">
        <w:t>Levine</w:t>
      </w:r>
      <w:r w:rsidR="0061334A">
        <w:t xml:space="preserve">, </w:t>
      </w:r>
      <w:r w:rsidR="00881D0A" w:rsidRPr="00881D0A">
        <w:t>Jack N. Lightstone</w:t>
      </w:r>
      <w:r w:rsidR="00881D0A">
        <w:t>,</w:t>
      </w:r>
      <w:r w:rsidR="00881D0A" w:rsidRPr="00881D0A">
        <w:t xml:space="preserve"> </w:t>
      </w:r>
      <w:r w:rsidR="0061334A" w:rsidRPr="0061334A">
        <w:t xml:space="preserve">Gary A. </w:t>
      </w:r>
      <w:proofErr w:type="spellStart"/>
      <w:r w:rsidR="00462528" w:rsidRPr="00462528">
        <w:t>Rendsburg</w:t>
      </w:r>
      <w:proofErr w:type="spellEnd"/>
      <w:r w:rsidR="00BE5DAE">
        <w:t xml:space="preserve"> </w:t>
      </w:r>
      <w:r w:rsidR="00D60F23">
        <w:t>(all North-American-b</w:t>
      </w:r>
      <w:r w:rsidR="006A6C2C">
        <w:t>ased</w:t>
      </w:r>
      <w:r w:rsidR="00D60F23">
        <w:t xml:space="preserve">, many with Israeli education or academic experience), </w:t>
      </w:r>
      <w:r w:rsidR="000B0157">
        <w:t>Martin Goodman</w:t>
      </w:r>
      <w:r w:rsidR="00795CB9">
        <w:t xml:space="preserve"> (British)</w:t>
      </w:r>
      <w:r w:rsidR="00466D16">
        <w:t xml:space="preserve">, and Rina </w:t>
      </w:r>
      <w:proofErr w:type="spellStart"/>
      <w:r w:rsidR="00466D16">
        <w:t>Talgam</w:t>
      </w:r>
      <w:proofErr w:type="spellEnd"/>
      <w:r w:rsidR="00466D16">
        <w:t xml:space="preserve"> (Israeli)</w:t>
      </w:r>
      <w:r w:rsidR="00771679">
        <w:t>.</w:t>
      </w:r>
      <w:r w:rsidR="000B0157">
        <w:t xml:space="preserve"> </w:t>
      </w:r>
      <w:r w:rsidR="00795CB9">
        <w:t>As we will see below, t</w:t>
      </w:r>
      <w:r w:rsidR="00B57BDD">
        <w:t xml:space="preserve">heir main effort </w:t>
      </w:r>
      <w:r w:rsidR="00A56561">
        <w:t xml:space="preserve">regarding the issues of sanctity </w:t>
      </w:r>
      <w:r w:rsidR="00B57BDD">
        <w:t xml:space="preserve">was invested into the </w:t>
      </w:r>
      <w:r w:rsidR="00A56561">
        <w:t xml:space="preserve">studies of </w:t>
      </w:r>
      <w:r w:rsidR="00B57BDD">
        <w:t>formative and early periods of synagogue</w:t>
      </w:r>
      <w:r w:rsidR="00A56561">
        <w:t xml:space="preserve"> history</w:t>
      </w:r>
      <w:r w:rsidR="00B57BDD">
        <w:t xml:space="preserve">. </w:t>
      </w:r>
      <w:r w:rsidR="00845320">
        <w:t xml:space="preserve">So far, </w:t>
      </w:r>
      <w:r w:rsidR="00017567">
        <w:t xml:space="preserve">the corpus of monographs, chapters, and articles narrowly targeted </w:t>
      </w:r>
      <w:r w:rsidR="00017567" w:rsidRPr="003C396A">
        <w:t xml:space="preserve">at the </w:t>
      </w:r>
      <w:r w:rsidR="00995BA9" w:rsidRPr="003C396A">
        <w:t xml:space="preserve">visual manifestations </w:t>
      </w:r>
      <w:r w:rsidR="00017567" w:rsidRPr="003C396A">
        <w:t xml:space="preserve">of sanctity </w:t>
      </w:r>
      <w:r w:rsidR="00995BA9" w:rsidRPr="003C396A">
        <w:t>in</w:t>
      </w:r>
      <w:r w:rsidR="00017567" w:rsidRPr="003C396A">
        <w:t xml:space="preserve"> synagogues</w:t>
      </w:r>
      <w:r w:rsidR="00017567">
        <w:t xml:space="preserve"> is moderate-sized in comparison to </w:t>
      </w:r>
      <w:r w:rsidR="00845320">
        <w:t>t</w:t>
      </w:r>
      <w:r w:rsidR="000A3519">
        <w:t>he</w:t>
      </w:r>
      <w:r w:rsidR="0050588C">
        <w:t xml:space="preserve"> </w:t>
      </w:r>
      <w:r w:rsidR="00017567">
        <w:t xml:space="preserve">plethora of publications on the synagogue </w:t>
      </w:r>
      <w:r w:rsidR="00995BA9">
        <w:t xml:space="preserve">archaeology, architecture, and art </w:t>
      </w:r>
      <w:r w:rsidR="00017567">
        <w:t xml:space="preserve">in late antiquity and </w:t>
      </w:r>
      <w:r w:rsidR="00995BA9">
        <w:t xml:space="preserve">to the </w:t>
      </w:r>
      <w:r w:rsidR="00017567">
        <w:t xml:space="preserve">steadily growing scholarship on </w:t>
      </w:r>
      <w:r w:rsidR="003D1729">
        <w:t xml:space="preserve">medieval and </w:t>
      </w:r>
      <w:r w:rsidR="007B5E70">
        <w:t>early modern</w:t>
      </w:r>
      <w:r w:rsidR="003D1729">
        <w:t xml:space="preserve"> synagogue</w:t>
      </w:r>
      <w:r w:rsidR="008D6415">
        <w:t xml:space="preserve"> architecture and art</w:t>
      </w:r>
      <w:r w:rsidR="00845320">
        <w:t>.</w:t>
      </w:r>
      <w:r w:rsidR="003D1729">
        <w:rPr>
          <w:rStyle w:val="FootnoteReference"/>
        </w:rPr>
        <w:footnoteReference w:id="2"/>
      </w:r>
      <w:r w:rsidR="00845320">
        <w:t xml:space="preserve"> </w:t>
      </w:r>
      <w:r w:rsidR="00A17021">
        <w:t>Other</w:t>
      </w:r>
      <w:r w:rsidR="00E965AA">
        <w:t xml:space="preserve"> </w:t>
      </w:r>
      <w:r w:rsidR="00000B55">
        <w:t xml:space="preserve">inferences </w:t>
      </w:r>
      <w:r w:rsidR="00995BA9">
        <w:t xml:space="preserve">related to sanctity </w:t>
      </w:r>
      <w:r w:rsidR="00000B55">
        <w:t xml:space="preserve">are scattered in </w:t>
      </w:r>
      <w:r w:rsidR="00F13DC7">
        <w:t xml:space="preserve">wider-themed </w:t>
      </w:r>
      <w:r w:rsidR="00000B55">
        <w:t xml:space="preserve">works on </w:t>
      </w:r>
      <w:r w:rsidR="007F406B">
        <w:t xml:space="preserve">Jewish history, thought, </w:t>
      </w:r>
      <w:r w:rsidR="00000B55">
        <w:t>architecture</w:t>
      </w:r>
      <w:r w:rsidR="007F406B">
        <w:t>,</w:t>
      </w:r>
      <w:r w:rsidR="00000B55">
        <w:t xml:space="preserve"> and art.</w:t>
      </w:r>
      <w:r w:rsidR="00B1265B">
        <w:t xml:space="preserve"> </w:t>
      </w:r>
      <w:r w:rsidR="008D6415">
        <w:t>I</w:t>
      </w:r>
      <w:r w:rsidR="005A75A6">
        <w:t xml:space="preserve"> pursue </w:t>
      </w:r>
      <w:r w:rsidR="003E7F81">
        <w:t xml:space="preserve">tracing the trajectories of analytical thought on the constructs and perceptions of sacredness </w:t>
      </w:r>
      <w:r w:rsidR="00744239">
        <w:t xml:space="preserve">in synagogues </w:t>
      </w:r>
      <w:r w:rsidR="00000B55">
        <w:t>through</w:t>
      </w:r>
      <w:r w:rsidR="00744239">
        <w:t>out</w:t>
      </w:r>
      <w:r w:rsidR="00000B55">
        <w:t xml:space="preserve"> this </w:t>
      </w:r>
      <w:r w:rsidR="00845320">
        <w:t>medley</w:t>
      </w:r>
      <w:r w:rsidR="0005080E">
        <w:t>, with full awareness of my art-historian stance</w:t>
      </w:r>
      <w:r w:rsidR="00000B55">
        <w:t>.</w:t>
      </w:r>
      <w:r w:rsidR="00F13DC7">
        <w:t xml:space="preserve"> </w:t>
      </w:r>
      <w:r w:rsidR="003E7F81">
        <w:t xml:space="preserve">  </w:t>
      </w:r>
    </w:p>
    <w:p w14:paraId="08E24882" w14:textId="40A71305" w:rsidR="006C7D1F" w:rsidRDefault="001C4F4E" w:rsidP="006C7D1F">
      <w:pPr>
        <w:pStyle w:val="Newparagraph"/>
        <w:rPr>
          <w:lang w:val="en-US" w:bidi="he-IL"/>
        </w:rPr>
      </w:pPr>
      <w:r>
        <w:rPr>
          <w:lang w:val="en-US" w:bidi="he-IL"/>
        </w:rPr>
        <w:t xml:space="preserve">Contemporary anthropology, sociology, and religion studies commonly employ the dichotomy of sacred versus profane, which </w:t>
      </w:r>
      <w:r w:rsidRPr="000F10AF">
        <w:rPr>
          <w:lang w:val="en-US" w:bidi="he-IL"/>
        </w:rPr>
        <w:t>Émile Durkheim</w:t>
      </w:r>
      <w:r>
        <w:rPr>
          <w:lang w:val="en-US" w:bidi="he-IL"/>
        </w:rPr>
        <w:t xml:space="preserve"> </w:t>
      </w:r>
      <w:r w:rsidRPr="000F10AF">
        <w:rPr>
          <w:lang w:val="en-US" w:bidi="he-IL"/>
        </w:rPr>
        <w:t>(1858–1917)</w:t>
      </w:r>
      <w:r>
        <w:rPr>
          <w:lang w:val="en-US" w:bidi="he-IL"/>
        </w:rPr>
        <w:t>,</w:t>
      </w:r>
      <w:r w:rsidRPr="000F10AF">
        <w:rPr>
          <w:lang w:val="en-US" w:bidi="he-IL"/>
        </w:rPr>
        <w:t xml:space="preserve"> </w:t>
      </w:r>
      <w:r>
        <w:rPr>
          <w:lang w:val="en-US" w:bidi="he-IL"/>
        </w:rPr>
        <w:t xml:space="preserve">Rudolf Otto (1869–1937), </w:t>
      </w:r>
      <w:r w:rsidRPr="000F10AF">
        <w:rPr>
          <w:lang w:val="en-US" w:bidi="he-IL"/>
        </w:rPr>
        <w:t>and Mircea</w:t>
      </w:r>
      <w:r>
        <w:rPr>
          <w:lang w:val="en-US" w:bidi="he-IL"/>
        </w:rPr>
        <w:t>’s</w:t>
      </w:r>
      <w:r w:rsidRPr="000F10AF">
        <w:rPr>
          <w:lang w:val="en-US" w:bidi="he-IL"/>
        </w:rPr>
        <w:t xml:space="preserve"> Eliade (1907–</w:t>
      </w:r>
      <w:r>
        <w:rPr>
          <w:lang w:val="en-US" w:bidi="he-IL"/>
        </w:rPr>
        <w:t>19</w:t>
      </w:r>
      <w:r w:rsidRPr="000F10AF">
        <w:rPr>
          <w:lang w:val="en-US" w:bidi="he-IL"/>
        </w:rPr>
        <w:t>86)</w:t>
      </w:r>
      <w:r>
        <w:rPr>
          <w:lang w:val="en-US" w:bidi="he-IL"/>
        </w:rPr>
        <w:t xml:space="preserve"> postulated archetypal for any religion.</w:t>
      </w:r>
      <w:r w:rsidRPr="000F10AF">
        <w:rPr>
          <w:rStyle w:val="FootnoteTextChar1"/>
          <w:lang w:val="en-US" w:bidi="he-IL"/>
        </w:rPr>
        <w:footnoteReference w:id="3"/>
      </w:r>
      <w:r>
        <w:rPr>
          <w:lang w:val="en-US" w:bidi="he-IL"/>
        </w:rPr>
        <w:t xml:space="preserve"> </w:t>
      </w:r>
      <w:r w:rsidR="00776882">
        <w:rPr>
          <w:lang w:val="en-US" w:bidi="he-IL"/>
        </w:rPr>
        <w:t>Th</w:t>
      </w:r>
      <w:r w:rsidR="002E3698">
        <w:rPr>
          <w:lang w:val="en-US" w:bidi="he-IL"/>
        </w:rPr>
        <w:t>eir</w:t>
      </w:r>
      <w:r w:rsidR="002F4A55">
        <w:rPr>
          <w:lang w:val="en-US" w:bidi="he-IL"/>
        </w:rPr>
        <w:t xml:space="preserve"> </w:t>
      </w:r>
      <w:r>
        <w:rPr>
          <w:lang w:val="en-US" w:bidi="he-IL"/>
        </w:rPr>
        <w:t xml:space="preserve">generalizing </w:t>
      </w:r>
      <w:r w:rsidR="00D1583B">
        <w:rPr>
          <w:lang w:val="en-US" w:bidi="he-IL"/>
        </w:rPr>
        <w:t xml:space="preserve">binary </w:t>
      </w:r>
      <w:r>
        <w:rPr>
          <w:lang w:val="en-US" w:bidi="he-IL"/>
        </w:rPr>
        <w:t>definition</w:t>
      </w:r>
      <w:r w:rsidR="00FA3E46">
        <w:rPr>
          <w:lang w:val="en-US" w:bidi="he-IL"/>
        </w:rPr>
        <w:t xml:space="preserve"> of “sacred” </w:t>
      </w:r>
      <w:r w:rsidR="00776882">
        <w:rPr>
          <w:lang w:val="en-US" w:bidi="he-IL"/>
        </w:rPr>
        <w:t>is</w:t>
      </w:r>
      <w:r>
        <w:rPr>
          <w:lang w:val="en-US" w:bidi="he-IL"/>
        </w:rPr>
        <w:t xml:space="preserve"> </w:t>
      </w:r>
      <w:r w:rsidR="00D1583B">
        <w:rPr>
          <w:lang w:val="en-US" w:bidi="he-IL"/>
        </w:rPr>
        <w:t xml:space="preserve">instrumental </w:t>
      </w:r>
      <w:r w:rsidR="002E3698">
        <w:rPr>
          <w:lang w:val="en-US" w:bidi="he-IL"/>
        </w:rPr>
        <w:t xml:space="preserve">for the </w:t>
      </w:r>
      <w:r w:rsidR="002E3698">
        <w:rPr>
          <w:lang w:val="en-US" w:bidi="he-IL"/>
        </w:rPr>
        <w:lastRenderedPageBreak/>
        <w:t xml:space="preserve">synagogue sacred space studies, </w:t>
      </w:r>
      <w:r w:rsidR="00D1583B">
        <w:rPr>
          <w:lang w:val="en-US" w:bidi="he-IL"/>
        </w:rPr>
        <w:t xml:space="preserve">but </w:t>
      </w:r>
      <w:r w:rsidR="002E3698">
        <w:rPr>
          <w:lang w:val="en-US" w:bidi="he-IL"/>
        </w:rPr>
        <w:t xml:space="preserve">it dovetails only </w:t>
      </w:r>
      <w:r w:rsidR="008E5399">
        <w:rPr>
          <w:lang w:val="en-US" w:bidi="he-IL"/>
        </w:rPr>
        <w:t xml:space="preserve">a </w:t>
      </w:r>
      <w:r w:rsidR="002E3698">
        <w:rPr>
          <w:lang w:val="en-US" w:bidi="he-IL"/>
        </w:rPr>
        <w:t>part of t</w:t>
      </w:r>
      <w:r w:rsidR="00FA3E46">
        <w:rPr>
          <w:lang w:val="en-US" w:bidi="he-IL"/>
        </w:rPr>
        <w:t xml:space="preserve">he </w:t>
      </w:r>
      <w:r>
        <w:rPr>
          <w:lang w:val="en-US" w:bidi="he-IL"/>
        </w:rPr>
        <w:t xml:space="preserve">connotations </w:t>
      </w:r>
      <w:r w:rsidR="00952C61">
        <w:rPr>
          <w:lang w:val="en-US" w:bidi="he-IL"/>
        </w:rPr>
        <w:t>of th</w:t>
      </w:r>
      <w:r w:rsidR="00230723">
        <w:rPr>
          <w:lang w:val="en-US" w:bidi="he-IL"/>
        </w:rPr>
        <w:t>is</w:t>
      </w:r>
      <w:r w:rsidR="00704AE4">
        <w:rPr>
          <w:lang w:val="en-US" w:bidi="he-IL"/>
        </w:rPr>
        <w:t xml:space="preserve"> </w:t>
      </w:r>
      <w:r w:rsidR="00DE1185">
        <w:rPr>
          <w:lang w:val="en-US" w:bidi="he-IL"/>
        </w:rPr>
        <w:t>term</w:t>
      </w:r>
      <w:r w:rsidR="004A10E9">
        <w:rPr>
          <w:lang w:val="en-US" w:bidi="he-IL"/>
        </w:rPr>
        <w:t>,</w:t>
      </w:r>
      <w:r w:rsidR="002F4A55">
        <w:rPr>
          <w:lang w:val="en-US" w:bidi="he-IL"/>
        </w:rPr>
        <w:t xml:space="preserve"> </w:t>
      </w:r>
      <w:r w:rsidR="004A10E9">
        <w:rPr>
          <w:lang w:val="en-US" w:bidi="he-IL"/>
        </w:rPr>
        <w:t xml:space="preserve">its derivatives, and synonyms </w:t>
      </w:r>
      <w:r w:rsidR="00D57AD4">
        <w:rPr>
          <w:lang w:val="en-US" w:bidi="he-IL"/>
        </w:rPr>
        <w:t xml:space="preserve">in </w:t>
      </w:r>
      <w:r w:rsidR="004A10E9">
        <w:rPr>
          <w:lang w:val="en-US" w:bidi="he-IL"/>
        </w:rPr>
        <w:t xml:space="preserve">the variety of </w:t>
      </w:r>
      <w:r w:rsidR="00D57AD4">
        <w:rPr>
          <w:lang w:val="en-US" w:bidi="he-IL"/>
        </w:rPr>
        <w:t>languages</w:t>
      </w:r>
      <w:r w:rsidR="00D1583B">
        <w:rPr>
          <w:lang w:val="en-US" w:bidi="he-IL"/>
        </w:rPr>
        <w:t xml:space="preserve"> </w:t>
      </w:r>
      <w:r w:rsidR="00D57AD4">
        <w:rPr>
          <w:lang w:val="en-US" w:bidi="he-IL"/>
        </w:rPr>
        <w:t xml:space="preserve">used by Jews </w:t>
      </w:r>
      <w:r w:rsidR="00952C61">
        <w:rPr>
          <w:lang w:val="en-US" w:bidi="he-IL"/>
        </w:rPr>
        <w:t>through the ages</w:t>
      </w:r>
      <w:r w:rsidR="00E01E9B">
        <w:rPr>
          <w:rStyle w:val="FootnoteReference"/>
          <w:lang w:val="en-US" w:bidi="he-IL"/>
        </w:rPr>
        <w:footnoteReference w:id="4"/>
      </w:r>
      <w:r w:rsidR="002F4A55">
        <w:rPr>
          <w:lang w:val="en-US" w:bidi="he-IL"/>
        </w:rPr>
        <w:t xml:space="preserve"> </w:t>
      </w:r>
      <w:r w:rsidR="00D32ABF">
        <w:rPr>
          <w:lang w:val="en-US" w:bidi="he-IL"/>
        </w:rPr>
        <w:t xml:space="preserve">and </w:t>
      </w:r>
      <w:r w:rsidR="006C6F76">
        <w:rPr>
          <w:lang w:val="en-US" w:bidi="he-IL"/>
        </w:rPr>
        <w:t xml:space="preserve">expressed </w:t>
      </w:r>
      <w:r w:rsidR="00D32ABF" w:rsidRPr="000F10AF">
        <w:rPr>
          <w:lang w:val="en-US" w:bidi="he-IL"/>
        </w:rPr>
        <w:t xml:space="preserve">in </w:t>
      </w:r>
      <w:r w:rsidR="00A669E5">
        <w:rPr>
          <w:lang w:val="en-US" w:bidi="he-IL"/>
        </w:rPr>
        <w:t xml:space="preserve">many other </w:t>
      </w:r>
      <w:r w:rsidR="00D32ABF" w:rsidRPr="000F10AF">
        <w:rPr>
          <w:lang w:val="en-US" w:bidi="he-IL"/>
        </w:rPr>
        <w:t>dimensions and hierarchies</w:t>
      </w:r>
      <w:r w:rsidR="00170101" w:rsidRPr="000F10AF">
        <w:rPr>
          <w:lang w:val="en-US" w:bidi="he-IL"/>
        </w:rPr>
        <w:t>.</w:t>
      </w:r>
      <w:r w:rsidR="00170101" w:rsidRPr="000F10AF">
        <w:rPr>
          <w:rStyle w:val="FootnoteTextChar1"/>
          <w:lang w:val="en-US" w:bidi="he-IL"/>
        </w:rPr>
        <w:footnoteReference w:id="5"/>
      </w:r>
      <w:r w:rsidR="00D32ABF" w:rsidRPr="000F10AF">
        <w:rPr>
          <w:lang w:val="en-US"/>
        </w:rPr>
        <w:t xml:space="preserve"> </w:t>
      </w:r>
      <w:r w:rsidR="00BA71B7">
        <w:rPr>
          <w:lang w:val="en-US" w:bidi="he-IL"/>
        </w:rPr>
        <w:t xml:space="preserve">We also count the scholarly approaches to “sacredness” as a manifestation of the transcendent in the mundane world, the phenomenon described by Eliade as </w:t>
      </w:r>
      <w:r w:rsidR="00BA71B7" w:rsidRPr="00D850CE">
        <w:rPr>
          <w:lang w:val="en-US" w:bidi="he-IL"/>
        </w:rPr>
        <w:t>“hierophany</w:t>
      </w:r>
      <w:r w:rsidR="00BA71B7">
        <w:rPr>
          <w:lang w:val="en-US" w:bidi="he-IL"/>
        </w:rPr>
        <w:t>.</w:t>
      </w:r>
      <w:r w:rsidR="00BA71B7" w:rsidRPr="00D850CE">
        <w:rPr>
          <w:lang w:val="en-US" w:bidi="he-IL"/>
        </w:rPr>
        <w:t>”</w:t>
      </w:r>
      <w:r w:rsidR="00BA71B7" w:rsidRPr="000F10AF">
        <w:rPr>
          <w:rStyle w:val="FootnoteTextChar1"/>
          <w:lang w:val="en-US" w:bidi="he-IL"/>
        </w:rPr>
        <w:footnoteReference w:id="6"/>
      </w:r>
      <w:r w:rsidR="00BA71B7">
        <w:rPr>
          <w:lang w:val="en-US" w:bidi="he-IL"/>
        </w:rPr>
        <w:t xml:space="preserve"> This connotation </w:t>
      </w:r>
      <w:r w:rsidR="00BA71B7">
        <w:rPr>
          <w:lang w:val="en-US" w:bidi="he-IL"/>
        </w:rPr>
        <w:lastRenderedPageBreak/>
        <w:t xml:space="preserve">blends with the meaning of “holiness” referred to in Jewish sources as </w:t>
      </w:r>
      <w:proofErr w:type="spellStart"/>
      <w:r w:rsidR="00BA71B7" w:rsidRPr="00817D58">
        <w:rPr>
          <w:i/>
          <w:iCs/>
          <w:lang w:val="en-US" w:bidi="he-IL"/>
        </w:rPr>
        <w:t>k</w:t>
      </w:r>
      <w:r w:rsidR="00BA71B7">
        <w:rPr>
          <w:i/>
          <w:iCs/>
          <w:lang w:val="en-US" w:bidi="he-IL"/>
        </w:rPr>
        <w:t>odesh</w:t>
      </w:r>
      <w:proofErr w:type="spellEnd"/>
      <w:r w:rsidR="00BA71B7" w:rsidRPr="00817D58">
        <w:rPr>
          <w:lang w:val="en-US" w:bidi="he-IL"/>
        </w:rPr>
        <w:t xml:space="preserve"> or </w:t>
      </w:r>
      <w:proofErr w:type="spellStart"/>
      <w:r w:rsidR="00BA71B7">
        <w:rPr>
          <w:i/>
          <w:iCs/>
          <w:lang w:val="en-US" w:bidi="he-IL"/>
        </w:rPr>
        <w:t>k</w:t>
      </w:r>
      <w:r w:rsidR="00BA71B7" w:rsidRPr="00817D58">
        <w:rPr>
          <w:i/>
          <w:iCs/>
          <w:lang w:val="en-US" w:bidi="he-IL"/>
        </w:rPr>
        <w:t>edushah</w:t>
      </w:r>
      <w:proofErr w:type="spellEnd"/>
      <w:r w:rsidR="00BA71B7">
        <w:rPr>
          <w:lang w:val="en-US" w:bidi="he-IL"/>
        </w:rPr>
        <w:t xml:space="preserve"> (biblical and </w:t>
      </w:r>
      <w:proofErr w:type="spellStart"/>
      <w:r w:rsidR="00BA71B7">
        <w:rPr>
          <w:lang w:val="en-US" w:bidi="he-IL"/>
        </w:rPr>
        <w:t>mishnaic</w:t>
      </w:r>
      <w:proofErr w:type="spellEnd"/>
      <w:r w:rsidR="00BA71B7">
        <w:rPr>
          <w:lang w:val="en-US" w:bidi="he-IL"/>
        </w:rPr>
        <w:t xml:space="preserve"> Hebrew, respectively: holiness).</w:t>
      </w:r>
      <w:r w:rsidR="00BA71B7" w:rsidRPr="000F56AF">
        <w:rPr>
          <w:lang w:val="en-US" w:bidi="he-IL"/>
        </w:rPr>
        <w:t xml:space="preserve"> </w:t>
      </w:r>
      <w:r w:rsidR="00BA71B7">
        <w:rPr>
          <w:lang w:val="en-US" w:bidi="he-IL"/>
        </w:rPr>
        <w:t xml:space="preserve">Supposedly derived from the common Semitic root </w:t>
      </w:r>
      <w:bookmarkStart w:id="5" w:name="_Hlk91666684"/>
      <w:r w:rsidR="00BA71B7" w:rsidRPr="00CF0FD6">
        <w:rPr>
          <w:i/>
          <w:iCs/>
          <w:lang w:val="en-US" w:bidi="he-IL"/>
        </w:rPr>
        <w:t>q-d-</w:t>
      </w:r>
      <w:r w:rsidR="00BA71B7" w:rsidRPr="00CF0FD6">
        <w:rPr>
          <w:rFonts w:hint="eastAsia"/>
          <w:i/>
          <w:iCs/>
          <w:lang w:val="en-US" w:bidi="he-IL"/>
        </w:rPr>
        <w:t>š</w:t>
      </w:r>
      <w:r w:rsidR="00BA71B7">
        <w:rPr>
          <w:lang w:val="en-US" w:bidi="he-IL"/>
        </w:rPr>
        <w:t xml:space="preserve"> </w:t>
      </w:r>
      <w:bookmarkEnd w:id="5"/>
      <w:r w:rsidR="00BA71B7">
        <w:rPr>
          <w:lang w:val="en-US" w:bidi="he-IL"/>
        </w:rPr>
        <w:t xml:space="preserve">(Akkadian: to be pure, purify, clean), the </w:t>
      </w:r>
      <w:proofErr w:type="spellStart"/>
      <w:r w:rsidR="00BA71B7" w:rsidRPr="00F679B9">
        <w:rPr>
          <w:i/>
          <w:iCs/>
          <w:lang w:val="en-US" w:bidi="he-IL"/>
        </w:rPr>
        <w:t>kodesh</w:t>
      </w:r>
      <w:proofErr w:type="spellEnd"/>
      <w:r w:rsidR="00BA71B7">
        <w:rPr>
          <w:lang w:val="en-US" w:bidi="he-IL"/>
        </w:rPr>
        <w:t xml:space="preserve"> and </w:t>
      </w:r>
      <w:proofErr w:type="spellStart"/>
      <w:r w:rsidR="00BA71B7" w:rsidRPr="00B54426">
        <w:rPr>
          <w:i/>
          <w:iCs/>
          <w:lang w:val="en-US" w:bidi="he-IL"/>
        </w:rPr>
        <w:t>kadosh</w:t>
      </w:r>
      <w:proofErr w:type="spellEnd"/>
      <w:r w:rsidR="00BA71B7">
        <w:rPr>
          <w:lang w:val="en-US" w:bidi="he-IL"/>
        </w:rPr>
        <w:t xml:space="preserve"> (holy, sacred) were used in the Bible and understood by rabbinical exegetes and scholars not only as “distinguished, set apart, dedicated,” but also as an attribute and eminence of the Divine</w:t>
      </w:r>
      <w:bookmarkStart w:id="6" w:name="_Hlk91579878"/>
      <w:r w:rsidR="00BA71B7">
        <w:rPr>
          <w:lang w:val="en-US" w:bidi="he-IL"/>
        </w:rPr>
        <w:t>.</w:t>
      </w:r>
      <w:bookmarkEnd w:id="6"/>
      <w:r w:rsidR="00945061">
        <w:rPr>
          <w:rStyle w:val="FootnoteReference"/>
          <w:lang w:val="en-US" w:bidi="he-IL"/>
        </w:rPr>
        <w:footnoteReference w:id="7"/>
      </w:r>
    </w:p>
    <w:p w14:paraId="1F5F2CCD" w14:textId="2B67B0DF" w:rsidR="007224CD" w:rsidRDefault="00266F4F" w:rsidP="001856BB">
      <w:pPr>
        <w:pStyle w:val="Newparagraph"/>
        <w:rPr>
          <w:lang w:val="en-US" w:bidi="he-IL"/>
        </w:rPr>
      </w:pPr>
      <w:r>
        <w:rPr>
          <w:lang w:val="en-US" w:bidi="he-IL"/>
        </w:rPr>
        <w:t>Unlike</w:t>
      </w:r>
      <w:r w:rsidR="00EA50D6">
        <w:rPr>
          <w:lang w:val="en-US" w:bidi="he-IL"/>
        </w:rPr>
        <w:t xml:space="preserve"> the </w:t>
      </w:r>
      <w:r w:rsidR="00BE2950">
        <w:rPr>
          <w:lang w:val="en-US" w:bidi="he-IL"/>
        </w:rPr>
        <w:t>theologia</w:t>
      </w:r>
      <w:r>
        <w:rPr>
          <w:lang w:val="en-US" w:bidi="he-IL"/>
        </w:rPr>
        <w:t>ns</w:t>
      </w:r>
      <w:r w:rsidR="00BE2950">
        <w:rPr>
          <w:lang w:val="en-US" w:bidi="he-IL"/>
        </w:rPr>
        <w:t xml:space="preserve"> </w:t>
      </w:r>
      <w:r>
        <w:rPr>
          <w:lang w:val="en-US" w:bidi="he-IL"/>
        </w:rPr>
        <w:t xml:space="preserve">who </w:t>
      </w:r>
      <w:r w:rsidR="00BE2950">
        <w:rPr>
          <w:lang w:val="en-US" w:bidi="he-IL"/>
        </w:rPr>
        <w:t>occup</w:t>
      </w:r>
      <w:r>
        <w:rPr>
          <w:lang w:val="en-US" w:bidi="he-IL"/>
        </w:rPr>
        <w:t>y</w:t>
      </w:r>
      <w:r w:rsidR="00BE2950">
        <w:rPr>
          <w:lang w:val="en-US" w:bidi="he-IL"/>
        </w:rPr>
        <w:t xml:space="preserve"> with </w:t>
      </w:r>
      <w:r w:rsidR="00136B55">
        <w:rPr>
          <w:lang w:val="en-US" w:bidi="he-IL"/>
        </w:rPr>
        <w:t xml:space="preserve">holiness as the matter of God’s sanction and supreme truth, </w:t>
      </w:r>
      <w:r w:rsidR="00EA50D6">
        <w:rPr>
          <w:lang w:val="en-US" w:bidi="he-IL"/>
        </w:rPr>
        <w:t xml:space="preserve">scholars operate </w:t>
      </w:r>
      <w:r w:rsidR="00BE2950">
        <w:rPr>
          <w:lang w:val="en-US" w:bidi="he-IL"/>
        </w:rPr>
        <w:t>with</w:t>
      </w:r>
      <w:r w:rsidR="00EA50D6">
        <w:rPr>
          <w:lang w:val="en-US" w:bidi="he-IL"/>
        </w:rPr>
        <w:t xml:space="preserve"> </w:t>
      </w:r>
      <w:r w:rsidR="00BE2950">
        <w:rPr>
          <w:lang w:val="en-US" w:bidi="he-IL"/>
        </w:rPr>
        <w:t xml:space="preserve">the human </w:t>
      </w:r>
      <w:r w:rsidR="00D130C8">
        <w:rPr>
          <w:lang w:val="en-US" w:bidi="he-IL"/>
        </w:rPr>
        <w:t xml:space="preserve">perceptions and </w:t>
      </w:r>
      <w:r w:rsidR="00BE2950">
        <w:rPr>
          <w:lang w:val="en-US" w:bidi="he-IL"/>
        </w:rPr>
        <w:t>expressions of sanctity</w:t>
      </w:r>
      <w:r w:rsidR="00D130C8">
        <w:rPr>
          <w:lang w:val="en-US" w:bidi="he-IL"/>
        </w:rPr>
        <w:t xml:space="preserve">. </w:t>
      </w:r>
      <w:r w:rsidR="001856BB">
        <w:rPr>
          <w:lang w:val="en-US" w:bidi="he-IL"/>
        </w:rPr>
        <w:t xml:space="preserve">As Douglas Marshall </w:t>
      </w:r>
      <w:r w:rsidR="001856BB" w:rsidRPr="001856BB">
        <w:rPr>
          <w:lang w:val="en-US" w:bidi="he-IL"/>
        </w:rPr>
        <w:t>conceptualized</w:t>
      </w:r>
      <w:r w:rsidR="001856BB">
        <w:rPr>
          <w:lang w:val="en-US" w:bidi="he-IL"/>
        </w:rPr>
        <w:t xml:space="preserve"> it, “s</w:t>
      </w:r>
      <w:r w:rsidR="001856BB" w:rsidRPr="001856BB">
        <w:rPr>
          <w:lang w:val="en-US" w:bidi="he-IL"/>
        </w:rPr>
        <w:t xml:space="preserve">acredness is </w:t>
      </w:r>
      <w:r w:rsidR="001856BB">
        <w:rPr>
          <w:lang w:val="en-US" w:bidi="he-IL"/>
        </w:rPr>
        <w:t>[…]</w:t>
      </w:r>
      <w:r w:rsidR="001856BB" w:rsidRPr="001856BB">
        <w:rPr>
          <w:lang w:val="en-US" w:bidi="he-IL"/>
        </w:rPr>
        <w:t xml:space="preserve"> a perceived property of some object or class of objects.</w:t>
      </w:r>
      <w:r w:rsidR="001856BB">
        <w:rPr>
          <w:lang w:val="en-US" w:bidi="he-IL"/>
        </w:rPr>
        <w:t>”</w:t>
      </w:r>
      <w:r w:rsidR="001856BB">
        <w:rPr>
          <w:rStyle w:val="FootnoteReference"/>
          <w:lang w:val="en-US" w:bidi="he-IL"/>
        </w:rPr>
        <w:footnoteReference w:id="8"/>
      </w:r>
      <w:r w:rsidR="001856BB" w:rsidRPr="001856BB">
        <w:rPr>
          <w:lang w:val="en-US" w:bidi="he-IL"/>
        </w:rPr>
        <w:t xml:space="preserve"> </w:t>
      </w:r>
      <w:r w:rsidR="00D130C8">
        <w:rPr>
          <w:lang w:val="en-US" w:bidi="he-IL"/>
        </w:rPr>
        <w:t xml:space="preserve">The mental constructs </w:t>
      </w:r>
      <w:r w:rsidR="00AC1F3B">
        <w:rPr>
          <w:lang w:val="en-US" w:bidi="he-IL"/>
        </w:rPr>
        <w:t>are elusive</w:t>
      </w:r>
      <w:r w:rsidR="0015129D">
        <w:rPr>
          <w:lang w:val="en-US" w:bidi="he-IL"/>
        </w:rPr>
        <w:t>;</w:t>
      </w:r>
      <w:r w:rsidR="00AC1F3B">
        <w:rPr>
          <w:lang w:val="en-US" w:bidi="he-IL"/>
        </w:rPr>
        <w:t xml:space="preserve"> </w:t>
      </w:r>
      <w:r w:rsidR="0015129D">
        <w:rPr>
          <w:lang w:val="en-US" w:bidi="he-IL"/>
        </w:rPr>
        <w:t xml:space="preserve">after </w:t>
      </w:r>
      <w:r w:rsidR="00363C2A">
        <w:rPr>
          <w:lang w:val="en-US" w:bidi="he-IL"/>
        </w:rPr>
        <w:t xml:space="preserve">they </w:t>
      </w:r>
      <w:r w:rsidR="00D206BA">
        <w:rPr>
          <w:lang w:val="en-US" w:bidi="he-IL"/>
        </w:rPr>
        <w:t>have vanished</w:t>
      </w:r>
      <w:r w:rsidR="0015129D">
        <w:rPr>
          <w:lang w:val="en-US" w:bidi="he-IL"/>
        </w:rPr>
        <w:t>, the</w:t>
      </w:r>
      <w:r w:rsidR="00363C2A">
        <w:rPr>
          <w:lang w:val="en-US" w:bidi="he-IL"/>
        </w:rPr>
        <w:t xml:space="preserve">ir </w:t>
      </w:r>
      <w:r w:rsidR="000B6FBF">
        <w:rPr>
          <w:lang w:val="en-US" w:bidi="he-IL"/>
        </w:rPr>
        <w:t xml:space="preserve">imprints </w:t>
      </w:r>
      <w:r w:rsidR="00363C2A">
        <w:rPr>
          <w:lang w:val="en-US" w:bidi="he-IL"/>
        </w:rPr>
        <w:t>may survive</w:t>
      </w:r>
      <w:r w:rsidR="000B6FBF">
        <w:rPr>
          <w:lang w:val="en-US" w:bidi="he-IL"/>
        </w:rPr>
        <w:t xml:space="preserve"> </w:t>
      </w:r>
      <w:r w:rsidR="00363C2A">
        <w:rPr>
          <w:lang w:val="en-US" w:bidi="he-IL"/>
        </w:rPr>
        <w:t xml:space="preserve">in </w:t>
      </w:r>
      <w:r w:rsidR="000B6FBF">
        <w:rPr>
          <w:lang w:val="en-US" w:bidi="he-IL"/>
        </w:rPr>
        <w:t xml:space="preserve">texts </w:t>
      </w:r>
      <w:r w:rsidR="00035086">
        <w:rPr>
          <w:lang w:val="en-US" w:bidi="he-IL"/>
        </w:rPr>
        <w:t xml:space="preserve">and tangible </w:t>
      </w:r>
      <w:r w:rsidR="00AC1F3B">
        <w:rPr>
          <w:lang w:val="en-US" w:bidi="he-IL"/>
        </w:rPr>
        <w:t>objects</w:t>
      </w:r>
      <w:r w:rsidR="004877CD">
        <w:rPr>
          <w:lang w:val="en-US" w:bidi="he-IL"/>
        </w:rPr>
        <w:t>, which also are</w:t>
      </w:r>
      <w:r w:rsidR="00AC1F3B">
        <w:rPr>
          <w:lang w:val="en-US" w:bidi="he-IL"/>
        </w:rPr>
        <w:t xml:space="preserve"> </w:t>
      </w:r>
      <w:r w:rsidR="004877CD">
        <w:rPr>
          <w:lang w:val="en-US" w:bidi="he-IL"/>
        </w:rPr>
        <w:t xml:space="preserve">not but </w:t>
      </w:r>
      <w:r w:rsidR="00817BA9">
        <w:rPr>
          <w:lang w:val="en-US" w:bidi="he-IL"/>
        </w:rPr>
        <w:t xml:space="preserve">a vestigial remnant of the </w:t>
      </w:r>
      <w:r w:rsidR="004877CD">
        <w:rPr>
          <w:lang w:val="en-US" w:bidi="he-IL"/>
        </w:rPr>
        <w:t xml:space="preserve">lost </w:t>
      </w:r>
      <w:r w:rsidR="00817BA9">
        <w:rPr>
          <w:lang w:val="en-US" w:bidi="he-IL"/>
        </w:rPr>
        <w:t>entirety</w:t>
      </w:r>
      <w:r w:rsidR="004877CD">
        <w:rPr>
          <w:lang w:val="en-US" w:bidi="he-IL"/>
        </w:rPr>
        <w:t>.</w:t>
      </w:r>
      <w:r w:rsidR="004877CD">
        <w:rPr>
          <w:rStyle w:val="FootnoteReference"/>
          <w:lang w:val="en-US" w:bidi="he-IL"/>
        </w:rPr>
        <w:footnoteReference w:id="9"/>
      </w:r>
      <w:r w:rsidR="00817BA9">
        <w:rPr>
          <w:lang w:val="en-US" w:bidi="he-IL"/>
        </w:rPr>
        <w:t xml:space="preserve"> </w:t>
      </w:r>
      <w:r w:rsidR="00AC1F3B">
        <w:rPr>
          <w:lang w:val="en-US" w:bidi="he-IL"/>
        </w:rPr>
        <w:t xml:space="preserve">With the voices calling for reading the texts and </w:t>
      </w:r>
      <w:r w:rsidR="00AC1F3B">
        <w:rPr>
          <w:lang w:val="en-US" w:bidi="he-IL"/>
        </w:rPr>
        <w:lastRenderedPageBreak/>
        <w:t xml:space="preserve">images as equally informative and mutually complementary, the two bodies of evidence </w:t>
      </w:r>
      <w:r w:rsidR="00DF21DE">
        <w:rPr>
          <w:lang w:val="en-US" w:bidi="he-IL"/>
        </w:rPr>
        <w:t>are</w:t>
      </w:r>
      <w:r w:rsidR="00035086">
        <w:rPr>
          <w:lang w:val="en-US" w:bidi="he-IL"/>
        </w:rPr>
        <w:t xml:space="preserve"> </w:t>
      </w:r>
      <w:r w:rsidR="00DF21DE">
        <w:rPr>
          <w:lang w:val="en-US" w:bidi="he-IL"/>
        </w:rPr>
        <w:t>largely</w:t>
      </w:r>
      <w:r w:rsidR="002F77FF">
        <w:rPr>
          <w:lang w:val="en-US" w:bidi="he-IL"/>
        </w:rPr>
        <w:t xml:space="preserve"> </w:t>
      </w:r>
      <w:r w:rsidR="00035086">
        <w:rPr>
          <w:lang w:val="en-US" w:bidi="he-IL"/>
        </w:rPr>
        <w:t xml:space="preserve">treated with different </w:t>
      </w:r>
      <w:r w:rsidR="00DF21DE">
        <w:rPr>
          <w:lang w:val="en-US" w:bidi="he-IL"/>
        </w:rPr>
        <w:t>degrees</w:t>
      </w:r>
      <w:r w:rsidR="00035086">
        <w:rPr>
          <w:lang w:val="en-US" w:bidi="he-IL"/>
        </w:rPr>
        <w:t xml:space="preserve"> of certainty.</w:t>
      </w:r>
      <w:r w:rsidR="004A549D">
        <w:rPr>
          <w:lang w:val="en-US" w:bidi="he-IL"/>
        </w:rPr>
        <w:t xml:space="preserve"> </w:t>
      </w:r>
      <w:r w:rsidR="00D206BA">
        <w:rPr>
          <w:lang w:val="en-US" w:bidi="he-IL"/>
        </w:rPr>
        <w:t>A</w:t>
      </w:r>
      <w:r w:rsidR="00A678A4">
        <w:rPr>
          <w:lang w:val="en-US" w:bidi="he-IL"/>
        </w:rPr>
        <w:t xml:space="preserve">rt and architecture </w:t>
      </w:r>
      <w:r w:rsidR="00363C2A">
        <w:rPr>
          <w:lang w:val="en-US" w:bidi="he-IL"/>
        </w:rPr>
        <w:t xml:space="preserve">are often considered </w:t>
      </w:r>
      <w:r w:rsidR="00363C2A" w:rsidRPr="00363C2A">
        <w:rPr>
          <w:lang w:val="en-US" w:bidi="he-IL"/>
        </w:rPr>
        <w:t>ambiguous</w:t>
      </w:r>
      <w:r w:rsidR="00363C2A">
        <w:rPr>
          <w:lang w:val="en-US" w:bidi="he-IL"/>
        </w:rPr>
        <w:t xml:space="preserve"> testimonies </w:t>
      </w:r>
      <w:r w:rsidR="00174530">
        <w:rPr>
          <w:lang w:val="en-US" w:bidi="he-IL"/>
        </w:rPr>
        <w:t>for abstract thought</w:t>
      </w:r>
      <w:r w:rsidR="00DF21DE">
        <w:rPr>
          <w:lang w:val="en-US" w:bidi="he-IL"/>
        </w:rPr>
        <w:t>s</w:t>
      </w:r>
      <w:r w:rsidR="00174530">
        <w:rPr>
          <w:lang w:val="en-US" w:bidi="he-IL"/>
        </w:rPr>
        <w:t xml:space="preserve"> unless </w:t>
      </w:r>
      <w:r w:rsidR="00DF21DE">
        <w:rPr>
          <w:lang w:val="en-US" w:bidi="he-IL"/>
        </w:rPr>
        <w:t xml:space="preserve">the interpretations </w:t>
      </w:r>
      <w:r>
        <w:rPr>
          <w:lang w:val="en-US" w:bidi="he-IL"/>
        </w:rPr>
        <w:t xml:space="preserve">of images, forms and spaces </w:t>
      </w:r>
      <w:r w:rsidR="00DF21DE">
        <w:rPr>
          <w:lang w:val="en-US" w:bidi="he-IL"/>
        </w:rPr>
        <w:t xml:space="preserve">are </w:t>
      </w:r>
      <w:r w:rsidR="00A678A4">
        <w:rPr>
          <w:lang w:val="en-US" w:bidi="he-IL"/>
        </w:rPr>
        <w:t xml:space="preserve">being </w:t>
      </w:r>
      <w:r w:rsidR="00174530">
        <w:rPr>
          <w:lang w:val="en-US" w:bidi="he-IL"/>
        </w:rPr>
        <w:t>a</w:t>
      </w:r>
      <w:r w:rsidR="00A678A4">
        <w:rPr>
          <w:lang w:val="en-US" w:bidi="he-IL"/>
        </w:rPr>
        <w:t xml:space="preserve">ffirmed by culturally and </w:t>
      </w:r>
      <w:r w:rsidR="00174530">
        <w:rPr>
          <w:lang w:val="en-US" w:bidi="he-IL"/>
        </w:rPr>
        <w:t>chronologically related text</w:t>
      </w:r>
      <w:r w:rsidR="002F77FF">
        <w:rPr>
          <w:lang w:val="en-US" w:bidi="he-IL"/>
        </w:rPr>
        <w:t>s</w:t>
      </w:r>
      <w:r w:rsidR="00174530">
        <w:rPr>
          <w:lang w:val="en-US" w:bidi="he-IL"/>
        </w:rPr>
        <w:t>.</w:t>
      </w:r>
      <w:r w:rsidR="00746B75">
        <w:rPr>
          <w:rStyle w:val="FootnoteReference"/>
          <w:lang w:val="en-US" w:bidi="he-IL"/>
        </w:rPr>
        <w:footnoteReference w:id="10"/>
      </w:r>
      <w:r w:rsidR="00174530">
        <w:rPr>
          <w:lang w:val="en-US" w:bidi="he-IL"/>
        </w:rPr>
        <w:t xml:space="preserve">  </w:t>
      </w:r>
    </w:p>
    <w:p w14:paraId="4F5A63C8" w14:textId="1A21DDAC" w:rsidR="007D55F8" w:rsidRDefault="007D55F8" w:rsidP="007D55F8">
      <w:pPr>
        <w:pStyle w:val="Heading1"/>
        <w:rPr>
          <w:lang w:val="en-US"/>
        </w:rPr>
      </w:pPr>
      <w:r>
        <w:rPr>
          <w:lang w:val="en-US"/>
        </w:rPr>
        <w:t xml:space="preserve">Nomenclature </w:t>
      </w:r>
      <w:r w:rsidR="00894C91">
        <w:rPr>
          <w:lang w:val="en-US"/>
        </w:rPr>
        <w:t xml:space="preserve">and </w:t>
      </w:r>
      <w:r w:rsidRPr="007F72A5">
        <w:rPr>
          <w:lang w:val="en-US"/>
        </w:rPr>
        <w:t>Epigraphy</w:t>
      </w:r>
    </w:p>
    <w:p w14:paraId="1131A6D1" w14:textId="0A9025A0" w:rsidR="00475EC4" w:rsidRDefault="00226157" w:rsidP="008E3FD1">
      <w:pPr>
        <w:pStyle w:val="Paragraph"/>
        <w:rPr>
          <w:lang w:val="en-US"/>
        </w:rPr>
      </w:pPr>
      <w:r>
        <w:rPr>
          <w:lang w:val="en-US"/>
        </w:rPr>
        <w:t xml:space="preserve">Synagogue attendees and patrons, builders and decorators, </w:t>
      </w:r>
      <w:r w:rsidR="00D179DD">
        <w:rPr>
          <w:lang w:val="en-US"/>
        </w:rPr>
        <w:t xml:space="preserve">Jewish sages and </w:t>
      </w:r>
      <w:r w:rsidR="00EE27CF">
        <w:rPr>
          <w:lang w:val="en-US"/>
        </w:rPr>
        <w:t>Christian theolog</w:t>
      </w:r>
      <w:r w:rsidR="006B716F">
        <w:rPr>
          <w:lang w:val="en-US"/>
        </w:rPr>
        <w:t>ian</w:t>
      </w:r>
      <w:r w:rsidR="00EE27CF">
        <w:rPr>
          <w:lang w:val="en-US"/>
        </w:rPr>
        <w:t xml:space="preserve">s, halakhic authorities and imperial </w:t>
      </w:r>
      <w:r w:rsidR="00D179DD">
        <w:rPr>
          <w:lang w:val="en-US"/>
        </w:rPr>
        <w:t xml:space="preserve">legislators, </w:t>
      </w:r>
      <w:r>
        <w:rPr>
          <w:lang w:val="en-US"/>
        </w:rPr>
        <w:t xml:space="preserve">advocates and adversaries </w:t>
      </w:r>
      <w:r w:rsidR="004F3273">
        <w:rPr>
          <w:lang w:val="en-US"/>
        </w:rPr>
        <w:t xml:space="preserve">of Judaism </w:t>
      </w:r>
      <w:r>
        <w:rPr>
          <w:lang w:val="en-US"/>
        </w:rPr>
        <w:t xml:space="preserve">referred to synagogues in </w:t>
      </w:r>
      <w:r w:rsidR="006B716F">
        <w:rPr>
          <w:lang w:val="en-US"/>
        </w:rPr>
        <w:t xml:space="preserve">Aramaic, Hebrew, </w:t>
      </w:r>
      <w:r>
        <w:rPr>
          <w:lang w:val="en-US"/>
        </w:rPr>
        <w:t xml:space="preserve">Greek, </w:t>
      </w:r>
      <w:r w:rsidR="006B716F">
        <w:rPr>
          <w:lang w:val="en-US"/>
        </w:rPr>
        <w:t xml:space="preserve">or </w:t>
      </w:r>
      <w:r>
        <w:rPr>
          <w:lang w:val="en-US"/>
        </w:rPr>
        <w:t>Latin</w:t>
      </w:r>
      <w:r>
        <w:rPr>
          <w:lang w:val="en-US" w:bidi="he-IL"/>
        </w:rPr>
        <w:t xml:space="preserve">. </w:t>
      </w:r>
      <w:r w:rsidR="00714732">
        <w:rPr>
          <w:lang w:val="en-US" w:bidi="he-IL"/>
        </w:rPr>
        <w:t>S</w:t>
      </w:r>
      <w:r w:rsidR="00D179DD">
        <w:rPr>
          <w:lang w:val="en-US" w:bidi="he-IL"/>
        </w:rPr>
        <w:t xml:space="preserve">cholars </w:t>
      </w:r>
      <w:r w:rsidR="006B716F">
        <w:rPr>
          <w:lang w:val="en-US" w:bidi="he-IL"/>
        </w:rPr>
        <w:t>treated</w:t>
      </w:r>
      <w:r w:rsidR="00D179DD">
        <w:rPr>
          <w:lang w:val="en-US" w:bidi="he-IL"/>
        </w:rPr>
        <w:t xml:space="preserve"> t</w:t>
      </w:r>
      <w:r w:rsidR="00443B98">
        <w:rPr>
          <w:lang w:val="en-US"/>
        </w:rPr>
        <w:t xml:space="preserve">he </w:t>
      </w:r>
      <w:r w:rsidR="004F3273">
        <w:rPr>
          <w:lang w:val="en-US"/>
        </w:rPr>
        <w:t xml:space="preserve">synagogue </w:t>
      </w:r>
      <w:r w:rsidR="00443B98">
        <w:rPr>
          <w:lang w:val="en-US"/>
        </w:rPr>
        <w:t>names and epithets</w:t>
      </w:r>
      <w:r w:rsidR="004F3273">
        <w:rPr>
          <w:lang w:val="en-US"/>
        </w:rPr>
        <w:t xml:space="preserve"> </w:t>
      </w:r>
      <w:r w:rsidR="00443B98">
        <w:rPr>
          <w:lang w:val="en-US"/>
        </w:rPr>
        <w:t xml:space="preserve">containing definitions </w:t>
      </w:r>
      <w:proofErr w:type="spellStart"/>
      <w:r w:rsidR="00443B98" w:rsidRPr="006B716F">
        <w:rPr>
          <w:lang w:val="en-US"/>
        </w:rPr>
        <w:t>ἅγιος</w:t>
      </w:r>
      <w:proofErr w:type="spellEnd"/>
      <w:r w:rsidR="00443B98" w:rsidRPr="006B716F">
        <w:rPr>
          <w:lang w:val="en-US"/>
        </w:rPr>
        <w:t xml:space="preserve"> or </w:t>
      </w:r>
      <w:proofErr w:type="spellStart"/>
      <w:r w:rsidR="00443B98" w:rsidRPr="006B716F">
        <w:rPr>
          <w:lang w:val="en-US"/>
        </w:rPr>
        <w:t>ἱερός</w:t>
      </w:r>
      <w:proofErr w:type="spellEnd"/>
      <w:r w:rsidR="00443B98" w:rsidRPr="00AA0768">
        <w:rPr>
          <w:i/>
          <w:iCs/>
          <w:lang w:val="en-US"/>
        </w:rPr>
        <w:t xml:space="preserve"> </w:t>
      </w:r>
      <w:r w:rsidR="00443B98">
        <w:rPr>
          <w:lang w:val="en-US"/>
        </w:rPr>
        <w:t>(Greek: “holy,” “sacred”),</w:t>
      </w:r>
      <w:r>
        <w:rPr>
          <w:lang w:val="en-US"/>
        </w:rPr>
        <w:t xml:space="preserve"> and</w:t>
      </w:r>
      <w:r w:rsidR="00443B98">
        <w:rPr>
          <w:lang w:val="en-US"/>
        </w:rPr>
        <w:t xml:space="preserve"> </w:t>
      </w:r>
      <w:r w:rsidR="00443B98" w:rsidRPr="00AA0768">
        <w:rPr>
          <w:rFonts w:hint="cs"/>
          <w:rtl/>
          <w:lang w:val="ru-RU" w:bidi="he-IL"/>
        </w:rPr>
        <w:t>קדישא</w:t>
      </w:r>
      <w:r w:rsidR="00443B98">
        <w:rPr>
          <w:i/>
          <w:iCs/>
          <w:lang w:val="en-US"/>
        </w:rPr>
        <w:t xml:space="preserve"> </w:t>
      </w:r>
      <w:r w:rsidR="00443B98" w:rsidRPr="008123AC">
        <w:rPr>
          <w:lang w:val="en-US"/>
        </w:rPr>
        <w:t>(</w:t>
      </w:r>
      <w:r w:rsidR="00443B98">
        <w:rPr>
          <w:lang w:val="en-US"/>
        </w:rPr>
        <w:t xml:space="preserve">Aramaic: “holy”) as an </w:t>
      </w:r>
      <w:r w:rsidR="00443B98" w:rsidRPr="00A44F28">
        <w:rPr>
          <w:lang w:val="en-US"/>
        </w:rPr>
        <w:t>indubitable</w:t>
      </w:r>
      <w:r w:rsidR="00443B98">
        <w:rPr>
          <w:lang w:val="en-US"/>
        </w:rPr>
        <w:t xml:space="preserve"> indication that the </w:t>
      </w:r>
      <w:r w:rsidR="006D562D">
        <w:rPr>
          <w:lang w:val="en-US"/>
        </w:rPr>
        <w:t xml:space="preserve">Jews regarded these </w:t>
      </w:r>
      <w:r w:rsidR="00443B98">
        <w:rPr>
          <w:lang w:val="en-US"/>
        </w:rPr>
        <w:t>places holy.</w:t>
      </w:r>
      <w:r w:rsidR="00C52172">
        <w:rPr>
          <w:rStyle w:val="FootnoteReference"/>
          <w:lang w:val="en-US" w:bidi="he-IL"/>
        </w:rPr>
        <w:footnoteReference w:id="11"/>
      </w:r>
      <w:r w:rsidR="00443B98">
        <w:rPr>
          <w:lang w:val="en-US"/>
        </w:rPr>
        <w:t xml:space="preserve"> </w:t>
      </w:r>
      <w:r w:rsidR="00667CB1" w:rsidRPr="009F2FB2">
        <w:rPr>
          <w:lang w:val="en-US"/>
        </w:rPr>
        <w:t>Goodman</w:t>
      </w:r>
      <w:r>
        <w:rPr>
          <w:lang w:val="en-US"/>
        </w:rPr>
        <w:t xml:space="preserve">’s reading </w:t>
      </w:r>
      <w:r w:rsidR="00894C91">
        <w:rPr>
          <w:lang w:val="en-US"/>
        </w:rPr>
        <w:t xml:space="preserve">of </w:t>
      </w:r>
      <w:r>
        <w:rPr>
          <w:lang w:val="en-US"/>
        </w:rPr>
        <w:t xml:space="preserve">these terms in their particular ideological, political, and religious contexts </w:t>
      </w:r>
      <w:r w:rsidR="00714732">
        <w:rPr>
          <w:lang w:val="en-US"/>
        </w:rPr>
        <w:t xml:space="preserve">challenged </w:t>
      </w:r>
      <w:r w:rsidR="007D3C34">
        <w:rPr>
          <w:lang w:val="en-US"/>
        </w:rPr>
        <w:t>one’s</w:t>
      </w:r>
      <w:r w:rsidR="00667CB1">
        <w:rPr>
          <w:lang w:val="en-US"/>
        </w:rPr>
        <w:t xml:space="preserve"> </w:t>
      </w:r>
      <w:r w:rsidR="00FF1E6B">
        <w:rPr>
          <w:lang w:val="en-US"/>
        </w:rPr>
        <w:t>sweeping</w:t>
      </w:r>
      <w:r w:rsidR="00667CB1">
        <w:rPr>
          <w:lang w:val="en-US"/>
        </w:rPr>
        <w:t xml:space="preserve"> </w:t>
      </w:r>
      <w:r>
        <w:rPr>
          <w:lang w:val="en-US"/>
        </w:rPr>
        <w:t>trust in</w:t>
      </w:r>
      <w:r w:rsidR="00667CB1">
        <w:rPr>
          <w:lang w:val="en-US"/>
        </w:rPr>
        <w:t xml:space="preserve"> </w:t>
      </w:r>
      <w:r w:rsidR="001B407B" w:rsidRPr="001B407B">
        <w:rPr>
          <w:lang w:val="en-US"/>
        </w:rPr>
        <w:lastRenderedPageBreak/>
        <w:t>nomenclature</w:t>
      </w:r>
      <w:r>
        <w:rPr>
          <w:lang w:val="en-US"/>
        </w:rPr>
        <w:t>.</w:t>
      </w:r>
      <w:r w:rsidR="00C52172" w:rsidRPr="00C52172">
        <w:rPr>
          <w:rStyle w:val="FootnoteReference"/>
          <w:lang w:val="en-US"/>
        </w:rPr>
        <w:t xml:space="preserve"> </w:t>
      </w:r>
      <w:r w:rsidR="00C52172">
        <w:rPr>
          <w:rStyle w:val="FootnoteReference"/>
          <w:lang w:val="en-US"/>
        </w:rPr>
        <w:footnoteReference w:id="12"/>
      </w:r>
      <w:r>
        <w:rPr>
          <w:lang w:val="en-US"/>
        </w:rPr>
        <w:t xml:space="preserve"> </w:t>
      </w:r>
      <w:r w:rsidR="00894C91">
        <w:rPr>
          <w:lang w:val="en-US"/>
        </w:rPr>
        <w:t xml:space="preserve">He </w:t>
      </w:r>
      <w:r w:rsidR="00714732">
        <w:rPr>
          <w:lang w:val="en-US"/>
        </w:rPr>
        <w:t>observed that</w:t>
      </w:r>
      <w:r w:rsidR="00120213">
        <w:rPr>
          <w:lang w:val="en-US"/>
        </w:rPr>
        <w:t>, on the one hand,</w:t>
      </w:r>
      <w:r w:rsidR="00714732">
        <w:rPr>
          <w:lang w:val="en-US"/>
        </w:rPr>
        <w:t xml:space="preserve"> </w:t>
      </w:r>
      <w:r w:rsidR="00693983">
        <w:rPr>
          <w:lang w:val="en-US"/>
        </w:rPr>
        <w:t xml:space="preserve">the gentiles assigned their concept of veneration of sacred places to the Jewish houses of prayer and religious meetings, and </w:t>
      </w:r>
      <w:r w:rsidR="00714732">
        <w:rPr>
          <w:lang w:val="en-US"/>
        </w:rPr>
        <w:t xml:space="preserve">the meaning of solemn </w:t>
      </w:r>
      <w:r w:rsidR="007D3C34">
        <w:rPr>
          <w:lang w:val="en-US"/>
        </w:rPr>
        <w:t xml:space="preserve">Greek </w:t>
      </w:r>
      <w:r w:rsidR="00714732">
        <w:rPr>
          <w:lang w:val="en-US"/>
        </w:rPr>
        <w:t xml:space="preserve">words was </w:t>
      </w:r>
      <w:r w:rsidR="007D3C34" w:rsidRPr="007D3C34">
        <w:rPr>
          <w:lang w:val="en-US"/>
        </w:rPr>
        <w:t>ambiguous</w:t>
      </w:r>
      <w:r w:rsidR="00714732">
        <w:rPr>
          <w:lang w:val="en-US"/>
        </w:rPr>
        <w:t xml:space="preserve"> </w:t>
      </w:r>
      <w:r w:rsidR="007D3C34">
        <w:rPr>
          <w:lang w:val="en-US"/>
        </w:rPr>
        <w:t xml:space="preserve">in the late-Roman </w:t>
      </w:r>
      <w:r w:rsidR="00693983">
        <w:rPr>
          <w:lang w:val="en-US"/>
        </w:rPr>
        <w:t>usage</w:t>
      </w:r>
      <w:r w:rsidR="00475EC4">
        <w:rPr>
          <w:lang w:val="en-US"/>
        </w:rPr>
        <w:t xml:space="preserve">. </w:t>
      </w:r>
      <w:r w:rsidR="00120213">
        <w:rPr>
          <w:lang w:val="en-US"/>
        </w:rPr>
        <w:t xml:space="preserve">On the other hand, neither </w:t>
      </w:r>
      <w:r w:rsidR="00734F85">
        <w:rPr>
          <w:lang w:val="en-US"/>
        </w:rPr>
        <w:t xml:space="preserve">rabbinic sages </w:t>
      </w:r>
      <w:r w:rsidR="00120213">
        <w:rPr>
          <w:lang w:val="en-US"/>
        </w:rPr>
        <w:t xml:space="preserve">nor non-rabbinic authorities </w:t>
      </w:r>
      <w:r w:rsidR="00C52172">
        <w:rPr>
          <w:lang w:val="en-US"/>
        </w:rPr>
        <w:t xml:space="preserve">posed </w:t>
      </w:r>
      <w:r w:rsidR="00C52172" w:rsidRPr="00C52172">
        <w:rPr>
          <w:lang w:val="en-US"/>
        </w:rPr>
        <w:t>any coherent rationale for their attitudes</w:t>
      </w:r>
      <w:r w:rsidR="00C52172">
        <w:rPr>
          <w:lang w:val="en-US"/>
        </w:rPr>
        <w:t xml:space="preserve"> to synagogue sacrality. </w:t>
      </w:r>
      <w:r w:rsidR="004F3273">
        <w:rPr>
          <w:lang w:val="en-US"/>
        </w:rPr>
        <w:t xml:space="preserve">Goodman </w:t>
      </w:r>
      <w:r w:rsidR="00D63B6D">
        <w:rPr>
          <w:lang w:val="en-US"/>
        </w:rPr>
        <w:t>suggested that</w:t>
      </w:r>
      <w:r w:rsidR="004F3273">
        <w:rPr>
          <w:lang w:val="en-US"/>
        </w:rPr>
        <w:t xml:space="preserve"> </w:t>
      </w:r>
      <w:r w:rsidR="00896D3D">
        <w:rPr>
          <w:lang w:val="en-US"/>
        </w:rPr>
        <w:t xml:space="preserve">the most reliable source is the synagogue </w:t>
      </w:r>
      <w:r w:rsidR="00D63B6D">
        <w:rPr>
          <w:lang w:val="en-US"/>
        </w:rPr>
        <w:t>epigraphy</w:t>
      </w:r>
      <w:r w:rsidR="006F4940">
        <w:rPr>
          <w:lang w:val="en-US"/>
        </w:rPr>
        <w:t xml:space="preserve">. He claimed, </w:t>
      </w:r>
      <w:r w:rsidR="00C52172">
        <w:t>“The clearest evidence that some Jews treated synagogues as sacred space comes not from rabbinic discussions nor from the architecture of the synagogue buildings, but from the inscriptions found within those buildings</w:t>
      </w:r>
      <w:r w:rsidR="004A3DD0">
        <w:t>.</w:t>
      </w:r>
      <w:r w:rsidR="00C52172">
        <w:t>”</w:t>
      </w:r>
      <w:r w:rsidR="004A3DD0">
        <w:rPr>
          <w:rStyle w:val="FootnoteReference"/>
        </w:rPr>
        <w:footnoteReference w:id="13"/>
      </w:r>
      <w:r w:rsidR="00C52172" w:rsidRPr="009F2FB2">
        <w:t xml:space="preserve"> </w:t>
      </w:r>
      <w:r w:rsidR="0025609E">
        <w:t xml:space="preserve">Relying on that epigraphy, </w:t>
      </w:r>
      <w:r w:rsidR="004A3DD0">
        <w:t xml:space="preserve">Goodman </w:t>
      </w:r>
      <w:r w:rsidR="0025609E">
        <w:t>concluded</w:t>
      </w:r>
      <w:r w:rsidR="004A3DD0">
        <w:t xml:space="preserve"> </w:t>
      </w:r>
      <w:r w:rsidR="0025609E">
        <w:t xml:space="preserve">that </w:t>
      </w:r>
      <w:r w:rsidR="006D562D">
        <w:t xml:space="preserve">the synagogue sites </w:t>
      </w:r>
      <w:r w:rsidR="009C26A7">
        <w:t xml:space="preserve">could be </w:t>
      </w:r>
      <w:r w:rsidR="006D562D">
        <w:t xml:space="preserve">treated by Jews as holy, </w:t>
      </w:r>
      <w:r w:rsidR="0095473B">
        <w:t xml:space="preserve">while </w:t>
      </w:r>
      <w:r w:rsidR="006D562D">
        <w:t>the attitudes</w:t>
      </w:r>
      <w:r w:rsidR="00E6127E">
        <w:t xml:space="preserve"> greatly</w:t>
      </w:r>
      <w:r w:rsidR="006D562D">
        <w:t xml:space="preserve"> varied.</w:t>
      </w:r>
      <w:r w:rsidR="006D562D">
        <w:rPr>
          <w:rStyle w:val="FootnoteReference"/>
        </w:rPr>
        <w:footnoteReference w:id="14"/>
      </w:r>
      <w:r w:rsidR="00C52172">
        <w:rPr>
          <w:lang w:val="en-US"/>
        </w:rPr>
        <w:t xml:space="preserve">    </w:t>
      </w:r>
    </w:p>
    <w:p w14:paraId="64408F17" w14:textId="0B497CBA" w:rsidR="00936BEC" w:rsidRPr="00635AC0" w:rsidRDefault="00936BEC" w:rsidP="00936BEC">
      <w:pPr>
        <w:pStyle w:val="Heading1"/>
      </w:pPr>
      <w:r w:rsidRPr="00635AC0">
        <w:t xml:space="preserve">Religious </w:t>
      </w:r>
      <w:r>
        <w:t>Performance</w:t>
      </w:r>
      <w:r w:rsidR="004C5F05">
        <w:t>, Tangible Settings,</w:t>
      </w:r>
      <w:r w:rsidRPr="00635AC0">
        <w:t xml:space="preserve"> and </w:t>
      </w:r>
      <w:r w:rsidR="00D422B3">
        <w:t>Visual</w:t>
      </w:r>
      <w:r w:rsidRPr="00635AC0">
        <w:t xml:space="preserve"> Displays</w:t>
      </w:r>
    </w:p>
    <w:p w14:paraId="1BBE5168" w14:textId="59CFD193" w:rsidR="00936BEC" w:rsidRDefault="00076350" w:rsidP="00076350">
      <w:pPr>
        <w:pStyle w:val="Paragraph"/>
        <w:rPr>
          <w:lang w:val="en-US"/>
        </w:rPr>
      </w:pPr>
      <w:r w:rsidRPr="00076350">
        <w:rPr>
          <w:lang w:val="en-US"/>
        </w:rPr>
        <w:t xml:space="preserve">The synagogue </w:t>
      </w:r>
      <w:r w:rsidR="00713C81" w:rsidRPr="00076350">
        <w:rPr>
          <w:lang w:val="en-US"/>
        </w:rPr>
        <w:t xml:space="preserve">sanctity </w:t>
      </w:r>
      <w:r>
        <w:rPr>
          <w:lang w:val="en-US"/>
        </w:rPr>
        <w:t>was</w:t>
      </w:r>
      <w:r w:rsidRPr="00076350">
        <w:rPr>
          <w:lang w:val="en-US"/>
        </w:rPr>
        <w:t xml:space="preserve"> </w:t>
      </w:r>
      <w:r w:rsidR="004C48D1">
        <w:rPr>
          <w:lang w:val="en-US"/>
        </w:rPr>
        <w:t>discussed in</w:t>
      </w:r>
      <w:r w:rsidR="000A73D7">
        <w:rPr>
          <w:lang w:val="en-US"/>
        </w:rPr>
        <w:t xml:space="preserve"> </w:t>
      </w:r>
      <w:r w:rsidR="00713C81">
        <w:rPr>
          <w:lang w:val="en-US"/>
        </w:rPr>
        <w:t xml:space="preserve">its </w:t>
      </w:r>
      <w:r w:rsidR="004C48D1">
        <w:rPr>
          <w:lang w:val="en-US"/>
        </w:rPr>
        <w:t xml:space="preserve">human and </w:t>
      </w:r>
      <w:r w:rsidR="000A73D7">
        <w:rPr>
          <w:lang w:val="en-US"/>
        </w:rPr>
        <w:t xml:space="preserve">material </w:t>
      </w:r>
      <w:r w:rsidR="00713C81">
        <w:rPr>
          <w:lang w:val="en-US"/>
        </w:rPr>
        <w:t>dimensions</w:t>
      </w:r>
      <w:r w:rsidRPr="00076350">
        <w:rPr>
          <w:lang w:val="en-US"/>
        </w:rPr>
        <w:t>.</w:t>
      </w:r>
      <w:r>
        <w:rPr>
          <w:lang w:val="en-US"/>
        </w:rPr>
        <w:t xml:space="preserve"> </w:t>
      </w:r>
      <w:r w:rsidR="00713C81">
        <w:rPr>
          <w:lang w:val="en-US"/>
        </w:rPr>
        <w:t xml:space="preserve">Paradigmatic is </w:t>
      </w:r>
      <w:r w:rsidR="00936BEC">
        <w:rPr>
          <w:lang w:val="en-US"/>
        </w:rPr>
        <w:t>Lee I. Levine</w:t>
      </w:r>
      <w:r w:rsidR="00713C81">
        <w:rPr>
          <w:lang w:val="en-US"/>
        </w:rPr>
        <w:t>’s</w:t>
      </w:r>
      <w:r w:rsidR="001865C6" w:rsidRPr="001865C6">
        <w:t xml:space="preserve"> </w:t>
      </w:r>
      <w:r w:rsidR="001865C6">
        <w:rPr>
          <w:lang w:val="en-US"/>
        </w:rPr>
        <w:t>indicat</w:t>
      </w:r>
      <w:r w:rsidR="00713C81">
        <w:rPr>
          <w:lang w:val="en-US"/>
        </w:rPr>
        <w:t xml:space="preserve">ion of </w:t>
      </w:r>
      <w:r w:rsidR="00936BEC">
        <w:rPr>
          <w:lang w:val="en-US"/>
        </w:rPr>
        <w:t xml:space="preserve">the sanctity of ancient synagogues </w:t>
      </w:r>
      <w:r w:rsidR="00860249" w:rsidRPr="001865C6">
        <w:rPr>
          <w:lang w:val="en-US"/>
        </w:rPr>
        <w:t>intermediately</w:t>
      </w:r>
      <w:r w:rsidR="00860249">
        <w:rPr>
          <w:lang w:val="en-US"/>
        </w:rPr>
        <w:t xml:space="preserve"> </w:t>
      </w:r>
      <w:r w:rsidR="00713C81">
        <w:rPr>
          <w:lang w:val="en-US"/>
        </w:rPr>
        <w:t xml:space="preserve">– </w:t>
      </w:r>
      <w:r w:rsidR="001865C6">
        <w:rPr>
          <w:lang w:val="en-US"/>
        </w:rPr>
        <w:t xml:space="preserve">by </w:t>
      </w:r>
      <w:r w:rsidR="00936BEC">
        <w:rPr>
          <w:lang w:val="en-US"/>
        </w:rPr>
        <w:t xml:space="preserve">their roles as religious institutions </w:t>
      </w:r>
      <w:r w:rsidR="001865C6">
        <w:rPr>
          <w:lang w:val="en-US"/>
        </w:rPr>
        <w:t xml:space="preserve">that </w:t>
      </w:r>
      <w:r w:rsidR="00936BEC">
        <w:rPr>
          <w:lang w:val="en-US"/>
        </w:rPr>
        <w:t>distinctly emancipated from the prevalence of communal functions, and as venues for religious art.</w:t>
      </w:r>
      <w:r w:rsidR="00936BEC">
        <w:rPr>
          <w:rStyle w:val="FootnoteReference"/>
          <w:lang w:val="en-US"/>
        </w:rPr>
        <w:footnoteReference w:id="15"/>
      </w:r>
      <w:r w:rsidR="00936BEC">
        <w:rPr>
          <w:lang w:val="en-US"/>
        </w:rPr>
        <w:t xml:space="preserve"> He deemed the sanctity of buildings a projection of their sacred contents, either material (holy objects) or performative (public prayer, reading of sacred books, ritual meals, collecting </w:t>
      </w:r>
      <w:r w:rsidR="00936BEC">
        <w:rPr>
          <w:lang w:val="en-US"/>
        </w:rPr>
        <w:lastRenderedPageBreak/>
        <w:t>donations).</w:t>
      </w:r>
      <w:r w:rsidR="00936BEC">
        <w:rPr>
          <w:rStyle w:val="FootnoteReference"/>
          <w:lang w:val="en-US"/>
        </w:rPr>
        <w:footnoteReference w:id="16"/>
      </w:r>
      <w:r w:rsidR="00936BEC">
        <w:rPr>
          <w:lang w:val="en-US"/>
        </w:rPr>
        <w:t xml:space="preserve"> In this concern, Goodman expanded that the very performance</w:t>
      </w:r>
      <w:r w:rsidR="00936BEC" w:rsidRPr="000233B9">
        <w:rPr>
          <w:lang w:val="en-US"/>
        </w:rPr>
        <w:t xml:space="preserve"> of communal</w:t>
      </w:r>
      <w:r w:rsidR="00936BEC">
        <w:rPr>
          <w:lang w:val="en-US"/>
        </w:rPr>
        <w:t xml:space="preserve"> </w:t>
      </w:r>
      <w:r w:rsidR="00936BEC" w:rsidRPr="000233B9">
        <w:rPr>
          <w:lang w:val="en-US"/>
        </w:rPr>
        <w:t xml:space="preserve">prayer </w:t>
      </w:r>
      <w:r w:rsidR="00936BEC">
        <w:rPr>
          <w:lang w:val="en-US"/>
        </w:rPr>
        <w:t xml:space="preserve">in </w:t>
      </w:r>
      <w:r w:rsidR="00936BEC" w:rsidRPr="000233B9">
        <w:rPr>
          <w:lang w:val="en-US"/>
        </w:rPr>
        <w:t>synagogues might cast a holy aura upon the building</w:t>
      </w:r>
      <w:r w:rsidR="00936BEC">
        <w:rPr>
          <w:lang w:val="en-US"/>
        </w:rPr>
        <w:t>.</w:t>
      </w:r>
      <w:r w:rsidR="00936BEC">
        <w:rPr>
          <w:rStyle w:val="FootnoteReference"/>
          <w:lang w:val="en-US"/>
        </w:rPr>
        <w:footnoteReference w:id="17"/>
      </w:r>
      <w:r w:rsidR="00936BEC">
        <w:rPr>
          <w:lang w:val="en-US"/>
        </w:rPr>
        <w:t xml:space="preserve"> Levine argued that since the third century C.E., the permanent presence of the Torah scrolls heightened the synagogue sanctity; their storage was secured in niches, apses, or arks, and their reading was furnished by bimahs.</w:t>
      </w:r>
      <w:r w:rsidR="00936BEC">
        <w:rPr>
          <w:rStyle w:val="FootnoteReference"/>
          <w:lang w:val="en-US"/>
        </w:rPr>
        <w:footnoteReference w:id="18"/>
      </w:r>
      <w:r w:rsidR="00936BEC">
        <w:rPr>
          <w:lang w:val="en-US"/>
        </w:rPr>
        <w:t xml:space="preserve"> The images illustrating the Hebrew Bible underpinned the synagogues’ religious function.</w:t>
      </w:r>
      <w:r w:rsidR="00936BEC">
        <w:rPr>
          <w:rStyle w:val="FootnoteReference"/>
          <w:lang w:val="en-US"/>
        </w:rPr>
        <w:footnoteReference w:id="19"/>
      </w:r>
      <w:r w:rsidR="00936BEC">
        <w:rPr>
          <w:lang w:val="en-US"/>
        </w:rPr>
        <w:t xml:space="preserve"> Avoiding decisive stance regarding </w:t>
      </w:r>
      <w:r w:rsidR="002C31D1">
        <w:rPr>
          <w:lang w:val="en-US"/>
        </w:rPr>
        <w:t xml:space="preserve">diverse and </w:t>
      </w:r>
      <w:r w:rsidR="00936BEC">
        <w:rPr>
          <w:lang w:val="en-US"/>
        </w:rPr>
        <w:t xml:space="preserve">competitive interpretations of this art, Levine </w:t>
      </w:r>
      <w:r w:rsidR="002C31D1">
        <w:rPr>
          <w:lang w:val="en-US"/>
        </w:rPr>
        <w:t>admitted</w:t>
      </w:r>
      <w:r w:rsidR="00936BEC">
        <w:rPr>
          <w:lang w:val="en-US"/>
        </w:rPr>
        <w:t xml:space="preserve"> that the images and symbols were “mobilized to serve the cultural, religious, and psychological needs of Jewish communities.”</w:t>
      </w:r>
      <w:r w:rsidR="00936BEC">
        <w:rPr>
          <w:rStyle w:val="FootnoteReference"/>
          <w:lang w:val="en-US"/>
        </w:rPr>
        <w:footnoteReference w:id="20"/>
      </w:r>
      <w:r w:rsidR="00936BEC">
        <w:rPr>
          <w:lang w:val="en-US"/>
        </w:rPr>
        <w:t xml:space="preserve">    </w:t>
      </w:r>
    </w:p>
    <w:p w14:paraId="6F1A8491" w14:textId="77777777" w:rsidR="002C5F71" w:rsidRDefault="002C5F71" w:rsidP="002C5F71">
      <w:pPr>
        <w:pStyle w:val="Heading1"/>
        <w:rPr>
          <w:lang w:val="en-US"/>
        </w:rPr>
      </w:pPr>
      <w:r>
        <w:rPr>
          <w:lang w:val="en-US"/>
        </w:rPr>
        <w:t xml:space="preserve">Temple to Synagogue </w:t>
      </w:r>
    </w:p>
    <w:p w14:paraId="675C9D45" w14:textId="77777777" w:rsidR="002C5F71" w:rsidRDefault="002C5F71" w:rsidP="002C5F71">
      <w:pPr>
        <w:pStyle w:val="Default"/>
      </w:pPr>
    </w:p>
    <w:p w14:paraId="670A3DCD" w14:textId="30B357A2" w:rsidR="002C5F71" w:rsidRDefault="002C5F71" w:rsidP="002C5F71">
      <w:pPr>
        <w:rPr>
          <w:lang w:val="en-US"/>
        </w:rPr>
      </w:pPr>
      <w:r>
        <w:rPr>
          <w:lang w:val="en-US"/>
        </w:rPr>
        <w:t>Of the issues relating to synagogue sanctity in p</w:t>
      </w:r>
      <w:r w:rsidRPr="00946589">
        <w:rPr>
          <w:lang w:val="en-US"/>
        </w:rPr>
        <w:t>re-modern Synagogue</w:t>
      </w:r>
      <w:r>
        <w:rPr>
          <w:lang w:val="en-US"/>
        </w:rPr>
        <w:t xml:space="preserve">, perhaps the most scholarly effort was invested in exploring the transmission of the notion of sacred from the Temple to synagogues. The biblical </w:t>
      </w:r>
      <w:proofErr w:type="spellStart"/>
      <w:r w:rsidRPr="00407272">
        <w:rPr>
          <w:i/>
          <w:iCs/>
          <w:lang w:val="en-US"/>
        </w:rPr>
        <w:t>beit</w:t>
      </w:r>
      <w:proofErr w:type="spellEnd"/>
      <w:r w:rsidRPr="00407272">
        <w:rPr>
          <w:i/>
          <w:iCs/>
          <w:lang w:val="en-US"/>
        </w:rPr>
        <w:t xml:space="preserve"> ha-</w:t>
      </w:r>
      <w:proofErr w:type="spellStart"/>
      <w:r w:rsidRPr="00407272">
        <w:rPr>
          <w:i/>
          <w:iCs/>
          <w:lang w:val="en-US"/>
        </w:rPr>
        <w:t>Mikdash</w:t>
      </w:r>
      <w:proofErr w:type="spellEnd"/>
      <w:r>
        <w:rPr>
          <w:lang w:val="en-US"/>
        </w:rPr>
        <w:t xml:space="preserve"> (Hebrew: the Temple; literally, “the Holy House”) </w:t>
      </w:r>
      <w:r w:rsidRPr="000373F8">
        <w:rPr>
          <w:lang w:val="en-US"/>
        </w:rPr>
        <w:t>in Jerusalem</w:t>
      </w:r>
      <w:r>
        <w:rPr>
          <w:lang w:val="en-US"/>
        </w:rPr>
        <w:t xml:space="preserve"> celebrated its holiness as the only mundane abode of </w:t>
      </w:r>
      <w:r>
        <w:rPr>
          <w:lang w:val="en-US"/>
        </w:rPr>
        <w:lastRenderedPageBreak/>
        <w:t xml:space="preserve">Divine Presence and the unique </w:t>
      </w:r>
      <w:r w:rsidRPr="004A7E5C">
        <w:rPr>
          <w:i/>
          <w:iCs/>
          <w:lang w:val="en-US"/>
        </w:rPr>
        <w:t>axis</w:t>
      </w:r>
      <w:r>
        <w:rPr>
          <w:lang w:val="en-US"/>
        </w:rPr>
        <w:t xml:space="preserve"> and </w:t>
      </w:r>
      <w:r w:rsidRPr="00845954">
        <w:rPr>
          <w:i/>
          <w:iCs/>
          <w:lang w:val="en-US"/>
        </w:rPr>
        <w:t>omphalos mundi</w:t>
      </w:r>
      <w:r>
        <w:rPr>
          <w:lang w:val="en-US"/>
        </w:rPr>
        <w:t>.</w:t>
      </w:r>
      <w:r>
        <w:rPr>
          <w:rStyle w:val="FootnoteReference"/>
          <w:lang w:val="en-US"/>
        </w:rPr>
        <w:footnoteReference w:id="21"/>
      </w:r>
      <w:r w:rsidRPr="00A35206">
        <w:t xml:space="preserve"> </w:t>
      </w:r>
      <w:r w:rsidRPr="000373F8">
        <w:rPr>
          <w:lang w:val="en-US"/>
        </w:rPr>
        <w:t>The affairs in the oldest synagogues run in parallel to the cult of sacrifices in the Second Temple</w:t>
      </w:r>
      <w:r>
        <w:rPr>
          <w:lang w:val="en-US"/>
        </w:rPr>
        <w:t xml:space="preserve"> and, as Goodman contended, </w:t>
      </w:r>
      <w:r w:rsidRPr="004C3DFD">
        <w:rPr>
          <w:lang w:val="en-US"/>
        </w:rPr>
        <w:t>some</w:t>
      </w:r>
      <w:r>
        <w:rPr>
          <w:lang w:val="en-US"/>
        </w:rPr>
        <w:t xml:space="preserve"> </w:t>
      </w:r>
      <w:r w:rsidRPr="004C3DFD">
        <w:rPr>
          <w:lang w:val="en-US"/>
        </w:rPr>
        <w:t xml:space="preserve">Jews even </w:t>
      </w:r>
      <w:r>
        <w:rPr>
          <w:lang w:val="en-US"/>
        </w:rPr>
        <w:t xml:space="preserve">then </w:t>
      </w:r>
      <w:r w:rsidRPr="004C3DFD">
        <w:rPr>
          <w:lang w:val="en-US"/>
        </w:rPr>
        <w:t>saw their synagogues as sacred places.</w:t>
      </w:r>
      <w:r>
        <w:rPr>
          <w:rStyle w:val="FootnoteReference"/>
          <w:lang w:val="en-US"/>
        </w:rPr>
        <w:footnoteReference w:id="22"/>
      </w:r>
      <w:r>
        <w:rPr>
          <w:lang w:val="en-US"/>
        </w:rPr>
        <w:t xml:space="preserve"> The crystallization of both synagogue institution and notion of its sanctity was dramatically fostered by and in many ways responded to the destruction of the Temple in 70 C.E.</w:t>
      </w:r>
      <w:r>
        <w:rPr>
          <w:rStyle w:val="FootnoteReference"/>
          <w:lang w:val="en-US"/>
        </w:rPr>
        <w:footnoteReference w:id="23"/>
      </w:r>
      <w:r>
        <w:rPr>
          <w:lang w:val="en-US"/>
        </w:rPr>
        <w:t xml:space="preserve"> </w:t>
      </w:r>
    </w:p>
    <w:p w14:paraId="0EF1C43B" w14:textId="1C63835D" w:rsidR="002C5F71" w:rsidRPr="00BC5540" w:rsidRDefault="002B43F5" w:rsidP="006B5936">
      <w:pPr>
        <w:pStyle w:val="Heading2"/>
        <w:rPr>
          <w:rStyle w:val="SubtleEmphasis"/>
          <w:i/>
          <w:iCs/>
          <w:color w:val="auto"/>
        </w:rPr>
      </w:pPr>
      <w:r w:rsidRPr="00BC5540">
        <w:rPr>
          <w:rStyle w:val="SubtleEmphasis"/>
          <w:i/>
          <w:iCs/>
          <w:color w:val="auto"/>
        </w:rPr>
        <w:t>Downscaling</w:t>
      </w:r>
      <w:r w:rsidR="003A7D6D" w:rsidRPr="00BC5540">
        <w:rPr>
          <w:rStyle w:val="SubtleEmphasis"/>
          <w:i/>
          <w:iCs/>
          <w:color w:val="auto"/>
        </w:rPr>
        <w:t xml:space="preserve"> Sanctity</w:t>
      </w:r>
    </w:p>
    <w:p w14:paraId="6C01CE58" w14:textId="209CE6DC" w:rsidR="002C5F71" w:rsidRDefault="002C5F71" w:rsidP="002C5F71">
      <w:pPr>
        <w:rPr>
          <w:lang w:val="en-US"/>
        </w:rPr>
      </w:pPr>
      <w:r>
        <w:rPr>
          <w:lang w:val="en-US"/>
        </w:rPr>
        <w:t xml:space="preserve">The </w:t>
      </w:r>
      <w:r w:rsidRPr="00A12C56">
        <w:rPr>
          <w:lang w:val="en-US"/>
        </w:rPr>
        <w:t xml:space="preserve">third-century </w:t>
      </w:r>
      <w:r w:rsidRPr="00DE3EF6">
        <w:rPr>
          <w:lang w:val="en-US"/>
        </w:rPr>
        <w:t xml:space="preserve">Amoraic </w:t>
      </w:r>
      <w:r w:rsidRPr="00A12C56">
        <w:rPr>
          <w:lang w:val="en-US"/>
        </w:rPr>
        <w:t>R</w:t>
      </w:r>
      <w:r>
        <w:rPr>
          <w:lang w:val="en-US"/>
        </w:rPr>
        <w:t>abbi</w:t>
      </w:r>
      <w:r w:rsidRPr="00A12C56">
        <w:rPr>
          <w:lang w:val="en-US"/>
        </w:rPr>
        <w:t xml:space="preserve"> Samuel </w:t>
      </w:r>
      <w:r>
        <w:rPr>
          <w:lang w:val="en-US"/>
        </w:rPr>
        <w:t>son of</w:t>
      </w:r>
      <w:r w:rsidRPr="00A12C56">
        <w:rPr>
          <w:lang w:val="en-US"/>
        </w:rPr>
        <w:t xml:space="preserve"> Isaac</w:t>
      </w:r>
      <w:r>
        <w:rPr>
          <w:lang w:val="en-US"/>
        </w:rPr>
        <w:t xml:space="preserve">’s identification of synagogues as the </w:t>
      </w:r>
      <w:proofErr w:type="spellStart"/>
      <w:r w:rsidRPr="00C53144">
        <w:rPr>
          <w:i/>
          <w:iCs/>
          <w:lang w:val="en-US"/>
        </w:rPr>
        <w:t>mikdash</w:t>
      </w:r>
      <w:proofErr w:type="spellEnd"/>
      <w:r w:rsidRPr="00C53144">
        <w:rPr>
          <w:i/>
          <w:iCs/>
          <w:lang w:val="en-US"/>
        </w:rPr>
        <w:t xml:space="preserve"> </w:t>
      </w:r>
      <w:proofErr w:type="spellStart"/>
      <w:proofErr w:type="gramStart"/>
      <w:r w:rsidRPr="00C53144">
        <w:rPr>
          <w:i/>
          <w:iCs/>
          <w:lang w:val="en-US"/>
        </w:rPr>
        <w:t>me‘</w:t>
      </w:r>
      <w:proofErr w:type="gramEnd"/>
      <w:r w:rsidRPr="00C53144">
        <w:rPr>
          <w:i/>
          <w:iCs/>
          <w:lang w:val="en-US"/>
        </w:rPr>
        <w:t>at</w:t>
      </w:r>
      <w:proofErr w:type="spellEnd"/>
      <w:r>
        <w:rPr>
          <w:lang w:val="en-US"/>
        </w:rPr>
        <w:t xml:space="preserve"> (“lesser Sanctuary” or “small Temple”) mentioned in Ezekiel 11:16 </w:t>
      </w:r>
      <w:r w:rsidR="00D2297E">
        <w:rPr>
          <w:lang w:val="en-US"/>
        </w:rPr>
        <w:t>(</w:t>
      </w:r>
      <w:bookmarkStart w:id="25" w:name="_Hlk95911366"/>
      <w:bookmarkStart w:id="26" w:name="_Hlk95307756"/>
      <w:r w:rsidR="00D2297E">
        <w:rPr>
          <w:lang w:val="en-US"/>
        </w:rPr>
        <w:t>Babylonian Talmud</w:t>
      </w:r>
      <w:bookmarkEnd w:id="25"/>
      <w:r w:rsidR="00D2297E">
        <w:rPr>
          <w:lang w:val="en-US"/>
        </w:rPr>
        <w:t xml:space="preserve">, </w:t>
      </w:r>
      <w:r w:rsidR="00D2297E" w:rsidRPr="00923629">
        <w:rPr>
          <w:i/>
          <w:iCs/>
          <w:lang w:val="en-US"/>
        </w:rPr>
        <w:t>Megillah</w:t>
      </w:r>
      <w:r w:rsidR="00D2297E">
        <w:rPr>
          <w:lang w:val="en-US"/>
        </w:rPr>
        <w:t xml:space="preserve"> 29a</w:t>
      </w:r>
      <w:bookmarkEnd w:id="26"/>
      <w:r w:rsidR="00D2297E">
        <w:rPr>
          <w:lang w:val="en-US"/>
        </w:rPr>
        <w:t xml:space="preserve">) </w:t>
      </w:r>
      <w:r>
        <w:rPr>
          <w:lang w:val="en-US"/>
        </w:rPr>
        <w:t xml:space="preserve">became a commonplace in scholarly discourses about the relations of the synagogue’s sanctity </w:t>
      </w:r>
      <w:r w:rsidR="00751F6B">
        <w:rPr>
          <w:lang w:val="en-US"/>
        </w:rPr>
        <w:t>as downscaled or vicarious in relation to the Temple’s one</w:t>
      </w:r>
      <w:r>
        <w:rPr>
          <w:lang w:val="en-US"/>
        </w:rPr>
        <w:t xml:space="preserve">. Levine </w:t>
      </w:r>
      <w:r w:rsidR="00522FC7">
        <w:rPr>
          <w:lang w:val="en-US"/>
        </w:rPr>
        <w:t>affirmed</w:t>
      </w:r>
      <w:r>
        <w:rPr>
          <w:lang w:val="en-US"/>
        </w:rPr>
        <w:t xml:space="preserve"> the </w:t>
      </w:r>
      <w:r w:rsidR="00522FC7">
        <w:rPr>
          <w:lang w:val="en-US"/>
        </w:rPr>
        <w:t>regnant</w:t>
      </w:r>
      <w:r>
        <w:rPr>
          <w:lang w:val="en-US"/>
        </w:rPr>
        <w:t xml:space="preserve"> scholarly refutation of an anachronistic </w:t>
      </w:r>
      <w:r w:rsidR="00EE0F88">
        <w:rPr>
          <w:lang w:val="en-US"/>
        </w:rPr>
        <w:t xml:space="preserve">association of </w:t>
      </w:r>
      <w:r>
        <w:rPr>
          <w:lang w:val="en-US"/>
        </w:rPr>
        <w:t xml:space="preserve">the “lesser Sanctuary” </w:t>
      </w:r>
      <w:r w:rsidR="00EE0F88">
        <w:rPr>
          <w:lang w:val="en-US"/>
        </w:rPr>
        <w:t xml:space="preserve">with some </w:t>
      </w:r>
      <w:r>
        <w:rPr>
          <w:lang w:val="en-US"/>
        </w:rPr>
        <w:t xml:space="preserve">synagogues </w:t>
      </w:r>
      <w:r w:rsidR="00835234">
        <w:rPr>
          <w:lang w:val="en-US"/>
        </w:rPr>
        <w:t xml:space="preserve">that could exist in Ezekiel’s </w:t>
      </w:r>
      <w:r>
        <w:rPr>
          <w:lang w:val="en-US"/>
        </w:rPr>
        <w:t>during the Babylonian captivity</w:t>
      </w:r>
      <w:r w:rsidR="00522FC7">
        <w:rPr>
          <w:lang w:val="en-US"/>
        </w:rPr>
        <w:t>.</w:t>
      </w:r>
      <w:r>
        <w:rPr>
          <w:lang w:val="en-US"/>
        </w:rPr>
        <w:t xml:space="preserve"> </w:t>
      </w:r>
      <w:r w:rsidR="00522FC7">
        <w:rPr>
          <w:lang w:val="en-US"/>
        </w:rPr>
        <w:t>He</w:t>
      </w:r>
      <w:r>
        <w:rPr>
          <w:lang w:val="en-US"/>
        </w:rPr>
        <w:t xml:space="preserve"> redirected our attention to probable </w:t>
      </w:r>
      <w:r w:rsidRPr="005172A3">
        <w:rPr>
          <w:lang w:val="en-US"/>
        </w:rPr>
        <w:t>homiletical purposes</w:t>
      </w:r>
      <w:r>
        <w:rPr>
          <w:lang w:val="en-US"/>
        </w:rPr>
        <w:t xml:space="preserve"> </w:t>
      </w:r>
      <w:r w:rsidR="00522FC7">
        <w:rPr>
          <w:lang w:val="en-US"/>
        </w:rPr>
        <w:t xml:space="preserve">of </w:t>
      </w:r>
      <w:bookmarkStart w:id="27" w:name="_Hlk97199249"/>
      <w:r w:rsidR="00522FC7">
        <w:rPr>
          <w:lang w:val="en-US"/>
        </w:rPr>
        <w:t xml:space="preserve">Rabbi Samuel, </w:t>
      </w:r>
      <w:bookmarkEnd w:id="27"/>
      <w:r w:rsidR="00522FC7">
        <w:rPr>
          <w:lang w:val="en-US"/>
        </w:rPr>
        <w:t xml:space="preserve">who </w:t>
      </w:r>
      <w:r w:rsidR="00EE0F88">
        <w:rPr>
          <w:lang w:val="en-US"/>
        </w:rPr>
        <w:t xml:space="preserve">obviously sanctified </w:t>
      </w:r>
      <w:r>
        <w:rPr>
          <w:lang w:val="en-US"/>
        </w:rPr>
        <w:t>the synagogues of h</w:t>
      </w:r>
      <w:r w:rsidR="00EE0F88">
        <w:rPr>
          <w:lang w:val="en-US"/>
        </w:rPr>
        <w:t>is</w:t>
      </w:r>
      <w:r>
        <w:rPr>
          <w:lang w:val="en-US"/>
        </w:rPr>
        <w:t xml:space="preserve"> </w:t>
      </w:r>
      <w:r w:rsidR="00EE0F88">
        <w:rPr>
          <w:lang w:val="en-US"/>
        </w:rPr>
        <w:t>times</w:t>
      </w:r>
      <w:r>
        <w:rPr>
          <w:lang w:val="en-US"/>
        </w:rPr>
        <w:t>.</w:t>
      </w:r>
      <w:bookmarkStart w:id="28" w:name="_Hlk95241690"/>
      <w:r>
        <w:rPr>
          <w:rStyle w:val="FootnoteReference"/>
          <w:lang w:val="en-US"/>
        </w:rPr>
        <w:footnoteReference w:id="24"/>
      </w:r>
      <w:bookmarkEnd w:id="28"/>
      <w:r>
        <w:rPr>
          <w:lang w:val="en-US"/>
        </w:rPr>
        <w:t xml:space="preserve"> Fine explored more evidence from Amoraic and post-Amoraic literature, liturgy, and synagogue art, concluding that these sources betray “</w:t>
      </w:r>
      <w:r w:rsidRPr="00EB5E3E">
        <w:rPr>
          <w:lang w:val="en-US"/>
        </w:rPr>
        <w:t>no overt attempts to limit th</w:t>
      </w:r>
      <w:r>
        <w:rPr>
          <w:lang w:val="en-US"/>
        </w:rPr>
        <w:t>e</w:t>
      </w:r>
      <w:r w:rsidRPr="00EB5E3E">
        <w:rPr>
          <w:lang w:val="en-US"/>
        </w:rPr>
        <w:t xml:space="preserve"> </w:t>
      </w:r>
      <w:proofErr w:type="spellStart"/>
      <w:r w:rsidRPr="00EB5E3E">
        <w:rPr>
          <w:lang w:val="en-US"/>
        </w:rPr>
        <w:lastRenderedPageBreak/>
        <w:t>templization</w:t>
      </w:r>
      <w:proofErr w:type="spellEnd"/>
      <w:r w:rsidRPr="00EB5E3E">
        <w:rPr>
          <w:lang w:val="en-US"/>
        </w:rPr>
        <w:t xml:space="preserve"> of</w:t>
      </w:r>
      <w:r>
        <w:rPr>
          <w:lang w:val="en-US"/>
        </w:rPr>
        <w:t xml:space="preserve"> </w:t>
      </w:r>
      <w:r w:rsidRPr="00EB5E3E">
        <w:rPr>
          <w:lang w:val="en-US"/>
        </w:rPr>
        <w:t>synagogues and study houses</w:t>
      </w:r>
      <w:r>
        <w:rPr>
          <w:lang w:val="en-US"/>
        </w:rPr>
        <w:t>.”</w:t>
      </w:r>
      <w:r>
        <w:rPr>
          <w:rStyle w:val="FootnoteReference"/>
          <w:lang w:val="en-US" w:bidi="he-IL"/>
        </w:rPr>
        <w:footnoteReference w:id="25"/>
      </w:r>
      <w:r>
        <w:rPr>
          <w:lang w:val="en-US"/>
        </w:rPr>
        <w:t xml:space="preserve"> The explanatory theories also embraced the opposition of other second- to third-century Jewish sages (in </w:t>
      </w:r>
      <w:r w:rsidRPr="00DA54B3">
        <w:rPr>
          <w:lang w:val="en-US"/>
        </w:rPr>
        <w:t xml:space="preserve">Babylonian </w:t>
      </w:r>
      <w:proofErr w:type="spellStart"/>
      <w:r w:rsidRPr="00DA54B3">
        <w:rPr>
          <w:i/>
          <w:iCs/>
          <w:lang w:val="en-US"/>
        </w:rPr>
        <w:t>Avodah</w:t>
      </w:r>
      <w:proofErr w:type="spellEnd"/>
      <w:r w:rsidRPr="00DA54B3">
        <w:rPr>
          <w:i/>
          <w:iCs/>
          <w:lang w:val="en-US"/>
        </w:rPr>
        <w:t xml:space="preserve"> </w:t>
      </w:r>
      <w:proofErr w:type="spellStart"/>
      <w:r w:rsidRPr="00DA54B3">
        <w:rPr>
          <w:i/>
          <w:iCs/>
          <w:lang w:val="en-US"/>
        </w:rPr>
        <w:t>Zarah</w:t>
      </w:r>
      <w:proofErr w:type="spellEnd"/>
      <w:r w:rsidRPr="00DA54B3">
        <w:rPr>
          <w:lang w:val="en-US"/>
        </w:rPr>
        <w:t xml:space="preserve"> </w:t>
      </w:r>
      <w:r>
        <w:rPr>
          <w:lang w:val="en-US"/>
        </w:rPr>
        <w:t>43</w:t>
      </w:r>
      <w:r w:rsidRPr="00DA54B3">
        <w:rPr>
          <w:lang w:val="en-US"/>
        </w:rPr>
        <w:t>a</w:t>
      </w:r>
      <w:r>
        <w:rPr>
          <w:lang w:val="en-US"/>
        </w:rPr>
        <w:t xml:space="preserve"> and parallels) to replicating of the Temple and its parts, even when the synagogue design often ignored th</w:t>
      </w:r>
      <w:r w:rsidR="002B43F5">
        <w:rPr>
          <w:lang w:val="en-US"/>
        </w:rPr>
        <w:t>e</w:t>
      </w:r>
      <w:r>
        <w:rPr>
          <w:lang w:val="en-US"/>
        </w:rPr>
        <w:t xml:space="preserve"> rabbinical prohibition of precise copying the Temple’s seven-branched menorah.</w:t>
      </w:r>
      <w:r>
        <w:rPr>
          <w:rStyle w:val="FootnoteReference"/>
          <w:lang w:val="en-US"/>
        </w:rPr>
        <w:footnoteReference w:id="26"/>
      </w:r>
      <w:r>
        <w:rPr>
          <w:lang w:val="en-US"/>
        </w:rPr>
        <w:t xml:space="preserve"> </w:t>
      </w:r>
    </w:p>
    <w:p w14:paraId="4822376B" w14:textId="3D5D95B9" w:rsidR="00042E65" w:rsidRDefault="00E76EE4" w:rsidP="006D7161">
      <w:pPr>
        <w:pStyle w:val="Newparagraph"/>
        <w:rPr>
          <w:lang w:val="en-US"/>
        </w:rPr>
      </w:pPr>
      <w:bookmarkStart w:id="30" w:name="_Hlk95240584"/>
      <w:r>
        <w:rPr>
          <w:lang w:val="en-US"/>
        </w:rPr>
        <w:t xml:space="preserve">The discovery of a stone ashlar carved with the seven-branched menorah and Temple-related symbols in the first-century C.E. synagogue at Magdala (now Migdal; near the Sea of Galilee) in 2009 </w:t>
      </w:r>
      <w:r w:rsidR="00C81458">
        <w:rPr>
          <w:lang w:val="en-US"/>
        </w:rPr>
        <w:t xml:space="preserve">had </w:t>
      </w:r>
      <w:r>
        <w:rPr>
          <w:lang w:val="en-US"/>
        </w:rPr>
        <w:t>sh</w:t>
      </w:r>
      <w:r w:rsidR="00C81458">
        <w:rPr>
          <w:lang w:val="en-US"/>
        </w:rPr>
        <w:t>a</w:t>
      </w:r>
      <w:r>
        <w:rPr>
          <w:lang w:val="en-US"/>
        </w:rPr>
        <w:t>k</w:t>
      </w:r>
      <w:r w:rsidR="00C81458">
        <w:rPr>
          <w:lang w:val="en-US"/>
        </w:rPr>
        <w:t>en</w:t>
      </w:r>
      <w:r>
        <w:rPr>
          <w:lang w:val="en-US"/>
        </w:rPr>
        <w:t xml:space="preserve"> t</w:t>
      </w:r>
      <w:r w:rsidR="00E96573">
        <w:rPr>
          <w:lang w:val="en-US"/>
        </w:rPr>
        <w:t xml:space="preserve">he </w:t>
      </w:r>
      <w:r w:rsidR="00E83EA6">
        <w:rPr>
          <w:lang w:val="en-US"/>
        </w:rPr>
        <w:t>pre</w:t>
      </w:r>
      <w:r w:rsidR="00E96573" w:rsidRPr="00E96573">
        <w:rPr>
          <w:lang w:val="en-US"/>
        </w:rPr>
        <w:t xml:space="preserve">disposition </w:t>
      </w:r>
      <w:r w:rsidR="00E83EA6">
        <w:rPr>
          <w:lang w:val="en-US"/>
        </w:rPr>
        <w:t xml:space="preserve">toward dating the references to </w:t>
      </w:r>
      <w:r w:rsidR="00E96573" w:rsidRPr="00E96573">
        <w:rPr>
          <w:lang w:val="en-US"/>
        </w:rPr>
        <w:t>Temple’s sanctity</w:t>
      </w:r>
      <w:r w:rsidR="00E96573">
        <w:rPr>
          <w:lang w:val="en-US"/>
        </w:rPr>
        <w:t xml:space="preserve"> in “lesser sanctuaries” </w:t>
      </w:r>
      <w:r w:rsidR="00E83EA6">
        <w:rPr>
          <w:lang w:val="en-US"/>
        </w:rPr>
        <w:t xml:space="preserve">to the times </w:t>
      </w:r>
      <w:r>
        <w:rPr>
          <w:lang w:val="en-US"/>
        </w:rPr>
        <w:t xml:space="preserve">after </w:t>
      </w:r>
      <w:r w:rsidR="00275716">
        <w:rPr>
          <w:lang w:val="en-US"/>
        </w:rPr>
        <w:t xml:space="preserve">the </w:t>
      </w:r>
      <w:r w:rsidR="00BE5223">
        <w:rPr>
          <w:lang w:val="en-US"/>
        </w:rPr>
        <w:t xml:space="preserve">Temple’s </w:t>
      </w:r>
      <w:r w:rsidR="00275716">
        <w:rPr>
          <w:lang w:val="en-US"/>
        </w:rPr>
        <w:t>destruction</w:t>
      </w:r>
      <w:r>
        <w:rPr>
          <w:lang w:val="en-US"/>
        </w:rPr>
        <w:t>.</w:t>
      </w:r>
      <w:r w:rsidR="00E83EA6">
        <w:rPr>
          <w:rStyle w:val="FootnoteReference"/>
          <w:lang w:val="en-US"/>
        </w:rPr>
        <w:footnoteReference w:id="27"/>
      </w:r>
      <w:r w:rsidR="00275716">
        <w:rPr>
          <w:lang w:val="en-US"/>
        </w:rPr>
        <w:t xml:space="preserve"> </w:t>
      </w:r>
      <w:proofErr w:type="spellStart"/>
      <w:r w:rsidR="00275716">
        <w:rPr>
          <w:lang w:val="en-US"/>
        </w:rPr>
        <w:t>Talgam</w:t>
      </w:r>
      <w:r w:rsidR="00287377">
        <w:rPr>
          <w:lang w:val="en-US"/>
        </w:rPr>
        <w:t>’s</w:t>
      </w:r>
      <w:proofErr w:type="spellEnd"/>
      <w:r w:rsidR="00275716">
        <w:rPr>
          <w:lang w:val="en-US"/>
        </w:rPr>
        <w:t xml:space="preserve"> </w:t>
      </w:r>
      <w:r w:rsidR="00871642">
        <w:rPr>
          <w:lang w:val="en-US"/>
        </w:rPr>
        <w:t xml:space="preserve">initial </w:t>
      </w:r>
      <w:r w:rsidR="00BE5223">
        <w:rPr>
          <w:lang w:val="en-US"/>
        </w:rPr>
        <w:t>identifi</w:t>
      </w:r>
      <w:r w:rsidR="00287377">
        <w:rPr>
          <w:lang w:val="en-US"/>
        </w:rPr>
        <w:t>cation</w:t>
      </w:r>
      <w:r w:rsidR="00BE5223">
        <w:rPr>
          <w:lang w:val="en-US"/>
        </w:rPr>
        <w:t xml:space="preserve"> </w:t>
      </w:r>
      <w:r w:rsidR="00287377">
        <w:rPr>
          <w:lang w:val="en-US"/>
        </w:rPr>
        <w:t xml:space="preserve">of </w:t>
      </w:r>
      <w:r w:rsidR="00275716">
        <w:rPr>
          <w:lang w:val="en-US"/>
        </w:rPr>
        <w:t>th</w:t>
      </w:r>
      <w:r>
        <w:rPr>
          <w:lang w:val="en-US"/>
        </w:rPr>
        <w:t xml:space="preserve">e Magdala stone </w:t>
      </w:r>
      <w:r w:rsidR="00275716" w:rsidRPr="00275716">
        <w:rPr>
          <w:lang w:val="en-US"/>
        </w:rPr>
        <w:t>as a stand for the Torah scroll</w:t>
      </w:r>
      <w:r w:rsidR="00287377">
        <w:rPr>
          <w:lang w:val="en-US"/>
        </w:rPr>
        <w:t xml:space="preserve"> substantiated the conjectures on the </w:t>
      </w:r>
      <w:r w:rsidR="00A50893">
        <w:rPr>
          <w:lang w:val="en-US"/>
        </w:rPr>
        <w:t>pivotal part of the Torah reading and public exposure of the Torah scroll in the synagogue “in the age of transition.”</w:t>
      </w:r>
      <w:r w:rsidR="00E83EA6">
        <w:rPr>
          <w:rStyle w:val="FootnoteReference"/>
          <w:lang w:val="en-US"/>
        </w:rPr>
        <w:footnoteReference w:id="28"/>
      </w:r>
      <w:r w:rsidR="00A36633">
        <w:rPr>
          <w:lang w:val="en-US"/>
        </w:rPr>
        <w:t xml:space="preserve"> </w:t>
      </w:r>
      <w:proofErr w:type="spellStart"/>
      <w:r w:rsidR="00A36633">
        <w:rPr>
          <w:lang w:val="en-US"/>
        </w:rPr>
        <w:t>Talgam</w:t>
      </w:r>
      <w:proofErr w:type="spellEnd"/>
      <w:r w:rsidR="00A36633">
        <w:rPr>
          <w:lang w:val="en-US"/>
        </w:rPr>
        <w:t xml:space="preserve"> argued </w:t>
      </w:r>
      <w:r w:rsidR="00A36633">
        <w:rPr>
          <w:lang w:val="en-US"/>
        </w:rPr>
        <w:lastRenderedPageBreak/>
        <w:t xml:space="preserve">that </w:t>
      </w:r>
      <w:r w:rsidR="00C81458" w:rsidRPr="00C81458">
        <w:rPr>
          <w:lang w:val="en-US"/>
        </w:rPr>
        <w:t>in the times of the Herodian Temple</w:t>
      </w:r>
      <w:r w:rsidR="00C81458">
        <w:rPr>
          <w:lang w:val="en-US"/>
        </w:rPr>
        <w:t>,</w:t>
      </w:r>
      <w:r w:rsidR="00C81458" w:rsidRPr="00C81458">
        <w:rPr>
          <w:lang w:val="en-US"/>
        </w:rPr>
        <w:t xml:space="preserve"> </w:t>
      </w:r>
      <w:r w:rsidR="00A36633">
        <w:rPr>
          <w:lang w:val="en-US"/>
        </w:rPr>
        <w:t xml:space="preserve">the Magdala assembly used the decorated ashlar as a stand for the Torah scroll, and the entire installation </w:t>
      </w:r>
      <w:r w:rsidR="00C81458">
        <w:rPr>
          <w:lang w:val="en-US"/>
        </w:rPr>
        <w:t>to intimate</w:t>
      </w:r>
      <w:r w:rsidR="00A36633" w:rsidRPr="00A44855">
        <w:rPr>
          <w:lang w:val="en-US"/>
        </w:rPr>
        <w:t xml:space="preserve"> the Temple’s sanctity</w:t>
      </w:r>
      <w:r w:rsidR="00A36633">
        <w:rPr>
          <w:lang w:val="en-US"/>
        </w:rPr>
        <w:t xml:space="preserve"> in </w:t>
      </w:r>
      <w:r w:rsidR="00C81458">
        <w:rPr>
          <w:lang w:val="en-US"/>
        </w:rPr>
        <w:t>their</w:t>
      </w:r>
      <w:r w:rsidR="00A36633">
        <w:rPr>
          <w:lang w:val="en-US"/>
        </w:rPr>
        <w:t xml:space="preserve"> synagogue.</w:t>
      </w:r>
      <w:r w:rsidR="00042E65">
        <w:rPr>
          <w:lang w:val="en-US"/>
        </w:rPr>
        <w:t xml:space="preserve"> </w:t>
      </w:r>
      <w:r w:rsidR="006D7161">
        <w:rPr>
          <w:lang w:val="en-US"/>
        </w:rPr>
        <w:t xml:space="preserve">The </w:t>
      </w:r>
      <w:r w:rsidR="002C707E">
        <w:rPr>
          <w:lang w:val="en-US"/>
        </w:rPr>
        <w:t xml:space="preserve">substantial </w:t>
      </w:r>
      <w:r w:rsidR="00A36708">
        <w:rPr>
          <w:lang w:val="en-US"/>
        </w:rPr>
        <w:t xml:space="preserve">reliance </w:t>
      </w:r>
      <w:r w:rsidR="006D7161">
        <w:rPr>
          <w:lang w:val="en-US"/>
        </w:rPr>
        <w:t xml:space="preserve">of her inferences </w:t>
      </w:r>
      <w:r w:rsidR="00A36708">
        <w:rPr>
          <w:lang w:val="en-US"/>
        </w:rPr>
        <w:t>on</w:t>
      </w:r>
      <w:r w:rsidR="006D7161">
        <w:rPr>
          <w:lang w:val="en-US"/>
        </w:rPr>
        <w:t xml:space="preserve"> semantic analysis of images and architectural forms </w:t>
      </w:r>
      <w:r w:rsidR="00042E65">
        <w:rPr>
          <w:lang w:val="en-US"/>
        </w:rPr>
        <w:t xml:space="preserve">challenged some entrenched approaches to visual aspects of archaeological </w:t>
      </w:r>
      <w:r w:rsidR="008D024D">
        <w:rPr>
          <w:lang w:val="en-US"/>
        </w:rPr>
        <w:t xml:space="preserve">finds </w:t>
      </w:r>
      <w:r w:rsidR="006D7161">
        <w:rPr>
          <w:lang w:val="en-US"/>
        </w:rPr>
        <w:t xml:space="preserve">as </w:t>
      </w:r>
      <w:r w:rsidR="002C707E">
        <w:rPr>
          <w:lang w:val="en-US"/>
        </w:rPr>
        <w:t>slippery evidence</w:t>
      </w:r>
      <w:r w:rsidR="008D024D">
        <w:rPr>
          <w:lang w:val="en-US"/>
        </w:rPr>
        <w:t xml:space="preserve"> fraught of overinterpretation</w:t>
      </w:r>
      <w:r w:rsidR="00042E65">
        <w:rPr>
          <w:lang w:val="en-US"/>
        </w:rPr>
        <w:t>.</w:t>
      </w:r>
      <w:r w:rsidR="008D024D">
        <w:rPr>
          <w:rStyle w:val="FootnoteReference"/>
          <w:lang w:val="en-US"/>
        </w:rPr>
        <w:footnoteReference w:id="29"/>
      </w:r>
      <w:r w:rsidR="00042E65">
        <w:rPr>
          <w:lang w:val="en-US"/>
        </w:rPr>
        <w:t xml:space="preserve">  </w:t>
      </w:r>
    </w:p>
    <w:p w14:paraId="664E45EC" w14:textId="0E2CEA64" w:rsidR="00BE5D48" w:rsidRDefault="002C707E" w:rsidP="00BE5D48">
      <w:pPr>
        <w:ind w:firstLine="720"/>
        <w:rPr>
          <w:lang w:val="en-US"/>
        </w:rPr>
      </w:pPr>
      <w:r>
        <w:rPr>
          <w:lang w:val="en-US"/>
        </w:rPr>
        <w:t xml:space="preserve">Caution </w:t>
      </w:r>
      <w:r w:rsidR="002F0B0A">
        <w:rPr>
          <w:lang w:val="en-US"/>
        </w:rPr>
        <w:t xml:space="preserve">increasingly </w:t>
      </w:r>
      <w:r w:rsidR="000A45F1">
        <w:rPr>
          <w:lang w:val="en-US"/>
        </w:rPr>
        <w:t xml:space="preserve">preponderated </w:t>
      </w:r>
      <w:r w:rsidR="002F0B0A">
        <w:rPr>
          <w:lang w:val="en-US"/>
        </w:rPr>
        <w:t xml:space="preserve">the thoughts about </w:t>
      </w:r>
      <w:r w:rsidR="00BE5D48">
        <w:rPr>
          <w:lang w:val="en-US"/>
        </w:rPr>
        <w:t>the allusion to synagogue sanctity implicit in the “lesser Sanctuary” definition</w:t>
      </w:r>
      <w:r w:rsidR="002F0B0A">
        <w:rPr>
          <w:lang w:val="en-US"/>
        </w:rPr>
        <w:t>. Goodman wrote</w:t>
      </w:r>
      <w:r w:rsidR="00BE5D48">
        <w:rPr>
          <w:lang w:val="en-US"/>
        </w:rPr>
        <w:t>: “</w:t>
      </w:r>
      <w:r w:rsidR="00BE5D48" w:rsidRPr="00797049">
        <w:rPr>
          <w:lang w:val="en-US"/>
        </w:rPr>
        <w:t>A straightforward attribution to</w:t>
      </w:r>
      <w:r w:rsidR="00BE5D48">
        <w:rPr>
          <w:lang w:val="en-US"/>
        </w:rPr>
        <w:t xml:space="preserve"> </w:t>
      </w:r>
      <w:r w:rsidR="00BE5D48" w:rsidRPr="00797049">
        <w:rPr>
          <w:lang w:val="en-US"/>
        </w:rPr>
        <w:t>synagogues of the sanctity that the now defunct Jerusalem Temple</w:t>
      </w:r>
      <w:r w:rsidR="00BE5D48">
        <w:rPr>
          <w:lang w:val="en-US"/>
        </w:rPr>
        <w:t xml:space="preserve"> </w:t>
      </w:r>
      <w:r w:rsidR="00BE5D48" w:rsidRPr="00797049">
        <w:rPr>
          <w:lang w:val="en-US"/>
        </w:rPr>
        <w:t>had once had might have been possible but does not seem to have</w:t>
      </w:r>
      <w:r w:rsidR="00BE5D48">
        <w:rPr>
          <w:lang w:val="en-US"/>
        </w:rPr>
        <w:t xml:space="preserve"> </w:t>
      </w:r>
      <w:r w:rsidR="00BE5D48" w:rsidRPr="00797049">
        <w:rPr>
          <w:lang w:val="en-US"/>
        </w:rPr>
        <w:t>happened</w:t>
      </w:r>
      <w:r w:rsidR="00BE5D48">
        <w:rPr>
          <w:lang w:val="en-US"/>
        </w:rPr>
        <w:t>.”</w:t>
      </w:r>
      <w:r w:rsidR="00BE5D48">
        <w:rPr>
          <w:rStyle w:val="FootnoteReference"/>
          <w:lang w:val="en-US"/>
        </w:rPr>
        <w:footnoteReference w:id="30"/>
      </w:r>
      <w:r w:rsidR="00BE5D48">
        <w:rPr>
          <w:lang w:val="en-US"/>
        </w:rPr>
        <w:t xml:space="preserve"> Levine generalized that the main lesson of </w:t>
      </w:r>
      <w:r w:rsidR="00BE5D48" w:rsidRPr="00CE5986">
        <w:rPr>
          <w:lang w:val="en-US"/>
        </w:rPr>
        <w:t>Rabbi Samuel</w:t>
      </w:r>
      <w:r w:rsidR="00BE5D48">
        <w:rPr>
          <w:lang w:val="en-US"/>
        </w:rPr>
        <w:t>’s</w:t>
      </w:r>
      <w:r w:rsidR="00BE5D48" w:rsidRPr="00CE5986">
        <w:rPr>
          <w:lang w:val="en-US"/>
        </w:rPr>
        <w:t xml:space="preserve"> </w:t>
      </w:r>
      <w:r w:rsidR="00BE5D48">
        <w:rPr>
          <w:lang w:val="en-US"/>
        </w:rPr>
        <w:t xml:space="preserve">dictum is its </w:t>
      </w:r>
      <w:r w:rsidR="00BE5D48" w:rsidRPr="00D22B8E">
        <w:rPr>
          <w:lang w:val="en-US"/>
        </w:rPr>
        <w:t>ambiguity</w:t>
      </w:r>
      <w:r w:rsidR="00BE5D48">
        <w:rPr>
          <w:lang w:val="en-US"/>
        </w:rPr>
        <w:t>, for the “lesser Sanctuary” quintessentially formulated the Amoraic ambivalence of accepting the synagogue as sacred – but less so than the Jerusalem Temple, and as “Temple-like” – but not a Temple’s equivalent.</w:t>
      </w:r>
      <w:r w:rsidR="00BE5D48">
        <w:rPr>
          <w:rStyle w:val="FootnoteReference"/>
          <w:lang w:val="en-US"/>
        </w:rPr>
        <w:footnoteReference w:id="31"/>
      </w:r>
      <w:r w:rsidR="00BE5D48">
        <w:rPr>
          <w:lang w:val="en-US"/>
        </w:rPr>
        <w:t xml:space="preserve"> </w:t>
      </w:r>
    </w:p>
    <w:bookmarkEnd w:id="30"/>
    <w:p w14:paraId="18BDD593" w14:textId="382FBC0D" w:rsidR="00301FD6" w:rsidRPr="00BC5540" w:rsidRDefault="00301FD6" w:rsidP="006B5936">
      <w:pPr>
        <w:pStyle w:val="Heading2"/>
      </w:pPr>
      <w:r w:rsidRPr="00BC5540">
        <w:t xml:space="preserve">Cognitive Drama </w:t>
      </w:r>
      <w:r w:rsidR="00600004" w:rsidRPr="00BC5540">
        <w:t>or</w:t>
      </w:r>
      <w:r w:rsidRPr="00BC5540">
        <w:t xml:space="preserve"> Reconciled Memory</w:t>
      </w:r>
      <w:r w:rsidR="007F10E8">
        <w:t>?</w:t>
      </w:r>
    </w:p>
    <w:p w14:paraId="45B727B7" w14:textId="7B0AC512" w:rsidR="00301FD6" w:rsidRDefault="00B479F7" w:rsidP="00301FD6">
      <w:pPr>
        <w:rPr>
          <w:lang w:val="en-US"/>
        </w:rPr>
      </w:pPr>
      <w:r>
        <w:rPr>
          <w:lang w:val="en-US"/>
        </w:rPr>
        <w:t xml:space="preserve">The discrepancy between the proclaimed rabbinical prohibition of exact replication of the Temple and its implements, and the actual conflated perception of the sacred space in the </w:t>
      </w:r>
      <w:r>
        <w:rPr>
          <w:lang w:val="en-US"/>
        </w:rPr>
        <w:lastRenderedPageBreak/>
        <w:t xml:space="preserve">Temple and synagogues became a telic inquiry in </w:t>
      </w:r>
      <w:r w:rsidR="00301FD6" w:rsidRPr="00AD60C6">
        <w:rPr>
          <w:lang w:val="en-US"/>
        </w:rPr>
        <w:t>Joan R. Branham</w:t>
      </w:r>
      <w:r>
        <w:rPr>
          <w:lang w:val="en-US"/>
        </w:rPr>
        <w:t>’s works.</w:t>
      </w:r>
      <w:r w:rsidR="00301FD6" w:rsidRPr="00AD60C6">
        <w:rPr>
          <w:lang w:val="en-US"/>
        </w:rPr>
        <w:t xml:space="preserve"> </w:t>
      </w:r>
      <w:r>
        <w:rPr>
          <w:lang w:val="en-US"/>
        </w:rPr>
        <w:t xml:space="preserve">She </w:t>
      </w:r>
      <w:r w:rsidR="00301FD6">
        <w:rPr>
          <w:lang w:val="en-US"/>
        </w:rPr>
        <w:t>employed semiotic constructs</w:t>
      </w:r>
      <w:r w:rsidR="00301FD6" w:rsidRPr="002A0B19">
        <w:rPr>
          <w:lang w:val="en-US"/>
        </w:rPr>
        <w:t xml:space="preserve"> </w:t>
      </w:r>
      <w:r w:rsidR="00301FD6">
        <w:rPr>
          <w:lang w:val="en-US"/>
        </w:rPr>
        <w:t>to solve this – in her words – “cognitive drama.”</w:t>
      </w:r>
      <w:r w:rsidR="00301FD6">
        <w:rPr>
          <w:rStyle w:val="FootnoteReference"/>
          <w:lang w:val="en-US"/>
        </w:rPr>
        <w:footnoteReference w:id="32"/>
      </w:r>
      <w:r w:rsidR="00301FD6">
        <w:rPr>
          <w:lang w:val="en-US"/>
        </w:rPr>
        <w:t xml:space="preserve"> </w:t>
      </w:r>
      <w:bookmarkStart w:id="41" w:name="_Hlk95308769"/>
      <w:r w:rsidR="00301FD6">
        <w:rPr>
          <w:lang w:val="en-US"/>
        </w:rPr>
        <w:t>She applied</w:t>
      </w:r>
      <w:r w:rsidR="00301FD6" w:rsidRPr="00884ED3">
        <w:t xml:space="preserve"> </w:t>
      </w:r>
      <w:r w:rsidR="00301FD6" w:rsidRPr="00884ED3">
        <w:rPr>
          <w:lang w:val="en-US"/>
        </w:rPr>
        <w:t>Jonathan Z. Smith’s (1938–2017)</w:t>
      </w:r>
      <w:r w:rsidR="00301FD6">
        <w:rPr>
          <w:lang w:val="en-US"/>
        </w:rPr>
        <w:t xml:space="preserve"> terms of “locative” (centralized) vs. “utopian” (dispersed) sacred geography to the transition from the Temple cult to synagogue worship.</w:t>
      </w:r>
      <w:bookmarkStart w:id="42" w:name="_Ref95821092"/>
      <w:r w:rsidR="00301FD6">
        <w:rPr>
          <w:rStyle w:val="FootnoteReference"/>
          <w:lang w:val="en-US" w:bidi="he-IL"/>
        </w:rPr>
        <w:footnoteReference w:id="33"/>
      </w:r>
      <w:bookmarkEnd w:id="42"/>
      <w:r w:rsidR="00301FD6">
        <w:rPr>
          <w:lang w:val="en-US"/>
        </w:rPr>
        <w:t xml:space="preserve"> </w:t>
      </w:r>
      <w:bookmarkEnd w:id="41"/>
      <w:r w:rsidR="00301FD6">
        <w:rPr>
          <w:lang w:val="en-US"/>
        </w:rPr>
        <w:t xml:space="preserve">In Branham’s opinion, the competitive relationships between the synagogue and the Temple’s legacy can be described by a deanthropologized adaption of </w:t>
      </w:r>
      <w:r w:rsidR="00301FD6" w:rsidRPr="00B07BF5">
        <w:rPr>
          <w:lang w:val="en-US"/>
        </w:rPr>
        <w:t>René Girard</w:t>
      </w:r>
      <w:r w:rsidR="00301FD6">
        <w:rPr>
          <w:lang w:val="en-US"/>
        </w:rPr>
        <w:t>’s (1923–2015) concept of religious sacrifice as a rivalry over sacrality.</w:t>
      </w:r>
      <w:r w:rsidR="00301FD6">
        <w:rPr>
          <w:rStyle w:val="FootnoteReference"/>
          <w:lang w:val="en-US"/>
        </w:rPr>
        <w:footnoteReference w:id="34"/>
      </w:r>
      <w:r w:rsidR="00301FD6" w:rsidRPr="002A7CBC">
        <w:rPr>
          <w:lang w:val="en-US"/>
        </w:rPr>
        <w:t xml:space="preserve"> </w:t>
      </w:r>
      <w:r w:rsidR="00301FD6" w:rsidRPr="0089276C">
        <w:rPr>
          <w:lang w:val="en-US"/>
        </w:rPr>
        <w:t>Branham</w:t>
      </w:r>
      <w:r w:rsidR="00301FD6">
        <w:rPr>
          <w:lang w:val="en-US"/>
        </w:rPr>
        <w:t xml:space="preserve"> contended that the synagogue became the place of vicarious Temple’s sacrality that may be explained by the word “Temple” written under erasure. Her “writing under erasure” adopted J</w:t>
      </w:r>
      <w:r w:rsidR="00301FD6" w:rsidRPr="002A7CBC">
        <w:rPr>
          <w:lang w:val="en-US"/>
        </w:rPr>
        <w:t xml:space="preserve">acques Derrida’s (1930–2004) </w:t>
      </w:r>
      <w:r w:rsidR="00301FD6">
        <w:rPr>
          <w:lang w:val="en-US"/>
        </w:rPr>
        <w:t xml:space="preserve">and </w:t>
      </w:r>
      <w:r w:rsidR="00301FD6" w:rsidRPr="00FC60A4">
        <w:rPr>
          <w:lang w:val="en-US"/>
        </w:rPr>
        <w:t>Jean-Luc Marion</w:t>
      </w:r>
      <w:r w:rsidR="00301FD6">
        <w:rPr>
          <w:lang w:val="en-US"/>
        </w:rPr>
        <w:t xml:space="preserve">’s usage of this graphic sign for conveying in script the ineffability and </w:t>
      </w:r>
      <w:r w:rsidR="00301FD6" w:rsidRPr="008B7155">
        <w:rPr>
          <w:lang w:val="en-US"/>
        </w:rPr>
        <w:t xml:space="preserve">endless </w:t>
      </w:r>
      <w:proofErr w:type="spellStart"/>
      <w:r w:rsidR="00301FD6" w:rsidRPr="00C84BE0">
        <w:rPr>
          <w:i/>
          <w:iCs/>
          <w:lang w:val="en-US"/>
        </w:rPr>
        <w:t>différance</w:t>
      </w:r>
      <w:proofErr w:type="spellEnd"/>
      <w:r w:rsidR="00301FD6" w:rsidRPr="00C84BE0">
        <w:rPr>
          <w:lang w:val="en-US"/>
        </w:rPr>
        <w:t xml:space="preserve"> </w:t>
      </w:r>
      <w:r w:rsidR="00301FD6">
        <w:rPr>
          <w:lang w:val="en-US"/>
        </w:rPr>
        <w:t xml:space="preserve">(difference </w:t>
      </w:r>
      <w:r w:rsidR="00301FD6" w:rsidRPr="00C84BE0">
        <w:rPr>
          <w:lang w:val="en-US"/>
        </w:rPr>
        <w:t>and deferral</w:t>
      </w:r>
      <w:r w:rsidR="00301FD6">
        <w:rPr>
          <w:lang w:val="en-US"/>
        </w:rPr>
        <w:t>)</w:t>
      </w:r>
      <w:r w:rsidR="00301FD6" w:rsidRPr="00C84BE0">
        <w:rPr>
          <w:lang w:val="en-US"/>
        </w:rPr>
        <w:t xml:space="preserve"> of meaning.</w:t>
      </w:r>
      <w:r w:rsidR="00301FD6">
        <w:rPr>
          <w:rStyle w:val="FootnoteReference"/>
          <w:lang w:val="en-US"/>
        </w:rPr>
        <w:footnoteReference w:id="35"/>
      </w:r>
      <w:r w:rsidR="00301FD6">
        <w:rPr>
          <w:lang w:val="en-US"/>
        </w:rPr>
        <w:t xml:space="preserve"> </w:t>
      </w:r>
    </w:p>
    <w:p w14:paraId="1E7B83FB" w14:textId="77777777" w:rsidR="00301FD6" w:rsidRDefault="00301FD6" w:rsidP="00301FD6">
      <w:pPr>
        <w:rPr>
          <w:lang w:val="en-US"/>
        </w:rPr>
      </w:pPr>
      <w:r>
        <w:rPr>
          <w:lang w:val="en-US"/>
        </w:rPr>
        <w:tab/>
      </w:r>
      <w:bookmarkStart w:id="44" w:name="_Hlk95329189"/>
      <w:proofErr w:type="spellStart"/>
      <w:r w:rsidRPr="0010159B">
        <w:rPr>
          <w:lang w:val="en-US"/>
        </w:rPr>
        <w:t>Rendsburg</w:t>
      </w:r>
      <w:proofErr w:type="spellEnd"/>
      <w:r>
        <w:rPr>
          <w:lang w:val="en-US"/>
        </w:rPr>
        <w:t xml:space="preserve"> </w:t>
      </w:r>
      <w:bookmarkEnd w:id="44"/>
      <w:r>
        <w:rPr>
          <w:lang w:val="en-US"/>
        </w:rPr>
        <w:t xml:space="preserve">approached the conflict between the vicarious sanctity and exclusive holiness in Jewish communities of the Greco-Roman and Byzantine periods as a different kind of multileveled experience in which the real synagogue space intermingled with a </w:t>
      </w:r>
      <w:r>
        <w:rPr>
          <w:lang w:val="en-US"/>
        </w:rPr>
        <w:lastRenderedPageBreak/>
        <w:t>virtual space of the lost Temple.</w:t>
      </w:r>
      <w:r>
        <w:rPr>
          <w:rStyle w:val="FootnoteReference"/>
          <w:lang w:val="en-US"/>
        </w:rPr>
        <w:footnoteReference w:id="36"/>
      </w:r>
      <w:r>
        <w:rPr>
          <w:lang w:val="en-US"/>
        </w:rPr>
        <w:t xml:space="preserve"> This theory is reminiscent of </w:t>
      </w:r>
      <w:r w:rsidRPr="00D56B8D">
        <w:rPr>
          <w:lang w:val="en-US"/>
        </w:rPr>
        <w:t>Michel Foucault</w:t>
      </w:r>
      <w:r>
        <w:rPr>
          <w:lang w:val="en-US"/>
        </w:rPr>
        <w:t>’s</w:t>
      </w:r>
      <w:r w:rsidRPr="00D56B8D">
        <w:rPr>
          <w:lang w:val="en-US"/>
        </w:rPr>
        <w:t xml:space="preserve"> </w:t>
      </w:r>
      <w:r>
        <w:rPr>
          <w:lang w:val="en-US"/>
        </w:rPr>
        <w:t xml:space="preserve">(1926–1984) heterotopia, a concept of real venues </w:t>
      </w:r>
      <w:r w:rsidRPr="005938AE">
        <w:rPr>
          <w:lang w:val="en-US"/>
        </w:rPr>
        <w:t xml:space="preserve">that </w:t>
      </w:r>
      <w:r>
        <w:rPr>
          <w:lang w:val="en-US"/>
        </w:rPr>
        <w:t xml:space="preserve">mentally mirror “other” </w:t>
      </w:r>
      <w:r w:rsidRPr="005938AE">
        <w:rPr>
          <w:lang w:val="en-US"/>
        </w:rPr>
        <w:t>spaces</w:t>
      </w:r>
      <w:r>
        <w:rPr>
          <w:lang w:val="en-US"/>
        </w:rPr>
        <w:t>.</w:t>
      </w:r>
      <w:r>
        <w:rPr>
          <w:rStyle w:val="FootnoteReference"/>
          <w:lang w:val="en-US"/>
        </w:rPr>
        <w:footnoteReference w:id="37"/>
      </w:r>
      <w:r>
        <w:rPr>
          <w:lang w:val="en-US"/>
        </w:rPr>
        <w:t xml:space="preserve"> </w:t>
      </w:r>
      <w:proofErr w:type="spellStart"/>
      <w:r w:rsidRPr="00CC4705">
        <w:rPr>
          <w:lang w:val="en-US"/>
        </w:rPr>
        <w:t>Rendsburg</w:t>
      </w:r>
      <w:proofErr w:type="spellEnd"/>
      <w:r w:rsidRPr="00CC4705">
        <w:rPr>
          <w:lang w:val="en-US"/>
        </w:rPr>
        <w:t xml:space="preserve"> particularize</w:t>
      </w:r>
      <w:r>
        <w:rPr>
          <w:lang w:val="en-US"/>
        </w:rPr>
        <w:t>d:</w:t>
      </w:r>
      <w:r w:rsidRPr="00CC4705">
        <w:rPr>
          <w:lang w:val="en-US"/>
        </w:rPr>
        <w:t xml:space="preserve"> </w:t>
      </w:r>
      <w:r>
        <w:rPr>
          <w:lang w:val="en-US"/>
        </w:rPr>
        <w:t>the synagogue liturgy, decorum, architecture, and art imparted the congregants with a sense of being “</w:t>
      </w:r>
      <w:r w:rsidRPr="00951564">
        <w:rPr>
          <w:lang w:val="en-US"/>
        </w:rPr>
        <w:t xml:space="preserve">transported to the </w:t>
      </w:r>
      <w:r>
        <w:rPr>
          <w:lang w:val="en-US"/>
        </w:rPr>
        <w:t>t</w:t>
      </w:r>
      <w:r w:rsidRPr="00951564">
        <w:rPr>
          <w:lang w:val="en-US"/>
        </w:rPr>
        <w:t xml:space="preserve">emple </w:t>
      </w:r>
      <w:r>
        <w:rPr>
          <w:lang w:val="en-US"/>
        </w:rPr>
        <w:t xml:space="preserve">[–Temple] </w:t>
      </w:r>
      <w:r w:rsidRPr="00951564">
        <w:rPr>
          <w:lang w:val="en-US"/>
        </w:rPr>
        <w:t>of old, now destroyed, but still alive within the communal memory.</w:t>
      </w:r>
      <w:r>
        <w:rPr>
          <w:lang w:val="en-US"/>
        </w:rPr>
        <w:t>”</w:t>
      </w:r>
      <w:r>
        <w:rPr>
          <w:rStyle w:val="FootnoteReference"/>
          <w:lang w:val="en-US"/>
        </w:rPr>
        <w:footnoteReference w:id="38"/>
      </w:r>
      <w:r>
        <w:rPr>
          <w:lang w:val="en-US"/>
        </w:rPr>
        <w:t xml:space="preserve"> </w:t>
      </w:r>
    </w:p>
    <w:p w14:paraId="0382E843" w14:textId="506B3F8E" w:rsidR="00301FD6" w:rsidRDefault="00301FD6" w:rsidP="00301FD6">
      <w:pPr>
        <w:rPr>
          <w:lang w:val="en-US"/>
        </w:rPr>
      </w:pPr>
      <w:r>
        <w:rPr>
          <w:lang w:val="en-US"/>
        </w:rPr>
        <w:tab/>
        <w:t>Fine distinguish</w:t>
      </w:r>
      <w:r>
        <w:rPr>
          <w:lang w:val="en-US" w:bidi="he-IL"/>
        </w:rPr>
        <w:t>ed</w:t>
      </w:r>
      <w:r>
        <w:rPr>
          <w:lang w:val="en-US"/>
        </w:rPr>
        <w:t xml:space="preserve"> between the historical layers of sacrality. He proposed that the Jewish perception of holiness bifurcated after the Temple’s destruction, which marked a watershed between the sacral past and flawed “this time” in the Jewish vision of history. Thus, the sacrality attributed to the synagogues </w:t>
      </w:r>
      <w:r w:rsidR="003C396A">
        <w:rPr>
          <w:lang w:val="en-US"/>
        </w:rPr>
        <w:t xml:space="preserve">of that age </w:t>
      </w:r>
      <w:r>
        <w:rPr>
          <w:lang w:val="en-US"/>
        </w:rPr>
        <w:t xml:space="preserve">inherited little or </w:t>
      </w:r>
      <w:r w:rsidRPr="00EC5E84">
        <w:rPr>
          <w:lang w:val="en-US"/>
        </w:rPr>
        <w:t>no cosmic significance</w:t>
      </w:r>
      <w:r>
        <w:rPr>
          <w:lang w:val="en-US"/>
        </w:rPr>
        <w:t xml:space="preserve"> of the Temple’s holiness.</w:t>
      </w:r>
      <w:r>
        <w:rPr>
          <w:rStyle w:val="FootnoteReference"/>
          <w:lang w:val="en-US"/>
        </w:rPr>
        <w:footnoteReference w:id="39"/>
      </w:r>
      <w:r>
        <w:rPr>
          <w:lang w:val="en-US"/>
        </w:rPr>
        <w:t xml:space="preserve"> </w:t>
      </w:r>
    </w:p>
    <w:p w14:paraId="59C8E634" w14:textId="23B23FB9" w:rsidR="00936BEC" w:rsidRPr="00F43847" w:rsidRDefault="00D97E6F" w:rsidP="006B5936">
      <w:pPr>
        <w:pStyle w:val="Heading2"/>
      </w:pPr>
      <w:r>
        <w:t>Ritual</w:t>
      </w:r>
      <w:r w:rsidR="008E3A12">
        <w:t xml:space="preserve"> and </w:t>
      </w:r>
      <w:r w:rsidR="00C45AF3">
        <w:t>Taboo</w:t>
      </w:r>
    </w:p>
    <w:p w14:paraId="41C6C670" w14:textId="20829195" w:rsidR="009371F3" w:rsidRDefault="00C975B8" w:rsidP="001C409A">
      <w:pPr>
        <w:rPr>
          <w:lang w:val="en-US"/>
        </w:rPr>
      </w:pPr>
      <w:bookmarkStart w:id="49" w:name="_Hlk94092434"/>
      <w:r>
        <w:rPr>
          <w:lang w:val="en-US"/>
        </w:rPr>
        <w:t>A</w:t>
      </w:r>
      <w:r w:rsidR="00010C76">
        <w:rPr>
          <w:lang w:val="en-US"/>
        </w:rPr>
        <w:t>venue</w:t>
      </w:r>
      <w:r w:rsidR="00484F07">
        <w:rPr>
          <w:lang w:val="en-US"/>
        </w:rPr>
        <w:t>s</w:t>
      </w:r>
      <w:r w:rsidR="005377D4">
        <w:rPr>
          <w:lang w:val="en-US"/>
        </w:rPr>
        <w:t xml:space="preserve"> </w:t>
      </w:r>
      <w:r>
        <w:rPr>
          <w:lang w:val="en-US"/>
        </w:rPr>
        <w:t xml:space="preserve">of </w:t>
      </w:r>
      <w:r w:rsidR="00E26A32">
        <w:rPr>
          <w:lang w:val="en-US"/>
        </w:rPr>
        <w:t xml:space="preserve">the synagogue sanctity </w:t>
      </w:r>
      <w:r w:rsidR="00B01295">
        <w:rPr>
          <w:lang w:val="en-US"/>
        </w:rPr>
        <w:t>res</w:t>
      </w:r>
      <w:r>
        <w:rPr>
          <w:lang w:val="en-US"/>
        </w:rPr>
        <w:t xml:space="preserve">earch </w:t>
      </w:r>
      <w:r w:rsidR="00E26A32">
        <w:rPr>
          <w:lang w:val="en-US"/>
        </w:rPr>
        <w:t>led</w:t>
      </w:r>
      <w:r>
        <w:rPr>
          <w:lang w:val="en-US"/>
        </w:rPr>
        <w:t xml:space="preserve"> </w:t>
      </w:r>
      <w:r w:rsidR="00010C76">
        <w:rPr>
          <w:lang w:val="en-US"/>
        </w:rPr>
        <w:t xml:space="preserve">to the </w:t>
      </w:r>
      <w:r w:rsidR="004C2E33">
        <w:rPr>
          <w:lang w:val="en-US"/>
        </w:rPr>
        <w:t xml:space="preserve">comparison of </w:t>
      </w:r>
      <w:r w:rsidR="00B01295">
        <w:rPr>
          <w:lang w:val="en-US"/>
        </w:rPr>
        <w:t xml:space="preserve">ritualized human behaviors in synagogues and the Temple. </w:t>
      </w:r>
      <w:r w:rsidR="00C47471">
        <w:rPr>
          <w:rFonts w:hint="cs"/>
          <w:lang w:val="en-US"/>
        </w:rPr>
        <w:t>S</w:t>
      </w:r>
      <w:r w:rsidR="001124B5">
        <w:rPr>
          <w:lang w:val="en-US"/>
        </w:rPr>
        <w:t xml:space="preserve">cholarly opinion </w:t>
      </w:r>
      <w:r w:rsidR="00C47471">
        <w:rPr>
          <w:lang w:val="en-US"/>
        </w:rPr>
        <w:t xml:space="preserve">commonly </w:t>
      </w:r>
      <w:r w:rsidR="001124B5">
        <w:rPr>
          <w:lang w:val="en-US"/>
        </w:rPr>
        <w:t>held that m</w:t>
      </w:r>
      <w:r w:rsidR="00C209CC">
        <w:rPr>
          <w:lang w:val="en-US"/>
        </w:rPr>
        <w:t xml:space="preserve">any </w:t>
      </w:r>
      <w:r w:rsidR="005C2C8A">
        <w:rPr>
          <w:lang w:val="en-US"/>
        </w:rPr>
        <w:t xml:space="preserve">rules for </w:t>
      </w:r>
      <w:r w:rsidR="00624A46">
        <w:rPr>
          <w:lang w:val="en-US" w:bidi="he-IL"/>
        </w:rPr>
        <w:t>intended</w:t>
      </w:r>
      <w:r w:rsidR="005C2C8A">
        <w:rPr>
          <w:lang w:val="en-US"/>
        </w:rPr>
        <w:t xml:space="preserve"> conduct in synagogues</w:t>
      </w:r>
      <w:r w:rsidR="00C209CC">
        <w:rPr>
          <w:lang w:val="en-US"/>
        </w:rPr>
        <w:t xml:space="preserve"> echoed the </w:t>
      </w:r>
      <w:r w:rsidR="00FF67D8">
        <w:rPr>
          <w:lang w:val="en-US"/>
        </w:rPr>
        <w:t xml:space="preserve">devotional, ritual, </w:t>
      </w:r>
      <w:r w:rsidR="003C396A">
        <w:rPr>
          <w:lang w:val="en-US"/>
        </w:rPr>
        <w:t>or</w:t>
      </w:r>
      <w:r w:rsidR="00FF67D8">
        <w:rPr>
          <w:lang w:val="en-US"/>
        </w:rPr>
        <w:t xml:space="preserve"> cultic gestures </w:t>
      </w:r>
      <w:r w:rsidR="00624A46">
        <w:rPr>
          <w:lang w:val="en-US"/>
        </w:rPr>
        <w:t xml:space="preserve">that celebrated </w:t>
      </w:r>
      <w:r w:rsidR="001124B5">
        <w:rPr>
          <w:lang w:val="en-US"/>
        </w:rPr>
        <w:t>the Temple</w:t>
      </w:r>
      <w:r w:rsidR="00624A46">
        <w:rPr>
          <w:lang w:val="en-US"/>
        </w:rPr>
        <w:t>’s holiness</w:t>
      </w:r>
      <w:r w:rsidR="001124B5">
        <w:rPr>
          <w:lang w:val="en-US"/>
        </w:rPr>
        <w:t>.</w:t>
      </w:r>
      <w:r w:rsidR="00A20EF4">
        <w:rPr>
          <w:rStyle w:val="FootnoteReference"/>
          <w:lang w:val="en-US"/>
        </w:rPr>
        <w:footnoteReference w:id="40"/>
      </w:r>
      <w:r w:rsidR="001124B5">
        <w:rPr>
          <w:lang w:val="en-US"/>
        </w:rPr>
        <w:t xml:space="preserve"> </w:t>
      </w:r>
    </w:p>
    <w:p w14:paraId="3913C567" w14:textId="3CA9EDB1" w:rsidR="00164E78" w:rsidRDefault="00D97E6F" w:rsidP="00A5524B">
      <w:pPr>
        <w:pStyle w:val="Newparagraph"/>
        <w:rPr>
          <w:lang w:val="en-US"/>
        </w:rPr>
      </w:pPr>
      <w:r>
        <w:rPr>
          <w:lang w:val="en-US"/>
        </w:rPr>
        <w:lastRenderedPageBreak/>
        <w:t xml:space="preserve">Researchers posed the </w:t>
      </w:r>
      <w:r w:rsidR="00AB1A9B">
        <w:rPr>
          <w:lang w:val="en-US"/>
        </w:rPr>
        <w:t>reminiscences o</w:t>
      </w:r>
      <w:r>
        <w:rPr>
          <w:lang w:val="en-US"/>
        </w:rPr>
        <w:t xml:space="preserve">f </w:t>
      </w:r>
      <w:r w:rsidR="00AB1A9B">
        <w:rPr>
          <w:lang w:val="en-US"/>
        </w:rPr>
        <w:t>the Temple</w:t>
      </w:r>
      <w:r w:rsidR="007F6B58">
        <w:rPr>
          <w:lang w:val="en-US"/>
        </w:rPr>
        <w:t>’s</w:t>
      </w:r>
      <w:r w:rsidR="00AB1A9B">
        <w:rPr>
          <w:lang w:val="en-US"/>
        </w:rPr>
        <w:t xml:space="preserve"> </w:t>
      </w:r>
      <w:r w:rsidR="007F6B58">
        <w:rPr>
          <w:lang w:val="en-US"/>
        </w:rPr>
        <w:t xml:space="preserve">priestly service </w:t>
      </w:r>
      <w:r w:rsidR="00AB1A9B">
        <w:rPr>
          <w:lang w:val="en-US"/>
        </w:rPr>
        <w:t xml:space="preserve">in the </w:t>
      </w:r>
      <w:r w:rsidR="00DF40E6">
        <w:rPr>
          <w:lang w:val="en-US"/>
        </w:rPr>
        <w:t xml:space="preserve">synagogue </w:t>
      </w:r>
      <w:r w:rsidR="008440EC">
        <w:rPr>
          <w:lang w:val="en-US"/>
        </w:rPr>
        <w:t>rite</w:t>
      </w:r>
      <w:r w:rsidR="00AB1A9B">
        <w:rPr>
          <w:lang w:val="en-US"/>
        </w:rPr>
        <w:t xml:space="preserve"> as </w:t>
      </w:r>
      <w:r w:rsidR="00C84909">
        <w:rPr>
          <w:lang w:val="en-US"/>
        </w:rPr>
        <w:t xml:space="preserve">the historical constructs of sanctity </w:t>
      </w:r>
      <w:r w:rsidR="00FF0491">
        <w:rPr>
          <w:lang w:val="en-US"/>
        </w:rPr>
        <w:t>adopt</w:t>
      </w:r>
      <w:r w:rsidR="00C84909">
        <w:rPr>
          <w:lang w:val="en-US"/>
        </w:rPr>
        <w:t>ed</w:t>
      </w:r>
      <w:r w:rsidR="00FF0491">
        <w:rPr>
          <w:lang w:val="en-US"/>
        </w:rPr>
        <w:t xml:space="preserve"> </w:t>
      </w:r>
      <w:r w:rsidR="00C84909">
        <w:rPr>
          <w:lang w:val="en-US"/>
        </w:rPr>
        <w:t>in the post-Temple reality</w:t>
      </w:r>
      <w:r w:rsidR="00DF40E6">
        <w:rPr>
          <w:lang w:val="en-US"/>
        </w:rPr>
        <w:t>.</w:t>
      </w:r>
      <w:r w:rsidR="0071457A">
        <w:rPr>
          <w:rStyle w:val="FootnoteReference"/>
          <w:lang w:val="en-US"/>
        </w:rPr>
        <w:footnoteReference w:id="41"/>
      </w:r>
      <w:r w:rsidR="00DF40E6">
        <w:rPr>
          <w:lang w:val="en-US"/>
        </w:rPr>
        <w:t xml:space="preserve"> </w:t>
      </w:r>
      <w:r w:rsidR="000F5D90">
        <w:rPr>
          <w:lang w:val="en-US"/>
        </w:rPr>
        <w:t xml:space="preserve">Levine </w:t>
      </w:r>
      <w:r w:rsidR="0064152E">
        <w:rPr>
          <w:lang w:val="en-US"/>
        </w:rPr>
        <w:t>account</w:t>
      </w:r>
      <w:r w:rsidR="000F5D90">
        <w:rPr>
          <w:lang w:val="en-US"/>
        </w:rPr>
        <w:t>ed</w:t>
      </w:r>
      <w:r w:rsidR="0064152E">
        <w:rPr>
          <w:lang w:val="en-US"/>
        </w:rPr>
        <w:t xml:space="preserve"> </w:t>
      </w:r>
      <w:r w:rsidR="001D6A07">
        <w:rPr>
          <w:lang w:val="en-US" w:bidi="he-IL"/>
        </w:rPr>
        <w:t>t</w:t>
      </w:r>
      <w:r w:rsidR="00FF0491">
        <w:rPr>
          <w:lang w:val="en-US"/>
        </w:rPr>
        <w:t xml:space="preserve">he </w:t>
      </w:r>
      <w:r w:rsidR="00860249">
        <w:rPr>
          <w:lang w:val="en-US"/>
        </w:rPr>
        <w:t>priestly performances</w:t>
      </w:r>
      <w:r w:rsidR="0064152E">
        <w:rPr>
          <w:lang w:val="en-US"/>
        </w:rPr>
        <w:t>, both</w:t>
      </w:r>
      <w:r w:rsidR="00860249">
        <w:rPr>
          <w:lang w:val="en-US"/>
        </w:rPr>
        <w:t xml:space="preserve"> </w:t>
      </w:r>
      <w:r w:rsidR="0064152E">
        <w:rPr>
          <w:lang w:val="en-US"/>
        </w:rPr>
        <w:t xml:space="preserve">liturgical (e.g., blessings) and ritual, </w:t>
      </w:r>
      <w:r w:rsidR="00860249">
        <w:rPr>
          <w:lang w:val="en-US"/>
        </w:rPr>
        <w:t xml:space="preserve">in </w:t>
      </w:r>
      <w:r w:rsidR="000F5D90">
        <w:rPr>
          <w:lang w:val="en-US"/>
        </w:rPr>
        <w:t xml:space="preserve">ancient </w:t>
      </w:r>
      <w:r w:rsidR="00860249">
        <w:rPr>
          <w:lang w:val="en-US"/>
        </w:rPr>
        <w:t>synagogues</w:t>
      </w:r>
      <w:r w:rsidR="00A9081C">
        <w:rPr>
          <w:lang w:val="en-US"/>
        </w:rPr>
        <w:t>.</w:t>
      </w:r>
      <w:r w:rsidR="002317FC">
        <w:rPr>
          <w:rStyle w:val="FootnoteReference"/>
          <w:lang w:val="en-US"/>
        </w:rPr>
        <w:footnoteReference w:id="42"/>
      </w:r>
      <w:r w:rsidR="0064152E">
        <w:rPr>
          <w:lang w:val="en-US"/>
        </w:rPr>
        <w:t xml:space="preserve"> </w:t>
      </w:r>
      <w:r w:rsidR="00A9081C">
        <w:rPr>
          <w:lang w:val="en-US"/>
        </w:rPr>
        <w:t xml:space="preserve">The </w:t>
      </w:r>
      <w:r w:rsidR="00676D8E">
        <w:rPr>
          <w:lang w:val="en-US"/>
        </w:rPr>
        <w:t xml:space="preserve">Temple-rooted </w:t>
      </w:r>
      <w:r w:rsidR="00A9081C">
        <w:rPr>
          <w:lang w:val="en-US"/>
        </w:rPr>
        <w:t>priestly</w:t>
      </w:r>
      <w:r w:rsidR="008440EC">
        <w:rPr>
          <w:lang w:val="en-US"/>
        </w:rPr>
        <w:t xml:space="preserve"> </w:t>
      </w:r>
      <w:r w:rsidR="00A9081C">
        <w:rPr>
          <w:lang w:val="en-US"/>
        </w:rPr>
        <w:t xml:space="preserve">rituals included </w:t>
      </w:r>
      <w:r w:rsidR="008440EC">
        <w:rPr>
          <w:lang w:val="en-US"/>
        </w:rPr>
        <w:t>wash</w:t>
      </w:r>
      <w:r w:rsidR="00A9081C">
        <w:rPr>
          <w:lang w:val="en-US"/>
        </w:rPr>
        <w:t>ing</w:t>
      </w:r>
      <w:r w:rsidR="008440EC">
        <w:rPr>
          <w:lang w:val="en-US"/>
        </w:rPr>
        <w:t xml:space="preserve"> hands before blessings, offer</w:t>
      </w:r>
      <w:r w:rsidR="00A9081C">
        <w:rPr>
          <w:lang w:val="en-US"/>
        </w:rPr>
        <w:t>ing</w:t>
      </w:r>
      <w:r w:rsidR="008440EC">
        <w:rPr>
          <w:lang w:val="en-US"/>
        </w:rPr>
        <w:t xml:space="preserve"> the</w:t>
      </w:r>
      <w:r w:rsidR="00C650FB">
        <w:rPr>
          <w:lang w:val="en-US"/>
        </w:rPr>
        <w:t xml:space="preserve"> </w:t>
      </w:r>
      <w:r w:rsidR="008440EC">
        <w:rPr>
          <w:lang w:val="en-US"/>
        </w:rPr>
        <w:t>blessings barefoot</w:t>
      </w:r>
      <w:r w:rsidR="00A9081C">
        <w:rPr>
          <w:lang w:val="en-US"/>
        </w:rPr>
        <w:t>,</w:t>
      </w:r>
      <w:r w:rsidR="008440EC">
        <w:rPr>
          <w:lang w:val="en-US"/>
        </w:rPr>
        <w:t xml:space="preserve"> and </w:t>
      </w:r>
      <w:r w:rsidR="00751BCD">
        <w:rPr>
          <w:lang w:val="en-US"/>
        </w:rPr>
        <w:t>spread</w:t>
      </w:r>
      <w:r w:rsidR="00A9081C">
        <w:rPr>
          <w:lang w:val="en-US"/>
        </w:rPr>
        <w:t>ing</w:t>
      </w:r>
      <w:r w:rsidR="00751BCD">
        <w:rPr>
          <w:lang w:val="en-US"/>
        </w:rPr>
        <w:t xml:space="preserve"> </w:t>
      </w:r>
      <w:r w:rsidR="00A9081C">
        <w:rPr>
          <w:lang w:val="en-US"/>
        </w:rPr>
        <w:t>the</w:t>
      </w:r>
      <w:r w:rsidR="00751BCD">
        <w:rPr>
          <w:lang w:val="en-US"/>
        </w:rPr>
        <w:t xml:space="preserve"> fingers </w:t>
      </w:r>
      <w:r w:rsidR="00A9081C">
        <w:rPr>
          <w:lang w:val="en-US"/>
        </w:rPr>
        <w:t>when blessing (</w:t>
      </w:r>
      <w:r w:rsidR="00751BCD">
        <w:rPr>
          <w:lang w:val="en-US"/>
        </w:rPr>
        <w:t>supposedly</w:t>
      </w:r>
      <w:r w:rsidR="00A9081C">
        <w:rPr>
          <w:lang w:val="en-US"/>
        </w:rPr>
        <w:t>,</w:t>
      </w:r>
      <w:r w:rsidR="00751BCD">
        <w:rPr>
          <w:lang w:val="en-US"/>
        </w:rPr>
        <w:t xml:space="preserve"> a</w:t>
      </w:r>
      <w:r w:rsidR="00A9081C">
        <w:rPr>
          <w:lang w:val="en-US"/>
        </w:rPr>
        <w:t>lso a</w:t>
      </w:r>
      <w:r w:rsidR="00751BCD">
        <w:rPr>
          <w:lang w:val="en-US"/>
        </w:rPr>
        <w:t xml:space="preserve"> Temple’s practice).</w:t>
      </w:r>
      <w:bookmarkStart w:id="51" w:name="_Hlk96669598"/>
      <w:r w:rsidR="00751BCD">
        <w:rPr>
          <w:rStyle w:val="FootnoteReference"/>
          <w:lang w:val="en-US"/>
        </w:rPr>
        <w:footnoteReference w:id="43"/>
      </w:r>
      <w:bookmarkEnd w:id="51"/>
      <w:r w:rsidR="00FD4278">
        <w:rPr>
          <w:lang w:val="en-US"/>
        </w:rPr>
        <w:t xml:space="preserve"> </w:t>
      </w:r>
      <w:r w:rsidR="004444EA">
        <w:rPr>
          <w:lang w:val="en-US"/>
        </w:rPr>
        <w:t>Maintaining observance of the old-time rites, s</w:t>
      </w:r>
      <w:r w:rsidR="00164E78">
        <w:rPr>
          <w:lang w:val="en-US"/>
        </w:rPr>
        <w:t>ynagogues often located near n</w:t>
      </w:r>
      <w:r w:rsidR="00F26EF4">
        <w:rPr>
          <w:lang w:val="en-US"/>
        </w:rPr>
        <w:t xml:space="preserve">atural </w:t>
      </w:r>
      <w:r w:rsidR="00164E78">
        <w:rPr>
          <w:lang w:val="en-US"/>
        </w:rPr>
        <w:t xml:space="preserve">water </w:t>
      </w:r>
      <w:r w:rsidR="00F26EF4">
        <w:rPr>
          <w:lang w:val="en-US"/>
        </w:rPr>
        <w:t xml:space="preserve">sources or </w:t>
      </w:r>
      <w:r w:rsidR="00164E78">
        <w:rPr>
          <w:lang w:val="en-US"/>
        </w:rPr>
        <w:t xml:space="preserve">pools </w:t>
      </w:r>
      <w:r w:rsidR="00F26EF4">
        <w:rPr>
          <w:lang w:val="en-US"/>
        </w:rPr>
        <w:t xml:space="preserve">of </w:t>
      </w:r>
      <w:r w:rsidR="00164E78">
        <w:rPr>
          <w:lang w:val="en-US"/>
        </w:rPr>
        <w:t>spring- or rain</w:t>
      </w:r>
      <w:r w:rsidR="00F26EF4">
        <w:rPr>
          <w:lang w:val="en-US"/>
        </w:rPr>
        <w:t xml:space="preserve">water </w:t>
      </w:r>
      <w:r w:rsidR="00164E78">
        <w:rPr>
          <w:lang w:val="en-US"/>
        </w:rPr>
        <w:t>that were used for purification of the body.</w:t>
      </w:r>
      <w:r w:rsidR="004444EA">
        <w:rPr>
          <w:rStyle w:val="FootnoteReference"/>
          <w:lang w:val="en-US"/>
        </w:rPr>
        <w:footnoteReference w:id="44"/>
      </w:r>
      <w:r w:rsidR="00F26EF4">
        <w:rPr>
          <w:lang w:val="en-US"/>
        </w:rPr>
        <w:t xml:space="preserve"> </w:t>
      </w:r>
    </w:p>
    <w:p w14:paraId="2362C7AC" w14:textId="2E780622" w:rsidR="00210169" w:rsidRDefault="009452FD" w:rsidP="00A5524B">
      <w:pPr>
        <w:pStyle w:val="Newparagraph"/>
        <w:rPr>
          <w:lang w:val="en-US"/>
        </w:rPr>
      </w:pPr>
      <w:r>
        <w:rPr>
          <w:lang w:val="en-US"/>
        </w:rPr>
        <w:t xml:space="preserve">Much </w:t>
      </w:r>
      <w:r w:rsidR="00CA4A4D">
        <w:rPr>
          <w:lang w:val="en-US"/>
        </w:rPr>
        <w:t>re</w:t>
      </w:r>
      <w:r>
        <w:rPr>
          <w:lang w:val="en-US"/>
        </w:rPr>
        <w:t xml:space="preserve">search was aimed at the </w:t>
      </w:r>
      <w:r w:rsidR="00A5524B">
        <w:rPr>
          <w:lang w:val="en-US"/>
        </w:rPr>
        <w:t>synagogue prayer as “verbal sacrifice” that substituted for the animal sacrifice in the Temple.</w:t>
      </w:r>
      <w:r w:rsidR="00C62BA2">
        <w:rPr>
          <w:rStyle w:val="FootnoteReference"/>
          <w:lang w:val="en-US"/>
        </w:rPr>
        <w:footnoteReference w:id="45"/>
      </w:r>
      <w:r w:rsidR="00A5524B">
        <w:rPr>
          <w:lang w:val="en-US"/>
        </w:rPr>
        <w:t xml:space="preserve"> For instance, </w:t>
      </w:r>
      <w:r w:rsidR="00250599" w:rsidRPr="00250599">
        <w:rPr>
          <w:lang w:val="en-US"/>
        </w:rPr>
        <w:t xml:space="preserve">Michael Swartz </w:t>
      </w:r>
      <w:r w:rsidR="00A5524B">
        <w:rPr>
          <w:lang w:val="en-US"/>
        </w:rPr>
        <w:t>a</w:t>
      </w:r>
      <w:r w:rsidR="00081CEF">
        <w:rPr>
          <w:lang w:val="en-US"/>
        </w:rPr>
        <w:t xml:space="preserve">sserted </w:t>
      </w:r>
      <w:r w:rsidR="00A5524B">
        <w:rPr>
          <w:lang w:val="en-US"/>
        </w:rPr>
        <w:lastRenderedPageBreak/>
        <w:t xml:space="preserve">that </w:t>
      </w:r>
      <w:r w:rsidR="00250599">
        <w:rPr>
          <w:lang w:val="en-US"/>
        </w:rPr>
        <w:t>t</w:t>
      </w:r>
      <w:r w:rsidR="00550BF0">
        <w:rPr>
          <w:lang w:val="en-US"/>
        </w:rPr>
        <w:t xml:space="preserve">he </w:t>
      </w:r>
      <w:r w:rsidR="008D4C46">
        <w:rPr>
          <w:lang w:val="en-US"/>
        </w:rPr>
        <w:t xml:space="preserve">liturgical </w:t>
      </w:r>
      <w:r w:rsidR="008D4C46" w:rsidRPr="008D4C46">
        <w:rPr>
          <w:lang w:val="en-US"/>
        </w:rPr>
        <w:t xml:space="preserve">evocation of the </w:t>
      </w:r>
      <w:r w:rsidR="008D4C46">
        <w:rPr>
          <w:lang w:val="en-US"/>
        </w:rPr>
        <w:t xml:space="preserve">disrupted </w:t>
      </w:r>
      <w:r w:rsidR="008D4C46" w:rsidRPr="008D4C46">
        <w:rPr>
          <w:lang w:val="en-US"/>
        </w:rPr>
        <w:t>sacrificial system</w:t>
      </w:r>
      <w:r w:rsidR="008D4C46">
        <w:rPr>
          <w:lang w:val="en-US"/>
        </w:rPr>
        <w:t xml:space="preserve"> </w:t>
      </w:r>
      <w:r w:rsidR="00A5524B">
        <w:rPr>
          <w:lang w:val="en-US"/>
        </w:rPr>
        <w:t>became</w:t>
      </w:r>
      <w:r w:rsidR="008D4C46">
        <w:rPr>
          <w:lang w:val="en-US"/>
        </w:rPr>
        <w:t xml:space="preserve"> a pivotal </w:t>
      </w:r>
      <w:r w:rsidR="003D1D22">
        <w:rPr>
          <w:lang w:val="en-US"/>
        </w:rPr>
        <w:t>performa</w:t>
      </w:r>
      <w:r w:rsidR="007268B1">
        <w:rPr>
          <w:lang w:val="en-US"/>
        </w:rPr>
        <w:t>tive</w:t>
      </w:r>
      <w:r w:rsidR="00550BF0">
        <w:rPr>
          <w:lang w:val="en-US"/>
        </w:rPr>
        <w:t xml:space="preserve"> recreation of the </w:t>
      </w:r>
      <w:r w:rsidR="0025637B">
        <w:rPr>
          <w:lang w:val="en-US"/>
        </w:rPr>
        <w:t>disrupted Temple’s cult</w:t>
      </w:r>
      <w:r w:rsidR="00FD4278" w:rsidRPr="00FD4278">
        <w:rPr>
          <w:lang w:val="en-US"/>
        </w:rPr>
        <w:t xml:space="preserve"> </w:t>
      </w:r>
      <w:r w:rsidR="00FD4278">
        <w:rPr>
          <w:lang w:val="en-US"/>
        </w:rPr>
        <w:t>in synagogues</w:t>
      </w:r>
      <w:r w:rsidR="003D1D22">
        <w:rPr>
          <w:lang w:val="en-US"/>
        </w:rPr>
        <w:t>.</w:t>
      </w:r>
      <w:r w:rsidR="003D1D22">
        <w:rPr>
          <w:rStyle w:val="FootnoteReference"/>
          <w:lang w:val="en-US"/>
        </w:rPr>
        <w:footnoteReference w:id="46"/>
      </w:r>
      <w:r w:rsidR="00A5524B">
        <w:rPr>
          <w:lang w:val="en-US"/>
        </w:rPr>
        <w:t xml:space="preserve"> </w:t>
      </w:r>
      <w:r w:rsidR="003D1D22">
        <w:rPr>
          <w:lang w:val="en-US"/>
        </w:rPr>
        <w:t xml:space="preserve"> </w:t>
      </w:r>
      <w:r w:rsidR="0025637B">
        <w:rPr>
          <w:lang w:val="en-US"/>
        </w:rPr>
        <w:t xml:space="preserve"> </w:t>
      </w:r>
    </w:p>
    <w:p w14:paraId="0EACA8D7" w14:textId="5E134105" w:rsidR="00F22AEB" w:rsidRDefault="00594FE3" w:rsidP="00F83DC5">
      <w:pPr>
        <w:pStyle w:val="Newparagraph"/>
      </w:pPr>
      <w:r>
        <w:rPr>
          <w:lang w:val="en-US"/>
        </w:rPr>
        <w:t xml:space="preserve">In addition to the exclusively priestly </w:t>
      </w:r>
      <w:r w:rsidR="00A9081C">
        <w:rPr>
          <w:lang w:val="en-US"/>
        </w:rPr>
        <w:t>gestures</w:t>
      </w:r>
      <w:r w:rsidR="00444194">
        <w:rPr>
          <w:lang w:val="en-US"/>
        </w:rPr>
        <w:t xml:space="preserve"> and liturgical references to the Temple</w:t>
      </w:r>
      <w:r w:rsidR="00A9081C">
        <w:rPr>
          <w:lang w:val="en-US"/>
        </w:rPr>
        <w:t xml:space="preserve">, </w:t>
      </w:r>
      <w:r w:rsidR="001C409A">
        <w:rPr>
          <w:lang w:val="en-US"/>
        </w:rPr>
        <w:t xml:space="preserve">the </w:t>
      </w:r>
      <w:r w:rsidR="001124B5">
        <w:rPr>
          <w:lang w:val="en-US"/>
        </w:rPr>
        <w:t>prerequisite</w:t>
      </w:r>
      <w:r w:rsidR="001C409A">
        <w:rPr>
          <w:lang w:val="en-US"/>
        </w:rPr>
        <w:t>s</w:t>
      </w:r>
      <w:r w:rsidR="001124B5">
        <w:rPr>
          <w:lang w:val="en-US"/>
        </w:rPr>
        <w:t xml:space="preserve"> of ritual purity </w:t>
      </w:r>
      <w:r w:rsidR="001C409A">
        <w:rPr>
          <w:lang w:val="en-US"/>
        </w:rPr>
        <w:t xml:space="preserve">and </w:t>
      </w:r>
      <w:r w:rsidR="001124B5">
        <w:rPr>
          <w:lang w:val="en-US"/>
        </w:rPr>
        <w:t>ablutions</w:t>
      </w:r>
      <w:r w:rsidR="00651DAE">
        <w:rPr>
          <w:lang w:val="en-US"/>
        </w:rPr>
        <w:t xml:space="preserve"> for </w:t>
      </w:r>
      <w:r w:rsidR="00C84909">
        <w:rPr>
          <w:lang w:val="en-US"/>
        </w:rPr>
        <w:t xml:space="preserve">everyone </w:t>
      </w:r>
      <w:r w:rsidR="00651DAE">
        <w:rPr>
          <w:lang w:val="en-US"/>
        </w:rPr>
        <w:t xml:space="preserve">entering the </w:t>
      </w:r>
      <w:r w:rsidR="00F83DC5">
        <w:rPr>
          <w:lang w:val="en-US"/>
        </w:rPr>
        <w:t>sacred space</w:t>
      </w:r>
      <w:r w:rsidR="001124B5">
        <w:rPr>
          <w:lang w:val="en-US"/>
        </w:rPr>
        <w:t xml:space="preserve">, </w:t>
      </w:r>
      <w:r w:rsidR="007B6F1A">
        <w:rPr>
          <w:lang w:val="en-US"/>
        </w:rPr>
        <w:t xml:space="preserve">or </w:t>
      </w:r>
      <w:r w:rsidR="001C409A">
        <w:rPr>
          <w:lang w:val="en-US"/>
        </w:rPr>
        <w:t xml:space="preserve">tabooing the menstruants were </w:t>
      </w:r>
      <w:r w:rsidR="00AA332B">
        <w:rPr>
          <w:lang w:val="en-US"/>
        </w:rPr>
        <w:t xml:space="preserve">occasionally </w:t>
      </w:r>
      <w:r w:rsidR="007B6F1A">
        <w:rPr>
          <w:lang w:val="en-US"/>
        </w:rPr>
        <w:t xml:space="preserve">practiced </w:t>
      </w:r>
      <w:r w:rsidR="001C409A">
        <w:rPr>
          <w:lang w:val="en-US"/>
        </w:rPr>
        <w:t>i</w:t>
      </w:r>
      <w:r w:rsidR="0033269E">
        <w:rPr>
          <w:lang w:val="en-US"/>
        </w:rPr>
        <w:t>n</w:t>
      </w:r>
      <w:r w:rsidR="000578F2">
        <w:rPr>
          <w:lang w:val="en-US"/>
        </w:rPr>
        <w:t xml:space="preserve"> </w:t>
      </w:r>
      <w:r w:rsidR="0033269E">
        <w:rPr>
          <w:lang w:val="en-US"/>
        </w:rPr>
        <w:t>ancient synagogues.</w:t>
      </w:r>
      <w:r w:rsidR="0033269E">
        <w:rPr>
          <w:rStyle w:val="FootnoteReference"/>
          <w:lang w:val="en-US"/>
        </w:rPr>
        <w:footnoteReference w:id="47"/>
      </w:r>
      <w:r w:rsidR="00651DAE">
        <w:rPr>
          <w:lang w:val="en-US"/>
        </w:rPr>
        <w:t xml:space="preserve"> </w:t>
      </w:r>
      <w:r w:rsidR="00710D1E">
        <w:rPr>
          <w:lang w:val="en-US"/>
        </w:rPr>
        <w:t xml:space="preserve">The issue of the </w:t>
      </w:r>
      <w:r w:rsidR="00996DC5" w:rsidRPr="00996DC5">
        <w:rPr>
          <w:lang w:val="en-US"/>
        </w:rPr>
        <w:t>gender-based taboo</w:t>
      </w:r>
      <w:r w:rsidR="00996DC5">
        <w:rPr>
          <w:lang w:val="en-US"/>
        </w:rPr>
        <w:t xml:space="preserve"> </w:t>
      </w:r>
      <w:r w:rsidR="00DC2E1C">
        <w:rPr>
          <w:lang w:val="en-US"/>
        </w:rPr>
        <w:t xml:space="preserve">as a marker of </w:t>
      </w:r>
      <w:r w:rsidR="00AE1DE4">
        <w:rPr>
          <w:lang w:val="en-US"/>
        </w:rPr>
        <w:t>sacred</w:t>
      </w:r>
      <w:r w:rsidR="00AB0F2A">
        <w:rPr>
          <w:lang w:val="en-US"/>
        </w:rPr>
        <w:t xml:space="preserve"> </w:t>
      </w:r>
      <w:r w:rsidR="00AE1DE4">
        <w:rPr>
          <w:lang w:val="en-US"/>
        </w:rPr>
        <w:t>domains</w:t>
      </w:r>
      <w:r w:rsidR="00AB0F2A">
        <w:rPr>
          <w:lang w:val="en-US"/>
        </w:rPr>
        <w:t xml:space="preserve"> </w:t>
      </w:r>
      <w:r w:rsidR="00DC2E1C">
        <w:rPr>
          <w:lang w:val="en-US"/>
        </w:rPr>
        <w:t>requires further notes.</w:t>
      </w:r>
      <w:r w:rsidR="00BE745C">
        <w:rPr>
          <w:rStyle w:val="FootnoteReference"/>
          <w:lang w:val="en-US"/>
        </w:rPr>
        <w:footnoteReference w:id="48"/>
      </w:r>
      <w:r w:rsidR="00DC2E1C">
        <w:rPr>
          <w:lang w:val="en-US"/>
        </w:rPr>
        <w:t xml:space="preserve"> The discussions of separate seating of men and women in ancient synagogues commonly referred to </w:t>
      </w:r>
      <w:r w:rsidR="001F6562">
        <w:rPr>
          <w:lang w:val="en-US"/>
        </w:rPr>
        <w:t xml:space="preserve">the </w:t>
      </w:r>
      <w:r w:rsidR="004E58A0">
        <w:rPr>
          <w:lang w:val="en-US"/>
        </w:rPr>
        <w:t xml:space="preserve">texts </w:t>
      </w:r>
      <w:r w:rsidR="00AE1DE4">
        <w:rPr>
          <w:lang w:val="en-US"/>
        </w:rPr>
        <w:t>saying</w:t>
      </w:r>
      <w:r w:rsidR="004E58A0">
        <w:rPr>
          <w:lang w:val="en-US"/>
        </w:rPr>
        <w:t xml:space="preserve"> </w:t>
      </w:r>
      <w:r w:rsidR="001F6562">
        <w:rPr>
          <w:lang w:val="en-US"/>
        </w:rPr>
        <w:t xml:space="preserve">that </w:t>
      </w:r>
      <w:r w:rsidR="0044387E">
        <w:rPr>
          <w:lang w:val="en-US"/>
        </w:rPr>
        <w:t>females</w:t>
      </w:r>
      <w:r w:rsidR="001F6562">
        <w:rPr>
          <w:lang w:val="en-US"/>
        </w:rPr>
        <w:t xml:space="preserve"> were not allowed beyond the </w:t>
      </w:r>
      <w:r w:rsidR="001F6562">
        <w:rPr>
          <w:lang w:val="en-US"/>
        </w:rPr>
        <w:lastRenderedPageBreak/>
        <w:t xml:space="preserve">Women’s Court, but there was no strict separation of the sexes within the Women’s Court. The exception was a temporary separation </w:t>
      </w:r>
      <w:r w:rsidR="00732155">
        <w:rPr>
          <w:lang w:val="en-US"/>
        </w:rPr>
        <w:t xml:space="preserve">to prevent </w:t>
      </w:r>
      <w:r w:rsidR="00732155" w:rsidRPr="00732155">
        <w:rPr>
          <w:lang w:val="en-US"/>
        </w:rPr>
        <w:t>licentious behavior</w:t>
      </w:r>
      <w:r w:rsidR="00732155">
        <w:rPr>
          <w:lang w:val="en-US"/>
        </w:rPr>
        <w:t xml:space="preserve"> of the participants in t</w:t>
      </w:r>
      <w:r w:rsidR="001F6562">
        <w:rPr>
          <w:lang w:val="en-US"/>
        </w:rPr>
        <w:t xml:space="preserve">he Water Drawing Ceremony </w:t>
      </w:r>
      <w:r w:rsidR="00732155">
        <w:rPr>
          <w:lang w:val="en-US"/>
        </w:rPr>
        <w:t>of Sukkot Festival.</w:t>
      </w:r>
      <w:r w:rsidR="00732155">
        <w:rPr>
          <w:rStyle w:val="FootnoteReference"/>
          <w:lang w:val="en-US"/>
        </w:rPr>
        <w:footnoteReference w:id="49"/>
      </w:r>
      <w:r w:rsidR="00435297">
        <w:rPr>
          <w:lang w:val="en-US"/>
        </w:rPr>
        <w:t xml:space="preserve"> </w:t>
      </w:r>
      <w:r w:rsidR="0013389C">
        <w:rPr>
          <w:lang w:val="en-US"/>
        </w:rPr>
        <w:t xml:space="preserve">For the </w:t>
      </w:r>
      <w:r w:rsidR="002D7046">
        <w:rPr>
          <w:lang w:val="en-US"/>
        </w:rPr>
        <w:t>recent</w:t>
      </w:r>
      <w:r w:rsidR="0013389C">
        <w:rPr>
          <w:lang w:val="en-US"/>
        </w:rPr>
        <w:t xml:space="preserve"> half a century,</w:t>
      </w:r>
      <w:r w:rsidR="002D7046">
        <w:rPr>
          <w:lang w:val="en-US"/>
        </w:rPr>
        <w:t xml:space="preserve"> the </w:t>
      </w:r>
      <w:r w:rsidR="0044387E">
        <w:rPr>
          <w:lang w:val="en-US"/>
        </w:rPr>
        <w:t xml:space="preserve">scholarly </w:t>
      </w:r>
      <w:r w:rsidR="002D7046">
        <w:rPr>
          <w:lang w:val="en-US"/>
        </w:rPr>
        <w:t xml:space="preserve">consensus was </w:t>
      </w:r>
      <w:r w:rsidR="00F720A0">
        <w:rPr>
          <w:lang w:val="en-US"/>
        </w:rPr>
        <w:t xml:space="preserve">that </w:t>
      </w:r>
      <w:bookmarkStart w:id="58" w:name="_Hlk96445845"/>
      <w:r w:rsidR="00C47E79">
        <w:rPr>
          <w:lang w:val="en-US"/>
        </w:rPr>
        <w:t xml:space="preserve">the </w:t>
      </w:r>
      <w:bookmarkEnd w:id="58"/>
      <w:r w:rsidR="009D092D">
        <w:rPr>
          <w:lang w:val="en-US"/>
        </w:rPr>
        <w:t xml:space="preserve">reservation of areas for men only at </w:t>
      </w:r>
      <w:r w:rsidR="005A0001">
        <w:rPr>
          <w:lang w:val="en-US"/>
        </w:rPr>
        <w:t xml:space="preserve">the </w:t>
      </w:r>
      <w:r w:rsidR="00C47E79">
        <w:rPr>
          <w:lang w:val="en-US"/>
        </w:rPr>
        <w:t>Temple</w:t>
      </w:r>
      <w:r w:rsidR="005A0001">
        <w:rPr>
          <w:lang w:val="en-US"/>
        </w:rPr>
        <w:t xml:space="preserve"> and its </w:t>
      </w:r>
      <w:r w:rsidR="00AB0F2A">
        <w:rPr>
          <w:lang w:val="en-US"/>
        </w:rPr>
        <w:t>courts</w:t>
      </w:r>
      <w:r w:rsidR="00503B16">
        <w:rPr>
          <w:lang w:val="en-US"/>
        </w:rPr>
        <w:t xml:space="preserve"> </w:t>
      </w:r>
      <w:r w:rsidR="00C47E79">
        <w:rPr>
          <w:lang w:val="en-US"/>
        </w:rPr>
        <w:t xml:space="preserve">had </w:t>
      </w:r>
      <w:r w:rsidR="00503B16">
        <w:rPr>
          <w:lang w:val="en-US"/>
        </w:rPr>
        <w:t xml:space="preserve">had </w:t>
      </w:r>
      <w:r w:rsidR="007577BA">
        <w:rPr>
          <w:lang w:val="en-US"/>
        </w:rPr>
        <w:t xml:space="preserve">no detectable </w:t>
      </w:r>
      <w:r w:rsidR="00F720A0">
        <w:rPr>
          <w:lang w:val="en-US"/>
        </w:rPr>
        <w:t>effect on the architectural layout of ancient synagogues</w:t>
      </w:r>
      <w:r w:rsidR="007577BA">
        <w:rPr>
          <w:lang w:val="en-US"/>
        </w:rPr>
        <w:t xml:space="preserve"> where man and </w:t>
      </w:r>
      <w:r w:rsidR="00F720A0">
        <w:rPr>
          <w:lang w:val="en-US"/>
        </w:rPr>
        <w:t>women</w:t>
      </w:r>
      <w:r w:rsidR="0054798C">
        <w:rPr>
          <w:lang w:val="en-US"/>
        </w:rPr>
        <w:t xml:space="preserve"> </w:t>
      </w:r>
      <w:r w:rsidR="005E2222">
        <w:rPr>
          <w:lang w:val="en-US"/>
        </w:rPr>
        <w:t>were together in the same prayer hall.</w:t>
      </w:r>
      <w:r w:rsidR="0058493B">
        <w:rPr>
          <w:rStyle w:val="FootnoteReference"/>
          <w:lang w:val="en-US"/>
        </w:rPr>
        <w:footnoteReference w:id="50"/>
      </w:r>
      <w:r w:rsidR="005E2222">
        <w:rPr>
          <w:lang w:val="en-US"/>
        </w:rPr>
        <w:t xml:space="preserve"> </w:t>
      </w:r>
      <w:r w:rsidR="00C84909" w:rsidRPr="0044387E">
        <w:rPr>
          <w:lang w:val="en-US"/>
        </w:rPr>
        <w:t xml:space="preserve">Chad </w:t>
      </w:r>
      <w:proofErr w:type="spellStart"/>
      <w:r w:rsidR="00C84909" w:rsidRPr="0044387E">
        <w:rPr>
          <w:lang w:val="en-US"/>
        </w:rPr>
        <w:t>Spigel</w:t>
      </w:r>
      <w:proofErr w:type="spellEnd"/>
      <w:r w:rsidR="00C84909">
        <w:rPr>
          <w:lang w:val="en-US"/>
        </w:rPr>
        <w:t xml:space="preserve"> challenged</w:t>
      </w:r>
      <w:r w:rsidR="00C84909" w:rsidRPr="0044387E">
        <w:rPr>
          <w:lang w:val="en-US"/>
        </w:rPr>
        <w:t xml:space="preserve"> </w:t>
      </w:r>
      <w:r w:rsidR="00C84909">
        <w:rPr>
          <w:lang w:val="en-US"/>
        </w:rPr>
        <w:t>t</w:t>
      </w:r>
      <w:r w:rsidR="00EF4553">
        <w:rPr>
          <w:lang w:val="en-US"/>
        </w:rPr>
        <w:t>h</w:t>
      </w:r>
      <w:r w:rsidR="00C84909">
        <w:rPr>
          <w:lang w:val="en-US"/>
        </w:rPr>
        <w:t>e</w:t>
      </w:r>
      <w:r w:rsidR="00EF4553">
        <w:rPr>
          <w:lang w:val="en-US"/>
        </w:rPr>
        <w:t xml:space="preserve"> </w:t>
      </w:r>
      <w:r w:rsidR="005A0001">
        <w:rPr>
          <w:lang w:val="en-US"/>
        </w:rPr>
        <w:t xml:space="preserve">mainstream </w:t>
      </w:r>
      <w:r w:rsidR="00EF4553">
        <w:rPr>
          <w:lang w:val="en-US"/>
        </w:rPr>
        <w:t xml:space="preserve">strive for </w:t>
      </w:r>
      <w:r w:rsidR="00047C3D">
        <w:rPr>
          <w:lang w:val="en-US"/>
        </w:rPr>
        <w:t xml:space="preserve">defining </w:t>
      </w:r>
      <w:r w:rsidR="00C84909">
        <w:rPr>
          <w:lang w:val="en-US"/>
        </w:rPr>
        <w:t>the</w:t>
      </w:r>
      <w:r w:rsidR="00EF4553">
        <w:rPr>
          <w:lang w:val="en-US"/>
        </w:rPr>
        <w:t xml:space="preserve"> </w:t>
      </w:r>
      <w:r w:rsidR="00047C3D">
        <w:rPr>
          <w:lang w:val="en-US"/>
        </w:rPr>
        <w:t xml:space="preserve">standard </w:t>
      </w:r>
      <w:r w:rsidR="00EF4553">
        <w:rPr>
          <w:lang w:val="en-US"/>
        </w:rPr>
        <w:t>mode</w:t>
      </w:r>
      <w:r w:rsidR="00C84909">
        <w:rPr>
          <w:lang w:val="en-US"/>
        </w:rPr>
        <w:t xml:space="preserve"> </w:t>
      </w:r>
      <w:r w:rsidR="00751F6B">
        <w:rPr>
          <w:lang w:val="en-US"/>
        </w:rPr>
        <w:t>of gender policy in ancient synagogues</w:t>
      </w:r>
      <w:r w:rsidR="00C84909">
        <w:rPr>
          <w:lang w:val="en-US"/>
        </w:rPr>
        <w:t>.</w:t>
      </w:r>
      <w:r w:rsidR="00EF4553">
        <w:rPr>
          <w:lang w:val="en-US"/>
        </w:rPr>
        <w:t xml:space="preserve"> </w:t>
      </w:r>
      <w:r w:rsidR="00C84909">
        <w:rPr>
          <w:lang w:val="en-US"/>
        </w:rPr>
        <w:t xml:space="preserve">He </w:t>
      </w:r>
      <w:r w:rsidR="003A59E4">
        <w:rPr>
          <w:lang w:val="en-US"/>
        </w:rPr>
        <w:t xml:space="preserve">stressed that the </w:t>
      </w:r>
      <w:r w:rsidR="000E3F2E" w:rsidRPr="000E3F2E">
        <w:rPr>
          <w:lang w:val="en-US"/>
        </w:rPr>
        <w:t xml:space="preserve">literary, archaeological, and cultural </w:t>
      </w:r>
      <w:r w:rsidR="000E3F2E">
        <w:rPr>
          <w:lang w:val="en-US"/>
        </w:rPr>
        <w:t xml:space="preserve">sources </w:t>
      </w:r>
      <w:r w:rsidR="003A59E4">
        <w:rPr>
          <w:lang w:val="en-US"/>
        </w:rPr>
        <w:t xml:space="preserve">suggested diversity and precluded neither </w:t>
      </w:r>
      <w:r w:rsidR="000E3F2E">
        <w:rPr>
          <w:lang w:val="en-US"/>
        </w:rPr>
        <w:t xml:space="preserve">mixed </w:t>
      </w:r>
      <w:r w:rsidR="003A59E4">
        <w:rPr>
          <w:lang w:val="en-US"/>
        </w:rPr>
        <w:t>n</w:t>
      </w:r>
      <w:r w:rsidR="000E3F2E">
        <w:rPr>
          <w:lang w:val="en-US"/>
        </w:rPr>
        <w:t xml:space="preserve">or separated </w:t>
      </w:r>
      <w:r w:rsidR="00AE1DE4">
        <w:rPr>
          <w:lang w:val="en-US"/>
        </w:rPr>
        <w:t xml:space="preserve">seating of women and men in synagogues. </w:t>
      </w:r>
      <w:proofErr w:type="spellStart"/>
      <w:r w:rsidR="00751F6B">
        <w:rPr>
          <w:lang w:val="en-US"/>
        </w:rPr>
        <w:t>Spigel</w:t>
      </w:r>
      <w:proofErr w:type="spellEnd"/>
      <w:r w:rsidR="00AE1DE4">
        <w:rPr>
          <w:lang w:val="en-US"/>
        </w:rPr>
        <w:t xml:space="preserve"> proposed that </w:t>
      </w:r>
      <w:r w:rsidR="00FA5F9B">
        <w:rPr>
          <w:lang w:val="en-US"/>
        </w:rPr>
        <w:t>while in many</w:t>
      </w:r>
      <w:r w:rsidR="00AE1DE4">
        <w:rPr>
          <w:lang w:val="en-US"/>
        </w:rPr>
        <w:t xml:space="preserve"> synagogues </w:t>
      </w:r>
      <w:r w:rsidR="00FA5F9B">
        <w:rPr>
          <w:lang w:val="en-US"/>
        </w:rPr>
        <w:t xml:space="preserve">men and women prayed in the same space, </w:t>
      </w:r>
      <w:r w:rsidR="00F22AEB">
        <w:rPr>
          <w:lang w:val="en-US"/>
        </w:rPr>
        <w:t xml:space="preserve">other </w:t>
      </w:r>
      <w:r w:rsidR="00FA5F9B">
        <w:rPr>
          <w:lang w:val="en-US"/>
        </w:rPr>
        <w:t xml:space="preserve">synagogues </w:t>
      </w:r>
      <w:r w:rsidR="00B40E7D">
        <w:rPr>
          <w:lang w:val="en-US"/>
        </w:rPr>
        <w:t xml:space="preserve">relegated women to </w:t>
      </w:r>
      <w:r w:rsidR="00AE1DE4">
        <w:rPr>
          <w:lang w:val="en-US"/>
        </w:rPr>
        <w:t>balconies or galleries</w:t>
      </w:r>
      <w:r w:rsidR="00B40E7D">
        <w:rPr>
          <w:lang w:val="en-US"/>
        </w:rPr>
        <w:t>, or separated them by barriers</w:t>
      </w:r>
      <w:r w:rsidR="00FA5F9B">
        <w:rPr>
          <w:lang w:val="en-US"/>
        </w:rPr>
        <w:t>.</w:t>
      </w:r>
      <w:r w:rsidR="00B40E7D">
        <w:rPr>
          <w:lang w:val="en-US"/>
        </w:rPr>
        <w:t xml:space="preserve"> </w:t>
      </w:r>
      <w:r w:rsidR="00FA5F9B">
        <w:rPr>
          <w:lang w:val="en-US"/>
        </w:rPr>
        <w:t xml:space="preserve">Even </w:t>
      </w:r>
      <w:r w:rsidR="00B40E7D">
        <w:rPr>
          <w:lang w:val="en-US"/>
        </w:rPr>
        <w:t>whe</w:t>
      </w:r>
      <w:r w:rsidR="00F22AEB">
        <w:rPr>
          <w:lang w:val="en-US"/>
        </w:rPr>
        <w:t xml:space="preserve">n separated, </w:t>
      </w:r>
      <w:r w:rsidR="00033DFA">
        <w:rPr>
          <w:lang w:val="en-US"/>
        </w:rPr>
        <w:t xml:space="preserve">the female worshippers kept </w:t>
      </w:r>
      <w:r w:rsidR="00F22AEB">
        <w:rPr>
          <w:lang w:val="en-US"/>
        </w:rPr>
        <w:t xml:space="preserve">certain </w:t>
      </w:r>
      <w:r w:rsidR="00033DFA">
        <w:rPr>
          <w:lang w:val="en-US"/>
        </w:rPr>
        <w:t>visual and full aural contact with the male-conducted service.</w:t>
      </w:r>
      <w:r w:rsidR="00033DFA">
        <w:rPr>
          <w:rStyle w:val="FootnoteReference"/>
          <w:lang w:val="en-US"/>
        </w:rPr>
        <w:footnoteReference w:id="51"/>
      </w:r>
      <w:r w:rsidR="00033DFA">
        <w:rPr>
          <w:lang w:val="en-US"/>
        </w:rPr>
        <w:t xml:space="preserve"> </w:t>
      </w:r>
      <w:r w:rsidR="00C00848">
        <w:rPr>
          <w:lang w:val="en-US"/>
        </w:rPr>
        <w:t xml:space="preserve">The hypothesis is </w:t>
      </w:r>
      <w:r w:rsidR="00C00848">
        <w:rPr>
          <w:lang w:val="en-US"/>
        </w:rPr>
        <w:lastRenderedPageBreak/>
        <w:t>bolstered by Fine’s e</w:t>
      </w:r>
      <w:r w:rsidR="00F60CC0">
        <w:rPr>
          <w:lang w:val="en-US"/>
        </w:rPr>
        <w:t>xample of reed barriers in front of women listening to a male speaker at the synagogue bimah</w:t>
      </w:r>
      <w:r w:rsidR="00C00848">
        <w:rPr>
          <w:lang w:val="en-US"/>
        </w:rPr>
        <w:t>.</w:t>
      </w:r>
      <w:r w:rsidR="00F22AEB">
        <w:rPr>
          <w:rStyle w:val="FootnoteReference"/>
        </w:rPr>
        <w:footnoteReference w:id="52"/>
      </w:r>
      <w:r w:rsidR="00F22AEB">
        <w:t xml:space="preserve"> </w:t>
      </w:r>
    </w:p>
    <w:p w14:paraId="45327973" w14:textId="111B3905" w:rsidR="00471B5E" w:rsidRDefault="006E3DCA" w:rsidP="00471B5E">
      <w:pPr>
        <w:ind w:firstLine="720"/>
        <w:rPr>
          <w:lang w:val="en-US"/>
        </w:rPr>
      </w:pPr>
      <w:r>
        <w:rPr>
          <w:lang w:val="en-US"/>
        </w:rPr>
        <w:t xml:space="preserve">The </w:t>
      </w:r>
      <w:r w:rsidR="003C6207">
        <w:rPr>
          <w:lang w:val="en-US"/>
        </w:rPr>
        <w:t xml:space="preserve">modern scholarly </w:t>
      </w:r>
      <w:r w:rsidR="00720558">
        <w:rPr>
          <w:lang w:val="en-US"/>
        </w:rPr>
        <w:t>enquiries</w:t>
      </w:r>
      <w:r>
        <w:rPr>
          <w:lang w:val="en-US"/>
        </w:rPr>
        <w:t xml:space="preserve"> f</w:t>
      </w:r>
      <w:r w:rsidR="00720558">
        <w:rPr>
          <w:lang w:val="en-US"/>
        </w:rPr>
        <w:t>or</w:t>
      </w:r>
      <w:r>
        <w:rPr>
          <w:lang w:val="en-US"/>
        </w:rPr>
        <w:t xml:space="preserve"> </w:t>
      </w:r>
      <w:r w:rsidR="00A845D8">
        <w:rPr>
          <w:lang w:val="en-US"/>
        </w:rPr>
        <w:t xml:space="preserve">the </w:t>
      </w:r>
      <w:r>
        <w:rPr>
          <w:lang w:val="en-US"/>
        </w:rPr>
        <w:t xml:space="preserve">gender aspects of </w:t>
      </w:r>
      <w:r w:rsidR="00A845D8">
        <w:rPr>
          <w:lang w:val="en-US"/>
        </w:rPr>
        <w:t xml:space="preserve">medieval </w:t>
      </w:r>
      <w:r>
        <w:rPr>
          <w:lang w:val="en-US"/>
        </w:rPr>
        <w:t xml:space="preserve">synagogue sanctity </w:t>
      </w:r>
      <w:r w:rsidR="00720558">
        <w:rPr>
          <w:lang w:val="en-US"/>
        </w:rPr>
        <w:t xml:space="preserve">were disposed towards the Ashkenazi communities. </w:t>
      </w:r>
      <w:proofErr w:type="spellStart"/>
      <w:r w:rsidR="00092E50" w:rsidRPr="00092E50">
        <w:rPr>
          <w:lang w:val="en-US"/>
        </w:rPr>
        <w:t>Ismar</w:t>
      </w:r>
      <w:proofErr w:type="spellEnd"/>
      <w:r w:rsidR="00092E50" w:rsidRPr="00092E50">
        <w:rPr>
          <w:lang w:val="en-US"/>
        </w:rPr>
        <w:t xml:space="preserve"> </w:t>
      </w:r>
      <w:proofErr w:type="spellStart"/>
      <w:r w:rsidR="00092E50" w:rsidRPr="00092E50">
        <w:rPr>
          <w:lang w:val="en-US"/>
        </w:rPr>
        <w:t>Elbogen</w:t>
      </w:r>
      <w:proofErr w:type="spellEnd"/>
      <w:r w:rsidR="00092E50" w:rsidRPr="00092E50">
        <w:rPr>
          <w:lang w:val="en-US"/>
        </w:rPr>
        <w:t xml:space="preserve"> </w:t>
      </w:r>
      <w:r w:rsidR="00092E50">
        <w:rPr>
          <w:lang w:val="en-US"/>
        </w:rPr>
        <w:t xml:space="preserve">(1874–1943) </w:t>
      </w:r>
      <w:r w:rsidR="00886D1C">
        <w:rPr>
          <w:lang w:val="en-US"/>
        </w:rPr>
        <w:t xml:space="preserve">was obviously </w:t>
      </w:r>
      <w:r w:rsidR="00487ECC">
        <w:rPr>
          <w:lang w:val="en-US"/>
        </w:rPr>
        <w:t xml:space="preserve">the </w:t>
      </w:r>
      <w:r w:rsidR="00886D1C">
        <w:rPr>
          <w:lang w:val="en-US"/>
        </w:rPr>
        <w:t xml:space="preserve">first to </w:t>
      </w:r>
      <w:r w:rsidR="00FD7316">
        <w:rPr>
          <w:lang w:val="en-US"/>
        </w:rPr>
        <w:t xml:space="preserve">acknowledge </w:t>
      </w:r>
      <w:r w:rsidR="00886D1C">
        <w:rPr>
          <w:lang w:val="en-US"/>
        </w:rPr>
        <w:t>t</w:t>
      </w:r>
      <w:r w:rsidR="008453BC">
        <w:rPr>
          <w:lang w:val="en-US"/>
        </w:rPr>
        <w:t xml:space="preserve">he </w:t>
      </w:r>
      <w:r w:rsidR="00CE475B">
        <w:rPr>
          <w:lang w:val="en-US"/>
        </w:rPr>
        <w:t>shift</w:t>
      </w:r>
      <w:r w:rsidR="00886D1C">
        <w:rPr>
          <w:lang w:val="en-US"/>
        </w:rPr>
        <w:t xml:space="preserve"> from the earlier mixed seating to </w:t>
      </w:r>
      <w:r w:rsidR="00487ECC">
        <w:rPr>
          <w:lang w:val="en-US"/>
        </w:rPr>
        <w:t xml:space="preserve">the </w:t>
      </w:r>
      <w:r w:rsidR="00CE475B">
        <w:rPr>
          <w:lang w:val="en-US"/>
        </w:rPr>
        <w:t>rigorous</w:t>
      </w:r>
      <w:r w:rsidR="001916BC">
        <w:rPr>
          <w:lang w:val="en-US"/>
        </w:rPr>
        <w:t xml:space="preserve"> </w:t>
      </w:r>
      <w:r w:rsidR="00FD7316">
        <w:rPr>
          <w:lang w:val="en-US"/>
        </w:rPr>
        <w:t xml:space="preserve">gender </w:t>
      </w:r>
      <w:r w:rsidR="00886D1C" w:rsidRPr="00535722">
        <w:rPr>
          <w:lang w:val="en-US"/>
        </w:rPr>
        <w:t>separat</w:t>
      </w:r>
      <w:r w:rsidR="001916BC">
        <w:rPr>
          <w:lang w:val="en-US"/>
        </w:rPr>
        <w:t>ion</w:t>
      </w:r>
      <w:r w:rsidR="00CA0B9D">
        <w:rPr>
          <w:lang w:val="en-US"/>
        </w:rPr>
        <w:t xml:space="preserve"> </w:t>
      </w:r>
      <w:r w:rsidR="001916BC">
        <w:rPr>
          <w:lang w:val="en-US"/>
        </w:rPr>
        <w:t xml:space="preserve">in </w:t>
      </w:r>
      <w:r w:rsidR="00CA0B9D">
        <w:rPr>
          <w:lang w:val="en-US"/>
        </w:rPr>
        <w:t xml:space="preserve">early </w:t>
      </w:r>
      <w:r w:rsidR="008453BC">
        <w:rPr>
          <w:lang w:val="en-US"/>
        </w:rPr>
        <w:t xml:space="preserve">Ashkenazi </w:t>
      </w:r>
      <w:r w:rsidR="00487ECC">
        <w:rPr>
          <w:lang w:val="en-US"/>
        </w:rPr>
        <w:t>synagogue</w:t>
      </w:r>
      <w:r w:rsidR="00CA0B9D">
        <w:rPr>
          <w:lang w:val="en-US"/>
        </w:rPr>
        <w:t>s</w:t>
      </w:r>
      <w:r w:rsidR="008453BC" w:rsidRPr="00535722">
        <w:rPr>
          <w:lang w:val="en-US"/>
        </w:rPr>
        <w:t>.</w:t>
      </w:r>
      <w:r w:rsidR="00CA0B9D">
        <w:rPr>
          <w:rStyle w:val="FootnoteReference"/>
          <w:lang w:val="en-US"/>
        </w:rPr>
        <w:footnoteReference w:id="53"/>
      </w:r>
      <w:r w:rsidR="008453BC" w:rsidRPr="00535722">
        <w:rPr>
          <w:lang w:val="en-US"/>
        </w:rPr>
        <w:t xml:space="preserve"> </w:t>
      </w:r>
      <w:r w:rsidR="00691610">
        <w:rPr>
          <w:lang w:val="en-US"/>
        </w:rPr>
        <w:t xml:space="preserve">Simon Paulus </w:t>
      </w:r>
      <w:r w:rsidR="00973743">
        <w:rPr>
          <w:lang w:val="en-US"/>
        </w:rPr>
        <w:t xml:space="preserve">itemized the </w:t>
      </w:r>
      <w:r w:rsidR="00B31270">
        <w:rPr>
          <w:lang w:val="en-US"/>
        </w:rPr>
        <w:t>thirteenth</w:t>
      </w:r>
      <w:r w:rsidR="00973743">
        <w:rPr>
          <w:lang w:val="en-US"/>
        </w:rPr>
        <w:t>-</w:t>
      </w:r>
      <w:r w:rsidR="00B31270">
        <w:rPr>
          <w:lang w:val="en-US"/>
        </w:rPr>
        <w:t>century</w:t>
      </w:r>
      <w:r w:rsidR="00973743">
        <w:rPr>
          <w:lang w:val="en-US"/>
        </w:rPr>
        <w:t xml:space="preserve"> construction of</w:t>
      </w:r>
      <w:r w:rsidR="00B31270">
        <w:rPr>
          <w:lang w:val="en-US"/>
        </w:rPr>
        <w:t xml:space="preserve"> a </w:t>
      </w:r>
      <w:proofErr w:type="spellStart"/>
      <w:r w:rsidR="00B31270" w:rsidRPr="00B31270">
        <w:rPr>
          <w:i/>
          <w:iCs/>
          <w:lang w:val="en-US"/>
        </w:rPr>
        <w:t>Frauenshule</w:t>
      </w:r>
      <w:proofErr w:type="spellEnd"/>
      <w:r w:rsidR="00B31270">
        <w:rPr>
          <w:lang w:val="en-US"/>
        </w:rPr>
        <w:t xml:space="preserve"> </w:t>
      </w:r>
      <w:r w:rsidR="00973743">
        <w:rPr>
          <w:lang w:val="en-US"/>
        </w:rPr>
        <w:t xml:space="preserve">abutting </w:t>
      </w:r>
      <w:r w:rsidR="00B31270">
        <w:rPr>
          <w:lang w:val="en-US"/>
        </w:rPr>
        <w:t>the synagogue</w:t>
      </w:r>
      <w:r w:rsidR="00A845D8">
        <w:rPr>
          <w:lang w:val="en-US"/>
        </w:rPr>
        <w:t xml:space="preserve"> </w:t>
      </w:r>
      <w:r w:rsidR="00B31270">
        <w:rPr>
          <w:lang w:val="en-US"/>
        </w:rPr>
        <w:t>in Worms, Speyer,</w:t>
      </w:r>
      <w:r w:rsidR="00B8201A">
        <w:rPr>
          <w:lang w:val="en-US"/>
        </w:rPr>
        <w:t xml:space="preserve"> </w:t>
      </w:r>
      <w:r w:rsidR="00B31270">
        <w:rPr>
          <w:lang w:val="en-US"/>
        </w:rPr>
        <w:t>Cologne</w:t>
      </w:r>
      <w:r w:rsidR="00471B5E">
        <w:rPr>
          <w:lang w:val="en-US"/>
        </w:rPr>
        <w:t>, and more</w:t>
      </w:r>
      <w:r w:rsidR="0091630B">
        <w:rPr>
          <w:lang w:val="en-US"/>
        </w:rPr>
        <w:t xml:space="preserve"> Jewish communities</w:t>
      </w:r>
      <w:r w:rsidR="00691610">
        <w:rPr>
          <w:lang w:val="en-US"/>
        </w:rPr>
        <w:t>.</w:t>
      </w:r>
      <w:r w:rsidR="00B8201A">
        <w:rPr>
          <w:rStyle w:val="FootnoteReference"/>
          <w:lang w:val="en-US"/>
        </w:rPr>
        <w:footnoteReference w:id="54"/>
      </w:r>
      <w:r w:rsidR="00B31270">
        <w:rPr>
          <w:lang w:val="en-US"/>
        </w:rPr>
        <w:t xml:space="preserve"> </w:t>
      </w:r>
      <w:r w:rsidR="00070095">
        <w:rPr>
          <w:lang w:val="en-US"/>
        </w:rPr>
        <w:t>Textual and pictorial</w:t>
      </w:r>
      <w:r w:rsidR="00691610">
        <w:rPr>
          <w:lang w:val="en-US"/>
        </w:rPr>
        <w:t xml:space="preserve"> evidence </w:t>
      </w:r>
      <w:r w:rsidR="00070095">
        <w:rPr>
          <w:lang w:val="en-US"/>
        </w:rPr>
        <w:t>implied</w:t>
      </w:r>
      <w:r w:rsidR="00691610">
        <w:rPr>
          <w:lang w:val="en-US"/>
        </w:rPr>
        <w:t xml:space="preserve"> that a</w:t>
      </w:r>
      <w:r w:rsidR="00B31270">
        <w:rPr>
          <w:lang w:val="en-US"/>
        </w:rPr>
        <w:t xml:space="preserve"> curtain or screen </w:t>
      </w:r>
      <w:r w:rsidR="00691610">
        <w:rPr>
          <w:lang w:val="en-US"/>
        </w:rPr>
        <w:t>divided between the sexes in single-hall synagogues.</w:t>
      </w:r>
      <w:r w:rsidR="00691610">
        <w:rPr>
          <w:rStyle w:val="FootnoteReference"/>
          <w:lang w:val="en-US"/>
        </w:rPr>
        <w:footnoteReference w:id="55"/>
      </w:r>
      <w:r w:rsidR="00691610">
        <w:rPr>
          <w:lang w:val="en-US"/>
        </w:rPr>
        <w:t xml:space="preserve"> </w:t>
      </w:r>
    </w:p>
    <w:p w14:paraId="7FDF9404" w14:textId="047D0511" w:rsidR="008453BC" w:rsidRDefault="00DA6B53" w:rsidP="00C37442">
      <w:pPr>
        <w:ind w:firstLine="720"/>
        <w:rPr>
          <w:lang w:val="en-US"/>
        </w:rPr>
      </w:pPr>
      <w:r>
        <w:rPr>
          <w:lang w:val="en-US"/>
        </w:rPr>
        <w:t>Among the</w:t>
      </w:r>
      <w:r w:rsidRPr="00FE3BB7">
        <w:t xml:space="preserve"> </w:t>
      </w:r>
      <w:r>
        <w:t xml:space="preserve">various social, </w:t>
      </w:r>
      <w:r>
        <w:rPr>
          <w:lang w:val="en-US"/>
        </w:rPr>
        <w:t>economic,</w:t>
      </w:r>
      <w:r w:rsidRPr="00FE3BB7">
        <w:rPr>
          <w:lang w:val="en-US"/>
        </w:rPr>
        <w:t xml:space="preserve"> and religious</w:t>
      </w:r>
      <w:r>
        <w:rPr>
          <w:lang w:val="en-US"/>
        </w:rPr>
        <w:t xml:space="preserve"> explanations proposed for allotting separate spaces for women</w:t>
      </w:r>
      <w:r w:rsidRPr="00DC358E">
        <w:rPr>
          <w:lang w:val="en-US"/>
        </w:rPr>
        <w:t xml:space="preserve"> </w:t>
      </w:r>
      <w:r>
        <w:rPr>
          <w:lang w:val="en-US"/>
        </w:rPr>
        <w:t xml:space="preserve">in medieval German synagogues, the notion of </w:t>
      </w:r>
      <w:r w:rsidR="00C37442">
        <w:rPr>
          <w:lang w:val="en-US"/>
        </w:rPr>
        <w:t xml:space="preserve">ritual </w:t>
      </w:r>
      <w:r>
        <w:rPr>
          <w:lang w:val="en-US"/>
        </w:rPr>
        <w:t xml:space="preserve">purity is </w:t>
      </w:r>
      <w:r w:rsidR="00471B5E">
        <w:rPr>
          <w:lang w:val="en-US"/>
        </w:rPr>
        <w:t xml:space="preserve">pertinent to our preoccupation with synagogue sanctity. </w:t>
      </w:r>
      <w:r w:rsidR="00B30F1C">
        <w:rPr>
          <w:lang w:val="en-US"/>
        </w:rPr>
        <w:t xml:space="preserve">A </w:t>
      </w:r>
      <w:r w:rsidR="00B30F1C" w:rsidRPr="00B30F1C">
        <w:rPr>
          <w:i/>
          <w:iCs/>
          <w:lang w:val="en-US"/>
        </w:rPr>
        <w:t>mikveh</w:t>
      </w:r>
      <w:r w:rsidR="00B30F1C">
        <w:rPr>
          <w:lang w:val="en-US"/>
        </w:rPr>
        <w:t xml:space="preserve">, bath for ritual purification, was often found in proximity to </w:t>
      </w:r>
      <w:r w:rsidR="00C37442">
        <w:rPr>
          <w:lang w:val="en-US"/>
        </w:rPr>
        <w:t xml:space="preserve">the </w:t>
      </w:r>
      <w:r w:rsidR="00B30F1C">
        <w:rPr>
          <w:lang w:val="en-US"/>
        </w:rPr>
        <w:t>synagogue entrance.</w:t>
      </w:r>
      <w:r w:rsidR="00A01D75">
        <w:rPr>
          <w:rStyle w:val="FootnoteReference"/>
          <w:lang w:val="en-US"/>
        </w:rPr>
        <w:footnoteReference w:id="56"/>
      </w:r>
      <w:r w:rsidR="00B30F1C">
        <w:rPr>
          <w:lang w:val="en-US"/>
        </w:rPr>
        <w:t xml:space="preserve"> </w:t>
      </w:r>
      <w:proofErr w:type="spellStart"/>
      <w:r w:rsidR="00A845D8" w:rsidRPr="00A845D8">
        <w:rPr>
          <w:lang w:val="en-US"/>
        </w:rPr>
        <w:t>Elisheva</w:t>
      </w:r>
      <w:proofErr w:type="spellEnd"/>
      <w:r w:rsidR="00A845D8" w:rsidRPr="00A845D8">
        <w:rPr>
          <w:lang w:val="en-US"/>
        </w:rPr>
        <w:t xml:space="preserve"> </w:t>
      </w:r>
      <w:r w:rsidR="00A845D8" w:rsidRPr="00A845D8">
        <w:rPr>
          <w:lang w:val="en-US"/>
        </w:rPr>
        <w:lastRenderedPageBreak/>
        <w:t>Baumgarten</w:t>
      </w:r>
      <w:r w:rsidR="0035302C">
        <w:rPr>
          <w:lang w:val="en-US"/>
        </w:rPr>
        <w:t xml:space="preserve"> </w:t>
      </w:r>
      <w:r w:rsidR="007F10E8">
        <w:rPr>
          <w:lang w:val="en-US"/>
        </w:rPr>
        <w:t xml:space="preserve">has related </w:t>
      </w:r>
      <w:r w:rsidR="004D45D9">
        <w:rPr>
          <w:lang w:val="en-US"/>
        </w:rPr>
        <w:t xml:space="preserve">the </w:t>
      </w:r>
      <w:r w:rsidR="00CF6D4C">
        <w:rPr>
          <w:lang w:val="en-US" w:bidi="he-IL"/>
        </w:rPr>
        <w:t>denounced</w:t>
      </w:r>
      <w:r w:rsidR="00CF6D4C">
        <w:rPr>
          <w:lang w:val="en-US"/>
        </w:rPr>
        <w:t xml:space="preserve"> </w:t>
      </w:r>
      <w:r w:rsidR="006E6519">
        <w:rPr>
          <w:lang w:val="en-US"/>
        </w:rPr>
        <w:t xml:space="preserve">entering </w:t>
      </w:r>
      <w:r w:rsidR="003D73BC">
        <w:rPr>
          <w:lang w:val="en-US"/>
        </w:rPr>
        <w:t>the</w:t>
      </w:r>
      <w:r w:rsidR="00A845D8" w:rsidRPr="00FB794A">
        <w:rPr>
          <w:lang w:val="en-US"/>
        </w:rPr>
        <w:t xml:space="preserve"> </w:t>
      </w:r>
      <w:r w:rsidR="003D73BC">
        <w:rPr>
          <w:lang w:val="en-US"/>
        </w:rPr>
        <w:t xml:space="preserve">synagogue by </w:t>
      </w:r>
      <w:r w:rsidR="00A845D8" w:rsidRPr="00FB794A">
        <w:rPr>
          <w:lang w:val="en-US"/>
        </w:rPr>
        <w:t xml:space="preserve">menstruant or parturient </w:t>
      </w:r>
      <w:r w:rsidR="003D73BC">
        <w:rPr>
          <w:lang w:val="en-US"/>
        </w:rPr>
        <w:t>women</w:t>
      </w:r>
      <w:r w:rsidR="00495AEA">
        <w:rPr>
          <w:lang w:val="en-US"/>
        </w:rPr>
        <w:t xml:space="preserve"> </w:t>
      </w:r>
      <w:r w:rsidR="007F10E8">
        <w:rPr>
          <w:lang w:val="en-US"/>
        </w:rPr>
        <w:t>to</w:t>
      </w:r>
      <w:r w:rsidR="004D45D9">
        <w:rPr>
          <w:lang w:val="en-US"/>
        </w:rPr>
        <w:t xml:space="preserve"> the coinciding</w:t>
      </w:r>
      <w:r w:rsidR="00DC358E">
        <w:rPr>
          <w:lang w:val="en-US"/>
        </w:rPr>
        <w:t xml:space="preserve"> </w:t>
      </w:r>
      <w:r w:rsidR="00495AEA">
        <w:rPr>
          <w:lang w:val="en-US"/>
        </w:rPr>
        <w:t xml:space="preserve">rise of physical separation of sexes in </w:t>
      </w:r>
      <w:r w:rsidR="003D73BC">
        <w:rPr>
          <w:lang w:val="en-US"/>
        </w:rPr>
        <w:t xml:space="preserve">Ashkenazi </w:t>
      </w:r>
      <w:r w:rsidR="00495AEA">
        <w:rPr>
          <w:lang w:val="en-US"/>
        </w:rPr>
        <w:t>synagogues</w:t>
      </w:r>
      <w:r w:rsidR="00A845D8">
        <w:rPr>
          <w:lang w:val="en-US"/>
        </w:rPr>
        <w:t>.</w:t>
      </w:r>
      <w:r w:rsidR="00A845D8" w:rsidRPr="000F10AF">
        <w:rPr>
          <w:rStyle w:val="FootnoteTextChar1"/>
          <w:lang w:val="en-US"/>
        </w:rPr>
        <w:footnoteReference w:id="57"/>
      </w:r>
      <w:r w:rsidR="00CF6D4C">
        <w:rPr>
          <w:lang w:val="en-US"/>
        </w:rPr>
        <w:t xml:space="preserve"> </w:t>
      </w:r>
      <w:r w:rsidR="00FE3BB7">
        <w:rPr>
          <w:lang w:val="en-US"/>
        </w:rPr>
        <w:t>Jeffrey Woolf</w:t>
      </w:r>
      <w:r w:rsidR="003D73BC">
        <w:rPr>
          <w:lang w:val="en-US"/>
        </w:rPr>
        <w:t xml:space="preserve"> </w:t>
      </w:r>
      <w:r w:rsidR="00FE3BB7">
        <w:rPr>
          <w:lang w:val="en-US"/>
        </w:rPr>
        <w:t xml:space="preserve">proposed </w:t>
      </w:r>
      <w:r w:rsidR="00CF6D4C">
        <w:rPr>
          <w:lang w:val="en-US"/>
        </w:rPr>
        <w:t xml:space="preserve">that </w:t>
      </w:r>
      <w:r w:rsidR="009A4AF0">
        <w:rPr>
          <w:lang w:val="en-US"/>
        </w:rPr>
        <w:t>such</w:t>
      </w:r>
      <w:r w:rsidR="00CF6D4C">
        <w:rPr>
          <w:lang w:val="en-US"/>
        </w:rPr>
        <w:t xml:space="preserve"> rigorous </w:t>
      </w:r>
      <w:r w:rsidR="00A54052">
        <w:rPr>
          <w:lang w:val="en-US"/>
        </w:rPr>
        <w:t xml:space="preserve">observation of bodily purity </w:t>
      </w:r>
      <w:r w:rsidR="003D73BC">
        <w:rPr>
          <w:lang w:val="en-US"/>
        </w:rPr>
        <w:t xml:space="preserve">revived the Temple’s rules of purity and thereby </w:t>
      </w:r>
      <w:r w:rsidR="000B0358">
        <w:rPr>
          <w:lang w:val="en-US"/>
        </w:rPr>
        <w:t xml:space="preserve">attested to the </w:t>
      </w:r>
      <w:r w:rsidR="00FB794A">
        <w:rPr>
          <w:lang w:val="en-US"/>
        </w:rPr>
        <w:t>“</w:t>
      </w:r>
      <w:r w:rsidR="00FB794A" w:rsidRPr="00FB794A">
        <w:rPr>
          <w:lang w:val="en-US"/>
        </w:rPr>
        <w:t xml:space="preserve">unstated values of contemporary </w:t>
      </w:r>
      <w:proofErr w:type="spellStart"/>
      <w:r w:rsidR="00FB794A" w:rsidRPr="00FB794A">
        <w:rPr>
          <w:lang w:val="en-US"/>
        </w:rPr>
        <w:t>Ashkenaz</w:t>
      </w:r>
      <w:proofErr w:type="spellEnd"/>
      <w:r w:rsidR="00FB794A" w:rsidRPr="00FB794A">
        <w:rPr>
          <w:lang w:val="en-US"/>
        </w:rPr>
        <w:t xml:space="preserve">, </w:t>
      </w:r>
      <w:r w:rsidR="009B4630">
        <w:rPr>
          <w:lang w:val="en-US"/>
        </w:rPr>
        <w:t xml:space="preserve">in this case </w:t>
      </w:r>
      <w:r w:rsidR="00FB794A" w:rsidRPr="00FB794A">
        <w:rPr>
          <w:lang w:val="en-US"/>
        </w:rPr>
        <w:t>the identity of the Synagogue with the Holy Temple in Jerusalem.</w:t>
      </w:r>
      <w:r w:rsidR="00FB794A">
        <w:rPr>
          <w:lang w:val="en-US"/>
        </w:rPr>
        <w:t>”</w:t>
      </w:r>
      <w:r w:rsidR="00B65299">
        <w:rPr>
          <w:rStyle w:val="FootnoteReference"/>
          <w:lang w:val="en-US"/>
        </w:rPr>
        <w:footnoteReference w:id="58"/>
      </w:r>
      <w:r w:rsidR="009B4630">
        <w:rPr>
          <w:lang w:val="en-US"/>
        </w:rPr>
        <w:t xml:space="preserve"> </w:t>
      </w:r>
      <w:r w:rsidR="00186C02">
        <w:rPr>
          <w:lang w:val="en-US"/>
        </w:rPr>
        <w:t>S</w:t>
      </w:r>
      <w:r w:rsidR="00336C89">
        <w:rPr>
          <w:lang w:val="en-US"/>
        </w:rPr>
        <w:t xml:space="preserve">tudies </w:t>
      </w:r>
      <w:r w:rsidR="001F6D93">
        <w:rPr>
          <w:lang w:val="en-US"/>
        </w:rPr>
        <w:t>asserted</w:t>
      </w:r>
      <w:r w:rsidR="00336C89">
        <w:rPr>
          <w:lang w:val="en-US"/>
        </w:rPr>
        <w:t xml:space="preserve"> that </w:t>
      </w:r>
      <w:r w:rsidR="009B4630">
        <w:rPr>
          <w:lang w:val="en-US"/>
        </w:rPr>
        <w:t xml:space="preserve">the </w:t>
      </w:r>
      <w:r w:rsidR="009B4630" w:rsidRPr="009B4630">
        <w:rPr>
          <w:lang w:val="en-US"/>
        </w:rPr>
        <w:t>pendulum ha</w:t>
      </w:r>
      <w:r w:rsidR="00CE475B">
        <w:rPr>
          <w:lang w:val="en-US"/>
        </w:rPr>
        <w:t>d</w:t>
      </w:r>
      <w:r w:rsidR="009B4630" w:rsidRPr="009B4630">
        <w:rPr>
          <w:lang w:val="en-US"/>
        </w:rPr>
        <w:t xml:space="preserve"> </w:t>
      </w:r>
      <w:r w:rsidR="009A5634">
        <w:rPr>
          <w:lang w:val="en-US"/>
        </w:rPr>
        <w:t xml:space="preserve">slowly </w:t>
      </w:r>
      <w:r w:rsidR="009B4630" w:rsidRPr="009B4630">
        <w:rPr>
          <w:lang w:val="en-US"/>
        </w:rPr>
        <w:t xml:space="preserve">swung </w:t>
      </w:r>
      <w:r w:rsidR="009B4630">
        <w:rPr>
          <w:lang w:val="en-US"/>
        </w:rPr>
        <w:t>again</w:t>
      </w:r>
      <w:r w:rsidR="001F6D93">
        <w:rPr>
          <w:lang w:val="en-US"/>
        </w:rPr>
        <w:t xml:space="preserve"> to</w:t>
      </w:r>
      <w:r w:rsidR="009A5634">
        <w:rPr>
          <w:lang w:val="en-US"/>
        </w:rPr>
        <w:t>wards more tolerant</w:t>
      </w:r>
      <w:r w:rsidR="00186C02">
        <w:rPr>
          <w:lang w:val="en-US"/>
        </w:rPr>
        <w:t>, though still</w:t>
      </w:r>
      <w:r w:rsidR="009A5634">
        <w:rPr>
          <w:lang w:val="en-US"/>
        </w:rPr>
        <w:t xml:space="preserve"> </w:t>
      </w:r>
      <w:r w:rsidR="00A07F15">
        <w:rPr>
          <w:lang w:val="en-US"/>
        </w:rPr>
        <w:t>segregating</w:t>
      </w:r>
      <w:r w:rsidR="00186C02">
        <w:rPr>
          <w:lang w:val="en-US"/>
        </w:rPr>
        <w:t xml:space="preserve"> attitude of women in later medieval and early modern synagogues.</w:t>
      </w:r>
      <w:r w:rsidR="007A4605">
        <w:rPr>
          <w:lang w:val="en-US"/>
        </w:rPr>
        <w:t xml:space="preserve"> </w:t>
      </w:r>
      <w:r w:rsidR="003C396A">
        <w:rPr>
          <w:lang w:val="en-US"/>
        </w:rPr>
        <w:t xml:space="preserve">Researchers who sought for a progressist generalization of this process </w:t>
      </w:r>
      <w:r w:rsidR="00A33E1C">
        <w:rPr>
          <w:lang w:val="en-US"/>
        </w:rPr>
        <w:t xml:space="preserve">focused on the examples that indicated </w:t>
      </w:r>
      <w:r w:rsidR="00CE475B">
        <w:rPr>
          <w:lang w:val="en-US"/>
        </w:rPr>
        <w:t xml:space="preserve">the </w:t>
      </w:r>
      <w:r w:rsidR="00186C02">
        <w:rPr>
          <w:lang w:val="en-US"/>
        </w:rPr>
        <w:t xml:space="preserve">development of </w:t>
      </w:r>
      <w:r w:rsidR="00CE475B">
        <w:rPr>
          <w:lang w:val="en-US"/>
        </w:rPr>
        <w:t xml:space="preserve">women’s sections from </w:t>
      </w:r>
      <w:r w:rsidR="00186C02">
        <w:rPr>
          <w:lang w:val="en-US"/>
        </w:rPr>
        <w:t xml:space="preserve">“women’s synagogues” </w:t>
      </w:r>
      <w:r w:rsidR="00A07F15">
        <w:rPr>
          <w:lang w:val="en-US"/>
        </w:rPr>
        <w:t>at</w:t>
      </w:r>
      <w:r w:rsidR="00186C02">
        <w:rPr>
          <w:lang w:val="en-US"/>
        </w:rPr>
        <w:t xml:space="preserve"> </w:t>
      </w:r>
      <w:r w:rsidR="00512C76">
        <w:rPr>
          <w:lang w:val="en-US"/>
        </w:rPr>
        <w:t xml:space="preserve">side </w:t>
      </w:r>
      <w:r w:rsidR="00CE475B">
        <w:rPr>
          <w:lang w:val="en-US"/>
        </w:rPr>
        <w:t xml:space="preserve">annexes to </w:t>
      </w:r>
      <w:r w:rsidR="00512C76">
        <w:rPr>
          <w:lang w:val="en-US"/>
        </w:rPr>
        <w:t xml:space="preserve">galleries </w:t>
      </w:r>
      <w:r w:rsidR="00186C02">
        <w:rPr>
          <w:lang w:val="en-US"/>
        </w:rPr>
        <w:t>or</w:t>
      </w:r>
      <w:r w:rsidR="00512C76">
        <w:rPr>
          <w:lang w:val="en-US"/>
        </w:rPr>
        <w:t xml:space="preserve"> balconies integrated into the synagogue</w:t>
      </w:r>
      <w:r w:rsidR="00B428F7">
        <w:rPr>
          <w:lang w:val="en-US"/>
        </w:rPr>
        <w:t>’s</w:t>
      </w:r>
      <w:r w:rsidR="00512C76">
        <w:rPr>
          <w:lang w:val="en-US"/>
        </w:rPr>
        <w:t xml:space="preserve"> </w:t>
      </w:r>
      <w:r w:rsidR="00186C02">
        <w:rPr>
          <w:lang w:val="en-US"/>
        </w:rPr>
        <w:t xml:space="preserve">main </w:t>
      </w:r>
      <w:r w:rsidR="00B428F7">
        <w:rPr>
          <w:lang w:val="en-US"/>
        </w:rPr>
        <w:t>volume</w:t>
      </w:r>
      <w:r w:rsidR="00512C76">
        <w:rPr>
          <w:lang w:val="en-US"/>
        </w:rPr>
        <w:t>.</w:t>
      </w:r>
      <w:r w:rsidR="00512C76">
        <w:rPr>
          <w:rStyle w:val="FootnoteReference"/>
          <w:lang w:val="en-US"/>
        </w:rPr>
        <w:footnoteReference w:id="59"/>
      </w:r>
      <w:r w:rsidR="00512C76">
        <w:rPr>
          <w:lang w:val="en-US"/>
        </w:rPr>
        <w:t xml:space="preserve"> </w:t>
      </w:r>
    </w:p>
    <w:bookmarkEnd w:id="49"/>
    <w:p w14:paraId="77AFB275" w14:textId="21DFED50" w:rsidR="00936BEC" w:rsidRDefault="00936BEC" w:rsidP="006B5936">
      <w:pPr>
        <w:pStyle w:val="Heading2"/>
      </w:pPr>
      <w:r>
        <w:lastRenderedPageBreak/>
        <w:t>Transposi</w:t>
      </w:r>
      <w:r w:rsidR="00715B14">
        <w:t xml:space="preserve">ng Devotion </w:t>
      </w:r>
    </w:p>
    <w:p w14:paraId="50D5213C" w14:textId="3E61E577" w:rsidR="006D5E9E" w:rsidRDefault="00A20205" w:rsidP="00A20205">
      <w:pPr>
        <w:pStyle w:val="Paragraph"/>
        <w:rPr>
          <w:lang w:val="en-US"/>
        </w:rPr>
      </w:pPr>
      <w:r>
        <w:rPr>
          <w:lang w:val="en-US"/>
        </w:rPr>
        <w:t xml:space="preserve">Now we turn to the inquiries on how the formal and material aspects of architecture imparted synagogues with a sense of sanctity derived from or appealing to sanctity of the Temple. The search for </w:t>
      </w:r>
      <w:r w:rsidRPr="000F10AF">
        <w:rPr>
          <w:lang w:val="en-US"/>
        </w:rPr>
        <w:t xml:space="preserve">the </w:t>
      </w:r>
      <w:r>
        <w:rPr>
          <w:lang w:val="en-US"/>
        </w:rPr>
        <w:t xml:space="preserve">architectural agents </w:t>
      </w:r>
      <w:r w:rsidRPr="000F10AF">
        <w:rPr>
          <w:lang w:val="en-US"/>
        </w:rPr>
        <w:t>exten</w:t>
      </w:r>
      <w:r>
        <w:rPr>
          <w:lang w:val="en-US"/>
        </w:rPr>
        <w:t>ding</w:t>
      </w:r>
      <w:r w:rsidRPr="000F10AF">
        <w:rPr>
          <w:lang w:val="en-US"/>
        </w:rPr>
        <w:t xml:space="preserve"> sacredness from </w:t>
      </w:r>
      <w:r>
        <w:rPr>
          <w:lang w:val="en-US"/>
        </w:rPr>
        <w:t xml:space="preserve">the Temple </w:t>
      </w:r>
      <w:r w:rsidRPr="000F10AF">
        <w:rPr>
          <w:lang w:val="en-US"/>
        </w:rPr>
        <w:t>a</w:t>
      </w:r>
      <w:r>
        <w:rPr>
          <w:lang w:val="en-US"/>
        </w:rPr>
        <w:t>s a</w:t>
      </w:r>
      <w:r w:rsidRPr="000F10AF">
        <w:rPr>
          <w:lang w:val="en-US"/>
        </w:rPr>
        <w:t xml:space="preserve"> unique</w:t>
      </w:r>
      <w:r>
        <w:rPr>
          <w:lang w:val="en-US"/>
        </w:rPr>
        <w:t xml:space="preserve"> and notional </w:t>
      </w:r>
      <w:r w:rsidRPr="000F10AF">
        <w:rPr>
          <w:i/>
          <w:iCs/>
          <w:lang w:val="en-US"/>
        </w:rPr>
        <w:t xml:space="preserve">locus </w:t>
      </w:r>
      <w:proofErr w:type="spellStart"/>
      <w:r w:rsidRPr="000F10AF">
        <w:rPr>
          <w:i/>
          <w:iCs/>
          <w:lang w:val="en-US"/>
        </w:rPr>
        <w:t>sanctus</w:t>
      </w:r>
      <w:proofErr w:type="spellEnd"/>
      <w:r w:rsidRPr="000F10AF">
        <w:rPr>
          <w:lang w:val="en-US"/>
        </w:rPr>
        <w:t xml:space="preserve"> over its tangible </w:t>
      </w:r>
      <w:r>
        <w:rPr>
          <w:lang w:val="en-US"/>
        </w:rPr>
        <w:t xml:space="preserve">imitations in synagogues gravitated to the theory of </w:t>
      </w:r>
      <w:r w:rsidRPr="00713929">
        <w:rPr>
          <w:lang w:val="en-US"/>
        </w:rPr>
        <w:t xml:space="preserve">iconography in </w:t>
      </w:r>
      <w:r>
        <w:rPr>
          <w:lang w:val="en-US"/>
        </w:rPr>
        <w:t xml:space="preserve">Christian medieval </w:t>
      </w:r>
      <w:r w:rsidRPr="00713929">
        <w:rPr>
          <w:lang w:val="en-US"/>
        </w:rPr>
        <w:t>architecture</w:t>
      </w:r>
      <w:r>
        <w:rPr>
          <w:lang w:val="en-US"/>
        </w:rPr>
        <w:t xml:space="preserve"> introduced by </w:t>
      </w:r>
      <w:r w:rsidRPr="00713929">
        <w:rPr>
          <w:lang w:val="en-US"/>
        </w:rPr>
        <w:t xml:space="preserve">Richard </w:t>
      </w:r>
      <w:proofErr w:type="spellStart"/>
      <w:r w:rsidRPr="00713929">
        <w:rPr>
          <w:lang w:val="en-US"/>
        </w:rPr>
        <w:t>Krautheimer</w:t>
      </w:r>
      <w:proofErr w:type="spellEnd"/>
      <w:r w:rsidRPr="00713929">
        <w:rPr>
          <w:lang w:val="en-US"/>
        </w:rPr>
        <w:t xml:space="preserve"> (1897–1994)</w:t>
      </w:r>
      <w:r>
        <w:rPr>
          <w:lang w:val="en-US"/>
        </w:rPr>
        <w:t xml:space="preserve"> in the 1940s</w:t>
      </w:r>
      <w:r w:rsidRPr="000F10AF">
        <w:rPr>
          <w:lang w:val="en-US"/>
        </w:rPr>
        <w:t>.</w:t>
      </w:r>
      <w:r w:rsidRPr="000F10AF">
        <w:rPr>
          <w:rStyle w:val="FootnoteTextChar1"/>
          <w:lang w:val="en-US"/>
        </w:rPr>
        <w:footnoteReference w:id="60"/>
      </w:r>
      <w:r>
        <w:rPr>
          <w:lang w:val="en-US"/>
        </w:rPr>
        <w:t xml:space="preserve"> Phenomenological premises for the architectural studies of sanctity were elaborated by </w:t>
      </w:r>
      <w:r w:rsidR="00703CEC" w:rsidRPr="000F10AF">
        <w:rPr>
          <w:lang w:val="en-US"/>
        </w:rPr>
        <w:t>Michel Foucault (1926–84)</w:t>
      </w:r>
      <w:r>
        <w:rPr>
          <w:lang w:val="en-US"/>
        </w:rPr>
        <w:t>, who</w:t>
      </w:r>
      <w:r w:rsidR="00703CEC" w:rsidRPr="000F10AF">
        <w:rPr>
          <w:lang w:val="en-US"/>
        </w:rPr>
        <w:t xml:space="preserve"> has describ</w:t>
      </w:r>
      <w:r w:rsidR="00703CEC">
        <w:rPr>
          <w:lang w:val="en-US"/>
        </w:rPr>
        <w:t>ed</w:t>
      </w:r>
      <w:r w:rsidR="00703CEC" w:rsidRPr="000F10AF">
        <w:rPr>
          <w:lang w:val="en-US"/>
        </w:rPr>
        <w:t xml:space="preserve"> </w:t>
      </w:r>
      <w:r w:rsidR="00703CEC">
        <w:rPr>
          <w:lang w:val="en-US"/>
        </w:rPr>
        <w:t xml:space="preserve">such capability of </w:t>
      </w:r>
      <w:r w:rsidR="00703CEC" w:rsidRPr="000F10AF">
        <w:rPr>
          <w:lang w:val="en-US" w:bidi="he-IL"/>
        </w:rPr>
        <w:t>architectur</w:t>
      </w:r>
      <w:r w:rsidR="00703CEC">
        <w:rPr>
          <w:lang w:val="en-US" w:bidi="he-IL"/>
        </w:rPr>
        <w:t>e</w:t>
      </w:r>
      <w:r w:rsidR="00703CEC" w:rsidRPr="000F10AF">
        <w:rPr>
          <w:lang w:val="en-US"/>
        </w:rPr>
        <w:t xml:space="preserve"> </w:t>
      </w:r>
      <w:r w:rsidR="00703CEC">
        <w:rPr>
          <w:lang w:val="en-US"/>
        </w:rPr>
        <w:t xml:space="preserve">to </w:t>
      </w:r>
      <w:r w:rsidR="00703CEC" w:rsidRPr="000F10AF">
        <w:rPr>
          <w:lang w:val="en-US"/>
        </w:rPr>
        <w:t>evoke a feeling of simultaneous presence in both l</w:t>
      </w:r>
      <w:r w:rsidR="00703CEC">
        <w:rPr>
          <w:lang w:val="en-US"/>
        </w:rPr>
        <w:t xml:space="preserve">ocal and </w:t>
      </w:r>
      <w:r w:rsidR="00703CEC" w:rsidRPr="000F10AF">
        <w:rPr>
          <w:lang w:val="en-US"/>
        </w:rPr>
        <w:t>remote</w:t>
      </w:r>
      <w:r w:rsidR="00703CEC">
        <w:rPr>
          <w:lang w:val="en-US"/>
        </w:rPr>
        <w:t xml:space="preserve"> places as</w:t>
      </w:r>
      <w:r w:rsidR="00703CEC" w:rsidRPr="000F10AF">
        <w:rPr>
          <w:lang w:val="en-US"/>
        </w:rPr>
        <w:t xml:space="preserve"> </w:t>
      </w:r>
      <w:r w:rsidR="00703CEC" w:rsidRPr="000F10AF">
        <w:rPr>
          <w:i/>
          <w:iCs/>
          <w:lang w:val="en-US"/>
        </w:rPr>
        <w:t>heterotopia</w:t>
      </w:r>
      <w:r>
        <w:rPr>
          <w:lang w:val="en-US"/>
        </w:rPr>
        <w:t>;</w:t>
      </w:r>
      <w:r w:rsidR="00703CEC" w:rsidRPr="000F10AF">
        <w:rPr>
          <w:rStyle w:val="FootnoteTextChar1"/>
          <w:lang w:val="en-US" w:bidi="he-IL"/>
        </w:rPr>
        <w:footnoteReference w:id="61"/>
      </w:r>
      <w:r w:rsidR="00703CEC">
        <w:rPr>
          <w:lang w:val="en-US"/>
        </w:rPr>
        <w:t xml:space="preserve"> and </w:t>
      </w:r>
      <w:r w:rsidR="00703CEC" w:rsidRPr="009E5EEB">
        <w:rPr>
          <w:lang w:val="en-US"/>
        </w:rPr>
        <w:t>Smith</w:t>
      </w:r>
      <w:r>
        <w:rPr>
          <w:lang w:val="en-US"/>
        </w:rPr>
        <w:t>, who</w:t>
      </w:r>
      <w:r w:rsidR="00703CEC" w:rsidRPr="009E5EEB">
        <w:rPr>
          <w:lang w:val="en-US"/>
        </w:rPr>
        <w:t xml:space="preserve"> </w:t>
      </w:r>
      <w:r w:rsidR="00703CEC">
        <w:rPr>
          <w:lang w:val="en-US"/>
        </w:rPr>
        <w:t xml:space="preserve">contended that </w:t>
      </w:r>
      <w:r w:rsidR="00703CEC" w:rsidRPr="009E5EEB">
        <w:rPr>
          <w:lang w:val="en-US"/>
        </w:rPr>
        <w:t>religious consciousness</w:t>
      </w:r>
      <w:r w:rsidR="00703CEC">
        <w:rPr>
          <w:lang w:val="en-US"/>
        </w:rPr>
        <w:t xml:space="preserve"> could</w:t>
      </w:r>
      <w:r w:rsidR="00703CEC" w:rsidRPr="009E5EEB">
        <w:rPr>
          <w:lang w:val="en-US"/>
        </w:rPr>
        <w:t xml:space="preserve"> transpose devotion, awe, enlightenment, or catharsis intrinsic of visitation in the </w:t>
      </w:r>
      <w:r w:rsidR="00703CEC">
        <w:rPr>
          <w:lang w:val="en-US"/>
        </w:rPr>
        <w:t xml:space="preserve">unique </w:t>
      </w:r>
      <w:r w:rsidR="00703CEC" w:rsidRPr="009E5EEB">
        <w:rPr>
          <w:lang w:val="en-US"/>
        </w:rPr>
        <w:t xml:space="preserve">sacred place onto </w:t>
      </w:r>
      <w:r w:rsidR="00703CEC">
        <w:rPr>
          <w:lang w:val="en-US"/>
        </w:rPr>
        <w:t>its</w:t>
      </w:r>
      <w:r w:rsidR="00703CEC" w:rsidRPr="009E5EEB">
        <w:rPr>
          <w:lang w:val="en-US"/>
        </w:rPr>
        <w:t xml:space="preserve"> architectural representations</w:t>
      </w:r>
      <w:r w:rsidR="00703CEC">
        <w:rPr>
          <w:lang w:val="en-US"/>
        </w:rPr>
        <w:t>.</w:t>
      </w:r>
      <w:r w:rsidR="00703CEC" w:rsidRPr="000F10AF">
        <w:rPr>
          <w:rStyle w:val="FootnoteTextChar1"/>
          <w:lang w:val="en-US"/>
        </w:rPr>
        <w:footnoteReference w:id="62"/>
      </w:r>
      <w:r w:rsidR="00703CEC">
        <w:rPr>
          <w:lang w:val="en-US"/>
        </w:rPr>
        <w:t xml:space="preserve"> </w:t>
      </w:r>
    </w:p>
    <w:p w14:paraId="0248D3BE" w14:textId="00792B10" w:rsidR="00703CEC" w:rsidRPr="00703CEC" w:rsidRDefault="00FB45EE" w:rsidP="000719E3">
      <w:pPr>
        <w:pStyle w:val="Paragraph"/>
        <w:ind w:firstLine="720"/>
      </w:pPr>
      <w:bookmarkStart w:id="63" w:name="_Hlk97742805"/>
      <w:r>
        <w:rPr>
          <w:lang w:val="en-US"/>
        </w:rPr>
        <w:t xml:space="preserve">Search for </w:t>
      </w:r>
      <w:r w:rsidR="00283451">
        <w:rPr>
          <w:lang w:val="en-US"/>
        </w:rPr>
        <w:t xml:space="preserve">visual and spatial references to the Temple in </w:t>
      </w:r>
      <w:r w:rsidR="002C475E">
        <w:rPr>
          <w:lang w:val="en-US"/>
        </w:rPr>
        <w:t>pre</w:t>
      </w:r>
      <w:r w:rsidR="00153472">
        <w:rPr>
          <w:lang w:val="en-US"/>
        </w:rPr>
        <w:t>-</w:t>
      </w:r>
      <w:r w:rsidR="002C475E">
        <w:rPr>
          <w:lang w:val="en-US"/>
        </w:rPr>
        <w:t xml:space="preserve">modern </w:t>
      </w:r>
      <w:r w:rsidR="00283451">
        <w:rPr>
          <w:lang w:val="en-US"/>
        </w:rPr>
        <w:t xml:space="preserve">synagogue </w:t>
      </w:r>
      <w:r w:rsidR="00283451">
        <w:rPr>
          <w:lang w:val="en-US"/>
        </w:rPr>
        <w:lastRenderedPageBreak/>
        <w:t xml:space="preserve">architecture </w:t>
      </w:r>
      <w:r w:rsidR="002C475E">
        <w:rPr>
          <w:lang w:val="en-US"/>
        </w:rPr>
        <w:t xml:space="preserve">yielded numerous inferences. </w:t>
      </w:r>
      <w:proofErr w:type="spellStart"/>
      <w:r w:rsidR="006D5E9E" w:rsidRPr="00267B3C">
        <w:rPr>
          <w:lang w:val="en-US"/>
        </w:rPr>
        <w:t>Rendsburg</w:t>
      </w:r>
      <w:proofErr w:type="spellEnd"/>
      <w:r w:rsidR="006D5E9E">
        <w:rPr>
          <w:lang w:val="en-US"/>
        </w:rPr>
        <w:t xml:space="preserve"> </w:t>
      </w:r>
      <w:bookmarkEnd w:id="63"/>
      <w:r w:rsidR="002C475E">
        <w:rPr>
          <w:lang w:val="en-US"/>
        </w:rPr>
        <w:t>has</w:t>
      </w:r>
      <w:r w:rsidR="00283451">
        <w:rPr>
          <w:lang w:val="en-US"/>
        </w:rPr>
        <w:t xml:space="preserve"> </w:t>
      </w:r>
      <w:r w:rsidR="006D5E9E">
        <w:rPr>
          <w:lang w:val="en-US"/>
        </w:rPr>
        <w:t>assume</w:t>
      </w:r>
      <w:r w:rsidR="002C475E">
        <w:rPr>
          <w:lang w:val="en-US"/>
        </w:rPr>
        <w:t>d</w:t>
      </w:r>
      <w:r w:rsidR="006D5E9E">
        <w:rPr>
          <w:lang w:val="en-US"/>
        </w:rPr>
        <w:t xml:space="preserve"> that </w:t>
      </w:r>
      <w:r w:rsidR="00CF5179">
        <w:rPr>
          <w:lang w:val="en-US"/>
        </w:rPr>
        <w:t>three</w:t>
      </w:r>
      <w:r w:rsidR="00407D95">
        <w:rPr>
          <w:lang w:val="en-US"/>
        </w:rPr>
        <w:t xml:space="preserve"> gate</w:t>
      </w:r>
      <w:r w:rsidR="00CF5179">
        <w:rPr>
          <w:lang w:val="en-US"/>
        </w:rPr>
        <w:t>s</w:t>
      </w:r>
      <w:r w:rsidR="00407D95">
        <w:rPr>
          <w:lang w:val="en-US"/>
        </w:rPr>
        <w:t xml:space="preserve"> </w:t>
      </w:r>
      <w:r w:rsidR="00CF5179">
        <w:rPr>
          <w:lang w:val="en-US"/>
        </w:rPr>
        <w:t xml:space="preserve">at the front façade of Galilean synagogues of the Byzantine period </w:t>
      </w:r>
      <w:r w:rsidR="00407D95">
        <w:rPr>
          <w:lang w:val="en-US"/>
        </w:rPr>
        <w:t xml:space="preserve">at </w:t>
      </w:r>
      <w:r w:rsidR="00CF5179">
        <w:rPr>
          <w:lang w:val="en-US"/>
        </w:rPr>
        <w:t xml:space="preserve">replicated </w:t>
      </w:r>
      <w:r w:rsidR="00407D95">
        <w:rPr>
          <w:lang w:val="en-US"/>
        </w:rPr>
        <w:t xml:space="preserve">the </w:t>
      </w:r>
      <w:r w:rsidR="00CF5179">
        <w:rPr>
          <w:lang w:val="en-US"/>
        </w:rPr>
        <w:t xml:space="preserve">triple-gate entranceway at </w:t>
      </w:r>
      <w:r w:rsidR="00407D95">
        <w:rPr>
          <w:lang w:val="en-US"/>
        </w:rPr>
        <w:t>southern side of the Temple Mount</w:t>
      </w:r>
      <w:r w:rsidR="00CF5179">
        <w:rPr>
          <w:lang w:val="en-US"/>
        </w:rPr>
        <w:t>.</w:t>
      </w:r>
      <w:r w:rsidR="00CF5179">
        <w:rPr>
          <w:rStyle w:val="FootnoteReference"/>
          <w:lang w:val="en-US"/>
        </w:rPr>
        <w:footnoteReference w:id="63"/>
      </w:r>
      <w:r w:rsidR="00407D95">
        <w:rPr>
          <w:lang w:val="en-US"/>
        </w:rPr>
        <w:t xml:space="preserve"> </w:t>
      </w:r>
      <w:r w:rsidR="00283451">
        <w:t xml:space="preserve">Branham </w:t>
      </w:r>
      <w:r w:rsidR="002C475E">
        <w:t xml:space="preserve">has </w:t>
      </w:r>
      <w:r w:rsidR="00283451">
        <w:t xml:space="preserve">interpreted the so-called “chancel screens” in front of the Torah ark in </w:t>
      </w:r>
      <w:r w:rsidR="00283451" w:rsidRPr="009801B5">
        <w:t>the Byzantine</w:t>
      </w:r>
      <w:r w:rsidR="00283451">
        <w:t xml:space="preserve">-time synagogues as a </w:t>
      </w:r>
      <w:r w:rsidR="0059793D">
        <w:t>reproduction of balustrades in the Herodian temple.</w:t>
      </w:r>
      <w:r w:rsidR="00A95028">
        <w:rPr>
          <w:rStyle w:val="FootnoteReference"/>
        </w:rPr>
        <w:footnoteReference w:id="64"/>
      </w:r>
      <w:r w:rsidR="007D342E">
        <w:t xml:space="preserve"> </w:t>
      </w:r>
      <w:r w:rsidR="002C475E">
        <w:t xml:space="preserve">Annette Weber and I similarly sensed </w:t>
      </w:r>
      <w:r w:rsidR="006E723A">
        <w:t xml:space="preserve">that the idea of sacrificial altar in the Jerusalem Temple underlay </w:t>
      </w:r>
      <w:r w:rsidR="0050050F">
        <w:t xml:space="preserve">the </w:t>
      </w:r>
      <w:r w:rsidR="006E723A">
        <w:t xml:space="preserve">construction of a </w:t>
      </w:r>
      <w:r w:rsidR="0050050F">
        <w:t xml:space="preserve">high enclosure around the bimah </w:t>
      </w:r>
      <w:r w:rsidR="000719E3">
        <w:t>in medieval Ashkenazi synagogues.</w:t>
      </w:r>
      <w:r w:rsidR="000719E3">
        <w:rPr>
          <w:rStyle w:val="FootnoteReference"/>
        </w:rPr>
        <w:footnoteReference w:id="65"/>
      </w:r>
      <w:r w:rsidR="000719E3">
        <w:t xml:space="preserve"> </w:t>
      </w:r>
      <w:proofErr w:type="spellStart"/>
      <w:r w:rsidR="00703CEC">
        <w:t>Wischnitzer</w:t>
      </w:r>
      <w:proofErr w:type="spellEnd"/>
      <w:r w:rsidR="00703CEC">
        <w:t xml:space="preserve"> </w:t>
      </w:r>
      <w:r w:rsidR="002C475E">
        <w:t xml:space="preserve">has </w:t>
      </w:r>
      <w:r w:rsidR="00703CEC">
        <w:t>asserted that an ingenious rephrase of a Hebrew biblical verse on one of the two of pillars i</w:t>
      </w:r>
      <w:r w:rsidR="00F82541">
        <w:t xml:space="preserve">n </w:t>
      </w:r>
      <w:r w:rsidR="00703CEC">
        <w:t xml:space="preserve">the prayer hall of the Worms </w:t>
      </w:r>
      <w:r w:rsidR="006B7066">
        <w:t>synagogue</w:t>
      </w:r>
      <w:r w:rsidR="00703CEC">
        <w:t xml:space="preserve"> </w:t>
      </w:r>
      <w:r w:rsidR="006B7066">
        <w:t xml:space="preserve">(1174/75) </w:t>
      </w:r>
      <w:r w:rsidR="00703CEC">
        <w:t xml:space="preserve">associated them with the columns </w:t>
      </w:r>
      <w:proofErr w:type="spellStart"/>
      <w:r w:rsidR="00703CEC">
        <w:t>Jakhin</w:t>
      </w:r>
      <w:proofErr w:type="spellEnd"/>
      <w:r w:rsidR="00703CEC">
        <w:t xml:space="preserve"> and Boaz in the Temple of Solomon.</w:t>
      </w:r>
      <w:r w:rsidR="00703CEC">
        <w:rPr>
          <w:rStyle w:val="FootnoteReference"/>
        </w:rPr>
        <w:footnoteReference w:id="66"/>
      </w:r>
      <w:r w:rsidR="00703CEC">
        <w:t xml:space="preserve"> </w:t>
      </w:r>
      <w:r w:rsidR="00393E10" w:rsidRPr="000F10AF">
        <w:rPr>
          <w:lang w:val="en-US"/>
        </w:rPr>
        <w:t xml:space="preserve">Woolf </w:t>
      </w:r>
      <w:r w:rsidR="002C475E">
        <w:rPr>
          <w:lang w:val="en-US"/>
        </w:rPr>
        <w:t xml:space="preserve">has </w:t>
      </w:r>
      <w:r w:rsidR="00393E10" w:rsidRPr="000F10AF">
        <w:rPr>
          <w:lang w:val="en-US"/>
        </w:rPr>
        <w:t xml:space="preserve">applied Smith’s theory to Ashkenazi synagogues and, in particular, to </w:t>
      </w:r>
      <w:r w:rsidR="00703CEC">
        <w:rPr>
          <w:lang w:val="en-US"/>
        </w:rPr>
        <w:t xml:space="preserve">early modern </w:t>
      </w:r>
      <w:r w:rsidR="00393E10" w:rsidRPr="000F10AF">
        <w:rPr>
          <w:lang w:val="en-US"/>
        </w:rPr>
        <w:t xml:space="preserve">Torah shrines, the design of which related to the Temple in Jerusalem. </w:t>
      </w:r>
      <w:bookmarkStart w:id="64" w:name="_Hlk96537426"/>
      <w:r w:rsidR="00393E10" w:rsidRPr="000F10AF">
        <w:rPr>
          <w:lang w:val="en-US"/>
        </w:rPr>
        <w:t>He connected these references to the re-</w:t>
      </w:r>
      <w:r w:rsidR="00393E10" w:rsidRPr="000F10AF">
        <w:rPr>
          <w:lang w:val="en-US"/>
        </w:rPr>
        <w:lastRenderedPageBreak/>
        <w:t>enactment of historical rituals and decorum in the Temple to a perception of synagogues as “lesser Sanctuaries”.</w:t>
      </w:r>
      <w:r w:rsidR="00393E10" w:rsidRPr="000F10AF">
        <w:rPr>
          <w:rStyle w:val="FootnoteTextChar1"/>
          <w:lang w:val="en-US"/>
        </w:rPr>
        <w:footnoteReference w:id="67"/>
      </w:r>
      <w:r w:rsidR="00393E10" w:rsidRPr="000F10AF">
        <w:rPr>
          <w:lang w:val="en-US"/>
        </w:rPr>
        <w:t xml:space="preserve"> </w:t>
      </w:r>
      <w:bookmarkEnd w:id="64"/>
    </w:p>
    <w:p w14:paraId="3221B3B1" w14:textId="77777777" w:rsidR="00393E10" w:rsidRPr="006B5936" w:rsidRDefault="00393E10" w:rsidP="006B5936">
      <w:pPr>
        <w:pStyle w:val="Heading2"/>
      </w:pPr>
      <w:r w:rsidRPr="006B5936">
        <w:t>Miniaturizing the Sanctum</w:t>
      </w:r>
    </w:p>
    <w:p w14:paraId="7E675551" w14:textId="241CCEBF" w:rsidR="008A50EE" w:rsidRDefault="00A20205" w:rsidP="008A50EE">
      <w:pPr>
        <w:pStyle w:val="Paragraph"/>
        <w:rPr>
          <w:lang w:val="en-US" w:eastAsia="en-US" w:bidi="he-IL"/>
        </w:rPr>
      </w:pPr>
      <w:bookmarkStart w:id="65" w:name="_Hlk97190974"/>
      <w:r>
        <w:rPr>
          <w:lang w:val="en-US"/>
        </w:rPr>
        <w:t xml:space="preserve">A few scholars dealt with Jewish miniaturized reproductions of the Temple. At the universal level, </w:t>
      </w:r>
      <w:r w:rsidRPr="000F10AF">
        <w:rPr>
          <w:lang w:val="en-US"/>
        </w:rPr>
        <w:t xml:space="preserve">Smith accentuated </w:t>
      </w:r>
      <w:r>
        <w:rPr>
          <w:lang w:val="en-US"/>
        </w:rPr>
        <w:t xml:space="preserve">that while </w:t>
      </w:r>
      <w:r w:rsidR="008A50EE" w:rsidRPr="000F10AF">
        <w:rPr>
          <w:lang w:val="en-US"/>
        </w:rPr>
        <w:t xml:space="preserve">any scale of architectural replicas </w:t>
      </w:r>
      <w:r>
        <w:rPr>
          <w:lang w:val="en-US"/>
        </w:rPr>
        <w:t xml:space="preserve">are </w:t>
      </w:r>
      <w:r w:rsidR="008A50EE" w:rsidRPr="000F10AF">
        <w:rPr>
          <w:lang w:val="en-US"/>
        </w:rPr>
        <w:t>transpos</w:t>
      </w:r>
      <w:r>
        <w:rPr>
          <w:lang w:val="en-US"/>
        </w:rPr>
        <w:t>ing</w:t>
      </w:r>
      <w:r w:rsidR="008A50EE" w:rsidRPr="000F10AF">
        <w:rPr>
          <w:lang w:val="en-US"/>
        </w:rPr>
        <w:t xml:space="preserve"> </w:t>
      </w:r>
      <w:r w:rsidR="00BE1339">
        <w:rPr>
          <w:lang w:val="en-US"/>
        </w:rPr>
        <w:t xml:space="preserve">the sense of </w:t>
      </w:r>
      <w:r w:rsidR="008A50EE" w:rsidRPr="000F10AF">
        <w:rPr>
          <w:lang w:val="en-US"/>
        </w:rPr>
        <w:t>sanctity, the</w:t>
      </w:r>
      <w:r w:rsidR="008A50EE" w:rsidRPr="000F10AF">
        <w:rPr>
          <w:lang w:val="en-US" w:eastAsia="en-US" w:bidi="he-IL"/>
        </w:rPr>
        <w:t xml:space="preserve"> </w:t>
      </w:r>
      <w:r w:rsidR="008A50EE">
        <w:rPr>
          <w:lang w:val="en-US" w:eastAsia="en-US" w:bidi="he-IL"/>
        </w:rPr>
        <w:t xml:space="preserve">downscaled models of the sacred samples </w:t>
      </w:r>
      <w:r w:rsidR="008A50EE" w:rsidRPr="000F10AF">
        <w:rPr>
          <w:lang w:val="en-US" w:eastAsia="en-US" w:bidi="he-IL"/>
        </w:rPr>
        <w:t>increas</w:t>
      </w:r>
      <w:r w:rsidR="008A50EE">
        <w:rPr>
          <w:lang w:val="en-US" w:eastAsia="en-US" w:bidi="he-IL"/>
        </w:rPr>
        <w:t>e</w:t>
      </w:r>
      <w:r w:rsidR="008A50EE" w:rsidRPr="000F10AF">
        <w:rPr>
          <w:lang w:val="en-US" w:eastAsia="en-US" w:bidi="he-IL"/>
        </w:rPr>
        <w:t xml:space="preserve"> </w:t>
      </w:r>
      <w:r w:rsidR="008A50EE">
        <w:rPr>
          <w:lang w:val="en-US" w:eastAsia="en-US" w:bidi="he-IL"/>
        </w:rPr>
        <w:t>“</w:t>
      </w:r>
      <w:r w:rsidR="008A50EE" w:rsidRPr="000F10AF">
        <w:rPr>
          <w:lang w:val="en-US" w:eastAsia="en-US" w:bidi="he-IL"/>
        </w:rPr>
        <w:t>tendency towards abstraction, which grows greater as the overall size of the replica decreases.”</w:t>
      </w:r>
      <w:r w:rsidR="008A50EE" w:rsidRPr="000F10AF">
        <w:rPr>
          <w:rStyle w:val="FootnoteTextChar1"/>
          <w:lang w:val="en-US"/>
        </w:rPr>
        <w:footnoteReference w:id="68"/>
      </w:r>
      <w:r w:rsidR="008A50EE" w:rsidRPr="000F10AF">
        <w:rPr>
          <w:lang w:val="en-US" w:eastAsia="en-US" w:bidi="he-IL"/>
        </w:rPr>
        <w:t xml:space="preserve"> </w:t>
      </w:r>
      <w:r w:rsidR="008A50EE" w:rsidRPr="008A50EE">
        <w:rPr>
          <w:lang w:val="en-US" w:eastAsia="en-US" w:bidi="he-IL"/>
        </w:rPr>
        <w:t>Claude Lévi-Strauss</w:t>
      </w:r>
      <w:r w:rsidR="008A50EE">
        <w:rPr>
          <w:lang w:val="en-US" w:eastAsia="en-US" w:bidi="he-IL"/>
        </w:rPr>
        <w:t xml:space="preserve">’s (1908–2009) </w:t>
      </w:r>
      <w:r w:rsidR="00BE1339">
        <w:rPr>
          <w:lang w:val="en-US" w:eastAsia="en-US" w:bidi="he-IL"/>
        </w:rPr>
        <w:t>distinguished the difference in perception of real-size and downscaled architecture:</w:t>
      </w:r>
      <w:r w:rsidR="008A50EE">
        <w:rPr>
          <w:lang w:val="en-US" w:eastAsia="en-US" w:bidi="he-IL"/>
        </w:rPr>
        <w:t xml:space="preserve"> “in the case of miniatures, […] </w:t>
      </w:r>
      <w:r w:rsidR="008A50EE" w:rsidRPr="008A50EE">
        <w:rPr>
          <w:lang w:val="en-US" w:eastAsia="en-US" w:bidi="he-IL"/>
        </w:rPr>
        <w:t>knowledge of the whole precedes</w:t>
      </w:r>
      <w:r w:rsidR="008A50EE">
        <w:rPr>
          <w:lang w:val="en-US" w:eastAsia="en-US" w:bidi="he-IL"/>
        </w:rPr>
        <w:t xml:space="preserve"> </w:t>
      </w:r>
      <w:r w:rsidR="008A50EE" w:rsidRPr="008A50EE">
        <w:rPr>
          <w:lang w:val="en-US" w:eastAsia="en-US" w:bidi="he-IL"/>
        </w:rPr>
        <w:t>knowledge of the parts.</w:t>
      </w:r>
      <w:r w:rsidR="008A50EE">
        <w:rPr>
          <w:lang w:val="en-US" w:eastAsia="en-US" w:bidi="he-IL"/>
        </w:rPr>
        <w:t>”</w:t>
      </w:r>
      <w:r w:rsidR="008A50EE">
        <w:rPr>
          <w:rStyle w:val="FootnoteReference"/>
          <w:lang w:val="en-US" w:eastAsia="en-US" w:bidi="he-IL"/>
        </w:rPr>
        <w:footnoteReference w:id="69"/>
      </w:r>
      <w:r w:rsidR="008A50EE">
        <w:rPr>
          <w:lang w:val="en-US" w:eastAsia="en-US" w:bidi="he-IL"/>
        </w:rPr>
        <w:t xml:space="preserve"> </w:t>
      </w:r>
      <w:r w:rsidR="008A50EE" w:rsidRPr="000F10AF">
        <w:rPr>
          <w:lang w:val="en-US" w:bidi="he-IL"/>
        </w:rPr>
        <w:t>M</w:t>
      </w:r>
      <w:r w:rsidR="008A50EE" w:rsidRPr="000F10AF">
        <w:rPr>
          <w:lang w:val="en-US"/>
        </w:rPr>
        <w:t xml:space="preserve">iniaturization transmutes architectural constructions from spacious venues to compact </w:t>
      </w:r>
      <w:r w:rsidR="008A50EE">
        <w:rPr>
          <w:lang w:val="en-US"/>
        </w:rPr>
        <w:t>objects</w:t>
      </w:r>
      <w:r w:rsidR="008A50EE" w:rsidRPr="0050308E">
        <w:rPr>
          <w:lang w:val="en-US" w:eastAsia="en-US" w:bidi="he-IL"/>
        </w:rPr>
        <w:t xml:space="preserve"> </w:t>
      </w:r>
      <w:r w:rsidR="008A50EE">
        <w:rPr>
          <w:lang w:val="en-US" w:eastAsia="en-US" w:bidi="he-IL"/>
        </w:rPr>
        <w:t xml:space="preserve">that can be grasped at a glance and comprehended in its totality more promptly </w:t>
      </w:r>
      <w:r w:rsidR="008A50EE" w:rsidRPr="0050308E">
        <w:rPr>
          <w:lang w:val="en-US" w:eastAsia="en-US" w:bidi="he-IL"/>
        </w:rPr>
        <w:t xml:space="preserve">than </w:t>
      </w:r>
      <w:r w:rsidR="008A50EE">
        <w:rPr>
          <w:lang w:val="en-US" w:eastAsia="en-US" w:bidi="he-IL"/>
        </w:rPr>
        <w:t xml:space="preserve">the </w:t>
      </w:r>
      <w:r w:rsidR="008A50EE" w:rsidRPr="0050308E">
        <w:rPr>
          <w:lang w:val="en-US" w:eastAsia="en-US" w:bidi="he-IL"/>
        </w:rPr>
        <w:t xml:space="preserve">life-size buildings, which are fully perceived only through one’s routing through and around them. </w:t>
      </w:r>
    </w:p>
    <w:p w14:paraId="51F769D6" w14:textId="7563C554" w:rsidR="00393E10" w:rsidRDefault="00A20205" w:rsidP="008A50EE">
      <w:pPr>
        <w:ind w:firstLine="720"/>
        <w:rPr>
          <w:lang w:val="en-US"/>
        </w:rPr>
      </w:pPr>
      <w:r>
        <w:t xml:space="preserve">In archaeological terms, </w:t>
      </w:r>
      <w:r w:rsidR="008A50EE" w:rsidRPr="002E2B02">
        <w:t xml:space="preserve">Yosef Garfinkel and Madeleine </w:t>
      </w:r>
      <w:proofErr w:type="spellStart"/>
      <w:r w:rsidR="008A50EE" w:rsidRPr="002E2B02">
        <w:t>Mumcuoglu</w:t>
      </w:r>
      <w:proofErr w:type="spellEnd"/>
      <w:r w:rsidR="008A50EE">
        <w:rPr>
          <w:lang w:val="en-US"/>
        </w:rPr>
        <w:t xml:space="preserve"> </w:t>
      </w:r>
      <w:r w:rsidR="00BE1339">
        <w:rPr>
          <w:lang w:val="en-US" w:bidi="he-IL"/>
        </w:rPr>
        <w:t>shed light on</w:t>
      </w:r>
      <w:r w:rsidR="008A50EE">
        <w:rPr>
          <w:lang w:val="en-US"/>
        </w:rPr>
        <w:t xml:space="preserve"> the </w:t>
      </w:r>
      <w:r w:rsidR="00BE1339">
        <w:rPr>
          <w:lang w:val="en-US"/>
        </w:rPr>
        <w:t xml:space="preserve">application of </w:t>
      </w:r>
      <w:r w:rsidR="008A50EE">
        <w:rPr>
          <w:lang w:val="en-US"/>
        </w:rPr>
        <w:t xml:space="preserve">ancient near-eastern practices of </w:t>
      </w:r>
      <w:r w:rsidR="00BE1339">
        <w:rPr>
          <w:lang w:val="en-US"/>
        </w:rPr>
        <w:t>creating</w:t>
      </w:r>
      <w:r w:rsidR="008A50EE">
        <w:rPr>
          <w:lang w:val="en-US"/>
        </w:rPr>
        <w:t xml:space="preserve"> diminished </w:t>
      </w:r>
      <w:r w:rsidR="00BE1339">
        <w:rPr>
          <w:lang w:val="en-US"/>
        </w:rPr>
        <w:t xml:space="preserve">replicas of sacred edifices for the ritual sake by Israelites, who produced miniaturized models of </w:t>
      </w:r>
      <w:r w:rsidR="008A50EE">
        <w:rPr>
          <w:lang w:val="en-US"/>
        </w:rPr>
        <w:t xml:space="preserve">the </w:t>
      </w:r>
      <w:r w:rsidR="008A50EE">
        <w:rPr>
          <w:lang w:val="en-US"/>
        </w:rPr>
        <w:lastRenderedPageBreak/>
        <w:t>Jerusalem Temple.</w:t>
      </w:r>
      <w:r w:rsidR="008A50EE">
        <w:rPr>
          <w:rStyle w:val="FootnoteReference"/>
          <w:lang w:val="en-US"/>
        </w:rPr>
        <w:footnoteReference w:id="70"/>
      </w:r>
      <w:r w:rsidR="008A50EE">
        <w:rPr>
          <w:lang w:val="en-US"/>
        </w:rPr>
        <w:t xml:space="preserve"> Rina </w:t>
      </w:r>
      <w:proofErr w:type="spellStart"/>
      <w:r w:rsidR="008A50EE">
        <w:rPr>
          <w:lang w:val="en-US"/>
        </w:rPr>
        <w:t>Talgam</w:t>
      </w:r>
      <w:proofErr w:type="spellEnd"/>
      <w:r w:rsidR="008A50EE">
        <w:rPr>
          <w:lang w:val="en-US"/>
        </w:rPr>
        <w:t xml:space="preserve"> interpreted a stone block carved with Temple-related symbols in the first-century C.E. synagogue at Magdala (now Migdal; near the Sea of Galilee) as a volumetric </w:t>
      </w:r>
      <w:r w:rsidR="001F6F95">
        <w:rPr>
          <w:lang w:val="en-US"/>
        </w:rPr>
        <w:t xml:space="preserve">index (in semiotic terms) </w:t>
      </w:r>
      <w:r w:rsidR="008A50EE">
        <w:rPr>
          <w:lang w:val="en-US"/>
        </w:rPr>
        <w:t>of the Temple’s sanctum</w:t>
      </w:r>
      <w:bookmarkStart w:id="66" w:name="_Hlk99449653"/>
      <w:r w:rsidR="008A50EE">
        <w:rPr>
          <w:lang w:val="en-US"/>
        </w:rPr>
        <w:t xml:space="preserve">. </w:t>
      </w:r>
      <w:bookmarkEnd w:id="66"/>
      <w:r w:rsidR="00393E10">
        <w:rPr>
          <w:lang w:val="en-US"/>
        </w:rPr>
        <w:t xml:space="preserve">The discovery </w:t>
      </w:r>
      <w:bookmarkStart w:id="67" w:name="_Hlk99449506"/>
      <w:r w:rsidR="00393E10">
        <w:rPr>
          <w:lang w:val="en-US"/>
        </w:rPr>
        <w:t xml:space="preserve">of </w:t>
      </w:r>
      <w:r w:rsidR="008A50EE">
        <w:rPr>
          <w:lang w:val="en-US"/>
        </w:rPr>
        <w:t xml:space="preserve">this artifact </w:t>
      </w:r>
      <w:r w:rsidR="00393E10">
        <w:rPr>
          <w:lang w:val="en-US"/>
        </w:rPr>
        <w:t xml:space="preserve">in 2009 </w:t>
      </w:r>
      <w:bookmarkEnd w:id="67"/>
      <w:r w:rsidR="00393E10" w:rsidRPr="00A44855">
        <w:rPr>
          <w:lang w:val="en-US"/>
        </w:rPr>
        <w:t>provided a glimpse onto a</w:t>
      </w:r>
      <w:r w:rsidR="009D2988">
        <w:rPr>
          <w:lang w:val="en-US"/>
        </w:rPr>
        <w:t xml:space="preserve"> hitherto</w:t>
      </w:r>
      <w:r w:rsidR="00393E10" w:rsidRPr="00A44855">
        <w:rPr>
          <w:lang w:val="en-US"/>
        </w:rPr>
        <w:t xml:space="preserve"> unacknowledged visual expression </w:t>
      </w:r>
      <w:r w:rsidR="009D2988">
        <w:rPr>
          <w:lang w:val="en-US"/>
        </w:rPr>
        <w:t xml:space="preserve">of sanctity </w:t>
      </w:r>
      <w:r w:rsidR="00393E10" w:rsidRPr="00A44855">
        <w:rPr>
          <w:lang w:val="en-US"/>
        </w:rPr>
        <w:t>in synagogue</w:t>
      </w:r>
      <w:r w:rsidR="00393E10">
        <w:rPr>
          <w:lang w:val="en-US"/>
        </w:rPr>
        <w:t>s of Greco-Roman age</w:t>
      </w:r>
      <w:r w:rsidR="00393E10" w:rsidRPr="00A44855">
        <w:rPr>
          <w:lang w:val="en-US"/>
        </w:rPr>
        <w:t>.</w:t>
      </w:r>
      <w:r w:rsidR="00393E10">
        <w:rPr>
          <w:rStyle w:val="FootnoteReference"/>
          <w:lang w:val="en-US"/>
        </w:rPr>
        <w:footnoteReference w:id="71"/>
      </w:r>
      <w:r w:rsidR="00393E10">
        <w:rPr>
          <w:lang w:val="en-US"/>
        </w:rPr>
        <w:t xml:space="preserve"> </w:t>
      </w:r>
      <w:proofErr w:type="spellStart"/>
      <w:r w:rsidR="008A50EE">
        <w:rPr>
          <w:lang w:val="en-US"/>
        </w:rPr>
        <w:t>Talgam</w:t>
      </w:r>
      <w:proofErr w:type="spellEnd"/>
      <w:r w:rsidR="00393E10">
        <w:rPr>
          <w:lang w:val="en-US"/>
        </w:rPr>
        <w:t xml:space="preserve"> argued that </w:t>
      </w:r>
      <w:r w:rsidR="00393E10">
        <w:rPr>
          <w:lang w:val="en-US"/>
        </w:rPr>
        <w:lastRenderedPageBreak/>
        <w:t xml:space="preserve">the Magdala assembly used the decorated ashlar as a stand for the Torah scroll, and the entire installation </w:t>
      </w:r>
      <w:r w:rsidR="00393E10" w:rsidRPr="00A44855">
        <w:rPr>
          <w:lang w:val="en-US"/>
        </w:rPr>
        <w:t>emulat</w:t>
      </w:r>
      <w:r w:rsidR="00393E10">
        <w:rPr>
          <w:lang w:val="en-US"/>
        </w:rPr>
        <w:t>ed</w:t>
      </w:r>
      <w:r w:rsidR="00393E10" w:rsidRPr="00A44855">
        <w:rPr>
          <w:lang w:val="en-US"/>
        </w:rPr>
        <w:t xml:space="preserve"> the Temple’s sanctity</w:t>
      </w:r>
      <w:r w:rsidR="009D2988">
        <w:rPr>
          <w:lang w:val="en-US"/>
        </w:rPr>
        <w:t xml:space="preserve"> in a synagogue </w:t>
      </w:r>
      <w:r w:rsidR="009D2988" w:rsidRPr="00A44855">
        <w:rPr>
          <w:lang w:val="en-US"/>
        </w:rPr>
        <w:t>that acted in the times of the Herodian Temple</w:t>
      </w:r>
      <w:r w:rsidR="00393E10">
        <w:rPr>
          <w:lang w:val="en-US"/>
        </w:rPr>
        <w:t>.</w:t>
      </w:r>
      <w:r w:rsidR="00393E10" w:rsidRPr="00A44855">
        <w:rPr>
          <w:lang w:val="en-US"/>
        </w:rPr>
        <w:t xml:space="preserve"> </w:t>
      </w:r>
      <w:proofErr w:type="spellStart"/>
      <w:r w:rsidR="00D03AB3">
        <w:rPr>
          <w:lang w:val="en-US"/>
        </w:rPr>
        <w:t>Talgam’s</w:t>
      </w:r>
      <w:proofErr w:type="spellEnd"/>
      <w:r w:rsidR="00D03AB3">
        <w:rPr>
          <w:lang w:val="en-US"/>
        </w:rPr>
        <w:t xml:space="preserve"> theory shook the belief that the “</w:t>
      </w:r>
      <w:proofErr w:type="spellStart"/>
      <w:r w:rsidR="00D03AB3">
        <w:rPr>
          <w:lang w:val="en-US"/>
        </w:rPr>
        <w:t>Templization</w:t>
      </w:r>
      <w:proofErr w:type="spellEnd"/>
      <w:r w:rsidR="00D03AB3">
        <w:rPr>
          <w:lang w:val="en-US"/>
        </w:rPr>
        <w:t xml:space="preserve">” of synagogues </w:t>
      </w:r>
      <w:r w:rsidR="00D253E8">
        <w:rPr>
          <w:lang w:val="en-US"/>
        </w:rPr>
        <w:t xml:space="preserve">had not occurred before </w:t>
      </w:r>
      <w:r w:rsidR="00D03AB3">
        <w:rPr>
          <w:lang w:val="en-US"/>
        </w:rPr>
        <w:t xml:space="preserve">the Temple’s destruction, and her methodological premises </w:t>
      </w:r>
      <w:r w:rsidR="00393E10">
        <w:rPr>
          <w:lang w:val="en-US"/>
        </w:rPr>
        <w:t xml:space="preserve">challenged some entrenched </w:t>
      </w:r>
      <w:r w:rsidR="00D03AB3">
        <w:rPr>
          <w:lang w:val="en-US"/>
        </w:rPr>
        <w:t xml:space="preserve">doubts in the ability of </w:t>
      </w:r>
      <w:r w:rsidR="00393E10">
        <w:rPr>
          <w:lang w:val="en-US"/>
        </w:rPr>
        <w:t xml:space="preserve">visual </w:t>
      </w:r>
      <w:r w:rsidR="00D03AB3">
        <w:rPr>
          <w:lang w:val="en-US"/>
        </w:rPr>
        <w:t xml:space="preserve">analysis to explain </w:t>
      </w:r>
      <w:r w:rsidR="00393E10">
        <w:rPr>
          <w:lang w:val="en-US"/>
        </w:rPr>
        <w:t>archaeological evidence</w:t>
      </w:r>
      <w:r w:rsidR="00D03AB3">
        <w:rPr>
          <w:lang w:val="en-US"/>
        </w:rPr>
        <w:t xml:space="preserve"> sufficiently enough</w:t>
      </w:r>
      <w:r w:rsidR="00393E10">
        <w:rPr>
          <w:lang w:val="en-US"/>
        </w:rPr>
        <w:t>.</w:t>
      </w:r>
      <w:r w:rsidR="00D03AB3">
        <w:rPr>
          <w:rStyle w:val="FootnoteReference"/>
          <w:lang w:val="en-US"/>
        </w:rPr>
        <w:footnoteReference w:id="72"/>
      </w:r>
      <w:r w:rsidR="00D03AB3">
        <w:rPr>
          <w:lang w:val="en-US"/>
        </w:rPr>
        <w:t xml:space="preserve"> </w:t>
      </w:r>
      <w:r w:rsidR="00393E10">
        <w:rPr>
          <w:lang w:val="en-US"/>
        </w:rPr>
        <w:t xml:space="preserve">  </w:t>
      </w:r>
    </w:p>
    <w:p w14:paraId="26159A2A" w14:textId="6B9176EA" w:rsidR="00393E10" w:rsidRDefault="00393E10" w:rsidP="006B5936">
      <w:pPr>
        <w:pStyle w:val="Heading2"/>
      </w:pPr>
      <w:bookmarkStart w:id="68" w:name="_Hlk93935583"/>
      <w:bookmarkEnd w:id="65"/>
      <w:r w:rsidRPr="00A20205">
        <w:t>Relics</w:t>
      </w:r>
    </w:p>
    <w:p w14:paraId="1DE1291B" w14:textId="5C89C946" w:rsidR="00EA535D" w:rsidRDefault="001004EE" w:rsidP="00EA535D">
      <w:pPr>
        <w:pStyle w:val="Paragraph"/>
        <w:rPr>
          <w:lang w:val="en-US"/>
        </w:rPr>
      </w:pPr>
      <w:r>
        <w:rPr>
          <w:lang w:val="en-US"/>
        </w:rPr>
        <w:t xml:space="preserve">Historians of architecture and culture </w:t>
      </w:r>
      <w:r w:rsidR="00462B18">
        <w:rPr>
          <w:lang w:val="en-US"/>
        </w:rPr>
        <w:t xml:space="preserve">elucidated </w:t>
      </w:r>
      <w:r w:rsidR="00B16FFB">
        <w:rPr>
          <w:lang w:val="en-US"/>
        </w:rPr>
        <w:t>t</w:t>
      </w:r>
      <w:r w:rsidR="00F05185">
        <w:rPr>
          <w:lang w:val="en-US"/>
        </w:rPr>
        <w:t xml:space="preserve">he </w:t>
      </w:r>
      <w:r w:rsidR="00462B18" w:rsidRPr="00462B18">
        <w:rPr>
          <w:lang w:val="en-US"/>
        </w:rPr>
        <w:t xml:space="preserve">symbolic </w:t>
      </w:r>
      <w:r w:rsidR="00F05185">
        <w:rPr>
          <w:lang w:val="en-US"/>
        </w:rPr>
        <w:t xml:space="preserve">use of spolia </w:t>
      </w:r>
      <w:r w:rsidR="002E467F">
        <w:rPr>
          <w:lang w:val="en-US"/>
        </w:rPr>
        <w:t xml:space="preserve">in public and religious buildings </w:t>
      </w:r>
      <w:r w:rsidR="00EE72D2">
        <w:rPr>
          <w:lang w:val="en-US"/>
        </w:rPr>
        <w:t xml:space="preserve">from the Roman Empire to medieval Christendom </w:t>
      </w:r>
      <w:r w:rsidR="00F05185">
        <w:rPr>
          <w:lang w:val="en-US"/>
        </w:rPr>
        <w:t xml:space="preserve">for </w:t>
      </w:r>
      <w:r w:rsidR="002E467F">
        <w:rPr>
          <w:lang w:val="en-US"/>
        </w:rPr>
        <w:t xml:space="preserve">bolstering </w:t>
      </w:r>
      <w:r w:rsidR="009B77AC">
        <w:rPr>
          <w:lang w:val="en-US"/>
        </w:rPr>
        <w:t xml:space="preserve">of </w:t>
      </w:r>
      <w:r w:rsidR="002E467F">
        <w:rPr>
          <w:lang w:val="en-US"/>
        </w:rPr>
        <w:t xml:space="preserve">the </w:t>
      </w:r>
      <w:r w:rsidR="00B16FFB">
        <w:rPr>
          <w:lang w:val="en-US"/>
        </w:rPr>
        <w:t xml:space="preserve">succession of </w:t>
      </w:r>
      <w:r w:rsidR="00462B18">
        <w:rPr>
          <w:lang w:val="en-US"/>
        </w:rPr>
        <w:t xml:space="preserve">past </w:t>
      </w:r>
      <w:r w:rsidR="00B16FFB">
        <w:rPr>
          <w:lang w:val="en-US"/>
        </w:rPr>
        <w:t>glor</w:t>
      </w:r>
      <w:r w:rsidR="00462B18">
        <w:rPr>
          <w:lang w:val="en-US"/>
        </w:rPr>
        <w:t>y</w:t>
      </w:r>
      <w:r w:rsidR="00EE72D2">
        <w:rPr>
          <w:lang w:val="en-US"/>
        </w:rPr>
        <w:t>,</w:t>
      </w:r>
      <w:r w:rsidR="00B16FFB">
        <w:rPr>
          <w:lang w:val="en-US"/>
        </w:rPr>
        <w:t xml:space="preserve"> venerat</w:t>
      </w:r>
      <w:r w:rsidR="00462B18">
        <w:rPr>
          <w:lang w:val="en-US"/>
        </w:rPr>
        <w:t>ion</w:t>
      </w:r>
      <w:r w:rsidR="00EE72D2">
        <w:rPr>
          <w:lang w:val="en-US"/>
        </w:rPr>
        <w:t xml:space="preserve">, or </w:t>
      </w:r>
      <w:r w:rsidR="00462B18">
        <w:rPr>
          <w:lang w:val="en-US"/>
        </w:rPr>
        <w:t>holiness</w:t>
      </w:r>
      <w:r w:rsidR="00B16FFB">
        <w:rPr>
          <w:lang w:val="en-US"/>
        </w:rPr>
        <w:t xml:space="preserve"> in the present</w:t>
      </w:r>
      <w:r w:rsidR="00EE72D2">
        <w:rPr>
          <w:lang w:val="en-US"/>
        </w:rPr>
        <w:t>.</w:t>
      </w:r>
      <w:r w:rsidR="00EE72D2">
        <w:rPr>
          <w:rStyle w:val="FootnoteReference"/>
          <w:lang w:val="en-US"/>
        </w:rPr>
        <w:footnoteReference w:id="73"/>
      </w:r>
      <w:r w:rsidR="00B16FFB">
        <w:rPr>
          <w:lang w:val="en-US"/>
        </w:rPr>
        <w:t xml:space="preserve"> </w:t>
      </w:r>
      <w:r w:rsidR="00EA7FF9">
        <w:rPr>
          <w:lang w:val="en-US"/>
        </w:rPr>
        <w:t>T</w:t>
      </w:r>
      <w:r w:rsidR="00832DBC">
        <w:rPr>
          <w:lang w:val="en-US"/>
        </w:rPr>
        <w:t xml:space="preserve">ales claimed that </w:t>
      </w:r>
      <w:r w:rsidR="00DF2726">
        <w:rPr>
          <w:lang w:val="en-US"/>
        </w:rPr>
        <w:lastRenderedPageBreak/>
        <w:t>certain</w:t>
      </w:r>
      <w:r w:rsidR="00EA7FF9">
        <w:rPr>
          <w:lang w:val="en-US"/>
        </w:rPr>
        <w:t xml:space="preserve"> artifacts from the First or Second Temple in Jerusalem had survived</w:t>
      </w:r>
      <w:r w:rsidR="00381A2A">
        <w:rPr>
          <w:lang w:val="en-US"/>
        </w:rPr>
        <w:t>.</w:t>
      </w:r>
      <w:r w:rsidR="00DF2726">
        <w:rPr>
          <w:lang w:val="en-US"/>
        </w:rPr>
        <w:t xml:space="preserve"> </w:t>
      </w:r>
      <w:r w:rsidR="00A75E20">
        <w:rPr>
          <w:lang w:val="en-US"/>
        </w:rPr>
        <w:t xml:space="preserve">Researchers </w:t>
      </w:r>
      <w:r w:rsidR="00836BF3">
        <w:rPr>
          <w:lang w:val="en-US"/>
        </w:rPr>
        <w:t>presumed that</w:t>
      </w:r>
      <w:r w:rsidR="00A75E20">
        <w:rPr>
          <w:lang w:val="en-US"/>
        </w:rPr>
        <w:t xml:space="preserve"> in those stories, t</w:t>
      </w:r>
      <w:r w:rsidR="00836BF3">
        <w:rPr>
          <w:lang w:val="en-US"/>
        </w:rPr>
        <w:t xml:space="preserve">he homiletic intentions overrode </w:t>
      </w:r>
      <w:r w:rsidR="00A75E20">
        <w:rPr>
          <w:lang w:val="en-US"/>
        </w:rPr>
        <w:t xml:space="preserve">historical evidence. </w:t>
      </w:r>
      <w:r w:rsidR="00EA535D">
        <w:rPr>
          <w:lang w:val="en-US"/>
        </w:rPr>
        <w:t xml:space="preserve">Thus, </w:t>
      </w:r>
      <w:proofErr w:type="spellStart"/>
      <w:proofErr w:type="gramStart"/>
      <w:r w:rsidR="009C2853" w:rsidRPr="009C2853">
        <w:rPr>
          <w:lang w:val="en-US"/>
        </w:rPr>
        <w:t>Ra</w:t>
      </w:r>
      <w:r w:rsidR="00F6463A">
        <w:rPr>
          <w:lang w:val="en-US"/>
        </w:rPr>
        <w:t>‘</w:t>
      </w:r>
      <w:proofErr w:type="gramEnd"/>
      <w:r w:rsidR="009C2853" w:rsidRPr="009C2853">
        <w:rPr>
          <w:lang w:val="en-US"/>
        </w:rPr>
        <w:t>anan</w:t>
      </w:r>
      <w:proofErr w:type="spellEnd"/>
      <w:r w:rsidR="009C2853" w:rsidRPr="009C2853">
        <w:rPr>
          <w:lang w:val="en-US"/>
        </w:rPr>
        <w:t xml:space="preserve"> S. </w:t>
      </w:r>
      <w:proofErr w:type="spellStart"/>
      <w:r w:rsidR="009C2853" w:rsidRPr="009C2853">
        <w:rPr>
          <w:lang w:val="en-US"/>
        </w:rPr>
        <w:t>Boustan</w:t>
      </w:r>
      <w:proofErr w:type="spellEnd"/>
      <w:r w:rsidR="009C2853">
        <w:rPr>
          <w:lang w:val="en-US"/>
        </w:rPr>
        <w:t xml:space="preserve"> suggested that </w:t>
      </w:r>
      <w:r w:rsidR="007C513E">
        <w:rPr>
          <w:lang w:val="en-US"/>
        </w:rPr>
        <w:t>from the</w:t>
      </w:r>
      <w:r w:rsidR="00475505">
        <w:rPr>
          <w:lang w:val="en-US"/>
        </w:rPr>
        <w:t xml:space="preserve"> rabbinical discourse about the Temple vessels on display in post-70 C.E. Rome </w:t>
      </w:r>
      <w:r w:rsidR="007C513E">
        <w:rPr>
          <w:lang w:val="en-US"/>
        </w:rPr>
        <w:t xml:space="preserve">to </w:t>
      </w:r>
      <w:r w:rsidR="00475505">
        <w:rPr>
          <w:lang w:val="en-US"/>
        </w:rPr>
        <w:t xml:space="preserve">contemporary post-Zionist </w:t>
      </w:r>
      <w:r w:rsidR="007C513E">
        <w:rPr>
          <w:lang w:val="en-US"/>
        </w:rPr>
        <w:t xml:space="preserve">historical science, </w:t>
      </w:r>
      <w:r w:rsidR="00475505">
        <w:rPr>
          <w:lang w:val="en-US"/>
        </w:rPr>
        <w:t xml:space="preserve">analysis of this discourse </w:t>
      </w:r>
      <w:r w:rsidR="007E4E01">
        <w:rPr>
          <w:lang w:val="en-US"/>
        </w:rPr>
        <w:t>betray</w:t>
      </w:r>
      <w:r w:rsidR="007C513E">
        <w:rPr>
          <w:lang w:val="en-US"/>
        </w:rPr>
        <w:t>s</w:t>
      </w:r>
      <w:r w:rsidR="007E4E01">
        <w:rPr>
          <w:lang w:val="en-US"/>
        </w:rPr>
        <w:t xml:space="preserve"> </w:t>
      </w:r>
      <w:r w:rsidR="009C2853">
        <w:rPr>
          <w:lang w:val="en-US"/>
        </w:rPr>
        <w:t xml:space="preserve">the </w:t>
      </w:r>
      <w:r w:rsidR="00F6463A">
        <w:rPr>
          <w:lang w:val="en-US"/>
        </w:rPr>
        <w:t xml:space="preserve">ideological and religious </w:t>
      </w:r>
      <w:r w:rsidR="00475505">
        <w:rPr>
          <w:lang w:val="en-US"/>
        </w:rPr>
        <w:t>tension</w:t>
      </w:r>
      <w:r w:rsidR="001B0A7E">
        <w:rPr>
          <w:lang w:val="en-US"/>
        </w:rPr>
        <w:t>s</w:t>
      </w:r>
      <w:r w:rsidR="00475505">
        <w:rPr>
          <w:lang w:val="en-US"/>
        </w:rPr>
        <w:t xml:space="preserve"> between the </w:t>
      </w:r>
      <w:r w:rsidR="007C513E">
        <w:rPr>
          <w:lang w:val="en-US"/>
        </w:rPr>
        <w:t xml:space="preserve">visions of Jerusalem-centered and </w:t>
      </w:r>
      <w:r w:rsidR="00A75E20">
        <w:rPr>
          <w:lang w:val="en-US"/>
        </w:rPr>
        <w:t>diasporic</w:t>
      </w:r>
      <w:r w:rsidR="001B0A7E">
        <w:rPr>
          <w:lang w:val="en-US"/>
        </w:rPr>
        <w:t xml:space="preserve"> Judaism</w:t>
      </w:r>
      <w:r w:rsidR="00EA535D">
        <w:rPr>
          <w:lang w:val="en-US"/>
        </w:rPr>
        <w:t>.</w:t>
      </w:r>
      <w:r w:rsidR="00EA535D">
        <w:rPr>
          <w:rStyle w:val="FootnoteReference"/>
          <w:lang w:val="en-US"/>
        </w:rPr>
        <w:footnoteReference w:id="74"/>
      </w:r>
      <w:r w:rsidR="00EA535D">
        <w:rPr>
          <w:lang w:val="en-US"/>
        </w:rPr>
        <w:t xml:space="preserve"> </w:t>
      </w:r>
    </w:p>
    <w:p w14:paraId="5D689B50" w14:textId="6A3FF327" w:rsidR="001E29A1" w:rsidRDefault="00EA535D" w:rsidP="00EA535D">
      <w:pPr>
        <w:pStyle w:val="Newparagraph"/>
        <w:rPr>
          <w:lang w:val="en-US"/>
        </w:rPr>
      </w:pPr>
      <w:r>
        <w:rPr>
          <w:lang w:val="en-US"/>
        </w:rPr>
        <w:t>Legends narrated that whereas t</w:t>
      </w:r>
      <w:r w:rsidR="006B0602">
        <w:rPr>
          <w:lang w:val="en-US"/>
        </w:rPr>
        <w:t xml:space="preserve">he Ark of the Covenant and the Temple’s golden Menorah </w:t>
      </w:r>
      <w:r w:rsidR="00EA7FF9">
        <w:rPr>
          <w:lang w:val="en-US"/>
        </w:rPr>
        <w:t xml:space="preserve">were </w:t>
      </w:r>
      <w:r w:rsidR="00DF2726" w:rsidRPr="00DF2726">
        <w:rPr>
          <w:lang w:val="en-US"/>
        </w:rPr>
        <w:t>mysteriously</w:t>
      </w:r>
      <w:r w:rsidR="00DF2726">
        <w:rPr>
          <w:lang w:val="en-US"/>
        </w:rPr>
        <w:t xml:space="preserve"> hidden,</w:t>
      </w:r>
      <w:r w:rsidR="00DF2726">
        <w:rPr>
          <w:rStyle w:val="FootnoteReference"/>
          <w:lang w:val="en-US"/>
        </w:rPr>
        <w:footnoteReference w:id="75"/>
      </w:r>
      <w:r w:rsidR="00DF2726">
        <w:rPr>
          <w:lang w:val="en-US"/>
        </w:rPr>
        <w:t xml:space="preserve"> </w:t>
      </w:r>
      <w:r w:rsidR="00381A2A">
        <w:rPr>
          <w:lang w:val="en-US"/>
        </w:rPr>
        <w:t>some other parts or materials</w:t>
      </w:r>
      <w:r w:rsidR="00DF2726">
        <w:rPr>
          <w:lang w:val="en-US"/>
        </w:rPr>
        <w:t xml:space="preserve"> remained available for their secondary use</w:t>
      </w:r>
      <w:r w:rsidR="00EA7FF9">
        <w:rPr>
          <w:lang w:val="en-US"/>
        </w:rPr>
        <w:t>.</w:t>
      </w:r>
      <w:r w:rsidR="00832DBC">
        <w:rPr>
          <w:lang w:val="en-US"/>
        </w:rPr>
        <w:t xml:space="preserve"> </w:t>
      </w:r>
      <w:r w:rsidR="00137B4A" w:rsidRPr="00137B4A">
        <w:rPr>
          <w:lang w:val="en-US"/>
        </w:rPr>
        <w:t xml:space="preserve">John Ward-Perkins </w:t>
      </w:r>
      <w:r w:rsidR="00137B4A">
        <w:rPr>
          <w:lang w:val="en-US"/>
        </w:rPr>
        <w:t xml:space="preserve">(1912–1981) explored the </w:t>
      </w:r>
      <w:r w:rsidR="00780254">
        <w:rPr>
          <w:lang w:val="en-US"/>
        </w:rPr>
        <w:t xml:space="preserve">reuse of helical columns attributed to second-century C. E. Greece as believed </w:t>
      </w:r>
      <w:r w:rsidR="00A03108">
        <w:rPr>
          <w:lang w:val="en-US"/>
        </w:rPr>
        <w:t>spoli</w:t>
      </w:r>
      <w:r w:rsidR="00A711F6">
        <w:rPr>
          <w:lang w:val="en-US"/>
        </w:rPr>
        <w:t xml:space="preserve">a </w:t>
      </w:r>
      <w:r w:rsidR="00780254">
        <w:rPr>
          <w:lang w:val="en-US"/>
        </w:rPr>
        <w:t xml:space="preserve">of the Temple of </w:t>
      </w:r>
      <w:r w:rsidR="00780254">
        <w:rPr>
          <w:lang w:val="en-US"/>
        </w:rPr>
        <w:lastRenderedPageBreak/>
        <w:t>Solomon in Constantine the Great’s St. Peter’s Basilica (4</w:t>
      </w:r>
      <w:r w:rsidR="00780254" w:rsidRPr="00780254">
        <w:rPr>
          <w:vertAlign w:val="superscript"/>
          <w:lang w:val="en-US"/>
        </w:rPr>
        <w:t>th</w:t>
      </w:r>
      <w:r w:rsidR="00780254">
        <w:rPr>
          <w:lang w:val="en-US"/>
        </w:rPr>
        <w:t xml:space="preserve"> centu</w:t>
      </w:r>
      <w:r w:rsidR="000C56DC">
        <w:rPr>
          <w:lang w:val="en-US"/>
        </w:rPr>
        <w:t>ry).</w:t>
      </w:r>
      <w:r w:rsidR="00A03108">
        <w:rPr>
          <w:rStyle w:val="FootnoteReference"/>
          <w:lang w:val="en-US"/>
        </w:rPr>
        <w:footnoteReference w:id="76"/>
      </w:r>
      <w:r w:rsidR="000C56DC">
        <w:rPr>
          <w:lang w:val="en-US"/>
        </w:rPr>
        <w:t xml:space="preserve"> </w:t>
      </w:r>
      <w:r w:rsidR="00A711F6">
        <w:rPr>
          <w:lang w:val="en-US"/>
        </w:rPr>
        <w:t>Over and above their role as a synecdoch</w:t>
      </w:r>
      <w:r w:rsidR="00612A9C">
        <w:rPr>
          <w:lang w:val="en-US"/>
        </w:rPr>
        <w:t>e</w:t>
      </w:r>
      <w:r w:rsidR="00A711F6">
        <w:rPr>
          <w:lang w:val="en-US"/>
        </w:rPr>
        <w:t xml:space="preserve"> </w:t>
      </w:r>
      <w:r w:rsidR="001F6F95">
        <w:rPr>
          <w:lang w:val="en-US"/>
        </w:rPr>
        <w:t>of t</w:t>
      </w:r>
      <w:r w:rsidR="00A03108">
        <w:rPr>
          <w:lang w:val="en-US"/>
        </w:rPr>
        <w:t xml:space="preserve">he </w:t>
      </w:r>
      <w:r w:rsidR="001F6F95">
        <w:rPr>
          <w:lang w:val="en-US"/>
        </w:rPr>
        <w:t>hallowed original, the</w:t>
      </w:r>
      <w:r w:rsidR="009C2BAB">
        <w:rPr>
          <w:lang w:val="en-US"/>
        </w:rPr>
        <w:t xml:space="preserve"> </w:t>
      </w:r>
      <w:r w:rsidR="00612A9C">
        <w:rPr>
          <w:lang w:val="en-US"/>
        </w:rPr>
        <w:t xml:space="preserve">presence of </w:t>
      </w:r>
      <w:r w:rsidR="00323B3F">
        <w:rPr>
          <w:lang w:val="en-US"/>
        </w:rPr>
        <w:t>architectural relics</w:t>
      </w:r>
      <w:r w:rsidR="009C2BAB">
        <w:rPr>
          <w:lang w:val="en-US"/>
        </w:rPr>
        <w:t xml:space="preserve"> (ether genuine or reputed) </w:t>
      </w:r>
      <w:r w:rsidR="00FE2FE3">
        <w:rPr>
          <w:lang w:val="en-US"/>
        </w:rPr>
        <w:t xml:space="preserve">in </w:t>
      </w:r>
      <w:r w:rsidR="0023007D" w:rsidRPr="0023007D">
        <w:rPr>
          <w:lang w:val="en-US"/>
        </w:rPr>
        <w:t>indigenous</w:t>
      </w:r>
      <w:r w:rsidR="0023007D">
        <w:rPr>
          <w:lang w:val="en-US"/>
        </w:rPr>
        <w:t xml:space="preserve"> ritual settings </w:t>
      </w:r>
      <w:r w:rsidR="009C2BAB">
        <w:rPr>
          <w:lang w:val="en-US"/>
        </w:rPr>
        <w:t xml:space="preserve">collapsed the gape in time and </w:t>
      </w:r>
      <w:r w:rsidR="00A8220C">
        <w:rPr>
          <w:lang w:val="en-US"/>
        </w:rPr>
        <w:t>space</w:t>
      </w:r>
      <w:r w:rsidR="00323B3F">
        <w:rPr>
          <w:lang w:val="en-US"/>
        </w:rPr>
        <w:t xml:space="preserve"> between the</w:t>
      </w:r>
      <w:r w:rsidR="0023007D">
        <w:rPr>
          <w:lang w:val="en-US"/>
        </w:rPr>
        <w:t>ir</w:t>
      </w:r>
      <w:r w:rsidR="00323B3F">
        <w:rPr>
          <w:lang w:val="en-US"/>
        </w:rPr>
        <w:t xml:space="preserve"> beholders</w:t>
      </w:r>
      <w:r w:rsidR="00780254">
        <w:rPr>
          <w:lang w:val="en-US"/>
        </w:rPr>
        <w:t xml:space="preserve"> </w:t>
      </w:r>
      <w:r w:rsidR="00323B3F">
        <w:rPr>
          <w:lang w:val="en-US"/>
        </w:rPr>
        <w:t xml:space="preserve">and remote </w:t>
      </w:r>
      <w:r w:rsidR="00A8220C" w:rsidRPr="00A8220C">
        <w:rPr>
          <w:i/>
          <w:iCs/>
          <w:lang w:val="en-US"/>
        </w:rPr>
        <w:t>loc</w:t>
      </w:r>
      <w:r w:rsidR="00FE2FE3">
        <w:rPr>
          <w:i/>
          <w:iCs/>
          <w:lang w:val="en-US"/>
        </w:rPr>
        <w:t>i</w:t>
      </w:r>
      <w:r w:rsidR="00A8220C" w:rsidRPr="00A8220C">
        <w:rPr>
          <w:i/>
          <w:iCs/>
          <w:lang w:val="en-US"/>
        </w:rPr>
        <w:t xml:space="preserve"> </w:t>
      </w:r>
      <w:proofErr w:type="spellStart"/>
      <w:r w:rsidR="00A8220C" w:rsidRPr="00A8220C">
        <w:rPr>
          <w:i/>
          <w:iCs/>
          <w:lang w:val="en-US"/>
        </w:rPr>
        <w:t>sanct</w:t>
      </w:r>
      <w:r w:rsidR="00FE2FE3">
        <w:rPr>
          <w:i/>
          <w:iCs/>
          <w:lang w:val="en-US"/>
        </w:rPr>
        <w:t>i</w:t>
      </w:r>
      <w:proofErr w:type="spellEnd"/>
      <w:r w:rsidR="00FE6401">
        <w:rPr>
          <w:lang w:val="en-US"/>
        </w:rPr>
        <w:t>. The implants of spolia in the local prayer house made its building an extension of the legendary edifice.</w:t>
      </w:r>
      <w:r w:rsidR="00C54AD7">
        <w:rPr>
          <w:lang w:val="en-US"/>
        </w:rPr>
        <w:t xml:space="preserve"> </w:t>
      </w:r>
      <w:r w:rsidR="00017EAC">
        <w:rPr>
          <w:lang w:val="en-US"/>
        </w:rPr>
        <w:t>S</w:t>
      </w:r>
      <w:r w:rsidR="00FE6401">
        <w:rPr>
          <w:lang w:val="en-US"/>
        </w:rPr>
        <w:t>e</w:t>
      </w:r>
      <w:r w:rsidR="00017EAC">
        <w:rPr>
          <w:lang w:val="en-US"/>
        </w:rPr>
        <w:t>eing</w:t>
      </w:r>
      <w:r w:rsidR="00FE6401">
        <w:rPr>
          <w:lang w:val="en-US"/>
        </w:rPr>
        <w:t xml:space="preserve"> and touch</w:t>
      </w:r>
      <w:r w:rsidR="00017EAC">
        <w:rPr>
          <w:lang w:val="en-US"/>
        </w:rPr>
        <w:t>ing</w:t>
      </w:r>
      <w:r w:rsidR="00FE6401">
        <w:rPr>
          <w:lang w:val="en-US"/>
        </w:rPr>
        <w:t xml:space="preserve"> the </w:t>
      </w:r>
      <w:r w:rsidR="00017EAC">
        <w:rPr>
          <w:lang w:val="en-US"/>
        </w:rPr>
        <w:t xml:space="preserve">objects that belonged to the famed </w:t>
      </w:r>
      <w:r w:rsidR="00FE6401">
        <w:rPr>
          <w:lang w:val="en-US"/>
        </w:rPr>
        <w:t xml:space="preserve">sanctuary </w:t>
      </w:r>
      <w:r w:rsidR="00017EAC">
        <w:rPr>
          <w:lang w:val="en-US"/>
        </w:rPr>
        <w:t xml:space="preserve">were also </w:t>
      </w:r>
      <w:r w:rsidR="00C54AD7">
        <w:rPr>
          <w:lang w:val="en-US"/>
        </w:rPr>
        <w:t>a trouble-saving substitute for pilgrimage</w:t>
      </w:r>
      <w:r w:rsidR="00017EAC">
        <w:rPr>
          <w:lang w:val="en-US"/>
        </w:rPr>
        <w:t xml:space="preserve"> to </w:t>
      </w:r>
      <w:r w:rsidR="006F0AA7">
        <w:rPr>
          <w:lang w:val="en-US"/>
        </w:rPr>
        <w:t>the sacred</w:t>
      </w:r>
      <w:r w:rsidR="00017EAC">
        <w:rPr>
          <w:lang w:val="en-US"/>
        </w:rPr>
        <w:t xml:space="preserve"> location</w:t>
      </w:r>
      <w:r w:rsidR="00C54AD7">
        <w:rPr>
          <w:lang w:val="en-US"/>
        </w:rPr>
        <w:t>.</w:t>
      </w:r>
      <w:r w:rsidR="00323B3F">
        <w:rPr>
          <w:lang w:val="en-US"/>
        </w:rPr>
        <w:t xml:space="preserve"> </w:t>
      </w:r>
      <w:bookmarkStart w:id="69" w:name="_Hlk99697585"/>
    </w:p>
    <w:p w14:paraId="4AD8ABCB" w14:textId="77777777" w:rsidR="00C167FD" w:rsidRDefault="000144C2" w:rsidP="002362E3">
      <w:pPr>
        <w:pStyle w:val="Newparagraph"/>
        <w:rPr>
          <w:lang w:val="en-US"/>
        </w:rPr>
      </w:pPr>
      <w:r w:rsidRPr="000144C2">
        <w:rPr>
          <w:lang w:val="en-US" w:bidi="he-IL"/>
        </w:rPr>
        <w:t>Certain observations were devoted to the phenomenon of borrowing the sanctity of destroyed Temple by incorporating its remnants in the synagogue structure.</w:t>
      </w:r>
      <w:r>
        <w:rPr>
          <w:lang w:val="en-US" w:bidi="he-IL"/>
        </w:rPr>
        <w:t xml:space="preserve"> </w:t>
      </w:r>
      <w:r w:rsidR="00924862">
        <w:rPr>
          <w:lang w:val="en-US"/>
        </w:rPr>
        <w:t>Joseph Gutmann</w:t>
      </w:r>
      <w:r w:rsidR="00781A1C">
        <w:rPr>
          <w:lang w:val="en-US"/>
        </w:rPr>
        <w:t xml:space="preserve"> (1923–2004) </w:t>
      </w:r>
      <w:r w:rsidR="006E6E2E">
        <w:rPr>
          <w:lang w:val="en-US"/>
        </w:rPr>
        <w:t>scrutinized</w:t>
      </w:r>
      <w:r w:rsidR="00924862">
        <w:rPr>
          <w:lang w:val="en-US"/>
        </w:rPr>
        <w:t xml:space="preserve"> a </w:t>
      </w:r>
      <w:r w:rsidR="00781A1C">
        <w:rPr>
          <w:lang w:val="en-US"/>
        </w:rPr>
        <w:t>story</w:t>
      </w:r>
      <w:r w:rsidR="00924862">
        <w:rPr>
          <w:lang w:val="en-US"/>
        </w:rPr>
        <w:t xml:space="preserve"> </w:t>
      </w:r>
      <w:r w:rsidR="00781A1C">
        <w:rPr>
          <w:lang w:val="en-US"/>
        </w:rPr>
        <w:t xml:space="preserve">told by </w:t>
      </w:r>
      <w:proofErr w:type="spellStart"/>
      <w:r w:rsidR="00924862">
        <w:rPr>
          <w:lang w:val="en-US"/>
        </w:rPr>
        <w:t>Sherira</w:t>
      </w:r>
      <w:proofErr w:type="spellEnd"/>
      <w:r w:rsidR="00924862">
        <w:rPr>
          <w:lang w:val="en-US"/>
        </w:rPr>
        <w:t xml:space="preserve"> ben </w:t>
      </w:r>
      <w:proofErr w:type="spellStart"/>
      <w:r w:rsidR="00924862">
        <w:rPr>
          <w:lang w:val="en-US"/>
        </w:rPr>
        <w:t>Ḥanina</w:t>
      </w:r>
      <w:proofErr w:type="spellEnd"/>
      <w:r w:rsidR="00924862">
        <w:rPr>
          <w:lang w:val="en-US"/>
        </w:rPr>
        <w:t xml:space="preserve"> (acted 968–98), the Gaon of </w:t>
      </w:r>
      <w:proofErr w:type="spellStart"/>
      <w:r w:rsidR="00924862">
        <w:rPr>
          <w:lang w:val="en-US"/>
        </w:rPr>
        <w:t>Pumbedita</w:t>
      </w:r>
      <w:proofErr w:type="spellEnd"/>
      <w:r w:rsidR="00924862">
        <w:rPr>
          <w:lang w:val="en-US"/>
        </w:rPr>
        <w:t xml:space="preserve">, about the Israelite exiles to Babylon, who took with them earth and stones from the ruins of the Temple of Solomon and used these materials for the foundations of the synagogue of </w:t>
      </w:r>
      <w:proofErr w:type="spellStart"/>
      <w:r w:rsidR="00924862">
        <w:rPr>
          <w:lang w:val="en-US"/>
        </w:rPr>
        <w:t>Nehardea</w:t>
      </w:r>
      <w:proofErr w:type="spellEnd"/>
      <w:r w:rsidR="00924862">
        <w:rPr>
          <w:lang w:val="en-US"/>
        </w:rPr>
        <w:t>.</w:t>
      </w:r>
      <w:r w:rsidR="00924862">
        <w:rPr>
          <w:rStyle w:val="FootnoteReference"/>
          <w:lang w:val="en-US"/>
        </w:rPr>
        <w:footnoteReference w:id="77"/>
      </w:r>
      <w:r w:rsidR="00924862">
        <w:rPr>
          <w:lang w:val="en-US"/>
        </w:rPr>
        <w:t xml:space="preserve"> </w:t>
      </w:r>
    </w:p>
    <w:p w14:paraId="1C8B54A4" w14:textId="77777777" w:rsidR="006236F4" w:rsidRDefault="00DA04BA" w:rsidP="00C167FD">
      <w:pPr>
        <w:pStyle w:val="Newparagraph"/>
        <w:rPr>
          <w:lang w:val="en-US"/>
        </w:rPr>
      </w:pPr>
      <w:r>
        <w:rPr>
          <w:lang w:val="en-US"/>
        </w:rPr>
        <w:t xml:space="preserve">The tales </w:t>
      </w:r>
      <w:r w:rsidR="00CC16F4">
        <w:rPr>
          <w:lang w:val="en-US"/>
        </w:rPr>
        <w:t xml:space="preserve">about a synagogue incorporating </w:t>
      </w:r>
      <w:r w:rsidR="00924862">
        <w:rPr>
          <w:lang w:val="en-US"/>
        </w:rPr>
        <w:t xml:space="preserve">Temple’s </w:t>
      </w:r>
      <w:r w:rsidR="00366DCA">
        <w:rPr>
          <w:lang w:val="en-US"/>
        </w:rPr>
        <w:t>remains</w:t>
      </w:r>
      <w:r w:rsidR="00781A1C">
        <w:rPr>
          <w:lang w:val="en-US"/>
        </w:rPr>
        <w:t xml:space="preserve"> </w:t>
      </w:r>
      <w:r w:rsidR="003F26E6">
        <w:rPr>
          <w:lang w:val="en-US"/>
        </w:rPr>
        <w:t xml:space="preserve">circulated </w:t>
      </w:r>
      <w:r w:rsidR="00CC16F4">
        <w:rPr>
          <w:lang w:val="en-US"/>
        </w:rPr>
        <w:t>across the Jewish Diaspora</w:t>
      </w:r>
      <w:r w:rsidRPr="00DA04BA">
        <w:rPr>
          <w:lang w:val="en-US"/>
        </w:rPr>
        <w:t xml:space="preserve"> </w:t>
      </w:r>
      <w:r>
        <w:rPr>
          <w:lang w:val="en-US"/>
        </w:rPr>
        <w:t xml:space="preserve">and </w:t>
      </w:r>
      <w:r w:rsidR="008C7253">
        <w:rPr>
          <w:lang w:val="en-US"/>
        </w:rPr>
        <w:t xml:space="preserve">offered </w:t>
      </w:r>
      <w:r>
        <w:rPr>
          <w:lang w:val="en-US"/>
        </w:rPr>
        <w:t>etiological legends</w:t>
      </w:r>
      <w:r w:rsidR="008C7253">
        <w:rPr>
          <w:lang w:val="en-US"/>
        </w:rPr>
        <w:t xml:space="preserve"> for particular synagogues</w:t>
      </w:r>
      <w:r w:rsidR="00F2445A">
        <w:rPr>
          <w:lang w:val="en-US"/>
        </w:rPr>
        <w:t>.</w:t>
      </w:r>
      <w:r w:rsidR="00924862">
        <w:rPr>
          <w:rStyle w:val="FootnoteReference"/>
          <w:lang w:val="en-US"/>
        </w:rPr>
        <w:footnoteReference w:id="78"/>
      </w:r>
      <w:r w:rsidR="00F2445A">
        <w:rPr>
          <w:lang w:val="en-US"/>
        </w:rPr>
        <w:t xml:space="preserve"> </w:t>
      </w:r>
      <w:proofErr w:type="spellStart"/>
      <w:r w:rsidR="003F26E6">
        <w:rPr>
          <w:lang w:val="en-US"/>
        </w:rPr>
        <w:t>Vered</w:t>
      </w:r>
      <w:proofErr w:type="spellEnd"/>
      <w:r w:rsidR="003F26E6">
        <w:rPr>
          <w:lang w:val="en-US"/>
        </w:rPr>
        <w:t xml:space="preserve"> </w:t>
      </w:r>
      <w:proofErr w:type="spellStart"/>
      <w:r w:rsidR="003F26E6">
        <w:rPr>
          <w:lang w:val="en-US"/>
        </w:rPr>
        <w:t>Tohar</w:t>
      </w:r>
      <w:proofErr w:type="spellEnd"/>
      <w:r w:rsidR="001753DA">
        <w:rPr>
          <w:lang w:val="en-US"/>
        </w:rPr>
        <w:t xml:space="preserve"> </w:t>
      </w:r>
      <w:r w:rsidR="00D1139C">
        <w:rPr>
          <w:lang w:val="en-US"/>
        </w:rPr>
        <w:lastRenderedPageBreak/>
        <w:t xml:space="preserve">collected and </w:t>
      </w:r>
      <w:r w:rsidR="008C7253">
        <w:rPr>
          <w:lang w:val="en-US"/>
        </w:rPr>
        <w:t xml:space="preserve">classified </w:t>
      </w:r>
      <w:r w:rsidR="00D1139C">
        <w:rPr>
          <w:lang w:val="en-US"/>
        </w:rPr>
        <w:t xml:space="preserve">the </w:t>
      </w:r>
      <w:r w:rsidR="00CB1E0E">
        <w:rPr>
          <w:lang w:val="en-US"/>
        </w:rPr>
        <w:t>narrations</w:t>
      </w:r>
      <w:r w:rsidR="00D1139C">
        <w:rPr>
          <w:lang w:val="en-US"/>
        </w:rPr>
        <w:t xml:space="preserve"> on sanctity </w:t>
      </w:r>
      <w:r w:rsidR="00CB1DAB">
        <w:rPr>
          <w:lang w:val="en-US"/>
        </w:rPr>
        <w:t>of the Temple dispersed by its stones</w:t>
      </w:r>
      <w:r w:rsidR="000B3225">
        <w:rPr>
          <w:lang w:val="en-US"/>
        </w:rPr>
        <w:t>.</w:t>
      </w:r>
      <w:r w:rsidR="00D1139C">
        <w:rPr>
          <w:lang w:val="en-US"/>
        </w:rPr>
        <w:t xml:space="preserve"> </w:t>
      </w:r>
      <w:proofErr w:type="spellStart"/>
      <w:r w:rsidR="000B3225">
        <w:rPr>
          <w:lang w:val="en-US"/>
        </w:rPr>
        <w:t>Tohar</w:t>
      </w:r>
      <w:proofErr w:type="spellEnd"/>
      <w:r w:rsidR="000B3225">
        <w:rPr>
          <w:lang w:val="en-US"/>
        </w:rPr>
        <w:t xml:space="preserve"> </w:t>
      </w:r>
      <w:r w:rsidR="00427B0C">
        <w:rPr>
          <w:lang w:val="en-US"/>
        </w:rPr>
        <w:t xml:space="preserve">summarized </w:t>
      </w:r>
      <w:r w:rsidR="000B3225">
        <w:rPr>
          <w:lang w:val="en-US"/>
        </w:rPr>
        <w:t>the archetyp</w:t>
      </w:r>
      <w:r w:rsidR="00427B0C">
        <w:rPr>
          <w:lang w:val="en-US"/>
        </w:rPr>
        <w:t xml:space="preserve">ical motif of </w:t>
      </w:r>
      <w:r w:rsidR="003200B7">
        <w:rPr>
          <w:lang w:val="en-US"/>
        </w:rPr>
        <w:t>sanctity’s exile that like the Jewish expulsion to be ended in its miraculous return to the Holy Land</w:t>
      </w:r>
      <w:r w:rsidR="00ED6CE6">
        <w:rPr>
          <w:lang w:val="en-US"/>
        </w:rPr>
        <w:t xml:space="preserve">. First, </w:t>
      </w:r>
      <w:r w:rsidR="008E0B91">
        <w:rPr>
          <w:lang w:val="en-US"/>
        </w:rPr>
        <w:t>t</w:t>
      </w:r>
      <w:r w:rsidR="00D1139C">
        <w:rPr>
          <w:lang w:val="en-US"/>
        </w:rPr>
        <w:t xml:space="preserve">he </w:t>
      </w:r>
      <w:r w:rsidR="00E45F32">
        <w:rPr>
          <w:lang w:val="en-US"/>
        </w:rPr>
        <w:t xml:space="preserve">sacred relics </w:t>
      </w:r>
      <w:r w:rsidR="00D1139C">
        <w:rPr>
          <w:lang w:val="en-US"/>
        </w:rPr>
        <w:t xml:space="preserve">were </w:t>
      </w:r>
      <w:r w:rsidR="00052072">
        <w:rPr>
          <w:lang w:val="en-US"/>
        </w:rPr>
        <w:t xml:space="preserve">either </w:t>
      </w:r>
      <w:r w:rsidR="00CB1DAB">
        <w:rPr>
          <w:lang w:val="en-US"/>
        </w:rPr>
        <w:t>wander</w:t>
      </w:r>
      <w:r w:rsidR="00E45F32">
        <w:rPr>
          <w:lang w:val="en-US"/>
        </w:rPr>
        <w:t>ed</w:t>
      </w:r>
      <w:r w:rsidR="00CB1DAB">
        <w:rPr>
          <w:lang w:val="en-US"/>
        </w:rPr>
        <w:t xml:space="preserve"> </w:t>
      </w:r>
      <w:r w:rsidR="00ED6CE6">
        <w:rPr>
          <w:lang w:val="en-US"/>
        </w:rPr>
        <w:t xml:space="preserve">on their own </w:t>
      </w:r>
      <w:r w:rsidR="00CB1DAB">
        <w:rPr>
          <w:lang w:val="en-US"/>
        </w:rPr>
        <w:t xml:space="preserve">or </w:t>
      </w:r>
      <w:r w:rsidR="00E45F32">
        <w:rPr>
          <w:lang w:val="en-US"/>
        </w:rPr>
        <w:t>were</w:t>
      </w:r>
      <w:r w:rsidR="00D1139C">
        <w:rPr>
          <w:lang w:val="en-US"/>
        </w:rPr>
        <w:t xml:space="preserve"> brought </w:t>
      </w:r>
      <w:r w:rsidR="00E45F32">
        <w:rPr>
          <w:lang w:val="en-US"/>
        </w:rPr>
        <w:t xml:space="preserve">from Jerusalem </w:t>
      </w:r>
      <w:r w:rsidR="00D1139C">
        <w:rPr>
          <w:lang w:val="en-US"/>
        </w:rPr>
        <w:t xml:space="preserve">by the exiles </w:t>
      </w:r>
      <w:r w:rsidR="00CB1DAB">
        <w:rPr>
          <w:lang w:val="en-US"/>
        </w:rPr>
        <w:t xml:space="preserve">or </w:t>
      </w:r>
      <w:r w:rsidR="00D1139C">
        <w:rPr>
          <w:lang w:val="en-US"/>
        </w:rPr>
        <w:t>angels</w:t>
      </w:r>
      <w:r w:rsidR="00ED6CE6">
        <w:rPr>
          <w:lang w:val="en-US"/>
        </w:rPr>
        <w:t>. Then</w:t>
      </w:r>
      <w:r w:rsidR="00052072">
        <w:rPr>
          <w:lang w:val="en-US"/>
        </w:rPr>
        <w:t xml:space="preserve"> </w:t>
      </w:r>
      <w:r w:rsidR="00860EE7">
        <w:rPr>
          <w:lang w:val="en-US"/>
        </w:rPr>
        <w:t xml:space="preserve">the </w:t>
      </w:r>
      <w:r w:rsidR="00AD19B5">
        <w:rPr>
          <w:lang w:val="en-US"/>
        </w:rPr>
        <w:t xml:space="preserve">parts of the </w:t>
      </w:r>
      <w:r w:rsidR="00F8299E">
        <w:rPr>
          <w:lang w:val="en-US"/>
        </w:rPr>
        <w:t xml:space="preserve">destroyed </w:t>
      </w:r>
      <w:r w:rsidR="00AD19B5">
        <w:rPr>
          <w:lang w:val="en-US"/>
        </w:rPr>
        <w:t>Temple</w:t>
      </w:r>
      <w:r w:rsidR="000B3225">
        <w:rPr>
          <w:lang w:val="en-US"/>
        </w:rPr>
        <w:t xml:space="preserve"> were inco</w:t>
      </w:r>
      <w:r w:rsidR="00E45F32">
        <w:rPr>
          <w:lang w:val="en-US"/>
        </w:rPr>
        <w:t>rporated in the synagogue structure on condition that when the Messiah comes, the Jews r</w:t>
      </w:r>
      <w:r w:rsidR="00874B32">
        <w:rPr>
          <w:lang w:val="en-US"/>
        </w:rPr>
        <w:t>e</w:t>
      </w:r>
      <w:r w:rsidR="00E45F32">
        <w:rPr>
          <w:lang w:val="en-US"/>
        </w:rPr>
        <w:t>move the</w:t>
      </w:r>
      <w:r w:rsidR="00AD19B5">
        <w:rPr>
          <w:lang w:val="en-US"/>
        </w:rPr>
        <w:t>se stones and return them to the restored Temple.</w:t>
      </w:r>
      <w:r w:rsidR="00F8299E">
        <w:rPr>
          <w:rStyle w:val="FootnoteReference"/>
          <w:lang w:val="en-US"/>
        </w:rPr>
        <w:footnoteReference w:id="79"/>
      </w:r>
      <w:r w:rsidR="00AD19B5">
        <w:rPr>
          <w:lang w:val="en-US"/>
        </w:rPr>
        <w:t xml:space="preserve"> </w:t>
      </w:r>
      <w:r w:rsidR="00E45F32">
        <w:rPr>
          <w:lang w:val="en-US"/>
        </w:rPr>
        <w:t xml:space="preserve"> </w:t>
      </w:r>
      <w:r w:rsidR="00860EE7">
        <w:rPr>
          <w:lang w:val="en-US"/>
        </w:rPr>
        <w:t xml:space="preserve">   </w:t>
      </w:r>
      <w:r w:rsidR="008E0B91">
        <w:rPr>
          <w:lang w:val="en-US"/>
        </w:rPr>
        <w:t xml:space="preserve"> </w:t>
      </w:r>
    </w:p>
    <w:p w14:paraId="1DCE185E" w14:textId="649FFDB7" w:rsidR="006236F4" w:rsidRDefault="006236F4" w:rsidP="006236F4">
      <w:pPr>
        <w:pStyle w:val="Heading1"/>
        <w:rPr>
          <w:lang w:val="en-US"/>
        </w:rPr>
      </w:pPr>
      <w:r>
        <w:rPr>
          <w:lang w:val="en-US"/>
        </w:rPr>
        <w:t>Sanctity</w:t>
      </w:r>
      <w:r w:rsidR="006D2E14">
        <w:rPr>
          <w:lang w:val="en-US"/>
        </w:rPr>
        <w:t xml:space="preserve"> Structured</w:t>
      </w:r>
    </w:p>
    <w:p w14:paraId="2C93D8A2" w14:textId="6E93804A" w:rsidR="00CC16F4" w:rsidRDefault="001B0A7E" w:rsidP="006236F4">
      <w:pPr>
        <w:pStyle w:val="Newparagraph"/>
        <w:ind w:firstLine="0"/>
        <w:rPr>
          <w:lang w:val="en-US"/>
        </w:rPr>
      </w:pPr>
      <w:r>
        <w:rPr>
          <w:lang w:val="en-US"/>
        </w:rPr>
        <w:t>U</w:t>
      </w:r>
      <w:r w:rsidRPr="001B0A7E">
        <w:rPr>
          <w:lang w:val="en-US"/>
        </w:rPr>
        <w:t>navoidably</w:t>
      </w:r>
      <w:r w:rsidR="00D1139C">
        <w:rPr>
          <w:lang w:val="en-US"/>
        </w:rPr>
        <w:t xml:space="preserve"> </w:t>
      </w:r>
      <w:r w:rsidR="002D1CE0">
        <w:rPr>
          <w:lang w:val="en-US"/>
        </w:rPr>
        <w:t xml:space="preserve">resonating the </w:t>
      </w:r>
      <w:r w:rsidR="0097706B">
        <w:rPr>
          <w:lang w:val="en-US"/>
        </w:rPr>
        <w:t xml:space="preserve">dichotomy of </w:t>
      </w:r>
      <w:r>
        <w:rPr>
          <w:lang w:val="en-US"/>
        </w:rPr>
        <w:t xml:space="preserve">the </w:t>
      </w:r>
      <w:r w:rsidR="007C513E" w:rsidRPr="007C513E">
        <w:rPr>
          <w:lang w:val="en-US"/>
        </w:rPr>
        <w:t xml:space="preserve">centripetal </w:t>
      </w:r>
      <w:r w:rsidR="0097706B">
        <w:rPr>
          <w:lang w:val="en-US"/>
        </w:rPr>
        <w:t xml:space="preserve">concept of </w:t>
      </w:r>
      <w:r w:rsidR="009055E4">
        <w:rPr>
          <w:lang w:val="en-US"/>
        </w:rPr>
        <w:t xml:space="preserve">Temple’s </w:t>
      </w:r>
      <w:r w:rsidR="0097706B">
        <w:rPr>
          <w:lang w:val="en-US"/>
        </w:rPr>
        <w:t xml:space="preserve">sanctity </w:t>
      </w:r>
      <w:r w:rsidR="009055E4">
        <w:rPr>
          <w:lang w:val="en-US"/>
        </w:rPr>
        <w:t xml:space="preserve">and </w:t>
      </w:r>
      <w:r w:rsidR="007C513E" w:rsidRPr="007C513E">
        <w:rPr>
          <w:lang w:val="en-US"/>
        </w:rPr>
        <w:t>centrifugal</w:t>
      </w:r>
      <w:r w:rsidR="0097706B">
        <w:rPr>
          <w:lang w:val="en-US"/>
        </w:rPr>
        <w:t xml:space="preserve"> sanctity of </w:t>
      </w:r>
      <w:r w:rsidR="00ED1926">
        <w:rPr>
          <w:lang w:val="en-US"/>
        </w:rPr>
        <w:t>synagogues</w:t>
      </w:r>
      <w:r w:rsidR="0097706B">
        <w:rPr>
          <w:lang w:val="en-US"/>
        </w:rPr>
        <w:t xml:space="preserve">, </w:t>
      </w:r>
      <w:r w:rsidR="004736EA">
        <w:rPr>
          <w:lang w:val="en-US"/>
        </w:rPr>
        <w:t xml:space="preserve">the spatial </w:t>
      </w:r>
      <w:r w:rsidR="001C54EF">
        <w:rPr>
          <w:lang w:val="en-US"/>
        </w:rPr>
        <w:t xml:space="preserve">and positional </w:t>
      </w:r>
      <w:r w:rsidR="004736EA">
        <w:rPr>
          <w:lang w:val="en-US"/>
        </w:rPr>
        <w:t xml:space="preserve">aspects of the sacred in </w:t>
      </w:r>
      <w:r w:rsidR="00ED1926">
        <w:rPr>
          <w:lang w:val="en-US"/>
        </w:rPr>
        <w:t xml:space="preserve">the latter architecture </w:t>
      </w:r>
      <w:r w:rsidR="00130943">
        <w:rPr>
          <w:lang w:val="en-US"/>
        </w:rPr>
        <w:t xml:space="preserve">has </w:t>
      </w:r>
      <w:r w:rsidR="004736EA">
        <w:rPr>
          <w:lang w:val="en-US"/>
        </w:rPr>
        <w:t>bec</w:t>
      </w:r>
      <w:r w:rsidR="00130943">
        <w:rPr>
          <w:lang w:val="en-US"/>
        </w:rPr>
        <w:t>o</w:t>
      </w:r>
      <w:r w:rsidR="004736EA">
        <w:rPr>
          <w:lang w:val="en-US"/>
        </w:rPr>
        <w:t xml:space="preserve">me a </w:t>
      </w:r>
      <w:r w:rsidR="001C54EF">
        <w:rPr>
          <w:lang w:val="en-US"/>
        </w:rPr>
        <w:t xml:space="preserve">particular </w:t>
      </w:r>
      <w:r w:rsidR="004736EA">
        <w:rPr>
          <w:lang w:val="en-US"/>
        </w:rPr>
        <w:t xml:space="preserve">target of </w:t>
      </w:r>
      <w:r w:rsidR="002D1CE0">
        <w:rPr>
          <w:lang w:val="en-US"/>
        </w:rPr>
        <w:t>scholarly</w:t>
      </w:r>
      <w:r w:rsidR="00000ECB">
        <w:rPr>
          <w:lang w:val="en-US"/>
        </w:rPr>
        <w:t xml:space="preserve"> </w:t>
      </w:r>
      <w:r w:rsidR="00452E87" w:rsidRPr="000403A0">
        <w:rPr>
          <w:lang w:val="en-US"/>
        </w:rPr>
        <w:t>e</w:t>
      </w:r>
      <w:r w:rsidR="001C54EF">
        <w:rPr>
          <w:lang w:val="en-US"/>
        </w:rPr>
        <w:t>xploration</w:t>
      </w:r>
      <w:r w:rsidR="00000ECB">
        <w:rPr>
          <w:lang w:val="en-US"/>
        </w:rPr>
        <w:t>.</w:t>
      </w:r>
      <w:r w:rsidR="0097706B">
        <w:rPr>
          <w:lang w:val="en-US"/>
        </w:rPr>
        <w:t xml:space="preserve"> </w:t>
      </w:r>
    </w:p>
    <w:bookmarkEnd w:id="68"/>
    <w:bookmarkEnd w:id="69"/>
    <w:p w14:paraId="7AA25E95" w14:textId="77777777" w:rsidR="00B23FF7" w:rsidRDefault="00B23FF7" w:rsidP="006B5936">
      <w:pPr>
        <w:pStyle w:val="Heading2"/>
        <w:rPr>
          <w:lang w:val="en-US"/>
        </w:rPr>
      </w:pPr>
      <w:r>
        <w:t>T</w:t>
      </w:r>
      <w:proofErr w:type="spellStart"/>
      <w:r w:rsidRPr="008011A2">
        <w:rPr>
          <w:lang w:val="en-US"/>
        </w:rPr>
        <w:t>heophany</w:t>
      </w:r>
      <w:proofErr w:type="spellEnd"/>
    </w:p>
    <w:p w14:paraId="56D85E8F" w14:textId="0A6AE2F7" w:rsidR="00650353" w:rsidRDefault="00147CF3" w:rsidP="007B1DC1">
      <w:pPr>
        <w:pStyle w:val="Paragraph"/>
        <w:rPr>
          <w:lang w:val="en-US"/>
        </w:rPr>
      </w:pPr>
      <w:r>
        <w:rPr>
          <w:lang w:val="en-US"/>
        </w:rPr>
        <w:t>T</w:t>
      </w:r>
      <w:r w:rsidR="00144BDB">
        <w:rPr>
          <w:lang w:val="en-US"/>
        </w:rPr>
        <w:t xml:space="preserve">houghts about the </w:t>
      </w:r>
      <w:r w:rsidR="00FD3100">
        <w:rPr>
          <w:lang w:val="en-US"/>
        </w:rPr>
        <w:t>critical</w:t>
      </w:r>
      <w:r w:rsidR="006B475E">
        <w:rPr>
          <w:lang w:val="en-US"/>
        </w:rPr>
        <w:t xml:space="preserve"> </w:t>
      </w:r>
      <w:r w:rsidR="00144BDB">
        <w:rPr>
          <w:lang w:val="en-US"/>
        </w:rPr>
        <w:t xml:space="preserve">turn from the Temple’s uniqueness to multiplicity of </w:t>
      </w:r>
      <w:r w:rsidR="00144BDB">
        <w:rPr>
          <w:lang w:val="en-US"/>
        </w:rPr>
        <w:lastRenderedPageBreak/>
        <w:t xml:space="preserve">synagogues </w:t>
      </w:r>
      <w:r w:rsidR="00407068">
        <w:rPr>
          <w:lang w:val="en-US"/>
        </w:rPr>
        <w:t xml:space="preserve">involved the question </w:t>
      </w:r>
      <w:r w:rsidR="00FD3100">
        <w:rPr>
          <w:lang w:val="en-US"/>
        </w:rPr>
        <w:t xml:space="preserve">of </w:t>
      </w:r>
      <w:r w:rsidR="00407068">
        <w:rPr>
          <w:lang w:val="en-US"/>
        </w:rPr>
        <w:t xml:space="preserve">what happened to the </w:t>
      </w:r>
      <w:proofErr w:type="spellStart"/>
      <w:r w:rsidR="00407068" w:rsidRPr="00407068">
        <w:rPr>
          <w:i/>
          <w:iCs/>
          <w:lang w:val="en-US"/>
        </w:rPr>
        <w:t>Shekhinah</w:t>
      </w:r>
      <w:proofErr w:type="spellEnd"/>
      <w:r w:rsidR="00407068">
        <w:rPr>
          <w:lang w:val="en-US"/>
        </w:rPr>
        <w:t xml:space="preserve"> (divine presence), </w:t>
      </w:r>
      <w:r w:rsidR="001A1678">
        <w:rPr>
          <w:lang w:val="en-US"/>
        </w:rPr>
        <w:t>core and salient force of the Temple’s sanctity</w:t>
      </w:r>
      <w:r w:rsidR="00407068">
        <w:rPr>
          <w:lang w:val="en-US"/>
        </w:rPr>
        <w:t>, after the Temple</w:t>
      </w:r>
      <w:r w:rsidR="006B475E">
        <w:rPr>
          <w:lang w:val="en-US"/>
        </w:rPr>
        <w:t xml:space="preserve"> </w:t>
      </w:r>
      <w:r w:rsidR="001A1678">
        <w:rPr>
          <w:lang w:val="en-US"/>
        </w:rPr>
        <w:t xml:space="preserve">was </w:t>
      </w:r>
      <w:r w:rsidR="006B475E">
        <w:rPr>
          <w:lang w:val="en-US"/>
        </w:rPr>
        <w:t xml:space="preserve">destroyed. </w:t>
      </w:r>
      <w:r w:rsidR="002D2BC1" w:rsidRPr="002D2BC1">
        <w:rPr>
          <w:lang w:val="en-US"/>
        </w:rPr>
        <w:t>Uri Ehrlich</w:t>
      </w:r>
      <w:r w:rsidR="002D2BC1">
        <w:rPr>
          <w:lang w:val="en-US"/>
        </w:rPr>
        <w:t xml:space="preserve"> </w:t>
      </w:r>
      <w:r w:rsidR="002B4674">
        <w:rPr>
          <w:lang w:val="en-US"/>
        </w:rPr>
        <w:t xml:space="preserve">accounted the scenarios of the human-divine </w:t>
      </w:r>
      <w:r w:rsidR="002161A9">
        <w:rPr>
          <w:lang w:val="en-US"/>
        </w:rPr>
        <w:t xml:space="preserve">encounter that </w:t>
      </w:r>
      <w:r w:rsidR="00FD3100">
        <w:rPr>
          <w:lang w:val="en-US"/>
        </w:rPr>
        <w:t>passed from the Temple to synagogues</w:t>
      </w:r>
      <w:r w:rsidR="0045198E">
        <w:rPr>
          <w:lang w:val="en-US"/>
        </w:rPr>
        <w:t>,</w:t>
      </w:r>
      <w:r w:rsidR="00AE701B">
        <w:rPr>
          <w:rStyle w:val="FootnoteReference"/>
          <w:lang w:val="en-US"/>
        </w:rPr>
        <w:footnoteReference w:id="80"/>
      </w:r>
      <w:r w:rsidR="0045198E">
        <w:rPr>
          <w:lang w:val="en-US"/>
        </w:rPr>
        <w:t xml:space="preserve"> and Swar</w:t>
      </w:r>
      <w:r w:rsidR="007B1DC1">
        <w:rPr>
          <w:lang w:val="en-US"/>
        </w:rPr>
        <w:t>t</w:t>
      </w:r>
      <w:r w:rsidR="0045198E">
        <w:rPr>
          <w:lang w:val="en-US"/>
        </w:rPr>
        <w:t xml:space="preserve">z </w:t>
      </w:r>
      <w:r w:rsidR="00F8299E">
        <w:rPr>
          <w:lang w:val="en-US"/>
        </w:rPr>
        <w:t>described</w:t>
      </w:r>
      <w:r w:rsidR="0045198E">
        <w:rPr>
          <w:lang w:val="en-US"/>
        </w:rPr>
        <w:t xml:space="preserve"> the </w:t>
      </w:r>
      <w:r w:rsidR="007B1DC1">
        <w:rPr>
          <w:lang w:val="en-US"/>
        </w:rPr>
        <w:t xml:space="preserve">synagogue ritual as a recreation of dramatic empathy with </w:t>
      </w:r>
      <w:r w:rsidR="0045198E">
        <w:rPr>
          <w:lang w:val="en-US"/>
        </w:rPr>
        <w:t xml:space="preserve">witnessing </w:t>
      </w:r>
      <w:r w:rsidR="007B1DC1">
        <w:rPr>
          <w:lang w:val="en-US"/>
        </w:rPr>
        <w:t>the</w:t>
      </w:r>
      <w:r w:rsidR="0045198E">
        <w:rPr>
          <w:lang w:val="en-US"/>
        </w:rPr>
        <w:t xml:space="preserve"> </w:t>
      </w:r>
      <w:r w:rsidR="00D76549">
        <w:rPr>
          <w:lang w:val="en-US"/>
        </w:rPr>
        <w:t xml:space="preserve">reflection of the divine presence </w:t>
      </w:r>
      <w:r w:rsidR="007B1DC1">
        <w:rPr>
          <w:lang w:val="en-US"/>
        </w:rPr>
        <w:t>in the Temple.</w:t>
      </w:r>
      <w:r w:rsidR="007B1DC1">
        <w:rPr>
          <w:rStyle w:val="FootnoteReference"/>
          <w:lang w:val="en-US"/>
        </w:rPr>
        <w:footnoteReference w:id="81"/>
      </w:r>
      <w:r w:rsidR="007B1DC1">
        <w:rPr>
          <w:lang w:val="en-US"/>
        </w:rPr>
        <w:t xml:space="preserve"> </w:t>
      </w:r>
      <w:r w:rsidR="002323D8">
        <w:rPr>
          <w:lang w:val="en-US"/>
        </w:rPr>
        <w:t xml:space="preserve">There was no rabbinical agreement </w:t>
      </w:r>
      <w:r w:rsidR="00F5399D">
        <w:rPr>
          <w:lang w:val="en-US"/>
        </w:rPr>
        <w:t xml:space="preserve">about </w:t>
      </w:r>
      <w:r w:rsidR="002E202F">
        <w:rPr>
          <w:lang w:val="en-US"/>
        </w:rPr>
        <w:t xml:space="preserve">the point of </w:t>
      </w:r>
      <w:r w:rsidR="002323D8">
        <w:rPr>
          <w:lang w:val="en-US"/>
        </w:rPr>
        <w:t xml:space="preserve">whether the </w:t>
      </w:r>
      <w:proofErr w:type="spellStart"/>
      <w:r w:rsidR="002323D8" w:rsidRPr="00F5399D">
        <w:rPr>
          <w:i/>
          <w:iCs/>
          <w:lang w:val="en-US"/>
        </w:rPr>
        <w:t>Shekhinah</w:t>
      </w:r>
      <w:proofErr w:type="spellEnd"/>
      <w:r w:rsidR="002323D8">
        <w:rPr>
          <w:lang w:val="en-US"/>
        </w:rPr>
        <w:t xml:space="preserve"> departed from the Temple’s precincts. Nevertheless, one </w:t>
      </w:r>
      <w:r w:rsidR="003F46FA">
        <w:rPr>
          <w:lang w:val="en-US"/>
        </w:rPr>
        <w:t xml:space="preserve">opinion held that the </w:t>
      </w:r>
      <w:r w:rsidR="00FC0B1F">
        <w:rPr>
          <w:lang w:val="en-US"/>
        </w:rPr>
        <w:t xml:space="preserve">synagogue </w:t>
      </w:r>
      <w:r w:rsidR="003F46FA">
        <w:rPr>
          <w:lang w:val="en-US"/>
        </w:rPr>
        <w:t>worshiper</w:t>
      </w:r>
      <w:r w:rsidR="00FC0B1F">
        <w:rPr>
          <w:lang w:val="en-US"/>
        </w:rPr>
        <w:t xml:space="preserve">s </w:t>
      </w:r>
      <w:r w:rsidR="002323D8">
        <w:rPr>
          <w:lang w:val="en-US"/>
        </w:rPr>
        <w:t xml:space="preserve">should direct </w:t>
      </w:r>
      <w:r w:rsidR="00FC0B1F">
        <w:rPr>
          <w:lang w:val="en-US"/>
        </w:rPr>
        <w:t xml:space="preserve">their prayer to </w:t>
      </w:r>
      <w:r w:rsidR="00F5399D">
        <w:rPr>
          <w:lang w:val="en-US"/>
        </w:rPr>
        <w:t xml:space="preserve">a remote focus: </w:t>
      </w:r>
      <w:r w:rsidR="00FC0B1F">
        <w:rPr>
          <w:lang w:val="en-US"/>
        </w:rPr>
        <w:t xml:space="preserve">the Temple’s location which </w:t>
      </w:r>
      <w:r w:rsidR="00F5399D">
        <w:rPr>
          <w:lang w:val="en-US"/>
        </w:rPr>
        <w:t xml:space="preserve">continued to be a portal to God’s heavenly abode. Other </w:t>
      </w:r>
      <w:r w:rsidR="00B66884">
        <w:rPr>
          <w:lang w:val="en-US"/>
        </w:rPr>
        <w:t xml:space="preserve">rabbinical </w:t>
      </w:r>
      <w:r w:rsidR="00F5399D">
        <w:rPr>
          <w:lang w:val="en-US"/>
        </w:rPr>
        <w:t xml:space="preserve">voices suggested that </w:t>
      </w:r>
      <w:r w:rsidR="000277B2">
        <w:rPr>
          <w:lang w:val="en-US"/>
        </w:rPr>
        <w:t xml:space="preserve">divine presence appeared </w:t>
      </w:r>
      <w:r w:rsidR="00935E57">
        <w:rPr>
          <w:lang w:val="en-US"/>
        </w:rPr>
        <w:t xml:space="preserve">in close proximity to the worshipper: “He who prays should regard </w:t>
      </w:r>
      <w:r w:rsidR="000277B2">
        <w:rPr>
          <w:lang w:val="en-US"/>
        </w:rPr>
        <w:t xml:space="preserve">himself as if the </w:t>
      </w:r>
      <w:proofErr w:type="spellStart"/>
      <w:r w:rsidR="000277B2" w:rsidRPr="000277B2">
        <w:rPr>
          <w:i/>
          <w:iCs/>
          <w:lang w:val="en-US"/>
        </w:rPr>
        <w:t>Shekhinah</w:t>
      </w:r>
      <w:proofErr w:type="spellEnd"/>
      <w:r w:rsidR="000277B2">
        <w:rPr>
          <w:lang w:val="en-US"/>
        </w:rPr>
        <w:t xml:space="preserve"> were before him (</w:t>
      </w:r>
      <w:r w:rsidR="000277B2" w:rsidRPr="000277B2">
        <w:rPr>
          <w:lang w:val="en-US"/>
        </w:rPr>
        <w:t>Babylonian Talmud</w:t>
      </w:r>
      <w:r w:rsidR="000277B2">
        <w:rPr>
          <w:lang w:val="en-US"/>
        </w:rPr>
        <w:t xml:space="preserve">, </w:t>
      </w:r>
      <w:r w:rsidR="000277B2" w:rsidRPr="000277B2">
        <w:rPr>
          <w:i/>
          <w:iCs/>
          <w:lang w:val="en-US"/>
        </w:rPr>
        <w:t>Sanhedrin</w:t>
      </w:r>
      <w:r w:rsidR="000277B2">
        <w:rPr>
          <w:lang w:val="en-US"/>
        </w:rPr>
        <w:t xml:space="preserve"> 22a).</w:t>
      </w:r>
      <w:r w:rsidR="00AE701B">
        <w:rPr>
          <w:rStyle w:val="FootnoteReference"/>
          <w:lang w:val="en-US"/>
        </w:rPr>
        <w:footnoteReference w:id="82"/>
      </w:r>
      <w:r w:rsidR="00935E57">
        <w:rPr>
          <w:lang w:val="en-US"/>
        </w:rPr>
        <w:t xml:space="preserve"> </w:t>
      </w:r>
    </w:p>
    <w:p w14:paraId="4B0CBCB7" w14:textId="4BB149BD" w:rsidR="00650353" w:rsidRDefault="008F37F2" w:rsidP="00650353">
      <w:pPr>
        <w:pStyle w:val="Newparagraph"/>
        <w:rPr>
          <w:lang w:val="en-US"/>
        </w:rPr>
      </w:pPr>
      <w:r>
        <w:rPr>
          <w:lang w:val="en-US"/>
        </w:rPr>
        <w:t xml:space="preserve">Joseph Sievers </w:t>
      </w:r>
      <w:r w:rsidR="00CE7E13">
        <w:rPr>
          <w:lang w:val="en-US"/>
        </w:rPr>
        <w:t>highlighted the performative aspect of invoking divine presence</w:t>
      </w:r>
      <w:r w:rsidR="00F51085">
        <w:rPr>
          <w:lang w:val="en-US"/>
        </w:rPr>
        <w:t>:</w:t>
      </w:r>
      <w:r w:rsidR="00CE7E13">
        <w:rPr>
          <w:lang w:val="en-US"/>
        </w:rPr>
        <w:t xml:space="preserve"> </w:t>
      </w:r>
      <w:r w:rsidR="00F51085" w:rsidRPr="00E516BB">
        <w:rPr>
          <w:lang w:val="en-US"/>
        </w:rPr>
        <w:t>an assembly of ten me</w:t>
      </w:r>
      <w:r w:rsidR="00F51085">
        <w:rPr>
          <w:lang w:val="en-US"/>
        </w:rPr>
        <w:t xml:space="preserve">n or even a smaller gathering for </w:t>
      </w:r>
      <w:r w:rsidR="0052716C">
        <w:rPr>
          <w:lang w:val="en-US"/>
        </w:rPr>
        <w:t>a</w:t>
      </w:r>
      <w:r w:rsidR="00D6245C">
        <w:rPr>
          <w:lang w:val="en-US"/>
        </w:rPr>
        <w:t xml:space="preserve"> </w:t>
      </w:r>
      <w:r w:rsidR="00F51085">
        <w:rPr>
          <w:lang w:val="en-US"/>
        </w:rPr>
        <w:t>heavenly sake w</w:t>
      </w:r>
      <w:r w:rsidR="00893BA3">
        <w:rPr>
          <w:lang w:val="en-US"/>
        </w:rPr>
        <w:t>ere</w:t>
      </w:r>
      <w:r w:rsidR="00F51085">
        <w:rPr>
          <w:lang w:val="en-US"/>
        </w:rPr>
        <w:t xml:space="preserve"> believed to guarantee God’s presence</w:t>
      </w:r>
      <w:r w:rsidR="00D6245C">
        <w:rPr>
          <w:lang w:val="en-US"/>
        </w:rPr>
        <w:t xml:space="preserve"> among them</w:t>
      </w:r>
      <w:r w:rsidR="00F51085">
        <w:rPr>
          <w:lang w:val="en-US"/>
        </w:rPr>
        <w:t>.</w:t>
      </w:r>
      <w:r w:rsidR="00F51085">
        <w:rPr>
          <w:rStyle w:val="FootnoteReference"/>
          <w:lang w:val="en-US"/>
        </w:rPr>
        <w:footnoteReference w:id="83"/>
      </w:r>
      <w:r w:rsidR="00F51085">
        <w:rPr>
          <w:lang w:val="en-US"/>
        </w:rPr>
        <w:t xml:space="preserve"> </w:t>
      </w:r>
      <w:r w:rsidR="00893BA3">
        <w:rPr>
          <w:lang w:val="en-US"/>
        </w:rPr>
        <w:t xml:space="preserve">Levine demonstrated that the sages anchored the mystery of </w:t>
      </w:r>
      <w:r w:rsidR="00D6245C">
        <w:rPr>
          <w:lang w:val="en-US"/>
        </w:rPr>
        <w:t>heavenly</w:t>
      </w:r>
      <w:r w:rsidR="00893BA3" w:rsidRPr="00893BA3">
        <w:rPr>
          <w:lang w:val="en-US"/>
        </w:rPr>
        <w:t xml:space="preserve"> presence with </w:t>
      </w:r>
      <w:r w:rsidR="00893BA3">
        <w:rPr>
          <w:lang w:val="en-US"/>
        </w:rPr>
        <w:t xml:space="preserve">ten </w:t>
      </w:r>
      <w:r w:rsidR="00536020">
        <w:rPr>
          <w:lang w:val="en-US"/>
        </w:rPr>
        <w:t xml:space="preserve">male worshippers (constituting a </w:t>
      </w:r>
      <w:r w:rsidR="00536020" w:rsidRPr="00536020">
        <w:rPr>
          <w:i/>
          <w:iCs/>
          <w:lang w:val="en-US"/>
        </w:rPr>
        <w:t>minyan</w:t>
      </w:r>
      <w:r w:rsidR="00536020">
        <w:rPr>
          <w:lang w:val="en-US"/>
        </w:rPr>
        <w:t xml:space="preserve">, the </w:t>
      </w:r>
      <w:r w:rsidR="00536020">
        <w:rPr>
          <w:lang w:val="en-US"/>
        </w:rPr>
        <w:lastRenderedPageBreak/>
        <w:t>quorum for Jewish collective prayer) in a synagogue.</w:t>
      </w:r>
      <w:r w:rsidR="0096091E">
        <w:rPr>
          <w:rStyle w:val="FootnoteReference"/>
          <w:lang w:val="en-US"/>
        </w:rPr>
        <w:footnoteReference w:id="84"/>
      </w:r>
      <w:r w:rsidR="0096091E">
        <w:rPr>
          <w:lang w:val="en-US"/>
        </w:rPr>
        <w:t xml:space="preserve"> </w:t>
      </w:r>
      <w:r w:rsidR="00C240A5">
        <w:rPr>
          <w:lang w:val="en-US"/>
        </w:rPr>
        <w:t xml:space="preserve">Fine elaborated on the Babylonian </w:t>
      </w:r>
      <w:proofErr w:type="spellStart"/>
      <w:r w:rsidR="00C240A5">
        <w:rPr>
          <w:lang w:val="en-US"/>
        </w:rPr>
        <w:t>topos</w:t>
      </w:r>
      <w:proofErr w:type="spellEnd"/>
      <w:r w:rsidR="00C240A5">
        <w:rPr>
          <w:lang w:val="en-US"/>
        </w:rPr>
        <w:t xml:space="preserve"> of divine presence </w:t>
      </w:r>
      <w:r w:rsidR="00757023">
        <w:rPr>
          <w:lang w:val="en-US"/>
        </w:rPr>
        <w:t xml:space="preserve">that </w:t>
      </w:r>
      <w:r w:rsidR="00005DD8">
        <w:rPr>
          <w:lang w:val="en-US"/>
        </w:rPr>
        <w:t>follow</w:t>
      </w:r>
      <w:r w:rsidR="00757023">
        <w:rPr>
          <w:lang w:val="en-US"/>
        </w:rPr>
        <w:t>ed</w:t>
      </w:r>
      <w:r w:rsidR="00005DD8">
        <w:rPr>
          <w:lang w:val="en-US"/>
        </w:rPr>
        <w:t xml:space="preserve"> Israel in</w:t>
      </w:r>
      <w:r w:rsidR="00757023">
        <w:rPr>
          <w:lang w:val="en-US"/>
        </w:rPr>
        <w:t>to</w:t>
      </w:r>
      <w:r w:rsidR="00005DD8">
        <w:rPr>
          <w:lang w:val="en-US"/>
        </w:rPr>
        <w:t xml:space="preserve"> exile </w:t>
      </w:r>
      <w:r w:rsidR="00757023">
        <w:rPr>
          <w:lang w:val="en-US"/>
        </w:rPr>
        <w:t>and</w:t>
      </w:r>
      <w:r w:rsidR="00963B6A">
        <w:rPr>
          <w:lang w:val="en-US"/>
        </w:rPr>
        <w:t xml:space="preserve"> attend</w:t>
      </w:r>
      <w:r w:rsidR="00757023">
        <w:rPr>
          <w:lang w:val="en-US"/>
        </w:rPr>
        <w:t>ed</w:t>
      </w:r>
      <w:r w:rsidR="00963B6A">
        <w:rPr>
          <w:lang w:val="en-US"/>
        </w:rPr>
        <w:t xml:space="preserve"> the synagogues and </w:t>
      </w:r>
      <w:r w:rsidR="00216E03">
        <w:rPr>
          <w:lang w:val="en-US"/>
        </w:rPr>
        <w:t xml:space="preserve">rabbinical academies. God’s </w:t>
      </w:r>
      <w:r w:rsidR="00C42D38">
        <w:rPr>
          <w:lang w:val="en-US"/>
        </w:rPr>
        <w:t xml:space="preserve">sojourn </w:t>
      </w:r>
      <w:r w:rsidR="00216E03">
        <w:rPr>
          <w:lang w:val="en-US"/>
        </w:rPr>
        <w:t xml:space="preserve">imbued the synagogues and houses of </w:t>
      </w:r>
      <w:r w:rsidR="00693516">
        <w:rPr>
          <w:lang w:val="en-US"/>
        </w:rPr>
        <w:t xml:space="preserve">Torah </w:t>
      </w:r>
      <w:r w:rsidR="00216E03">
        <w:rPr>
          <w:lang w:val="en-US"/>
        </w:rPr>
        <w:t>study with sanctity</w:t>
      </w:r>
      <w:r w:rsidR="00693516">
        <w:rPr>
          <w:lang w:val="en-US"/>
        </w:rPr>
        <w:t>. S</w:t>
      </w:r>
      <w:r w:rsidR="00693516" w:rsidRPr="00700AF3">
        <w:rPr>
          <w:lang w:val="en-US" w:bidi="he-IL"/>
        </w:rPr>
        <w:t>ome</w:t>
      </w:r>
      <w:r w:rsidR="00693516">
        <w:rPr>
          <w:lang w:val="en-US" w:bidi="he-IL"/>
        </w:rPr>
        <w:t xml:space="preserve"> </w:t>
      </w:r>
      <w:r w:rsidR="00693516" w:rsidRPr="00700AF3">
        <w:rPr>
          <w:lang w:val="en-US" w:bidi="he-IL"/>
        </w:rPr>
        <w:t xml:space="preserve">Amoraic </w:t>
      </w:r>
      <w:r w:rsidR="00693516">
        <w:rPr>
          <w:lang w:val="en-US" w:bidi="he-IL"/>
        </w:rPr>
        <w:t>s</w:t>
      </w:r>
      <w:r w:rsidR="00693516" w:rsidRPr="00700AF3">
        <w:rPr>
          <w:lang w:val="en-US" w:bidi="he-IL"/>
        </w:rPr>
        <w:t xml:space="preserve">ages </w:t>
      </w:r>
      <w:r w:rsidR="00693516">
        <w:rPr>
          <w:lang w:val="en-US" w:bidi="he-IL"/>
        </w:rPr>
        <w:t>considered t</w:t>
      </w:r>
      <w:r w:rsidR="00693516" w:rsidRPr="00700AF3">
        <w:rPr>
          <w:lang w:val="en-US" w:bidi="he-IL"/>
        </w:rPr>
        <w:t xml:space="preserve">he study house </w:t>
      </w:r>
      <w:r w:rsidR="00693516">
        <w:rPr>
          <w:lang w:val="en-US" w:bidi="he-IL"/>
        </w:rPr>
        <w:t xml:space="preserve">even </w:t>
      </w:r>
      <w:r w:rsidR="00693516" w:rsidRPr="00700AF3">
        <w:rPr>
          <w:lang w:val="en-US" w:bidi="he-IL"/>
        </w:rPr>
        <w:t>hol</w:t>
      </w:r>
      <w:r w:rsidR="00693516">
        <w:rPr>
          <w:lang w:val="en-US" w:bidi="he-IL"/>
        </w:rPr>
        <w:t>ier</w:t>
      </w:r>
      <w:r w:rsidR="00693516" w:rsidRPr="00700AF3">
        <w:rPr>
          <w:lang w:val="en-US" w:bidi="he-IL"/>
        </w:rPr>
        <w:t xml:space="preserve"> than th</w:t>
      </w:r>
      <w:r w:rsidR="00693516">
        <w:rPr>
          <w:lang w:val="en-US" w:bidi="he-IL"/>
        </w:rPr>
        <w:t>e</w:t>
      </w:r>
      <w:r w:rsidR="00693516" w:rsidRPr="00700AF3">
        <w:rPr>
          <w:lang w:val="en-US" w:bidi="he-IL"/>
        </w:rPr>
        <w:t xml:space="preserve"> synagogue</w:t>
      </w:r>
      <w:r w:rsidR="00693516">
        <w:rPr>
          <w:lang w:val="en-US" w:bidi="he-IL"/>
        </w:rPr>
        <w:t>.</w:t>
      </w:r>
      <w:r w:rsidR="00693516">
        <w:rPr>
          <w:lang w:val="en-US"/>
        </w:rPr>
        <w:t xml:space="preserve"> M</w:t>
      </w:r>
      <w:r w:rsidR="00650353">
        <w:rPr>
          <w:lang w:val="en-US"/>
        </w:rPr>
        <w:t>ore intensive visitations</w:t>
      </w:r>
      <w:r w:rsidR="00216E03">
        <w:rPr>
          <w:lang w:val="en-US"/>
        </w:rPr>
        <w:t xml:space="preserve"> </w:t>
      </w:r>
      <w:r w:rsidR="00CE3FC5">
        <w:rPr>
          <w:lang w:val="en-US"/>
        </w:rPr>
        <w:t xml:space="preserve">of divine presence </w:t>
      </w:r>
      <w:r w:rsidR="00650353">
        <w:rPr>
          <w:lang w:val="en-US"/>
        </w:rPr>
        <w:t xml:space="preserve">to chosen synagogues (the </w:t>
      </w:r>
      <w:proofErr w:type="spellStart"/>
      <w:r w:rsidR="00650353" w:rsidRPr="00216E03">
        <w:rPr>
          <w:i/>
          <w:iCs/>
          <w:lang w:val="en-US"/>
        </w:rPr>
        <w:t>Hu</w:t>
      </w:r>
      <w:r w:rsidR="00650353">
        <w:rPr>
          <w:i/>
          <w:iCs/>
          <w:lang w:val="en-US"/>
        </w:rPr>
        <w:t>ẓ</w:t>
      </w:r>
      <w:r w:rsidR="00650353" w:rsidRPr="00216E03">
        <w:rPr>
          <w:i/>
          <w:iCs/>
          <w:lang w:val="en-US"/>
        </w:rPr>
        <w:t>al</w:t>
      </w:r>
      <w:proofErr w:type="spellEnd"/>
      <w:r w:rsidR="00650353" w:rsidRPr="00216E03">
        <w:rPr>
          <w:lang w:val="en-US"/>
        </w:rPr>
        <w:t xml:space="preserve"> and </w:t>
      </w:r>
      <w:r w:rsidR="00650353" w:rsidRPr="00216E03">
        <w:rPr>
          <w:i/>
          <w:iCs/>
          <w:lang w:val="en-US"/>
        </w:rPr>
        <w:t xml:space="preserve">Shaf </w:t>
      </w:r>
      <w:proofErr w:type="spellStart"/>
      <w:r w:rsidR="00650353" w:rsidRPr="00216E03">
        <w:rPr>
          <w:i/>
          <w:iCs/>
          <w:lang w:val="en-US"/>
        </w:rPr>
        <w:t>ve-Yat</w:t>
      </w:r>
      <w:r w:rsidR="00650353">
        <w:rPr>
          <w:i/>
          <w:iCs/>
          <w:lang w:val="en-US"/>
        </w:rPr>
        <w:t>i</w:t>
      </w:r>
      <w:r w:rsidR="00650353" w:rsidRPr="00216E03">
        <w:rPr>
          <w:i/>
          <w:iCs/>
          <w:lang w:val="en-US"/>
        </w:rPr>
        <w:t>v</w:t>
      </w:r>
      <w:proofErr w:type="spellEnd"/>
      <w:r w:rsidR="00650353">
        <w:rPr>
          <w:lang w:val="en-US"/>
        </w:rPr>
        <w:t xml:space="preserve"> in </w:t>
      </w:r>
      <w:proofErr w:type="spellStart"/>
      <w:r w:rsidR="00650353">
        <w:t>Nehardea</w:t>
      </w:r>
      <w:proofErr w:type="spellEnd"/>
      <w:r w:rsidR="00650353">
        <w:t>)</w:t>
      </w:r>
      <w:r w:rsidR="00650353">
        <w:rPr>
          <w:lang w:val="en-US"/>
        </w:rPr>
        <w:t xml:space="preserve"> could attribute to them a higher degree of holiness.</w:t>
      </w:r>
      <w:r w:rsidR="00650353">
        <w:rPr>
          <w:rStyle w:val="FootnoteReference"/>
          <w:lang w:val="en-US"/>
        </w:rPr>
        <w:footnoteReference w:id="85"/>
      </w:r>
      <w:r w:rsidR="00650353">
        <w:rPr>
          <w:lang w:val="en-US"/>
        </w:rPr>
        <w:t xml:space="preserve"> </w:t>
      </w:r>
    </w:p>
    <w:p w14:paraId="103DE6D5" w14:textId="4AD92BD7" w:rsidR="007F0743" w:rsidRDefault="00CE3FC5" w:rsidP="0046168F">
      <w:pPr>
        <w:pStyle w:val="Newparagraph"/>
        <w:rPr>
          <w:lang w:val="en-US"/>
        </w:rPr>
      </w:pPr>
      <w:r>
        <w:rPr>
          <w:lang w:val="en-US"/>
        </w:rPr>
        <w:t xml:space="preserve">Branham </w:t>
      </w:r>
      <w:r w:rsidR="0046168F">
        <w:rPr>
          <w:lang w:val="en-US"/>
        </w:rPr>
        <w:t xml:space="preserve">suggested that </w:t>
      </w:r>
      <w:r w:rsidR="00BE313F">
        <w:rPr>
          <w:lang w:val="en-US"/>
        </w:rPr>
        <w:t xml:space="preserve">the </w:t>
      </w:r>
      <w:r w:rsidR="0046168F">
        <w:rPr>
          <w:lang w:val="en-US"/>
        </w:rPr>
        <w:t xml:space="preserve">artistic decoration of the </w:t>
      </w:r>
      <w:r>
        <w:rPr>
          <w:lang w:val="en-US"/>
        </w:rPr>
        <w:t>Dura Europos and Bet Alpha</w:t>
      </w:r>
      <w:r w:rsidR="0046168F">
        <w:rPr>
          <w:lang w:val="en-US"/>
        </w:rPr>
        <w:t xml:space="preserve"> </w:t>
      </w:r>
      <w:r>
        <w:rPr>
          <w:lang w:val="en-US"/>
        </w:rPr>
        <w:t>synagogues</w:t>
      </w:r>
      <w:r w:rsidR="0046168F">
        <w:rPr>
          <w:lang w:val="en-US"/>
        </w:rPr>
        <w:t xml:space="preserve"> implied </w:t>
      </w:r>
      <w:r w:rsidR="00D54D7D">
        <w:rPr>
          <w:lang w:val="en-US"/>
        </w:rPr>
        <w:t>the</w:t>
      </w:r>
      <w:r w:rsidR="0046168F">
        <w:rPr>
          <w:lang w:val="en-US"/>
        </w:rPr>
        <w:t xml:space="preserve"> sense </w:t>
      </w:r>
      <w:r w:rsidR="00D54D7D">
        <w:rPr>
          <w:lang w:val="en-US"/>
        </w:rPr>
        <w:t>that Eliade called divine “rupture”</w:t>
      </w:r>
      <w:r w:rsidR="0046168F">
        <w:rPr>
          <w:lang w:val="en-US"/>
        </w:rPr>
        <w:t>.</w:t>
      </w:r>
      <w:r>
        <w:rPr>
          <w:rStyle w:val="FootnoteReference"/>
          <w:lang w:val="en-US"/>
        </w:rPr>
        <w:footnoteReference w:id="86"/>
      </w:r>
      <w:r w:rsidR="0046168F">
        <w:rPr>
          <w:lang w:val="en-US"/>
        </w:rPr>
        <w:t xml:space="preserve"> </w:t>
      </w:r>
      <w:r w:rsidR="004C49BA">
        <w:rPr>
          <w:lang w:val="en-US"/>
        </w:rPr>
        <w:t xml:space="preserve">Fine </w:t>
      </w:r>
      <w:r w:rsidR="00C773E6">
        <w:rPr>
          <w:lang w:val="en-US"/>
        </w:rPr>
        <w:t xml:space="preserve">imagined </w:t>
      </w:r>
      <w:r w:rsidR="00536206">
        <w:rPr>
          <w:lang w:val="en-US"/>
        </w:rPr>
        <w:t xml:space="preserve">the </w:t>
      </w:r>
      <w:r w:rsidR="00DC703B">
        <w:rPr>
          <w:lang w:val="en-US"/>
        </w:rPr>
        <w:t>believers’</w:t>
      </w:r>
      <w:r w:rsidR="00536206">
        <w:rPr>
          <w:lang w:val="en-US"/>
        </w:rPr>
        <w:t xml:space="preserve"> </w:t>
      </w:r>
      <w:r w:rsidR="00DC703B">
        <w:rPr>
          <w:lang w:val="en-US"/>
        </w:rPr>
        <w:t xml:space="preserve">sense of </w:t>
      </w:r>
      <w:r w:rsidR="003F02BB">
        <w:rPr>
          <w:lang w:val="en-US"/>
        </w:rPr>
        <w:t xml:space="preserve">immediate encounter with </w:t>
      </w:r>
      <w:r w:rsidR="00C773E6">
        <w:rPr>
          <w:lang w:val="en-US"/>
        </w:rPr>
        <w:t xml:space="preserve">invisible </w:t>
      </w:r>
      <w:proofErr w:type="spellStart"/>
      <w:r w:rsidR="00C773E6">
        <w:rPr>
          <w:lang w:val="en-US"/>
        </w:rPr>
        <w:t>Shekhinah</w:t>
      </w:r>
      <w:proofErr w:type="spellEnd"/>
      <w:r w:rsidR="00C773E6">
        <w:rPr>
          <w:lang w:val="en-US"/>
        </w:rPr>
        <w:t>, whe</w:t>
      </w:r>
      <w:r w:rsidR="00DD1902">
        <w:rPr>
          <w:lang w:val="en-US"/>
        </w:rPr>
        <w:t>n</w:t>
      </w:r>
      <w:r w:rsidR="00C773E6">
        <w:rPr>
          <w:lang w:val="en-US"/>
        </w:rPr>
        <w:t xml:space="preserve"> </w:t>
      </w:r>
      <w:r w:rsidR="00DC703B">
        <w:rPr>
          <w:lang w:val="en-US"/>
        </w:rPr>
        <w:t xml:space="preserve">they gazed at the Torah scrolls in the opened </w:t>
      </w:r>
      <w:r w:rsidR="00C773E6">
        <w:rPr>
          <w:lang w:val="en-US"/>
        </w:rPr>
        <w:t>synagogue ark.</w:t>
      </w:r>
      <w:r w:rsidR="00C773E6">
        <w:rPr>
          <w:rStyle w:val="FootnoteReference"/>
          <w:lang w:val="en-US"/>
        </w:rPr>
        <w:footnoteReference w:id="87"/>
      </w:r>
      <w:r w:rsidR="00991B8D">
        <w:rPr>
          <w:lang w:val="en-US"/>
        </w:rPr>
        <w:t xml:space="preserve"> </w:t>
      </w:r>
      <w:r w:rsidR="0062403B">
        <w:rPr>
          <w:lang w:val="en-US"/>
        </w:rPr>
        <w:t>I proposed that t</w:t>
      </w:r>
      <w:r w:rsidR="00BD7D84">
        <w:rPr>
          <w:lang w:val="en-US"/>
        </w:rPr>
        <w:t xml:space="preserve">he </w:t>
      </w:r>
      <w:r w:rsidR="00483A34">
        <w:rPr>
          <w:lang w:val="en-US"/>
        </w:rPr>
        <w:t>architectural form</w:t>
      </w:r>
      <w:r w:rsidR="00997B0B">
        <w:rPr>
          <w:lang w:val="en-US"/>
        </w:rPr>
        <w:t>s,</w:t>
      </w:r>
      <w:r w:rsidR="00483A34">
        <w:rPr>
          <w:lang w:val="en-US"/>
        </w:rPr>
        <w:t xml:space="preserve"> </w:t>
      </w:r>
      <w:r w:rsidR="00997B0B">
        <w:rPr>
          <w:lang w:val="en-US"/>
        </w:rPr>
        <w:t xml:space="preserve">symbols, and inscriptions </w:t>
      </w:r>
      <w:r w:rsidR="00483A34">
        <w:rPr>
          <w:lang w:val="en-US"/>
        </w:rPr>
        <w:t xml:space="preserve">of </w:t>
      </w:r>
      <w:r w:rsidR="00997B0B">
        <w:rPr>
          <w:lang w:val="en-US"/>
        </w:rPr>
        <w:t>the ark and bimah</w:t>
      </w:r>
      <w:r w:rsidR="00BD7D84">
        <w:rPr>
          <w:lang w:val="en-US"/>
        </w:rPr>
        <w:t xml:space="preserve"> in </w:t>
      </w:r>
      <w:r w:rsidR="00D3760D">
        <w:rPr>
          <w:lang w:val="en-US"/>
        </w:rPr>
        <w:t>from to</w:t>
      </w:r>
      <w:r w:rsidR="00BD7D84">
        <w:rPr>
          <w:lang w:val="en-US"/>
        </w:rPr>
        <w:t xml:space="preserve"> early modern </w:t>
      </w:r>
      <w:r w:rsidR="00997B0B">
        <w:rPr>
          <w:lang w:val="en-US"/>
        </w:rPr>
        <w:t xml:space="preserve">European </w:t>
      </w:r>
      <w:r w:rsidR="00BD7D84">
        <w:rPr>
          <w:lang w:val="en-US"/>
        </w:rPr>
        <w:t xml:space="preserve">synagogues </w:t>
      </w:r>
      <w:r w:rsidR="0062403B">
        <w:rPr>
          <w:lang w:val="en-US"/>
        </w:rPr>
        <w:t xml:space="preserve">alluded to </w:t>
      </w:r>
      <w:r w:rsidR="00483A34">
        <w:rPr>
          <w:lang w:val="en-US"/>
        </w:rPr>
        <w:t>divine</w:t>
      </w:r>
      <w:r w:rsidR="0062403B">
        <w:rPr>
          <w:lang w:val="en-US"/>
        </w:rPr>
        <w:t xml:space="preserve"> </w:t>
      </w:r>
      <w:r w:rsidR="00483A34">
        <w:rPr>
          <w:lang w:val="en-US"/>
        </w:rPr>
        <w:t xml:space="preserve">presence dwelling </w:t>
      </w:r>
      <w:r w:rsidR="00997B0B">
        <w:rPr>
          <w:lang w:val="en-US"/>
        </w:rPr>
        <w:t xml:space="preserve">in or emanating </w:t>
      </w:r>
      <w:r w:rsidR="00483A34">
        <w:rPr>
          <w:lang w:val="en-US"/>
        </w:rPr>
        <w:t>in</w:t>
      </w:r>
      <w:r w:rsidR="00997B0B">
        <w:rPr>
          <w:lang w:val="en-US"/>
        </w:rPr>
        <w:t>to</w:t>
      </w:r>
      <w:r w:rsidR="00483A34">
        <w:rPr>
          <w:lang w:val="en-US"/>
        </w:rPr>
        <w:t xml:space="preserve"> the</w:t>
      </w:r>
      <w:r w:rsidR="00997B0B">
        <w:rPr>
          <w:lang w:val="en-US"/>
        </w:rPr>
        <w:t xml:space="preserve"> place of prayer</w:t>
      </w:r>
      <w:r w:rsidR="00483A34">
        <w:rPr>
          <w:lang w:val="en-US"/>
        </w:rPr>
        <w:t>.</w:t>
      </w:r>
      <w:r w:rsidR="00997B0B">
        <w:rPr>
          <w:rStyle w:val="FootnoteReference"/>
          <w:lang w:val="en-US"/>
        </w:rPr>
        <w:footnoteReference w:id="88"/>
      </w:r>
      <w:r w:rsidR="00483A34">
        <w:rPr>
          <w:lang w:val="en-US"/>
        </w:rPr>
        <w:t xml:space="preserve"> </w:t>
      </w:r>
      <w:r w:rsidR="00997B0B">
        <w:rPr>
          <w:lang w:val="en-US"/>
        </w:rPr>
        <w:t xml:space="preserve">Since the sixteenth century, some decorated synagogue arks </w:t>
      </w:r>
      <w:r w:rsidR="00D3362B">
        <w:rPr>
          <w:lang w:val="en-US"/>
        </w:rPr>
        <w:t xml:space="preserve">represented </w:t>
      </w:r>
      <w:r w:rsidR="00CB5B7C">
        <w:rPr>
          <w:lang w:val="en-US"/>
        </w:rPr>
        <w:t xml:space="preserve">the </w:t>
      </w:r>
      <w:r w:rsidR="00CB5B7C">
        <w:rPr>
          <w:lang w:val="en-US"/>
        </w:rPr>
        <w:lastRenderedPageBreak/>
        <w:t xml:space="preserve">Sinaitic revelation of the Torah, </w:t>
      </w:r>
      <w:r w:rsidR="00457F3F">
        <w:rPr>
          <w:lang w:val="en-US"/>
        </w:rPr>
        <w:t xml:space="preserve">so that taking the Torah scroll out of the </w:t>
      </w:r>
      <w:r w:rsidR="00CB5B7C">
        <w:rPr>
          <w:lang w:val="en-US"/>
        </w:rPr>
        <w:t xml:space="preserve">ark </w:t>
      </w:r>
      <w:r w:rsidR="00457F3F">
        <w:rPr>
          <w:lang w:val="en-US"/>
        </w:rPr>
        <w:t xml:space="preserve">could symbolically reenact the biblical </w:t>
      </w:r>
      <w:r w:rsidR="0042316A">
        <w:rPr>
          <w:lang w:val="en-US"/>
        </w:rPr>
        <w:t xml:space="preserve">event </w:t>
      </w:r>
      <w:r w:rsidR="00483A34">
        <w:rPr>
          <w:lang w:val="en-US"/>
        </w:rPr>
        <w:t>on front of the worshippers’ eyes</w:t>
      </w:r>
      <w:r w:rsidR="0042316A">
        <w:rPr>
          <w:lang w:val="en-US"/>
        </w:rPr>
        <w:t>.</w:t>
      </w:r>
      <w:r w:rsidR="00A867CD">
        <w:rPr>
          <w:rStyle w:val="FootnoteReference"/>
          <w:lang w:val="en-US"/>
        </w:rPr>
        <w:footnoteReference w:id="89"/>
      </w:r>
    </w:p>
    <w:p w14:paraId="4C70E00B" w14:textId="77777777" w:rsidR="002C5F71" w:rsidRPr="000F10AF" w:rsidRDefault="002C5F71" w:rsidP="006B5936">
      <w:pPr>
        <w:pStyle w:val="Heading2"/>
        <w:rPr>
          <w:lang w:val="en-US"/>
        </w:rPr>
      </w:pPr>
      <w:r w:rsidRPr="000F10AF">
        <w:rPr>
          <w:lang w:val="en-US"/>
        </w:rPr>
        <w:t>Hierophany</w:t>
      </w:r>
    </w:p>
    <w:p w14:paraId="1078E459" w14:textId="1595B314" w:rsidR="002C5F71" w:rsidRDefault="002C5F71" w:rsidP="00920AF7">
      <w:pPr>
        <w:pStyle w:val="Paragraph"/>
        <w:rPr>
          <w:lang w:val="en-US" w:bidi="he-IL"/>
        </w:rPr>
      </w:pPr>
      <w:r>
        <w:rPr>
          <w:lang w:val="en-US" w:bidi="he-IL"/>
        </w:rPr>
        <w:t xml:space="preserve">Revising the </w:t>
      </w:r>
      <w:proofErr w:type="spellStart"/>
      <w:r>
        <w:rPr>
          <w:lang w:val="en-US" w:bidi="he-IL"/>
        </w:rPr>
        <w:t>Eliadean</w:t>
      </w:r>
      <w:proofErr w:type="spellEnd"/>
      <w:r>
        <w:rPr>
          <w:lang w:val="en-US" w:bidi="he-IL"/>
        </w:rPr>
        <w:t xml:space="preserve"> </w:t>
      </w:r>
      <w:r w:rsidR="00D3760D">
        <w:rPr>
          <w:lang w:val="en-US" w:bidi="he-IL"/>
        </w:rPr>
        <w:t xml:space="preserve">immutable and mental </w:t>
      </w:r>
      <w:r>
        <w:rPr>
          <w:lang w:val="en-US" w:bidi="he-IL"/>
        </w:rPr>
        <w:t>hierophany, t</w:t>
      </w:r>
      <w:r w:rsidRPr="00FF0F10">
        <w:rPr>
          <w:lang w:val="en-US" w:bidi="he-IL"/>
        </w:rPr>
        <w:t>he studies of synagogue sanctity</w:t>
      </w:r>
      <w:r>
        <w:rPr>
          <w:lang w:val="en-US" w:bidi="he-IL"/>
        </w:rPr>
        <w:t xml:space="preserve"> explored the dynamic processes and material agencies </w:t>
      </w:r>
      <w:r w:rsidR="00AE3D7A">
        <w:rPr>
          <w:lang w:val="en-US" w:bidi="he-IL"/>
        </w:rPr>
        <w:t xml:space="preserve">that </w:t>
      </w:r>
      <w:r>
        <w:rPr>
          <w:lang w:val="en-US" w:bidi="he-IL"/>
        </w:rPr>
        <w:t>impli</w:t>
      </w:r>
      <w:r w:rsidR="00AE3D7A">
        <w:rPr>
          <w:lang w:val="en-US" w:bidi="he-IL"/>
        </w:rPr>
        <w:t>ed</w:t>
      </w:r>
      <w:r>
        <w:rPr>
          <w:lang w:val="en-US" w:bidi="he-IL"/>
        </w:rPr>
        <w:t xml:space="preserve"> manifestation of the transcendent.</w:t>
      </w:r>
      <w:r w:rsidR="00AE3D7A">
        <w:rPr>
          <w:lang w:val="en-US" w:bidi="he-IL"/>
        </w:rPr>
        <w:t xml:space="preserve"> </w:t>
      </w:r>
      <w:r w:rsidRPr="00B13477">
        <w:rPr>
          <w:lang w:val="en-US" w:bidi="he-IL"/>
        </w:rPr>
        <w:t xml:space="preserve">Steven Fine </w:t>
      </w:r>
      <w:r w:rsidR="00446B11">
        <w:rPr>
          <w:lang w:val="en-US" w:bidi="he-IL"/>
        </w:rPr>
        <w:t xml:space="preserve">tackled on </w:t>
      </w:r>
      <w:r>
        <w:rPr>
          <w:lang w:val="en-US" w:bidi="he-IL"/>
        </w:rPr>
        <w:t>the evolution of the Torah scroll as the synagogue sacred nucleus.</w:t>
      </w:r>
      <w:r>
        <w:rPr>
          <w:rStyle w:val="FootnoteReference"/>
          <w:lang w:val="en-US" w:bidi="he-IL"/>
        </w:rPr>
        <w:footnoteReference w:id="90"/>
      </w:r>
      <w:r>
        <w:rPr>
          <w:lang w:val="en-US" w:bidi="he-IL"/>
        </w:rPr>
        <w:t xml:space="preserve"> </w:t>
      </w:r>
      <w:r w:rsidR="00920AF7" w:rsidRPr="00920AF7">
        <w:rPr>
          <w:lang w:val="en-US" w:bidi="he-IL"/>
        </w:rPr>
        <w:t xml:space="preserve">Susan Haber (1957–2006) </w:t>
      </w:r>
      <w:r w:rsidR="00920AF7">
        <w:rPr>
          <w:lang w:val="en-US" w:bidi="he-IL"/>
        </w:rPr>
        <w:t xml:space="preserve">assumed that the </w:t>
      </w:r>
      <w:r w:rsidR="00920AF7" w:rsidRPr="00920AF7">
        <w:rPr>
          <w:lang w:val="en-US" w:bidi="he-IL"/>
        </w:rPr>
        <w:t>sacred scroll m</w:t>
      </w:r>
      <w:r w:rsidR="00920AF7">
        <w:rPr>
          <w:lang w:val="en-US" w:bidi="he-IL"/>
        </w:rPr>
        <w:t xml:space="preserve">ight </w:t>
      </w:r>
      <w:r w:rsidR="00920AF7" w:rsidRPr="00920AF7">
        <w:rPr>
          <w:lang w:val="en-US" w:bidi="he-IL"/>
        </w:rPr>
        <w:t xml:space="preserve">have been perceived as importing sanctity to either the </w:t>
      </w:r>
      <w:r w:rsidR="00920AF7">
        <w:rPr>
          <w:lang w:val="en-US" w:bidi="he-IL"/>
        </w:rPr>
        <w:t xml:space="preserve">synagogue </w:t>
      </w:r>
      <w:r w:rsidR="00920AF7" w:rsidRPr="00920AF7">
        <w:rPr>
          <w:lang w:val="en-US" w:bidi="he-IL"/>
        </w:rPr>
        <w:t xml:space="preserve">building or </w:t>
      </w:r>
      <w:r w:rsidR="00920AF7">
        <w:rPr>
          <w:lang w:val="en-US" w:bidi="he-IL"/>
        </w:rPr>
        <w:t>its</w:t>
      </w:r>
      <w:r w:rsidR="00920AF7" w:rsidRPr="00920AF7">
        <w:rPr>
          <w:lang w:val="en-US" w:bidi="he-IL"/>
        </w:rPr>
        <w:t xml:space="preserve"> assembly</w:t>
      </w:r>
      <w:r w:rsidR="00920AF7" w:rsidRPr="00920AF7">
        <w:t>.</w:t>
      </w:r>
      <w:r w:rsidR="00920AF7" w:rsidRPr="00920AF7">
        <w:rPr>
          <w:rStyle w:val="FootnoteReference"/>
        </w:rPr>
        <w:footnoteReference w:id="91"/>
      </w:r>
      <w:r w:rsidR="00920AF7">
        <w:t xml:space="preserve"> </w:t>
      </w:r>
      <w:r>
        <w:rPr>
          <w:lang w:val="en-US" w:bidi="he-IL"/>
        </w:rPr>
        <w:t>Th</w:t>
      </w:r>
      <w:r w:rsidR="001412E6">
        <w:rPr>
          <w:lang w:val="en-US" w:bidi="he-IL"/>
        </w:rPr>
        <w:t xml:space="preserve">e veneration of the Torah </w:t>
      </w:r>
      <w:r w:rsidR="00147CF3">
        <w:rPr>
          <w:lang w:val="en-US" w:bidi="he-IL"/>
        </w:rPr>
        <w:t>scroll</w:t>
      </w:r>
      <w:r w:rsidR="001412E6">
        <w:rPr>
          <w:lang w:val="en-US" w:bidi="he-IL"/>
        </w:rPr>
        <w:t xml:space="preserve"> and its salient role in the </w:t>
      </w:r>
      <w:r w:rsidR="00147CF3">
        <w:rPr>
          <w:lang w:val="en-US" w:bidi="he-IL"/>
        </w:rPr>
        <w:t>synagogue</w:t>
      </w:r>
      <w:r w:rsidR="001412E6">
        <w:rPr>
          <w:lang w:val="en-US" w:bidi="he-IL"/>
        </w:rPr>
        <w:t xml:space="preserve"> space </w:t>
      </w:r>
      <w:r>
        <w:rPr>
          <w:lang w:val="en-US" w:bidi="he-IL"/>
        </w:rPr>
        <w:t xml:space="preserve">emerged </w:t>
      </w:r>
      <w:r w:rsidR="00147CF3">
        <w:rPr>
          <w:lang w:val="en-US" w:bidi="he-IL"/>
        </w:rPr>
        <w:t xml:space="preserve">within </w:t>
      </w:r>
      <w:r>
        <w:rPr>
          <w:lang w:val="en-US" w:bidi="he-IL"/>
        </w:rPr>
        <w:t>wider religious and social settings of Greco-Roman cults</w:t>
      </w:r>
      <w:r w:rsidR="00446B11">
        <w:rPr>
          <w:lang w:val="en-US" w:bidi="he-IL"/>
        </w:rPr>
        <w:t>:</w:t>
      </w:r>
      <w:r>
        <w:rPr>
          <w:lang w:val="en-US" w:bidi="he-IL"/>
        </w:rPr>
        <w:t xml:space="preserve"> </w:t>
      </w:r>
      <w:r w:rsidR="00446B11">
        <w:rPr>
          <w:lang w:val="en-US" w:bidi="he-IL"/>
        </w:rPr>
        <w:t xml:space="preserve">in particular, </w:t>
      </w:r>
      <w:r w:rsidR="00446B11" w:rsidRPr="00446B11">
        <w:rPr>
          <w:lang w:val="en-US" w:bidi="he-IL"/>
        </w:rPr>
        <w:t xml:space="preserve">Karel van der </w:t>
      </w:r>
      <w:proofErr w:type="spellStart"/>
      <w:r w:rsidR="00446B11" w:rsidRPr="00446B11">
        <w:rPr>
          <w:lang w:val="en-US" w:bidi="he-IL"/>
        </w:rPr>
        <w:t>Toorn</w:t>
      </w:r>
      <w:proofErr w:type="spellEnd"/>
      <w:r w:rsidR="00446B11" w:rsidRPr="00446B11">
        <w:rPr>
          <w:lang w:val="en-US" w:bidi="he-IL"/>
        </w:rPr>
        <w:t xml:space="preserve"> </w:t>
      </w:r>
      <w:r w:rsidR="00446B11">
        <w:rPr>
          <w:lang w:val="en-US" w:bidi="he-IL"/>
        </w:rPr>
        <w:t xml:space="preserve">and </w:t>
      </w:r>
      <w:r>
        <w:rPr>
          <w:lang w:val="en-US" w:bidi="he-IL"/>
        </w:rPr>
        <w:t>Goodman pointed out the resemblance of Jewish treatment of the Torah scrolls and pagan veneration of idols.</w:t>
      </w:r>
      <w:r>
        <w:rPr>
          <w:rStyle w:val="FootnoteReference"/>
          <w:lang w:val="en-US" w:bidi="he-IL"/>
        </w:rPr>
        <w:footnoteReference w:id="92"/>
      </w:r>
      <w:r>
        <w:rPr>
          <w:lang w:val="en-US" w:bidi="he-IL"/>
        </w:rPr>
        <w:t xml:space="preserve"> Fine paralleled the formation of the </w:t>
      </w:r>
      <w:r>
        <w:rPr>
          <w:lang w:val="en-US" w:bidi="he-IL"/>
        </w:rPr>
        <w:lastRenderedPageBreak/>
        <w:t xml:space="preserve">pivotal position of a movable sacred object – the Torah scroll – in the Scripture-centered Jewish meeting houses and the development of “movable holiness” in the not temple-based polytheist communities discussed by </w:t>
      </w:r>
      <w:bookmarkStart w:id="74" w:name="_Hlk95820937"/>
      <w:r w:rsidRPr="00101996">
        <w:rPr>
          <w:lang w:val="en-US" w:bidi="he-IL"/>
        </w:rPr>
        <w:t>Smith</w:t>
      </w:r>
      <w:r>
        <w:rPr>
          <w:lang w:val="en-US" w:bidi="he-IL"/>
        </w:rPr>
        <w:t>.</w:t>
      </w:r>
      <w:bookmarkStart w:id="75" w:name="_Ref95308928"/>
      <w:r>
        <w:rPr>
          <w:rStyle w:val="FootnoteReference"/>
          <w:lang w:val="en-US" w:bidi="he-IL"/>
        </w:rPr>
        <w:footnoteReference w:id="93"/>
      </w:r>
      <w:bookmarkEnd w:id="74"/>
      <w:bookmarkEnd w:id="75"/>
      <w:r>
        <w:rPr>
          <w:lang w:val="en-US" w:bidi="he-IL"/>
        </w:rPr>
        <w:t xml:space="preserve"> </w:t>
      </w:r>
    </w:p>
    <w:p w14:paraId="50E21DBE" w14:textId="1CF2998B" w:rsidR="005B26AE" w:rsidRDefault="002C5F71" w:rsidP="000A73D7">
      <w:pPr>
        <w:pStyle w:val="Newparagraph"/>
        <w:rPr>
          <w:lang w:val="en-US"/>
        </w:rPr>
      </w:pPr>
      <w:r>
        <w:rPr>
          <w:lang w:val="en-US" w:bidi="he-IL"/>
        </w:rPr>
        <w:t xml:space="preserve">Fine accentuated that the increasing significance of reading and learning the Scripture in the synagogues acted after the destruction of the Temple in Jerusalem in 70 C.E. marked them as the realm of the Torah and caused codification of the </w:t>
      </w:r>
      <w:r w:rsidR="00446B11">
        <w:rPr>
          <w:lang w:val="en-US" w:bidi="he-IL"/>
        </w:rPr>
        <w:t xml:space="preserve">synagogue </w:t>
      </w:r>
      <w:r>
        <w:rPr>
          <w:lang w:val="en-US" w:bidi="he-IL"/>
        </w:rPr>
        <w:t xml:space="preserve">attendees’ proper decorum. The sages prohibited any inappropriate behavior in presence of the sacred scrolls as well as any utilitarian benefits derived from attending the synagogue. Nice adornment of the Torah </w:t>
      </w:r>
      <w:proofErr w:type="gramStart"/>
      <w:r>
        <w:rPr>
          <w:lang w:val="en-US" w:bidi="he-IL"/>
        </w:rPr>
        <w:t>scroll</w:t>
      </w:r>
      <w:proofErr w:type="gramEnd"/>
      <w:r>
        <w:rPr>
          <w:lang w:val="en-US" w:bidi="he-IL"/>
        </w:rPr>
        <w:t>, its receptacle, and table for its reading designated the religious value of these objects,</w:t>
      </w:r>
      <w:r>
        <w:rPr>
          <w:rStyle w:val="FootnoteReference"/>
          <w:lang w:val="en-US" w:bidi="he-IL"/>
        </w:rPr>
        <w:footnoteReference w:id="94"/>
      </w:r>
      <w:r>
        <w:rPr>
          <w:lang w:val="en-US" w:bidi="he-IL"/>
        </w:rPr>
        <w:t xml:space="preserve"> and inscriptions on them or nearby demanded pious behavior towards the Scripture. Fine quoted an example of the latter kind: the Greek inscription “</w:t>
      </w:r>
      <w:r w:rsidRPr="002A4E73">
        <w:rPr>
          <w:lang w:val="en-US" w:bidi="he-IL"/>
        </w:rPr>
        <w:t>Find, open, read</w:t>
      </w:r>
      <w:r>
        <w:rPr>
          <w:lang w:val="en-US" w:bidi="he-IL"/>
        </w:rPr>
        <w:t xml:space="preserve"> [– the Scripture]</w:t>
      </w:r>
      <w:r w:rsidRPr="002A4E73">
        <w:rPr>
          <w:lang w:val="en-US" w:bidi="he-IL"/>
        </w:rPr>
        <w:t>, observe</w:t>
      </w:r>
      <w:r>
        <w:rPr>
          <w:lang w:val="en-US" w:bidi="he-IL"/>
        </w:rPr>
        <w:t xml:space="preserve"> [– God’s commandments]</w:t>
      </w:r>
      <w:r w:rsidRPr="002A4E73">
        <w:rPr>
          <w:lang w:val="en-US" w:bidi="he-IL"/>
        </w:rPr>
        <w:t>”</w:t>
      </w:r>
      <w:r>
        <w:rPr>
          <w:lang w:val="en-US" w:bidi="he-IL"/>
        </w:rPr>
        <w:t xml:space="preserve"> from the synagogue in Sardis.</w:t>
      </w:r>
      <w:r>
        <w:rPr>
          <w:rStyle w:val="FootnoteReference"/>
          <w:lang w:val="en-US" w:bidi="he-IL"/>
        </w:rPr>
        <w:footnoteReference w:id="95"/>
      </w:r>
      <w:r>
        <w:rPr>
          <w:lang w:val="en-US" w:bidi="he-IL"/>
        </w:rPr>
        <w:t xml:space="preserve"> </w:t>
      </w:r>
      <w:bookmarkStart w:id="78" w:name="_Hlk97054388"/>
    </w:p>
    <w:p w14:paraId="56184C43" w14:textId="77777777" w:rsidR="004F29C2" w:rsidRDefault="00B23FF7" w:rsidP="004F29C2">
      <w:pPr>
        <w:pStyle w:val="Newparagraph"/>
        <w:rPr>
          <w:lang w:val="en-US"/>
        </w:rPr>
      </w:pPr>
      <w:bookmarkStart w:id="79" w:name="_Hlk95821350"/>
      <w:bookmarkEnd w:id="78"/>
      <w:r>
        <w:rPr>
          <w:lang w:val="en-US"/>
        </w:rPr>
        <w:t xml:space="preserve">In synagogues, the scroll </w:t>
      </w:r>
      <w:r w:rsidR="004F29C2">
        <w:rPr>
          <w:lang w:val="en-US"/>
        </w:rPr>
        <w:t xml:space="preserve">bearing the divinely revealed Law </w:t>
      </w:r>
      <w:r>
        <w:rPr>
          <w:lang w:val="en-US"/>
        </w:rPr>
        <w:t>mediated the miracle of Sinaitic revelation from the legendary biblical past to the present times, and conveyed it from the imagination to sensible reality.</w:t>
      </w:r>
      <w:r>
        <w:rPr>
          <w:rStyle w:val="FootnoteReference"/>
          <w:lang w:val="en-US"/>
        </w:rPr>
        <w:footnoteReference w:id="96"/>
      </w:r>
      <w:r w:rsidR="004F29C2">
        <w:rPr>
          <w:lang w:val="en-US"/>
        </w:rPr>
        <w:t xml:space="preserve"> Since the sixteenth century, some decorated synagogue arks represented the Sinaitic revelation of the Torah, so that taking the Torah </w:t>
      </w:r>
      <w:r w:rsidR="004F29C2">
        <w:rPr>
          <w:lang w:val="en-US"/>
        </w:rPr>
        <w:lastRenderedPageBreak/>
        <w:t>scroll out of the ark could symbolically reenact the biblical event on front of the worshippers’ eyes.</w:t>
      </w:r>
      <w:r w:rsidR="004F29C2">
        <w:rPr>
          <w:rStyle w:val="FootnoteReference"/>
          <w:lang w:val="en-US"/>
        </w:rPr>
        <w:footnoteReference w:id="97"/>
      </w:r>
      <w:r w:rsidR="004F29C2">
        <w:rPr>
          <w:lang w:val="en-US"/>
        </w:rPr>
        <w:t xml:space="preserve"> </w:t>
      </w:r>
    </w:p>
    <w:bookmarkEnd w:id="79"/>
    <w:p w14:paraId="1DC2CE07" w14:textId="4AB99988" w:rsidR="002C5F71" w:rsidRDefault="00446B11" w:rsidP="002C5F71">
      <w:pPr>
        <w:pStyle w:val="Newparagraph"/>
        <w:rPr>
          <w:lang w:val="en-US" w:bidi="he-IL"/>
        </w:rPr>
      </w:pPr>
      <w:r w:rsidRPr="00446B11">
        <w:rPr>
          <w:lang w:val="en-US" w:bidi="he-IL"/>
        </w:rPr>
        <w:t xml:space="preserve">Julian </w:t>
      </w:r>
      <w:proofErr w:type="spellStart"/>
      <w:r w:rsidRPr="00446B11">
        <w:rPr>
          <w:lang w:val="en-US" w:bidi="he-IL"/>
        </w:rPr>
        <w:t>Obermann</w:t>
      </w:r>
      <w:proofErr w:type="spellEnd"/>
      <w:r>
        <w:rPr>
          <w:lang w:val="en-US" w:bidi="he-IL"/>
        </w:rPr>
        <w:t xml:space="preserve">, </w:t>
      </w:r>
      <w:r>
        <w:t>Lightstone, and</w:t>
      </w:r>
      <w:r>
        <w:rPr>
          <w:lang w:val="en-US" w:bidi="he-IL"/>
        </w:rPr>
        <w:t xml:space="preserve"> </w:t>
      </w:r>
      <w:r w:rsidR="002C5F71">
        <w:rPr>
          <w:lang w:val="en-US" w:bidi="he-IL"/>
        </w:rPr>
        <w:t xml:space="preserve">Fine accounted </w:t>
      </w:r>
      <w:r w:rsidR="002C5F71" w:rsidRPr="00CC71B8">
        <w:rPr>
          <w:lang w:val="en-US" w:bidi="he-IL"/>
        </w:rPr>
        <w:t>unaccustomed</w:t>
      </w:r>
      <w:r w:rsidR="002C5F71">
        <w:rPr>
          <w:lang w:val="en-US" w:bidi="he-IL"/>
        </w:rPr>
        <w:t xml:space="preserve"> synagogue practices that coincided the common reverence for the Torah sanctity. The supernatural powers were attributed to an apotropaic </w:t>
      </w:r>
      <w:r w:rsidR="007208DD">
        <w:rPr>
          <w:lang w:val="en-US" w:bidi="he-IL"/>
        </w:rPr>
        <w:t>drawing</w:t>
      </w:r>
      <w:r w:rsidR="002C5F71">
        <w:rPr>
          <w:lang w:val="en-US" w:bidi="he-IL"/>
        </w:rPr>
        <w:t xml:space="preserve"> and human bones (most likely, also believed possessing protective powers) found in the Dura-Europos synagogue (active ca. 244–57 C.E.) in Syria and to amulets kept in later synagogues in the Holy Land.</w:t>
      </w:r>
      <w:r w:rsidR="002C5F71">
        <w:rPr>
          <w:rStyle w:val="FootnoteReference"/>
          <w:lang w:val="en-US" w:bidi="he-IL"/>
        </w:rPr>
        <w:footnoteReference w:id="98"/>
      </w:r>
      <w:r w:rsidR="002C5F71">
        <w:rPr>
          <w:lang w:val="en-US" w:bidi="he-IL"/>
        </w:rPr>
        <w:t xml:space="preserve"> Reminiscent of the Christian cult of saints, another local variation of synagogue sanctity – now </w:t>
      </w:r>
      <w:r w:rsidR="002C5F71" w:rsidRPr="00F93535">
        <w:rPr>
          <w:lang w:val="en-US" w:bidi="he-IL"/>
        </w:rPr>
        <w:t xml:space="preserve">derived from human relics </w:t>
      </w:r>
      <w:r w:rsidR="002C5F71">
        <w:rPr>
          <w:lang w:val="en-US" w:bidi="he-IL"/>
        </w:rPr>
        <w:t>– was attributed to the “</w:t>
      </w:r>
      <w:r w:rsidR="002C5F71" w:rsidRPr="00F93535">
        <w:rPr>
          <w:lang w:val="en-US" w:bidi="he-IL"/>
        </w:rPr>
        <w:t>Synagogue of the Maccabean Martyrs” in Antioch on the Orontes</w:t>
      </w:r>
      <w:r w:rsidR="002C5F71">
        <w:rPr>
          <w:lang w:val="en-US" w:bidi="he-IL"/>
        </w:rPr>
        <w:t>.</w:t>
      </w:r>
      <w:r w:rsidR="002C5F71">
        <w:rPr>
          <w:rStyle w:val="FootnoteReference"/>
          <w:lang w:val="en-US" w:bidi="he-IL"/>
        </w:rPr>
        <w:footnoteReference w:id="99"/>
      </w:r>
      <w:r w:rsidR="002C5F71" w:rsidRPr="00F93535">
        <w:rPr>
          <w:lang w:val="en-US" w:bidi="he-IL"/>
        </w:rPr>
        <w:t xml:space="preserve"> </w:t>
      </w:r>
    </w:p>
    <w:p w14:paraId="49B98EE9" w14:textId="77777777" w:rsidR="002C5F71" w:rsidRDefault="002C5F71" w:rsidP="006B5936">
      <w:pPr>
        <w:pStyle w:val="Heading2"/>
      </w:pPr>
      <w:r>
        <w:t>Hierarchy</w:t>
      </w:r>
    </w:p>
    <w:p w14:paraId="3F1D22AB" w14:textId="123F1B97" w:rsidR="0041021F" w:rsidRDefault="00DD53F0" w:rsidP="00CB4EEA">
      <w:r>
        <w:t xml:space="preserve">The </w:t>
      </w:r>
      <w:r w:rsidR="00AE3D7A">
        <w:t xml:space="preserve">studies of </w:t>
      </w:r>
      <w:r w:rsidR="00F2100A">
        <w:t xml:space="preserve">synagogue </w:t>
      </w:r>
      <w:r w:rsidR="00293F43">
        <w:t>sanctity reveal</w:t>
      </w:r>
      <w:r w:rsidR="00AE3D7A">
        <w:t xml:space="preserve"> the </w:t>
      </w:r>
      <w:r w:rsidR="00CB4EEA">
        <w:t xml:space="preserve">perception of holiness as a </w:t>
      </w:r>
      <w:r w:rsidR="00F2100A">
        <w:t xml:space="preserve">hierarchic </w:t>
      </w:r>
      <w:r w:rsidR="00CB4EEA">
        <w:t>system</w:t>
      </w:r>
      <w:r w:rsidR="00293F43">
        <w:t xml:space="preserve">. </w:t>
      </w:r>
      <w:r w:rsidR="00EE3045">
        <w:t>Fine exploited the Mishnaic discourse about the bargains with religious property t</w:t>
      </w:r>
      <w:r w:rsidR="0044602B">
        <w:t xml:space="preserve">o </w:t>
      </w:r>
      <w:r w:rsidR="005F4851">
        <w:t>reconstruct</w:t>
      </w:r>
      <w:r w:rsidR="00EE3045">
        <w:t xml:space="preserve"> </w:t>
      </w:r>
      <w:r w:rsidR="00CB4EEA">
        <w:t>the concept of</w:t>
      </w:r>
      <w:r w:rsidR="00EE3045">
        <w:t xml:space="preserve"> </w:t>
      </w:r>
      <w:r w:rsidR="00F2100A">
        <w:t xml:space="preserve">concentric </w:t>
      </w:r>
      <w:r w:rsidR="00825194">
        <w:t>sanctity</w:t>
      </w:r>
      <w:r w:rsidR="00F2100A" w:rsidRPr="00F2100A">
        <w:t xml:space="preserve"> </w:t>
      </w:r>
      <w:r w:rsidR="00CB4EEA">
        <w:t xml:space="preserve">radiating from </w:t>
      </w:r>
      <w:r w:rsidR="00F2100A">
        <w:t>the Torah scroll stored and read in synagogues</w:t>
      </w:r>
      <w:r w:rsidR="00B52AEB">
        <w:t>.</w:t>
      </w:r>
      <w:r w:rsidR="004D1A9B">
        <w:t xml:space="preserve"> </w:t>
      </w:r>
      <w:r w:rsidR="00B52AEB">
        <w:t>The sanctity</w:t>
      </w:r>
      <w:r w:rsidR="0044006C">
        <w:t xml:space="preserve"> </w:t>
      </w:r>
      <w:r w:rsidR="004D1A9B">
        <w:t xml:space="preserve">gradually </w:t>
      </w:r>
      <w:r w:rsidR="00D74179">
        <w:t>diminishe</w:t>
      </w:r>
      <w:r w:rsidR="004D1A9B">
        <w:t>d</w:t>
      </w:r>
      <w:r w:rsidR="00D74179">
        <w:t xml:space="preserve"> as move</w:t>
      </w:r>
      <w:r w:rsidR="004D1A9B">
        <w:t>d</w:t>
      </w:r>
      <w:r w:rsidR="00D74179">
        <w:t xml:space="preserve"> away from </w:t>
      </w:r>
      <w:r w:rsidR="0044006C">
        <w:t>the Torah scroll</w:t>
      </w:r>
      <w:r w:rsidR="00D74179">
        <w:t xml:space="preserve"> to</w:t>
      </w:r>
      <w:r w:rsidR="0044006C">
        <w:t>,</w:t>
      </w:r>
      <w:r w:rsidR="00D74179">
        <w:t xml:space="preserve"> </w:t>
      </w:r>
      <w:r w:rsidR="0044006C">
        <w:t xml:space="preserve">consequently, </w:t>
      </w:r>
      <w:r w:rsidR="00D74179">
        <w:t xml:space="preserve">other biblical books, cloths wrapping the scroll, a scroll chest, synagogue building, and town square. </w:t>
      </w:r>
      <w:proofErr w:type="spellStart"/>
      <w:r w:rsidR="00B52AEB">
        <w:t>Tannaic</w:t>
      </w:r>
      <w:proofErr w:type="spellEnd"/>
      <w:r w:rsidR="00B52AEB">
        <w:t xml:space="preserve"> </w:t>
      </w:r>
      <w:r w:rsidR="00236705">
        <w:t xml:space="preserve">rabbis disagreed about the </w:t>
      </w:r>
      <w:r w:rsidR="00236705" w:rsidRPr="00236705">
        <w:t>sustainability</w:t>
      </w:r>
      <w:r w:rsidR="00236705">
        <w:t xml:space="preserve"> of </w:t>
      </w:r>
      <w:r w:rsidR="0044006C">
        <w:t xml:space="preserve">sanctity: </w:t>
      </w:r>
      <w:r w:rsidR="00236705">
        <w:t xml:space="preserve">some </w:t>
      </w:r>
      <w:r w:rsidR="006B15E4">
        <w:t xml:space="preserve">described the holiness remaining in a synagogue even </w:t>
      </w:r>
      <w:r w:rsidR="006B15E4">
        <w:lastRenderedPageBreak/>
        <w:t>after it converted for a secular use, another believed that sanctity was functional (when the community abandoned the synagogue, the building was no longer sacred).</w:t>
      </w:r>
      <w:r w:rsidR="006B15E4">
        <w:rPr>
          <w:rStyle w:val="FootnoteReference"/>
        </w:rPr>
        <w:footnoteReference w:id="100"/>
      </w:r>
      <w:r w:rsidR="00236705">
        <w:t xml:space="preserve"> </w:t>
      </w:r>
      <w:r w:rsidR="00B52AEB">
        <w:t xml:space="preserve"> </w:t>
      </w:r>
    </w:p>
    <w:p w14:paraId="1CD271F7" w14:textId="45BC88A1" w:rsidR="00494C14" w:rsidRDefault="00D2127D" w:rsidP="009E1AA7">
      <w:pPr>
        <w:ind w:firstLine="720"/>
      </w:pPr>
      <w:bookmarkStart w:id="82" w:name="_Hlk95667784"/>
      <w:bookmarkStart w:id="83" w:name="_Hlk97746645"/>
      <w:r>
        <w:t xml:space="preserve">Branham </w:t>
      </w:r>
      <w:bookmarkEnd w:id="82"/>
      <w:r w:rsidR="00824BD2">
        <w:t xml:space="preserve">interpreted the so-called “chancel screens” </w:t>
      </w:r>
      <w:r w:rsidR="008373CC">
        <w:t xml:space="preserve">in front of </w:t>
      </w:r>
      <w:r w:rsidR="00824BD2">
        <w:t xml:space="preserve">the Torah ark </w:t>
      </w:r>
      <w:r w:rsidR="00DD46D4">
        <w:t xml:space="preserve">or a </w:t>
      </w:r>
      <w:r w:rsidR="00DD46D4" w:rsidRPr="00DD46D4">
        <w:rPr>
          <w:i/>
          <w:iCs/>
        </w:rPr>
        <w:t>bimah</w:t>
      </w:r>
      <w:r w:rsidR="00DD46D4">
        <w:t xml:space="preserve"> </w:t>
      </w:r>
      <w:r w:rsidR="00824BD2">
        <w:t>as a</w:t>
      </w:r>
      <w:r w:rsidR="00B61685">
        <w:t>n</w:t>
      </w:r>
      <w:r w:rsidR="00D1221A">
        <w:t xml:space="preserve"> architectural </w:t>
      </w:r>
      <w:r w:rsidR="00824BD2">
        <w:t xml:space="preserve">marker of </w:t>
      </w:r>
      <w:r w:rsidR="00B61685">
        <w:t xml:space="preserve">semantic division of </w:t>
      </w:r>
      <w:r w:rsidR="009801B5">
        <w:t>the prayer hall</w:t>
      </w:r>
      <w:r w:rsidR="009801B5" w:rsidRPr="009801B5">
        <w:t xml:space="preserve"> </w:t>
      </w:r>
      <w:r w:rsidR="009801B5">
        <w:t xml:space="preserve">in </w:t>
      </w:r>
      <w:r w:rsidR="009801B5" w:rsidRPr="009801B5">
        <w:t>the Holy Land synagogues of the Byzantine period</w:t>
      </w:r>
      <w:r w:rsidR="008373CC">
        <w:t xml:space="preserve">. </w:t>
      </w:r>
      <w:r w:rsidR="001B1AD9">
        <w:t>She traced this lore back to the Herodian temple, w</w:t>
      </w:r>
      <w:r w:rsidR="00D1221A">
        <w:t>h</w:t>
      </w:r>
      <w:r w:rsidR="001B1AD9">
        <w:t xml:space="preserve">ere </w:t>
      </w:r>
      <w:r w:rsidR="00D47D3F">
        <w:t xml:space="preserve">a series of </w:t>
      </w:r>
      <w:r w:rsidR="00BA519F">
        <w:t xml:space="preserve">inscribed </w:t>
      </w:r>
      <w:r w:rsidR="001B1AD9">
        <w:t xml:space="preserve">balustrades and curtains created barriers </w:t>
      </w:r>
      <w:r w:rsidR="000E1478">
        <w:t xml:space="preserve">on the way </w:t>
      </w:r>
      <w:r w:rsidR="00006268">
        <w:t xml:space="preserve">from </w:t>
      </w:r>
      <w:r w:rsidR="0075110E">
        <w:t xml:space="preserve">the </w:t>
      </w:r>
      <w:r w:rsidR="00EC53D0">
        <w:t xml:space="preserve">precincts to the Temple’s innermost </w:t>
      </w:r>
      <w:r w:rsidR="0075110E">
        <w:t>chamber</w:t>
      </w:r>
      <w:r w:rsidR="00BA519F">
        <w:t>.</w:t>
      </w:r>
      <w:bookmarkEnd w:id="83"/>
      <w:r w:rsidR="00BA519F">
        <w:t xml:space="preserve"> </w:t>
      </w:r>
      <w:r w:rsidR="00390013">
        <w:t>The entrance to the inner areas was limited, respectively, to the ritually pure people; gentiles and Jews; men and women; laypeople, priests, and the Hight Priest.</w:t>
      </w:r>
      <w:bookmarkStart w:id="84" w:name="_Hlk97747329"/>
      <w:r w:rsidR="00390013">
        <w:rPr>
          <w:rStyle w:val="FootnoteReference"/>
        </w:rPr>
        <w:footnoteReference w:id="101"/>
      </w:r>
      <w:r w:rsidR="00390013">
        <w:t xml:space="preserve"> </w:t>
      </w:r>
      <w:bookmarkEnd w:id="84"/>
      <w:r w:rsidR="009801B5" w:rsidRPr="009801B5">
        <w:t xml:space="preserve">Branham </w:t>
      </w:r>
      <w:r w:rsidR="00494C14">
        <w:t>inferred</w:t>
      </w:r>
      <w:r w:rsidR="009801B5">
        <w:t xml:space="preserve"> that </w:t>
      </w:r>
      <w:r w:rsidR="00390013">
        <w:t xml:space="preserve">in synagogues, the chancel screens divided </w:t>
      </w:r>
      <w:r w:rsidR="00390013" w:rsidRPr="00B61685">
        <w:t>between the sacred liturgical space and holiest area of the Torah</w:t>
      </w:r>
      <w:r w:rsidR="00390013">
        <w:t xml:space="preserve">; </w:t>
      </w:r>
      <w:r w:rsidR="009801B5">
        <w:t>i</w:t>
      </w:r>
      <w:r w:rsidR="00006268">
        <w:t xml:space="preserve">n </w:t>
      </w:r>
      <w:r w:rsidR="00390013">
        <w:t xml:space="preserve">both </w:t>
      </w:r>
      <w:r w:rsidR="00006268">
        <w:t>synagogues</w:t>
      </w:r>
      <w:r w:rsidR="00EC53D0">
        <w:t xml:space="preserve"> and churches</w:t>
      </w:r>
      <w:r w:rsidR="00006268">
        <w:t xml:space="preserve">, </w:t>
      </w:r>
      <w:r w:rsidR="00390013">
        <w:t xml:space="preserve">the fenced holy areas </w:t>
      </w:r>
      <w:r w:rsidR="00EC53D0">
        <w:t xml:space="preserve">evocated the memory </w:t>
      </w:r>
      <w:r w:rsidR="00E57ABF">
        <w:t>of the destroyed Temple</w:t>
      </w:r>
      <w:r w:rsidR="00390013">
        <w:t>.</w:t>
      </w:r>
      <w:r w:rsidR="009801B5">
        <w:rPr>
          <w:rStyle w:val="FootnoteReference"/>
        </w:rPr>
        <w:footnoteReference w:id="102"/>
      </w:r>
      <w:r w:rsidR="00FC215B">
        <w:t xml:space="preserve"> </w:t>
      </w:r>
    </w:p>
    <w:p w14:paraId="285CEB29" w14:textId="154E46C6" w:rsidR="00876D65" w:rsidRDefault="00236B52" w:rsidP="00236B52">
      <w:pPr>
        <w:ind w:firstLine="720"/>
      </w:pPr>
      <w:bookmarkStart w:id="86" w:name="_Hlk96499886"/>
      <w:r>
        <w:t xml:space="preserve">Fine disassociated the synagogue “chancel screens” from the sacred geography of the Temple and their Temple-related semantics in ecclesiastic spaces. His counterargument </w:t>
      </w:r>
      <w:r w:rsidR="00876D65">
        <w:t xml:space="preserve">relied on a visionary description </w:t>
      </w:r>
      <w:r w:rsidR="005A0FA8">
        <w:t>of pious women standing “</w:t>
      </w:r>
      <w:r w:rsidR="005A0FA8" w:rsidRPr="005A0FA8">
        <w:t>by reed mats made as a</w:t>
      </w:r>
      <w:r w:rsidR="005A0FA8">
        <w:t xml:space="preserve"> </w:t>
      </w:r>
      <w:r w:rsidR="005A0FA8" w:rsidRPr="005A0FA8">
        <w:t>partition</w:t>
      </w:r>
      <w:r w:rsidR="005A0FA8">
        <w:t xml:space="preserve"> </w:t>
      </w:r>
      <w:r w:rsidR="005A0FA8" w:rsidRPr="005A0FA8">
        <w:t>for th</w:t>
      </w:r>
      <w:r w:rsidR="005A0FA8">
        <w:t>e</w:t>
      </w:r>
      <w:r w:rsidR="005A0FA8" w:rsidRPr="005A0FA8">
        <w:t xml:space="preserve"> b</w:t>
      </w:r>
      <w:r w:rsidR="005A0FA8">
        <w:t>imah”</w:t>
      </w:r>
      <w:r w:rsidR="00215878">
        <w:t xml:space="preserve"> to listen </w:t>
      </w:r>
      <w:r w:rsidR="00FD5143">
        <w:t xml:space="preserve">to the Torah wisdom </w:t>
      </w:r>
      <w:r w:rsidR="008E5575">
        <w:t xml:space="preserve">at </w:t>
      </w:r>
      <w:r w:rsidR="001B50F6">
        <w:t>God’s h</w:t>
      </w:r>
      <w:r w:rsidR="008E5575">
        <w:t xml:space="preserve">eavenly </w:t>
      </w:r>
      <w:r w:rsidR="001B50F6">
        <w:t>study house</w:t>
      </w:r>
      <w:r w:rsidR="00EA4944">
        <w:t xml:space="preserve">. He proposed </w:t>
      </w:r>
      <w:r w:rsidR="001B50F6">
        <w:t xml:space="preserve">that </w:t>
      </w:r>
      <w:r w:rsidR="005175B9">
        <w:t xml:space="preserve">an anonymous ancient author of that messianic text projected </w:t>
      </w:r>
      <w:r w:rsidR="00EC6295">
        <w:t xml:space="preserve">a practice of bimah screens separating </w:t>
      </w:r>
      <w:r w:rsidR="005175B9">
        <w:t xml:space="preserve">between </w:t>
      </w:r>
      <w:r w:rsidR="00EC6295">
        <w:t xml:space="preserve">women and </w:t>
      </w:r>
      <w:r w:rsidR="005175B9">
        <w:t xml:space="preserve">a homilist or </w:t>
      </w:r>
      <w:r w:rsidR="005175B9">
        <w:lastRenderedPageBreak/>
        <w:t xml:space="preserve">exegete </w:t>
      </w:r>
      <w:r w:rsidR="00EE5191">
        <w:rPr>
          <w:lang w:val="en-US"/>
        </w:rPr>
        <w:t xml:space="preserve">in </w:t>
      </w:r>
      <w:r w:rsidR="000B081A">
        <w:t xml:space="preserve">late-fifth or sixth-century </w:t>
      </w:r>
      <w:r w:rsidR="008D2155">
        <w:t>synagogues and study houses on the word to come.</w:t>
      </w:r>
      <w:r w:rsidR="00EE5191">
        <w:rPr>
          <w:rStyle w:val="FootnoteReference"/>
        </w:rPr>
        <w:footnoteReference w:id="103"/>
      </w:r>
      <w:r w:rsidR="008D2155">
        <w:t xml:space="preserve"> </w:t>
      </w:r>
    </w:p>
    <w:bookmarkEnd w:id="86"/>
    <w:p w14:paraId="08DB9CD3" w14:textId="287DD029" w:rsidR="002C5F71" w:rsidRDefault="002C5F71" w:rsidP="006B5936">
      <w:pPr>
        <w:pStyle w:val="Heading2"/>
      </w:pPr>
      <w:r>
        <w:t>Sacred D</w:t>
      </w:r>
      <w:r w:rsidR="0052023E">
        <w:t>irection</w:t>
      </w:r>
    </w:p>
    <w:p w14:paraId="7B09B7CC" w14:textId="52E1852C" w:rsidR="002C5F71" w:rsidRPr="008011A2" w:rsidRDefault="00500B00" w:rsidP="008011A2">
      <w:pPr>
        <w:pStyle w:val="Paragraph"/>
      </w:pPr>
      <w:r>
        <w:t>The research of the sacred direction in synagogues dealt with a</w:t>
      </w:r>
      <w:r w:rsidRPr="00291FB2">
        <w:t xml:space="preserve"> greater </w:t>
      </w:r>
      <w:r>
        <w:t>scope of t</w:t>
      </w:r>
      <w:r w:rsidRPr="00291FB2">
        <w:t xml:space="preserve">he </w:t>
      </w:r>
      <w:r>
        <w:t xml:space="preserve">Jewish </w:t>
      </w:r>
      <w:r w:rsidRPr="00291FB2">
        <w:t>sacred geography</w:t>
      </w:r>
      <w:r>
        <w:t>: t</w:t>
      </w:r>
      <w:r w:rsidRPr="00500B00">
        <w:t xml:space="preserve">he </w:t>
      </w:r>
      <w:r w:rsidR="00A61F48">
        <w:t xml:space="preserve">sacred direction was deemed a </w:t>
      </w:r>
      <w:r w:rsidRPr="00500B00">
        <w:t xml:space="preserve">vector </w:t>
      </w:r>
      <w:r w:rsidR="00987AA9">
        <w:t>indicating</w:t>
      </w:r>
      <w:r w:rsidRPr="00500B00">
        <w:t xml:space="preserve"> the position of any worshipper relative to the solemn </w:t>
      </w:r>
      <w:r w:rsidR="00162CF7">
        <w:t xml:space="preserve">destination of </w:t>
      </w:r>
      <w:r w:rsidR="00987AA9">
        <w:t xml:space="preserve">his or her </w:t>
      </w:r>
      <w:r w:rsidR="00162CF7">
        <w:t>devotion and prayer</w:t>
      </w:r>
      <w:r>
        <w:t xml:space="preserve">. </w:t>
      </w:r>
      <w:r w:rsidR="001F687C" w:rsidRPr="001F687C">
        <w:t xml:space="preserve">Franz Landsberger </w:t>
      </w:r>
      <w:r w:rsidR="001F687C">
        <w:t xml:space="preserve">(1883–1964) </w:t>
      </w:r>
      <w:bookmarkStart w:id="87" w:name="_Hlk95726253"/>
      <w:r w:rsidR="00162CF7">
        <w:t xml:space="preserve">was the first to </w:t>
      </w:r>
      <w:r w:rsidR="00EC63F1">
        <w:t xml:space="preserve">delineate </w:t>
      </w:r>
      <w:bookmarkEnd w:id="87"/>
      <w:r w:rsidR="00B16324">
        <w:t xml:space="preserve">a meandering evolution of concurrent </w:t>
      </w:r>
      <w:r w:rsidR="00EC63F1">
        <w:t xml:space="preserve">approaches to the </w:t>
      </w:r>
      <w:r w:rsidR="00B16324">
        <w:t>sacred direction in synagogues</w:t>
      </w:r>
      <w:r w:rsidR="0052023E">
        <w:t xml:space="preserve"> in </w:t>
      </w:r>
      <w:r w:rsidR="008D3CA5">
        <w:t xml:space="preserve">relation to biblical and historical sources and in </w:t>
      </w:r>
      <w:r w:rsidR="0052023E">
        <w:t>comparison to pagan temples and churches</w:t>
      </w:r>
      <w:r w:rsidR="00D0732B">
        <w:t>.</w:t>
      </w:r>
      <w:r w:rsidR="002F6717" w:rsidRPr="002F6717">
        <w:rPr>
          <w:rStyle w:val="FootnoteReference"/>
        </w:rPr>
        <w:t xml:space="preserve"> </w:t>
      </w:r>
      <w:r w:rsidR="002F6717">
        <w:rPr>
          <w:rStyle w:val="FootnoteReference"/>
        </w:rPr>
        <w:footnoteReference w:id="104"/>
      </w:r>
      <w:r w:rsidR="0052023E">
        <w:t xml:space="preserve"> </w:t>
      </w:r>
      <w:r w:rsidR="002F6717">
        <w:t xml:space="preserve">In </w:t>
      </w:r>
      <w:r w:rsidR="00162CF7">
        <w:t xml:space="preserve">the </w:t>
      </w:r>
      <w:r w:rsidR="002F6717">
        <w:t>ancient synagogues, e</w:t>
      </w:r>
      <w:r w:rsidR="00D0732B">
        <w:t xml:space="preserve">ither portals or Torah arks </w:t>
      </w:r>
      <w:r w:rsidR="000C70E7">
        <w:t>(near the portal or at other wall) indicated the sacred direction.</w:t>
      </w:r>
      <w:r w:rsidR="008D3CA5">
        <w:rPr>
          <w:rStyle w:val="FootnoteReference"/>
        </w:rPr>
        <w:footnoteReference w:id="105"/>
      </w:r>
      <w:r w:rsidR="000C70E7">
        <w:t xml:space="preserve"> The</w:t>
      </w:r>
      <w:r w:rsidR="000432F5">
        <w:t xml:space="preserve">se markers pointed at </w:t>
      </w:r>
      <w:r w:rsidR="0052023E">
        <w:t xml:space="preserve">the </w:t>
      </w:r>
      <w:r w:rsidR="0052023E" w:rsidRPr="00845954">
        <w:rPr>
          <w:i/>
          <w:iCs/>
          <w:lang w:val="en-US"/>
        </w:rPr>
        <w:t>omphalos mundi</w:t>
      </w:r>
      <w:r w:rsidR="0052023E">
        <w:rPr>
          <w:i/>
          <w:iCs/>
          <w:lang w:val="en-US"/>
        </w:rPr>
        <w:t xml:space="preserve"> </w:t>
      </w:r>
      <w:r w:rsidR="0052023E" w:rsidRPr="0052023E">
        <w:rPr>
          <w:lang w:val="en-US"/>
        </w:rPr>
        <w:t>(</w:t>
      </w:r>
      <w:r w:rsidR="0052023E">
        <w:rPr>
          <w:lang w:val="en-US"/>
        </w:rPr>
        <w:t xml:space="preserve">Jerusalem or, narrower, </w:t>
      </w:r>
      <w:r w:rsidR="0052023E">
        <w:t>the Temple and its Holy of the Holies)</w:t>
      </w:r>
      <w:r w:rsidR="00B32BDA">
        <w:t>;</w:t>
      </w:r>
      <w:r w:rsidR="0052023E">
        <w:t xml:space="preserve"> </w:t>
      </w:r>
      <w:r w:rsidR="009316A7">
        <w:t>copi</w:t>
      </w:r>
      <w:r w:rsidR="002D0665">
        <w:t>ed</w:t>
      </w:r>
      <w:r w:rsidR="009316A7">
        <w:t xml:space="preserve"> the orientation of Temple</w:t>
      </w:r>
      <w:r w:rsidR="009316A7" w:rsidRPr="009316A7">
        <w:t xml:space="preserve"> </w:t>
      </w:r>
      <w:r w:rsidR="009316A7">
        <w:t xml:space="preserve">in Jerusalem; </w:t>
      </w:r>
      <w:r w:rsidR="002D0665">
        <w:t xml:space="preserve">were </w:t>
      </w:r>
      <w:r w:rsidR="00A85A2C">
        <w:t xml:space="preserve">aligned to </w:t>
      </w:r>
      <w:r w:rsidR="00B32BDA">
        <w:t xml:space="preserve">the </w:t>
      </w:r>
      <w:r w:rsidR="00C94329">
        <w:t xml:space="preserve">heavenly target (towards </w:t>
      </w:r>
      <w:r w:rsidR="00CC0A07">
        <w:t xml:space="preserve">the </w:t>
      </w:r>
      <w:r w:rsidR="00A85A2C">
        <w:t>sunrise</w:t>
      </w:r>
      <w:r w:rsidR="00EC73CE">
        <w:t>)</w:t>
      </w:r>
      <w:r w:rsidR="00D0732B">
        <w:t>;</w:t>
      </w:r>
      <w:r w:rsidR="00CC0A07">
        <w:t xml:space="preserve"> </w:t>
      </w:r>
      <w:r w:rsidR="009316A7">
        <w:t xml:space="preserve">or </w:t>
      </w:r>
      <w:r w:rsidR="00627D13">
        <w:t>addressed divine presence (</w:t>
      </w:r>
      <w:r w:rsidR="00B32BDA" w:rsidRPr="00B32BDA">
        <w:rPr>
          <w:i/>
          <w:iCs/>
        </w:rPr>
        <w:t>Shekinah</w:t>
      </w:r>
      <w:r w:rsidR="00931C2E">
        <w:t>;</w:t>
      </w:r>
      <w:r w:rsidR="00896429">
        <w:t xml:space="preserve"> </w:t>
      </w:r>
      <w:r w:rsidR="00931C2E">
        <w:t>at</w:t>
      </w:r>
      <w:r w:rsidR="00896429">
        <w:t xml:space="preserve"> </w:t>
      </w:r>
      <w:r w:rsidR="00931C2E">
        <w:t xml:space="preserve">the Temple’s site </w:t>
      </w:r>
      <w:r w:rsidR="00896429">
        <w:t>or elsewhere</w:t>
      </w:r>
      <w:r w:rsidR="00B32BDA">
        <w:t>)</w:t>
      </w:r>
      <w:r w:rsidR="009316A7">
        <w:t>.</w:t>
      </w:r>
      <w:r w:rsidR="008D3CA5">
        <w:rPr>
          <w:rStyle w:val="FootnoteReference"/>
        </w:rPr>
        <w:footnoteReference w:id="106"/>
      </w:r>
      <w:r w:rsidR="009316A7">
        <w:t xml:space="preserve"> </w:t>
      </w:r>
      <w:r w:rsidR="00EC7D1A">
        <w:t>T</w:t>
      </w:r>
      <w:r w:rsidR="00E441D4">
        <w:t xml:space="preserve">he fixed </w:t>
      </w:r>
      <w:r w:rsidR="0080203B">
        <w:t xml:space="preserve">receptacle for the Torah scrolls </w:t>
      </w:r>
      <w:r w:rsidR="00162CF7">
        <w:t>at</w:t>
      </w:r>
      <w:r w:rsidR="00630D3C">
        <w:t xml:space="preserve"> (or in)</w:t>
      </w:r>
      <w:r w:rsidR="00162CF7">
        <w:t xml:space="preserve"> the wall </w:t>
      </w:r>
      <w:r w:rsidR="00D17DA2">
        <w:t>facing Jerusalem and the Temple</w:t>
      </w:r>
      <w:r w:rsidR="00EC7D1A">
        <w:t xml:space="preserve"> </w:t>
      </w:r>
      <w:r w:rsidR="00CC5701">
        <w:t xml:space="preserve">– in Levine’s </w:t>
      </w:r>
      <w:r w:rsidR="00306AC8">
        <w:t>opinion</w:t>
      </w:r>
      <w:r w:rsidR="00CC5701">
        <w:t xml:space="preserve">, </w:t>
      </w:r>
      <w:r w:rsidR="00EC7D1A">
        <w:t xml:space="preserve">“a </w:t>
      </w:r>
      <w:r w:rsidR="00CC5701">
        <w:t>sentiment that flowed primarily from internal ethnic and historical considerations”</w:t>
      </w:r>
      <w:r w:rsidR="00CC5701">
        <w:rPr>
          <w:rStyle w:val="FootnoteReference"/>
        </w:rPr>
        <w:footnoteReference w:id="107"/>
      </w:r>
      <w:r w:rsidR="00CC5701">
        <w:t xml:space="preserve"> – </w:t>
      </w:r>
      <w:r w:rsidR="00D17DA2">
        <w:t xml:space="preserve">became the standard </w:t>
      </w:r>
      <w:r w:rsidR="00EC7D1A">
        <w:t>in the post-ancient synagogues</w:t>
      </w:r>
      <w:r w:rsidR="00CC5701">
        <w:t xml:space="preserve">. </w:t>
      </w:r>
      <w:r w:rsidR="00685890">
        <w:t xml:space="preserve">Landsberger </w:t>
      </w:r>
      <w:r w:rsidR="000E2DFA">
        <w:t xml:space="preserve">remarked that the early </w:t>
      </w:r>
      <w:r w:rsidR="000E2DFA">
        <w:lastRenderedPageBreak/>
        <w:t xml:space="preserve">modern Ashkenazi ritual art </w:t>
      </w:r>
      <w:r w:rsidR="00057742">
        <w:t xml:space="preserve">identified </w:t>
      </w:r>
      <w:r w:rsidR="000E2DFA">
        <w:t xml:space="preserve">the direction to Jerusalem </w:t>
      </w:r>
      <w:r w:rsidR="00057742">
        <w:t xml:space="preserve">(in fact, southward or east-southward) with the east and </w:t>
      </w:r>
      <w:r w:rsidR="000E2DFA">
        <w:t>rising sun</w:t>
      </w:r>
      <w:r w:rsidR="00057742">
        <w:t>.</w:t>
      </w:r>
      <w:r w:rsidR="00057742">
        <w:rPr>
          <w:rStyle w:val="FootnoteReference"/>
        </w:rPr>
        <w:footnoteReference w:id="108"/>
      </w:r>
      <w:r w:rsidR="000E2DFA">
        <w:t xml:space="preserve"> </w:t>
      </w:r>
      <w:r w:rsidR="00EC7D1A">
        <w:t xml:space="preserve"> </w:t>
      </w:r>
      <w:r w:rsidR="00B32BDA">
        <w:t xml:space="preserve"> </w:t>
      </w:r>
      <w:r w:rsidR="001F687C">
        <w:t xml:space="preserve">  </w:t>
      </w:r>
    </w:p>
    <w:p w14:paraId="3977A67A" w14:textId="77777777" w:rsidR="00223B91" w:rsidRPr="00F21071" w:rsidRDefault="00223B91" w:rsidP="006B5936">
      <w:pPr>
        <w:pStyle w:val="Heading2"/>
      </w:pPr>
      <w:r w:rsidRPr="00F21071">
        <w:t>Heaven on Earth</w:t>
      </w:r>
    </w:p>
    <w:p w14:paraId="6BD5F1D0" w14:textId="09AAAE34" w:rsidR="00E32B4C" w:rsidRDefault="002D1CE0" w:rsidP="00E32B4C">
      <w:pPr>
        <w:pStyle w:val="Paragraph"/>
        <w:rPr>
          <w:lang w:val="en-US"/>
        </w:rPr>
      </w:pPr>
      <w:r>
        <w:rPr>
          <w:lang w:val="en-US"/>
        </w:rPr>
        <w:t xml:space="preserve">The last </w:t>
      </w:r>
      <w:r w:rsidR="008467EF">
        <w:rPr>
          <w:lang w:val="en-US"/>
        </w:rPr>
        <w:t xml:space="preserve">subchapter of my survey is about the contributions addressing the issues </w:t>
      </w:r>
      <w:r w:rsidR="00655F6F">
        <w:rPr>
          <w:lang w:val="en-US"/>
        </w:rPr>
        <w:t xml:space="preserve">of </w:t>
      </w:r>
      <w:r w:rsidR="00F17EA1">
        <w:rPr>
          <w:lang w:val="en-US"/>
        </w:rPr>
        <w:t xml:space="preserve">synagogue </w:t>
      </w:r>
      <w:r w:rsidR="00655F6F">
        <w:rPr>
          <w:lang w:val="en-US"/>
        </w:rPr>
        <w:t xml:space="preserve">sanctity </w:t>
      </w:r>
      <w:r w:rsidR="00F17EA1">
        <w:rPr>
          <w:lang w:val="en-US"/>
        </w:rPr>
        <w:t xml:space="preserve">drawn on the visions of heavenly architecture. </w:t>
      </w:r>
      <w:r w:rsidR="009048DA">
        <w:rPr>
          <w:lang w:val="en-US"/>
        </w:rPr>
        <w:t>With its predecessors in ancient civilizations</w:t>
      </w:r>
      <w:r w:rsidR="00B54EA1">
        <w:rPr>
          <w:lang w:val="en-US"/>
        </w:rPr>
        <w:t xml:space="preserve"> and parallels in Christian thought</w:t>
      </w:r>
      <w:r w:rsidR="009048DA">
        <w:rPr>
          <w:lang w:val="en-US"/>
        </w:rPr>
        <w:t xml:space="preserve">, </w:t>
      </w:r>
      <w:r w:rsidR="000414B6">
        <w:rPr>
          <w:lang w:val="en-US"/>
        </w:rPr>
        <w:t xml:space="preserve">the </w:t>
      </w:r>
      <w:r w:rsidR="001B3183">
        <w:rPr>
          <w:lang w:val="en-US"/>
        </w:rPr>
        <w:t xml:space="preserve">Jewish </w:t>
      </w:r>
      <w:r w:rsidR="008D2902">
        <w:rPr>
          <w:lang w:val="en-US"/>
        </w:rPr>
        <w:t xml:space="preserve">tradition </w:t>
      </w:r>
      <w:r w:rsidR="00443D50">
        <w:rPr>
          <w:lang w:val="en-US"/>
        </w:rPr>
        <w:t>deemed the</w:t>
      </w:r>
      <w:r w:rsidR="000414B6">
        <w:rPr>
          <w:lang w:val="en-US"/>
        </w:rPr>
        <w:t xml:space="preserve"> relations of </w:t>
      </w:r>
      <w:r w:rsidR="001B7B86">
        <w:rPr>
          <w:lang w:val="en-US"/>
        </w:rPr>
        <w:t>mundane sanctuaries</w:t>
      </w:r>
      <w:r w:rsidR="000414B6">
        <w:rPr>
          <w:lang w:val="en-US"/>
        </w:rPr>
        <w:t xml:space="preserve"> and </w:t>
      </w:r>
      <w:r w:rsidR="001B7B86">
        <w:rPr>
          <w:lang w:val="en-US"/>
        </w:rPr>
        <w:t xml:space="preserve">divine </w:t>
      </w:r>
      <w:r w:rsidR="000414B6">
        <w:rPr>
          <w:lang w:val="en-US"/>
        </w:rPr>
        <w:t>astronomy</w:t>
      </w:r>
      <w:r w:rsidR="0089535B">
        <w:rPr>
          <w:lang w:val="en-US"/>
        </w:rPr>
        <w:t xml:space="preserve"> as</w:t>
      </w:r>
      <w:r w:rsidR="000414B6">
        <w:rPr>
          <w:lang w:val="en-US"/>
        </w:rPr>
        <w:t xml:space="preserve"> </w:t>
      </w:r>
      <w:r w:rsidR="001B7B86">
        <w:rPr>
          <w:lang w:val="en-US"/>
        </w:rPr>
        <w:t xml:space="preserve">reciprocal. </w:t>
      </w:r>
      <w:r w:rsidR="00DC0993">
        <w:rPr>
          <w:lang w:val="en-US"/>
        </w:rPr>
        <w:t xml:space="preserve">On the one hand, </w:t>
      </w:r>
      <w:r w:rsidR="00A22F2F">
        <w:rPr>
          <w:lang w:val="en-US"/>
        </w:rPr>
        <w:t xml:space="preserve">Jewish </w:t>
      </w:r>
      <w:r w:rsidR="00B54EA1">
        <w:rPr>
          <w:lang w:val="en-US"/>
        </w:rPr>
        <w:t xml:space="preserve">mystical </w:t>
      </w:r>
      <w:r w:rsidR="00E32B4C" w:rsidRPr="00E32B4C">
        <w:rPr>
          <w:i/>
          <w:iCs/>
          <w:lang w:val="en-US"/>
        </w:rPr>
        <w:t>Merkavah</w:t>
      </w:r>
      <w:r w:rsidR="00E32B4C">
        <w:rPr>
          <w:lang w:val="en-US"/>
        </w:rPr>
        <w:t xml:space="preserve"> (God’s Chariot)</w:t>
      </w:r>
      <w:r w:rsidR="004B368C">
        <w:rPr>
          <w:lang w:val="en-US"/>
        </w:rPr>
        <w:t xml:space="preserve"> </w:t>
      </w:r>
      <w:r w:rsidR="00E32B4C">
        <w:rPr>
          <w:lang w:val="en-US"/>
        </w:rPr>
        <w:t xml:space="preserve">and </w:t>
      </w:r>
      <w:proofErr w:type="spellStart"/>
      <w:r w:rsidR="00E32B4C" w:rsidRPr="00E32B4C">
        <w:rPr>
          <w:i/>
          <w:iCs/>
          <w:lang w:val="en-US"/>
        </w:rPr>
        <w:t>Hekhalot</w:t>
      </w:r>
      <w:proofErr w:type="spellEnd"/>
      <w:r w:rsidR="00E32B4C">
        <w:rPr>
          <w:lang w:val="en-US"/>
        </w:rPr>
        <w:t xml:space="preserve"> (Palaces) literature </w:t>
      </w:r>
      <w:r w:rsidR="00A22F2F">
        <w:rPr>
          <w:lang w:val="en-US"/>
        </w:rPr>
        <w:t>described t</w:t>
      </w:r>
      <w:r w:rsidR="001B7B86">
        <w:rPr>
          <w:lang w:val="en-US"/>
        </w:rPr>
        <w:t xml:space="preserve">he Temple and the Ark of the Covenant as </w:t>
      </w:r>
      <w:r w:rsidR="00E323BD">
        <w:rPr>
          <w:lang w:val="en-US"/>
        </w:rPr>
        <w:t xml:space="preserve">a microcosm </w:t>
      </w:r>
      <w:r w:rsidR="00A22F2F">
        <w:rPr>
          <w:lang w:val="en-US"/>
        </w:rPr>
        <w:t xml:space="preserve">and </w:t>
      </w:r>
      <w:r w:rsidR="00174E15">
        <w:rPr>
          <w:lang w:val="en-US"/>
        </w:rPr>
        <w:t>celestial Paradise.</w:t>
      </w:r>
      <w:r w:rsidR="004B368C">
        <w:rPr>
          <w:rStyle w:val="FootnoteReference"/>
          <w:lang w:val="en-US"/>
        </w:rPr>
        <w:footnoteReference w:id="109"/>
      </w:r>
      <w:r w:rsidR="00174E15">
        <w:rPr>
          <w:lang w:val="en-US"/>
        </w:rPr>
        <w:t xml:space="preserve"> </w:t>
      </w:r>
      <w:r w:rsidR="00DC0993">
        <w:rPr>
          <w:lang w:val="en-US"/>
        </w:rPr>
        <w:t>On the other hand, t</w:t>
      </w:r>
      <w:r w:rsidR="00812848">
        <w:rPr>
          <w:lang w:val="en-US"/>
        </w:rPr>
        <w:t xml:space="preserve">he heaven was </w:t>
      </w:r>
      <w:r w:rsidR="008875C7">
        <w:rPr>
          <w:lang w:val="en-US"/>
        </w:rPr>
        <w:t xml:space="preserve">represented </w:t>
      </w:r>
      <w:r w:rsidR="00812848">
        <w:rPr>
          <w:lang w:val="en-US"/>
        </w:rPr>
        <w:t xml:space="preserve">in </w:t>
      </w:r>
      <w:r w:rsidR="004B368C">
        <w:rPr>
          <w:lang w:val="en-US"/>
        </w:rPr>
        <w:t xml:space="preserve">these texts </w:t>
      </w:r>
      <w:r w:rsidR="00E323BD">
        <w:rPr>
          <w:lang w:val="en-US"/>
        </w:rPr>
        <w:t xml:space="preserve">as a </w:t>
      </w:r>
      <w:r w:rsidR="008875C7">
        <w:rPr>
          <w:lang w:val="en-US"/>
        </w:rPr>
        <w:t xml:space="preserve">complex </w:t>
      </w:r>
      <w:r w:rsidR="00A22F2F">
        <w:rPr>
          <w:lang w:val="en-US"/>
        </w:rPr>
        <w:t>of courts, palaces, and sanctuaries</w:t>
      </w:r>
      <w:r w:rsidR="00E323BD">
        <w:rPr>
          <w:lang w:val="en-US"/>
        </w:rPr>
        <w:t xml:space="preserve"> </w:t>
      </w:r>
      <w:r w:rsidR="00A22F2F">
        <w:rPr>
          <w:lang w:val="en-US"/>
        </w:rPr>
        <w:t>inhabited by angels and God.</w:t>
      </w:r>
      <w:r w:rsidR="00204E4F">
        <w:rPr>
          <w:rStyle w:val="FootnoteReference"/>
          <w:lang w:val="en-US"/>
        </w:rPr>
        <w:footnoteReference w:id="110"/>
      </w:r>
      <w:r w:rsidR="00A22F2F">
        <w:rPr>
          <w:lang w:val="en-US"/>
        </w:rPr>
        <w:t xml:space="preserve"> </w:t>
      </w:r>
      <w:r w:rsidR="008D2902">
        <w:rPr>
          <w:lang w:val="en-US"/>
        </w:rPr>
        <w:t xml:space="preserve"> </w:t>
      </w:r>
    </w:p>
    <w:p w14:paraId="0AF04BC6" w14:textId="4B9F064A" w:rsidR="00412833" w:rsidRDefault="00461EAC" w:rsidP="00F46FD9">
      <w:pPr>
        <w:pStyle w:val="Newparagraph"/>
        <w:rPr>
          <w:lang w:val="en-US"/>
        </w:rPr>
      </w:pPr>
      <w:r>
        <w:rPr>
          <w:lang w:val="en-US"/>
        </w:rPr>
        <w:lastRenderedPageBreak/>
        <w:t xml:space="preserve">Researchers </w:t>
      </w:r>
      <w:r w:rsidR="0086122B">
        <w:rPr>
          <w:lang w:val="en-US"/>
        </w:rPr>
        <w:t xml:space="preserve">of ancient and synagogue architecture occasionally </w:t>
      </w:r>
      <w:r w:rsidR="005C3453">
        <w:rPr>
          <w:lang w:val="en-US"/>
        </w:rPr>
        <w:t>resorted to</w:t>
      </w:r>
      <w:r w:rsidR="002B3DB4">
        <w:rPr>
          <w:lang w:val="en-US"/>
        </w:rPr>
        <w:t xml:space="preserve"> t</w:t>
      </w:r>
      <w:r w:rsidR="0033134A">
        <w:rPr>
          <w:lang w:val="en-US"/>
        </w:rPr>
        <w:t>he topo</w:t>
      </w:r>
      <w:r w:rsidR="00F46FD9">
        <w:rPr>
          <w:lang w:val="en-US"/>
        </w:rPr>
        <w:t>i</w:t>
      </w:r>
      <w:r w:rsidR="0033134A">
        <w:rPr>
          <w:lang w:val="en-US"/>
        </w:rPr>
        <w:t xml:space="preserve"> of </w:t>
      </w:r>
      <w:r w:rsidR="00F46FD9">
        <w:rPr>
          <w:lang w:val="en-US"/>
        </w:rPr>
        <w:t xml:space="preserve">cosmic models and </w:t>
      </w:r>
      <w:r w:rsidR="0033134A">
        <w:rPr>
          <w:lang w:val="en-US"/>
        </w:rPr>
        <w:t xml:space="preserve">heavenly </w:t>
      </w:r>
      <w:r w:rsidR="00A82E1B">
        <w:rPr>
          <w:lang w:val="en-US"/>
        </w:rPr>
        <w:t xml:space="preserve">counterparts </w:t>
      </w:r>
      <w:r w:rsidR="0086122B">
        <w:rPr>
          <w:lang w:val="en-US"/>
        </w:rPr>
        <w:t>of mundane sanctuaries</w:t>
      </w:r>
      <w:r w:rsidR="002B3DB4">
        <w:rPr>
          <w:lang w:val="en-US"/>
        </w:rPr>
        <w:t xml:space="preserve">. </w:t>
      </w:r>
      <w:r w:rsidR="0091767F">
        <w:rPr>
          <w:lang w:val="en-US"/>
        </w:rPr>
        <w:t>Particular d</w:t>
      </w:r>
      <w:r w:rsidR="005D6E3A">
        <w:rPr>
          <w:lang w:val="en-US"/>
        </w:rPr>
        <w:t xml:space="preserve">iscussion </w:t>
      </w:r>
      <w:r w:rsidR="0091767F">
        <w:rPr>
          <w:lang w:val="en-US"/>
        </w:rPr>
        <w:t xml:space="preserve">revolved </w:t>
      </w:r>
      <w:r w:rsidR="005D6E3A">
        <w:rPr>
          <w:lang w:val="en-US"/>
        </w:rPr>
        <w:t xml:space="preserve">about the depiction of Helios and the Zodiac cycle on ancient synagogue floors. </w:t>
      </w:r>
      <w:r w:rsidR="004E6951">
        <w:rPr>
          <w:lang w:val="en-US"/>
        </w:rPr>
        <w:t xml:space="preserve">Gideon Foerster </w:t>
      </w:r>
      <w:r w:rsidR="001B6C5F">
        <w:rPr>
          <w:lang w:val="en-US"/>
        </w:rPr>
        <w:t xml:space="preserve">has </w:t>
      </w:r>
      <w:r w:rsidR="006A6C2C">
        <w:rPr>
          <w:lang w:val="en-US"/>
        </w:rPr>
        <w:t xml:space="preserve">associated </w:t>
      </w:r>
      <w:r w:rsidR="005D6E3A">
        <w:rPr>
          <w:lang w:val="en-US"/>
        </w:rPr>
        <w:t>the</w:t>
      </w:r>
      <w:r w:rsidR="00FF4593">
        <w:rPr>
          <w:lang w:val="en-US"/>
        </w:rPr>
        <w:t>se</w:t>
      </w:r>
      <w:r w:rsidR="005D6E3A">
        <w:rPr>
          <w:lang w:val="en-US"/>
        </w:rPr>
        <w:t xml:space="preserve"> </w:t>
      </w:r>
      <w:r w:rsidR="00FF4593">
        <w:rPr>
          <w:lang w:val="en-US"/>
        </w:rPr>
        <w:t xml:space="preserve">astronomic </w:t>
      </w:r>
      <w:r w:rsidR="005D6E3A">
        <w:rPr>
          <w:lang w:val="en-US"/>
        </w:rPr>
        <w:t xml:space="preserve">images </w:t>
      </w:r>
      <w:r w:rsidR="006A6C2C">
        <w:rPr>
          <w:lang w:val="en-US"/>
        </w:rPr>
        <w:t xml:space="preserve">with </w:t>
      </w:r>
      <w:r w:rsidR="004E6951">
        <w:rPr>
          <w:lang w:val="en-US"/>
        </w:rPr>
        <w:t xml:space="preserve">the </w:t>
      </w:r>
      <w:r w:rsidR="006A6C2C">
        <w:rPr>
          <w:lang w:val="en-US"/>
        </w:rPr>
        <w:t xml:space="preserve">cosmological symbolism of the </w:t>
      </w:r>
      <w:r w:rsidR="004E6951">
        <w:rPr>
          <w:lang w:val="en-US"/>
        </w:rPr>
        <w:t>Jerusalem Temple</w:t>
      </w:r>
      <w:r w:rsidR="005D6E3A">
        <w:rPr>
          <w:lang w:val="en-US"/>
        </w:rPr>
        <w:t>.</w:t>
      </w:r>
      <w:r w:rsidR="00CF6512">
        <w:rPr>
          <w:rStyle w:val="FootnoteReference"/>
          <w:lang w:val="en-US"/>
        </w:rPr>
        <w:footnoteReference w:id="111"/>
      </w:r>
      <w:r w:rsidR="001B6C5F">
        <w:rPr>
          <w:lang w:val="en-US"/>
        </w:rPr>
        <w:t xml:space="preserve"> </w:t>
      </w:r>
      <w:r w:rsidR="007D6F23" w:rsidRPr="007D6F23">
        <w:rPr>
          <w:lang w:val="en-US"/>
        </w:rPr>
        <w:t xml:space="preserve">Branham </w:t>
      </w:r>
      <w:r w:rsidR="002F517B">
        <w:rPr>
          <w:lang w:val="en-US"/>
        </w:rPr>
        <w:t xml:space="preserve">interprets the mosaic floor in the Bet Alpha synagogue as a cosmic stratification comprising </w:t>
      </w:r>
      <w:r w:rsidR="00881B7A">
        <w:rPr>
          <w:lang w:val="en-US"/>
        </w:rPr>
        <w:t>the empyrean, earthly heavens, and human realm.</w:t>
      </w:r>
      <w:r w:rsidR="00881B7A">
        <w:rPr>
          <w:rStyle w:val="FootnoteReference"/>
          <w:lang w:val="en-US"/>
        </w:rPr>
        <w:footnoteReference w:id="112"/>
      </w:r>
      <w:r w:rsidR="00F46FD9">
        <w:rPr>
          <w:lang w:val="en-US"/>
        </w:rPr>
        <w:t xml:space="preserve"> </w:t>
      </w:r>
      <w:r w:rsidR="00ED1AC1">
        <w:rPr>
          <w:lang w:val="en-US"/>
        </w:rPr>
        <w:t xml:space="preserve">In </w:t>
      </w:r>
      <w:r w:rsidR="001B6C5F">
        <w:rPr>
          <w:lang w:val="en-US"/>
        </w:rPr>
        <w:t xml:space="preserve">Jodi </w:t>
      </w:r>
      <w:proofErr w:type="spellStart"/>
      <w:r w:rsidR="001B6C5F">
        <w:rPr>
          <w:lang w:val="en-US"/>
        </w:rPr>
        <w:t>Magnes</w:t>
      </w:r>
      <w:r w:rsidR="00ED1AC1">
        <w:rPr>
          <w:lang w:val="en-US"/>
        </w:rPr>
        <w:t>’s</w:t>
      </w:r>
      <w:proofErr w:type="spellEnd"/>
      <w:r w:rsidR="00ED1AC1">
        <w:rPr>
          <w:lang w:val="en-US"/>
        </w:rPr>
        <w:t xml:space="preserve"> mind, the Zodiac </w:t>
      </w:r>
      <w:r w:rsidR="0089582E">
        <w:rPr>
          <w:lang w:val="en-US"/>
        </w:rPr>
        <w:t xml:space="preserve">signs surrounding </w:t>
      </w:r>
      <w:r w:rsidR="00ED1AC1">
        <w:rPr>
          <w:lang w:val="en-US"/>
        </w:rPr>
        <w:t xml:space="preserve">Helios alluded to the </w:t>
      </w:r>
      <w:r w:rsidR="00560854">
        <w:rPr>
          <w:lang w:val="en-US"/>
        </w:rPr>
        <w:t xml:space="preserve">mystical </w:t>
      </w:r>
      <w:r w:rsidR="00ED1AC1">
        <w:rPr>
          <w:lang w:val="en-US"/>
        </w:rPr>
        <w:t xml:space="preserve">meeting of heaven </w:t>
      </w:r>
      <w:r w:rsidR="00560854">
        <w:rPr>
          <w:lang w:val="en-US"/>
        </w:rPr>
        <w:t>and earth</w:t>
      </w:r>
      <w:r w:rsidR="00ED1AC1">
        <w:rPr>
          <w:lang w:val="en-US"/>
        </w:rPr>
        <w:t xml:space="preserve"> </w:t>
      </w:r>
      <w:r w:rsidR="00560854">
        <w:rPr>
          <w:lang w:val="en-US"/>
        </w:rPr>
        <w:t>and access through twelve celestial gates to the divine chariot-throne.</w:t>
      </w:r>
      <w:r w:rsidR="00560854">
        <w:rPr>
          <w:rStyle w:val="FootnoteReference"/>
          <w:lang w:val="en-US"/>
        </w:rPr>
        <w:footnoteReference w:id="113"/>
      </w:r>
      <w:r w:rsidR="00412833">
        <w:rPr>
          <w:lang w:val="en-US"/>
        </w:rPr>
        <w:t xml:space="preserve"> </w:t>
      </w:r>
    </w:p>
    <w:p w14:paraId="793E0D58" w14:textId="45393EF8" w:rsidR="0095473B" w:rsidRDefault="00412833" w:rsidP="00881B7A">
      <w:pPr>
        <w:pStyle w:val="Newparagraph"/>
        <w:rPr>
          <w:lang w:val="en-US"/>
        </w:rPr>
      </w:pPr>
      <w:r>
        <w:rPr>
          <w:lang w:val="en-US"/>
        </w:rPr>
        <w:t xml:space="preserve">Fine discussed </w:t>
      </w:r>
      <w:r w:rsidR="00FF3E1F">
        <w:rPr>
          <w:lang w:val="en-US"/>
        </w:rPr>
        <w:t xml:space="preserve">ancient synagogue chancel screens in the </w:t>
      </w:r>
      <w:r w:rsidR="005F5F48">
        <w:rPr>
          <w:lang w:val="en-US"/>
        </w:rPr>
        <w:t xml:space="preserve">context of literature representing the </w:t>
      </w:r>
      <w:r>
        <w:rPr>
          <w:lang w:val="en-US"/>
        </w:rPr>
        <w:t xml:space="preserve">heavenly </w:t>
      </w:r>
      <w:r w:rsidR="00FF3E1F">
        <w:rPr>
          <w:lang w:val="en-US"/>
        </w:rPr>
        <w:t xml:space="preserve">houses of prayer and Torah studies as both an ideal sample for mundane </w:t>
      </w:r>
      <w:r w:rsidR="0091767F">
        <w:rPr>
          <w:lang w:val="en-US"/>
        </w:rPr>
        <w:t>synagogues</w:t>
      </w:r>
      <w:r w:rsidR="005F5F48">
        <w:rPr>
          <w:lang w:val="en-US"/>
        </w:rPr>
        <w:t xml:space="preserve"> </w:t>
      </w:r>
      <w:r w:rsidR="00FF3E1F">
        <w:rPr>
          <w:lang w:val="en-US"/>
        </w:rPr>
        <w:t xml:space="preserve">and </w:t>
      </w:r>
      <w:r w:rsidR="005F5F48" w:rsidRPr="005F5F48">
        <w:rPr>
          <w:lang w:val="en-US"/>
        </w:rPr>
        <w:t xml:space="preserve">posthumous </w:t>
      </w:r>
      <w:r w:rsidR="005F5F48">
        <w:rPr>
          <w:lang w:val="en-US"/>
        </w:rPr>
        <w:t>destination f</w:t>
      </w:r>
      <w:r w:rsidR="00AF7DD8">
        <w:rPr>
          <w:lang w:val="en-US"/>
        </w:rPr>
        <w:t>or</w:t>
      </w:r>
      <w:r w:rsidR="005F5F48">
        <w:rPr>
          <w:lang w:val="en-US"/>
        </w:rPr>
        <w:t xml:space="preserve"> the righteous souls.</w:t>
      </w:r>
      <w:r w:rsidR="00E44B7D">
        <w:rPr>
          <w:rStyle w:val="FootnoteReference"/>
          <w:lang w:val="en-US"/>
        </w:rPr>
        <w:footnoteReference w:id="114"/>
      </w:r>
      <w:r w:rsidR="0091767F">
        <w:rPr>
          <w:lang w:val="en-US"/>
        </w:rPr>
        <w:t xml:space="preserve"> I proposed that the vision of a sacred </w:t>
      </w:r>
      <w:r w:rsidR="0090516E">
        <w:rPr>
          <w:lang w:val="en-US"/>
        </w:rPr>
        <w:t xml:space="preserve">architecture as a representation of the paradisiacal garden inspired many </w:t>
      </w:r>
      <w:r w:rsidR="0091767F">
        <w:rPr>
          <w:lang w:val="en-US"/>
        </w:rPr>
        <w:t>vegetative ornaments in ancient to early modern synagogues</w:t>
      </w:r>
      <w:r w:rsidR="0090516E">
        <w:rPr>
          <w:lang w:val="en-US"/>
        </w:rPr>
        <w:t>.</w:t>
      </w:r>
      <w:r w:rsidR="0090516E">
        <w:rPr>
          <w:rStyle w:val="FootnoteReference"/>
          <w:lang w:val="en-US"/>
        </w:rPr>
        <w:footnoteReference w:id="115"/>
      </w:r>
      <w:r w:rsidR="0091767F">
        <w:rPr>
          <w:lang w:val="en-US"/>
        </w:rPr>
        <w:t xml:space="preserve"> </w:t>
      </w:r>
    </w:p>
    <w:p w14:paraId="40317A6C" w14:textId="2B0E2517" w:rsidR="00881B7A" w:rsidRDefault="00F46FD9" w:rsidP="00F46FD9">
      <w:pPr>
        <w:pStyle w:val="Heading1"/>
        <w:rPr>
          <w:lang w:val="en-US"/>
        </w:rPr>
      </w:pPr>
      <w:r>
        <w:rPr>
          <w:lang w:val="en-US"/>
        </w:rPr>
        <w:lastRenderedPageBreak/>
        <w:t>Conclusion</w:t>
      </w:r>
    </w:p>
    <w:p w14:paraId="3B0CE579" w14:textId="41ACCDAE" w:rsidR="00153472" w:rsidRPr="00153472" w:rsidRDefault="00BB2E24" w:rsidP="00F42123">
      <w:pPr>
        <w:pStyle w:val="Paragraph"/>
        <w:rPr>
          <w:lang w:val="en-US"/>
        </w:rPr>
      </w:pPr>
      <w:r>
        <w:t xml:space="preserve">The </w:t>
      </w:r>
      <w:r w:rsidR="009741F0">
        <w:t xml:space="preserve">phenomenon of </w:t>
      </w:r>
      <w:r w:rsidR="001722A5">
        <w:t xml:space="preserve">artistic and architectural expressions of </w:t>
      </w:r>
      <w:r w:rsidR="009741F0">
        <w:t>sa</w:t>
      </w:r>
      <w:r w:rsidR="001722A5">
        <w:t xml:space="preserve">nctity in Jewish sacred spaces has challenged a spectrum of </w:t>
      </w:r>
      <w:r w:rsidR="00461F73">
        <w:t>humanitarian sciences</w:t>
      </w:r>
      <w:r w:rsidR="001722A5">
        <w:t xml:space="preserve"> </w:t>
      </w:r>
      <w:r w:rsidR="00BE1E59">
        <w:t xml:space="preserve">that </w:t>
      </w:r>
      <w:r w:rsidR="00461F73">
        <w:t>investigat</w:t>
      </w:r>
      <w:r w:rsidR="00BE1E59">
        <w:t>e</w:t>
      </w:r>
      <w:r w:rsidR="001722A5">
        <w:t xml:space="preserve"> p</w:t>
      </w:r>
      <w:r w:rsidR="001722A5" w:rsidRPr="00A13877">
        <w:t>re-modern</w:t>
      </w:r>
      <w:r w:rsidR="00461F73">
        <w:t xml:space="preserve"> Jewish culture</w:t>
      </w:r>
      <w:r w:rsidR="00B235C8">
        <w:t>s</w:t>
      </w:r>
      <w:r w:rsidR="00461F73">
        <w:t xml:space="preserve">. Although </w:t>
      </w:r>
      <w:r w:rsidR="0006680C">
        <w:t>such</w:t>
      </w:r>
      <w:r w:rsidR="005C1D15">
        <w:t xml:space="preserve"> variegated studies may barely attain </w:t>
      </w:r>
      <w:r w:rsidR="00B235C8">
        <w:t xml:space="preserve">synergy </w:t>
      </w:r>
      <w:r w:rsidR="005C1D15">
        <w:t xml:space="preserve">of </w:t>
      </w:r>
      <w:r w:rsidR="0006680C">
        <w:t xml:space="preserve">a consolidated discipline, they </w:t>
      </w:r>
      <w:r w:rsidR="00BE1E59">
        <w:t>benefit from multiplicity of angles and open-ended horizons</w:t>
      </w:r>
      <w:r w:rsidR="00F42123">
        <w:t>,</w:t>
      </w:r>
      <w:r w:rsidR="00BE1E59">
        <w:t xml:space="preserve"> </w:t>
      </w:r>
      <w:r w:rsidR="00F42123">
        <w:t xml:space="preserve">and impel daring </w:t>
      </w:r>
      <w:r w:rsidR="009741F0">
        <w:t>theoretical paradigms</w:t>
      </w:r>
      <w:r w:rsidR="00F42123">
        <w:t>.</w:t>
      </w:r>
      <w:bookmarkStart w:id="89" w:name="_Hlk101372351"/>
      <w:r w:rsidR="00153472">
        <w:rPr>
          <w:rFonts w:eastAsiaTheme="minorHAnsi"/>
          <w:sz w:val="19"/>
          <w:szCs w:val="19"/>
          <w:lang w:val="en-US" w:eastAsia="en-US" w:bidi="he-IL"/>
        </w:rPr>
        <w:t xml:space="preserve"> </w:t>
      </w:r>
    </w:p>
    <w:bookmarkEnd w:id="89"/>
    <w:p w14:paraId="4284EF06" w14:textId="77777777" w:rsidR="00F46FD9" w:rsidRDefault="00F46FD9" w:rsidP="00F46FD9">
      <w:pPr>
        <w:pStyle w:val="Newparagraph"/>
        <w:ind w:firstLine="0"/>
        <w:rPr>
          <w:lang w:val="en-US"/>
        </w:rPr>
      </w:pPr>
    </w:p>
    <w:sectPr w:rsidR="00F46FD9">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251C8" w14:textId="77777777" w:rsidR="0002360E" w:rsidRDefault="0002360E" w:rsidP="00E131AC">
      <w:pPr>
        <w:spacing w:line="240" w:lineRule="auto"/>
      </w:pPr>
      <w:r>
        <w:separator/>
      </w:r>
    </w:p>
  </w:endnote>
  <w:endnote w:type="continuationSeparator" w:id="0">
    <w:p w14:paraId="4947776F" w14:textId="77777777" w:rsidR="0002360E" w:rsidRDefault="0002360E" w:rsidP="00E131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Brill-Roman">
    <w:altName w:val="Times New Roman"/>
    <w:panose1 w:val="00000000000000000000"/>
    <w:charset w:val="B1"/>
    <w:family w:val="roman"/>
    <w:notTrueType/>
    <w:pitch w:val="default"/>
    <w:sig w:usb0="00000801" w:usb1="00000000" w:usb2="00000000" w:usb3="00000000" w:csb0="00000020" w:csb1="00000000"/>
  </w:font>
  <w:font w:name="Brill-Italic">
    <w:altName w:val="Times New Roman"/>
    <w:panose1 w:val="00000000000000000000"/>
    <w:charset w:val="B1"/>
    <w:family w:val="roman"/>
    <w:notTrueType/>
    <w:pitch w:val="default"/>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328140"/>
      <w:docPartObj>
        <w:docPartGallery w:val="Page Numbers (Bottom of Page)"/>
        <w:docPartUnique/>
      </w:docPartObj>
    </w:sdtPr>
    <w:sdtEndPr>
      <w:rPr>
        <w:noProof/>
      </w:rPr>
    </w:sdtEndPr>
    <w:sdtContent>
      <w:p w14:paraId="2047AB5A" w14:textId="3003FC96" w:rsidR="007C07B6" w:rsidRDefault="007C07B6">
        <w:pPr>
          <w:pStyle w:val="Footer"/>
        </w:pPr>
        <w:r>
          <w:fldChar w:fldCharType="begin"/>
        </w:r>
        <w:r>
          <w:instrText xml:space="preserve"> PAGE   \* MERGEFORMAT </w:instrText>
        </w:r>
        <w:r>
          <w:fldChar w:fldCharType="separate"/>
        </w:r>
        <w:r>
          <w:rPr>
            <w:noProof/>
          </w:rPr>
          <w:t>2</w:t>
        </w:r>
        <w:r>
          <w:rPr>
            <w:noProof/>
          </w:rPr>
          <w:fldChar w:fldCharType="end"/>
        </w:r>
      </w:p>
    </w:sdtContent>
  </w:sdt>
  <w:p w14:paraId="0D418D1B" w14:textId="77777777" w:rsidR="007C07B6" w:rsidRDefault="007C0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D5D3F" w14:textId="77777777" w:rsidR="0002360E" w:rsidRDefault="0002360E" w:rsidP="00E131AC">
      <w:pPr>
        <w:spacing w:line="240" w:lineRule="auto"/>
      </w:pPr>
      <w:r>
        <w:separator/>
      </w:r>
    </w:p>
  </w:footnote>
  <w:footnote w:type="continuationSeparator" w:id="0">
    <w:p w14:paraId="1AF14AB9" w14:textId="77777777" w:rsidR="0002360E" w:rsidRDefault="0002360E" w:rsidP="00E131AC">
      <w:pPr>
        <w:spacing w:line="240" w:lineRule="auto"/>
      </w:pPr>
      <w:r>
        <w:continuationSeparator/>
      </w:r>
    </w:p>
  </w:footnote>
  <w:footnote w:id="1">
    <w:p w14:paraId="6D8D9C68" w14:textId="4229F590" w:rsidR="00D91732" w:rsidRPr="003C396A" w:rsidRDefault="00D91732" w:rsidP="00DA2927">
      <w:pPr>
        <w:pStyle w:val="Footnotes"/>
        <w:rPr>
          <w:szCs w:val="22"/>
          <w:lang w:val="en-US"/>
        </w:rPr>
      </w:pPr>
      <w:r w:rsidRPr="003C396A">
        <w:rPr>
          <w:rStyle w:val="FootnoteReference"/>
          <w:szCs w:val="22"/>
        </w:rPr>
        <w:footnoteRef/>
      </w:r>
      <w:r w:rsidRPr="003C396A">
        <w:rPr>
          <w:szCs w:val="22"/>
        </w:rPr>
        <w:t xml:space="preserve"> See Anders </w:t>
      </w:r>
      <w:bookmarkStart w:id="2" w:name="_Hlk94723690"/>
      <w:proofErr w:type="spellStart"/>
      <w:r w:rsidRPr="003C396A">
        <w:rPr>
          <w:szCs w:val="22"/>
        </w:rPr>
        <w:t>Runesson</w:t>
      </w:r>
      <w:proofErr w:type="spellEnd"/>
      <w:r w:rsidRPr="003C396A">
        <w:rPr>
          <w:szCs w:val="22"/>
        </w:rPr>
        <w:t xml:space="preserve">, </w:t>
      </w:r>
      <w:r w:rsidRPr="003C396A">
        <w:rPr>
          <w:i/>
          <w:iCs/>
          <w:szCs w:val="22"/>
        </w:rPr>
        <w:t xml:space="preserve">The Origins of the Synagogue: </w:t>
      </w:r>
      <w:bookmarkEnd w:id="2"/>
      <w:r w:rsidRPr="003C396A">
        <w:rPr>
          <w:i/>
          <w:iCs/>
          <w:szCs w:val="22"/>
        </w:rPr>
        <w:t>A Socio-Historical Study</w:t>
      </w:r>
      <w:r w:rsidRPr="003C396A">
        <w:rPr>
          <w:szCs w:val="22"/>
        </w:rPr>
        <w:t xml:space="preserve"> (Stockholm: Almqvist and </w:t>
      </w:r>
      <w:proofErr w:type="spellStart"/>
      <w:r w:rsidRPr="003C396A">
        <w:rPr>
          <w:szCs w:val="22"/>
        </w:rPr>
        <w:t>Wiksell</w:t>
      </w:r>
      <w:proofErr w:type="spellEnd"/>
      <w:r w:rsidRPr="003C396A">
        <w:rPr>
          <w:szCs w:val="22"/>
        </w:rPr>
        <w:t xml:space="preserve"> International, 2001); Lee I. </w:t>
      </w:r>
      <w:r w:rsidRPr="003C396A">
        <w:rPr>
          <w:szCs w:val="22"/>
          <w:lang w:val="en-US"/>
        </w:rPr>
        <w:t xml:space="preserve">Levine, </w:t>
      </w:r>
      <w:r w:rsidRPr="003C396A">
        <w:rPr>
          <w:i/>
          <w:iCs/>
          <w:szCs w:val="22"/>
          <w:lang w:val="en-US"/>
        </w:rPr>
        <w:t xml:space="preserve">The Ancient Synagogue: The First Thousand Years </w:t>
      </w:r>
      <w:r w:rsidRPr="003C396A">
        <w:rPr>
          <w:szCs w:val="22"/>
          <w:lang w:val="en-US"/>
        </w:rPr>
        <w:t xml:space="preserve">(New Haven, Yale University Press, 2000), 169–73; </w:t>
      </w:r>
      <w:bookmarkStart w:id="3" w:name="_Hlk94799834"/>
      <w:r w:rsidRPr="003C396A">
        <w:rPr>
          <w:szCs w:val="22"/>
          <w:lang w:val="en-US"/>
        </w:rPr>
        <w:t xml:space="preserve">Steven Fine, </w:t>
      </w:r>
      <w:r w:rsidRPr="003C396A">
        <w:rPr>
          <w:i/>
          <w:iCs/>
          <w:szCs w:val="22"/>
          <w:lang w:val="en-US"/>
        </w:rPr>
        <w:t>This Holy Place: On the Sanctity of the Synagogue During the Greco-Roman Period</w:t>
      </w:r>
      <w:r w:rsidRPr="003C396A">
        <w:rPr>
          <w:szCs w:val="22"/>
          <w:lang w:val="en-US"/>
        </w:rPr>
        <w:t xml:space="preserve"> (Eugene, Oregon: Wipf and Stock, 2016), </w:t>
      </w:r>
      <w:bookmarkEnd w:id="3"/>
      <w:r w:rsidRPr="003C396A">
        <w:rPr>
          <w:szCs w:val="22"/>
          <w:lang w:val="en-US"/>
        </w:rPr>
        <w:t>25–33</w:t>
      </w:r>
      <w:r w:rsidR="00DA2927" w:rsidRPr="003C396A">
        <w:rPr>
          <w:szCs w:val="22"/>
          <w:lang w:val="en-US"/>
        </w:rPr>
        <w:t>;</w:t>
      </w:r>
      <w:r w:rsidRPr="003C396A">
        <w:rPr>
          <w:szCs w:val="22"/>
          <w:lang w:val="en-US"/>
        </w:rPr>
        <w:t xml:space="preserve"> </w:t>
      </w:r>
      <w:r w:rsidR="00DA2927" w:rsidRPr="003C396A">
        <w:rPr>
          <w:szCs w:val="22"/>
          <w:lang w:val="en-US"/>
        </w:rPr>
        <w:t xml:space="preserve">on the earlier </w:t>
      </w:r>
      <w:r w:rsidR="009E7C0F" w:rsidRPr="003C396A">
        <w:rPr>
          <w:szCs w:val="22"/>
          <w:lang w:val="en-US"/>
        </w:rPr>
        <w:t>publications</w:t>
      </w:r>
      <w:r w:rsidR="00DA2927" w:rsidRPr="003C396A">
        <w:rPr>
          <w:szCs w:val="22"/>
          <w:lang w:val="en-US"/>
        </w:rPr>
        <w:t xml:space="preserve"> in th</w:t>
      </w:r>
      <w:r w:rsidR="009E7C0F" w:rsidRPr="003C396A">
        <w:rPr>
          <w:szCs w:val="22"/>
          <w:lang w:val="en-US"/>
        </w:rPr>
        <w:t>is</w:t>
      </w:r>
      <w:r w:rsidR="00DA2927" w:rsidRPr="003C396A">
        <w:rPr>
          <w:szCs w:val="22"/>
          <w:lang w:val="en-US"/>
        </w:rPr>
        <w:t xml:space="preserve"> field, see </w:t>
      </w:r>
      <w:r w:rsidR="00D47DF3" w:rsidRPr="003C396A">
        <w:rPr>
          <w:szCs w:val="22"/>
          <w:lang w:val="en-US"/>
        </w:rPr>
        <w:t xml:space="preserve">Donald D. Binder, </w:t>
      </w:r>
      <w:r w:rsidR="00D47DF3" w:rsidRPr="003C396A">
        <w:rPr>
          <w:i/>
          <w:iCs/>
          <w:szCs w:val="22"/>
          <w:lang w:val="en-US"/>
        </w:rPr>
        <w:t xml:space="preserve">Into the Temple Courts: The Place of the Synagogue in the Second Temple Period </w:t>
      </w:r>
      <w:r w:rsidR="00D47DF3" w:rsidRPr="003C396A">
        <w:rPr>
          <w:szCs w:val="22"/>
          <w:lang w:val="en-US"/>
        </w:rPr>
        <w:t xml:space="preserve">(Atlanta: Society of Biblical Literature, 1999), 205–26; </w:t>
      </w:r>
      <w:r w:rsidR="00DA2927" w:rsidRPr="003C396A">
        <w:rPr>
          <w:szCs w:val="22"/>
          <w:lang w:val="en-US"/>
        </w:rPr>
        <w:t>Joseph Gutmann,</w:t>
      </w:r>
      <w:r w:rsidR="009E7C0F" w:rsidRPr="003C396A">
        <w:rPr>
          <w:szCs w:val="22"/>
        </w:rPr>
        <w:t xml:space="preserve"> “</w:t>
      </w:r>
      <w:r w:rsidR="009E7C0F" w:rsidRPr="003C396A">
        <w:rPr>
          <w:szCs w:val="22"/>
          <w:lang w:val="en-US"/>
        </w:rPr>
        <w:t>The Origin of the Synagogue: The Current State of Research,” in</w:t>
      </w:r>
      <w:r w:rsidR="00DA2927" w:rsidRPr="003C396A">
        <w:rPr>
          <w:szCs w:val="22"/>
          <w:lang w:val="en-US"/>
        </w:rPr>
        <w:t xml:space="preserve"> </w:t>
      </w:r>
      <w:r w:rsidR="001257FE" w:rsidRPr="003C396A">
        <w:rPr>
          <w:i/>
          <w:iCs/>
          <w:szCs w:val="22"/>
          <w:lang w:val="en-US"/>
        </w:rPr>
        <w:t>The Synagogue: Studies in Origins, Archaeology</w:t>
      </w:r>
      <w:r w:rsidR="00DA2927" w:rsidRPr="003C396A">
        <w:rPr>
          <w:i/>
          <w:iCs/>
          <w:szCs w:val="22"/>
          <w:lang w:val="en-US"/>
        </w:rPr>
        <w:t xml:space="preserve"> </w:t>
      </w:r>
      <w:r w:rsidR="001257FE" w:rsidRPr="003C396A">
        <w:rPr>
          <w:i/>
          <w:iCs/>
          <w:szCs w:val="22"/>
          <w:lang w:val="en-US"/>
        </w:rPr>
        <w:t>and Architecture</w:t>
      </w:r>
      <w:r w:rsidR="009E7C0F" w:rsidRPr="003C396A">
        <w:rPr>
          <w:szCs w:val="22"/>
          <w:lang w:val="en-US"/>
        </w:rPr>
        <w:t xml:space="preserve">, ed. Joseph Gutmann </w:t>
      </w:r>
      <w:r w:rsidR="001257FE" w:rsidRPr="003C396A">
        <w:rPr>
          <w:szCs w:val="22"/>
          <w:lang w:val="en-US"/>
        </w:rPr>
        <w:t xml:space="preserve">(New York: </w:t>
      </w:r>
      <w:proofErr w:type="spellStart"/>
      <w:r w:rsidR="001257FE" w:rsidRPr="003C396A">
        <w:rPr>
          <w:szCs w:val="22"/>
          <w:lang w:val="en-US"/>
        </w:rPr>
        <w:t>Ktav</w:t>
      </w:r>
      <w:proofErr w:type="spellEnd"/>
      <w:r w:rsidR="001257FE" w:rsidRPr="003C396A">
        <w:rPr>
          <w:szCs w:val="22"/>
          <w:lang w:val="en-US"/>
        </w:rPr>
        <w:t>, 1975)</w:t>
      </w:r>
      <w:r w:rsidR="009E7C0F" w:rsidRPr="003C396A">
        <w:rPr>
          <w:szCs w:val="22"/>
          <w:lang w:val="en-US"/>
        </w:rPr>
        <w:t>, 36</w:t>
      </w:r>
      <w:r w:rsidR="008F0F46" w:rsidRPr="003C396A">
        <w:rPr>
          <w:szCs w:val="22"/>
          <w:lang w:val="en-US"/>
        </w:rPr>
        <w:t>–</w:t>
      </w:r>
      <w:r w:rsidR="009E7C0F" w:rsidRPr="003C396A">
        <w:rPr>
          <w:szCs w:val="22"/>
          <w:lang w:val="en-US"/>
        </w:rPr>
        <w:t>40</w:t>
      </w:r>
      <w:r w:rsidR="008F0F46" w:rsidRPr="003C396A">
        <w:rPr>
          <w:szCs w:val="22"/>
          <w:lang w:val="en-US"/>
        </w:rPr>
        <w:t>.</w:t>
      </w:r>
    </w:p>
  </w:footnote>
  <w:footnote w:id="2">
    <w:p w14:paraId="6448A300" w14:textId="09C76B82" w:rsidR="003D1729" w:rsidRPr="003C396A" w:rsidRDefault="003D1729" w:rsidP="00BB2E24">
      <w:pPr>
        <w:pStyle w:val="Footnotes"/>
        <w:rPr>
          <w:szCs w:val="22"/>
          <w:lang w:val="en-US"/>
        </w:rPr>
      </w:pPr>
      <w:r w:rsidRPr="003C396A">
        <w:rPr>
          <w:rStyle w:val="FootnoteReference"/>
          <w:szCs w:val="22"/>
        </w:rPr>
        <w:footnoteRef/>
      </w:r>
      <w:r w:rsidRPr="003C396A">
        <w:rPr>
          <w:szCs w:val="22"/>
        </w:rPr>
        <w:t xml:space="preserve"> See Chapter 1.2: “Synagogue Architecture in Late Antiquity (Second to Sixth Century)” and Section 2: “</w:t>
      </w:r>
      <w:r w:rsidRPr="003C396A">
        <w:rPr>
          <w:bCs/>
          <w:szCs w:val="22"/>
        </w:rPr>
        <w:t>The Medieval and Early Modern Synagogue” in this volume.</w:t>
      </w:r>
    </w:p>
  </w:footnote>
  <w:footnote w:id="3">
    <w:p w14:paraId="0F62ADAB" w14:textId="77777777" w:rsidR="001C4F4E" w:rsidRPr="003C396A" w:rsidRDefault="001C4F4E" w:rsidP="00A93339">
      <w:pPr>
        <w:pStyle w:val="Footnotes"/>
        <w:rPr>
          <w:szCs w:val="22"/>
        </w:rPr>
      </w:pPr>
      <w:r w:rsidRPr="003C396A">
        <w:rPr>
          <w:rStyle w:val="FootnoteTextChar1"/>
          <w:szCs w:val="22"/>
        </w:rPr>
        <w:footnoteRef/>
      </w:r>
      <w:r w:rsidRPr="003C396A">
        <w:rPr>
          <w:szCs w:val="22"/>
          <w:lang w:val="fr-FR"/>
        </w:rPr>
        <w:t xml:space="preserve"> Émile Durkheim, </w:t>
      </w:r>
      <w:r w:rsidRPr="003C396A">
        <w:rPr>
          <w:i/>
          <w:iCs/>
          <w:szCs w:val="22"/>
          <w:lang w:val="fr-FR"/>
        </w:rPr>
        <w:t>Les formes élémentaires de la vie religieuse le système totémique en Australie</w:t>
      </w:r>
      <w:r w:rsidRPr="003C396A">
        <w:rPr>
          <w:szCs w:val="22"/>
          <w:lang w:val="fr-FR"/>
        </w:rPr>
        <w:t xml:space="preserve"> (</w:t>
      </w:r>
      <w:proofErr w:type="gramStart"/>
      <w:r w:rsidRPr="003C396A">
        <w:rPr>
          <w:szCs w:val="22"/>
          <w:lang w:val="fr-FR"/>
        </w:rPr>
        <w:t>Paris:</w:t>
      </w:r>
      <w:proofErr w:type="gramEnd"/>
      <w:r w:rsidRPr="003C396A">
        <w:rPr>
          <w:szCs w:val="22"/>
          <w:lang w:val="fr-FR"/>
        </w:rPr>
        <w:t xml:space="preserve"> F. Alcan, 1912); Rudolf Otto, </w:t>
      </w:r>
      <w:proofErr w:type="spellStart"/>
      <w:r w:rsidRPr="003C396A">
        <w:rPr>
          <w:i/>
          <w:iCs/>
          <w:szCs w:val="22"/>
          <w:lang w:val="fr-FR"/>
        </w:rPr>
        <w:t>Das</w:t>
      </w:r>
      <w:proofErr w:type="spellEnd"/>
      <w:r w:rsidRPr="003C396A">
        <w:rPr>
          <w:i/>
          <w:iCs/>
          <w:szCs w:val="22"/>
          <w:lang w:val="fr-FR"/>
        </w:rPr>
        <w:t xml:space="preserve"> </w:t>
      </w:r>
      <w:proofErr w:type="spellStart"/>
      <w:r w:rsidRPr="003C396A">
        <w:rPr>
          <w:i/>
          <w:iCs/>
          <w:szCs w:val="22"/>
          <w:lang w:val="fr-FR"/>
        </w:rPr>
        <w:t>Heilige</w:t>
      </w:r>
      <w:proofErr w:type="spellEnd"/>
      <w:r w:rsidRPr="003C396A">
        <w:rPr>
          <w:i/>
          <w:iCs/>
          <w:szCs w:val="22"/>
          <w:lang w:val="fr-FR"/>
        </w:rPr>
        <w:t xml:space="preserve">: </w:t>
      </w:r>
      <w:proofErr w:type="spellStart"/>
      <w:r w:rsidRPr="003C396A">
        <w:rPr>
          <w:i/>
          <w:iCs/>
          <w:szCs w:val="22"/>
          <w:lang w:val="fr-FR"/>
        </w:rPr>
        <w:t>über</w:t>
      </w:r>
      <w:proofErr w:type="spellEnd"/>
      <w:r w:rsidRPr="003C396A">
        <w:rPr>
          <w:i/>
          <w:iCs/>
          <w:szCs w:val="22"/>
          <w:lang w:val="fr-FR"/>
        </w:rPr>
        <w:t xml:space="preserve"> </w:t>
      </w:r>
      <w:proofErr w:type="spellStart"/>
      <w:r w:rsidRPr="003C396A">
        <w:rPr>
          <w:i/>
          <w:iCs/>
          <w:szCs w:val="22"/>
          <w:lang w:val="fr-FR"/>
        </w:rPr>
        <w:t>das</w:t>
      </w:r>
      <w:proofErr w:type="spellEnd"/>
      <w:r w:rsidRPr="003C396A">
        <w:rPr>
          <w:i/>
          <w:iCs/>
          <w:szCs w:val="22"/>
          <w:lang w:val="fr-FR"/>
        </w:rPr>
        <w:t xml:space="preserve"> </w:t>
      </w:r>
      <w:proofErr w:type="spellStart"/>
      <w:r w:rsidRPr="003C396A">
        <w:rPr>
          <w:i/>
          <w:iCs/>
          <w:szCs w:val="22"/>
          <w:lang w:val="fr-FR"/>
        </w:rPr>
        <w:t>Irrationale</w:t>
      </w:r>
      <w:proofErr w:type="spellEnd"/>
      <w:r w:rsidRPr="003C396A">
        <w:rPr>
          <w:i/>
          <w:iCs/>
          <w:szCs w:val="22"/>
          <w:lang w:val="fr-FR"/>
        </w:rPr>
        <w:t xml:space="preserve"> in der </w:t>
      </w:r>
      <w:proofErr w:type="spellStart"/>
      <w:r w:rsidRPr="003C396A">
        <w:rPr>
          <w:i/>
          <w:iCs/>
          <w:szCs w:val="22"/>
          <w:lang w:val="fr-FR"/>
        </w:rPr>
        <w:t>Idee</w:t>
      </w:r>
      <w:proofErr w:type="spellEnd"/>
      <w:r w:rsidRPr="003C396A">
        <w:rPr>
          <w:i/>
          <w:iCs/>
          <w:szCs w:val="22"/>
          <w:lang w:val="fr-FR"/>
        </w:rPr>
        <w:t xml:space="preserve"> des </w:t>
      </w:r>
      <w:proofErr w:type="spellStart"/>
      <w:r w:rsidRPr="003C396A">
        <w:rPr>
          <w:i/>
          <w:iCs/>
          <w:szCs w:val="22"/>
          <w:lang w:val="fr-FR"/>
        </w:rPr>
        <w:t>Göttlichen</w:t>
      </w:r>
      <w:proofErr w:type="spellEnd"/>
      <w:r w:rsidRPr="003C396A">
        <w:rPr>
          <w:i/>
          <w:iCs/>
          <w:szCs w:val="22"/>
          <w:lang w:val="fr-FR"/>
        </w:rPr>
        <w:t xml:space="preserve"> </w:t>
      </w:r>
      <w:proofErr w:type="spellStart"/>
      <w:r w:rsidRPr="003C396A">
        <w:rPr>
          <w:i/>
          <w:iCs/>
          <w:szCs w:val="22"/>
          <w:lang w:val="fr-FR"/>
        </w:rPr>
        <w:t>und</w:t>
      </w:r>
      <w:proofErr w:type="spellEnd"/>
      <w:r w:rsidRPr="003C396A">
        <w:rPr>
          <w:i/>
          <w:iCs/>
          <w:szCs w:val="22"/>
          <w:lang w:val="fr-FR"/>
        </w:rPr>
        <w:t xml:space="preserve"> sein </w:t>
      </w:r>
      <w:proofErr w:type="spellStart"/>
      <w:r w:rsidRPr="003C396A">
        <w:rPr>
          <w:i/>
          <w:iCs/>
          <w:szCs w:val="22"/>
          <w:lang w:val="fr-FR"/>
        </w:rPr>
        <w:t>Verhältnis</w:t>
      </w:r>
      <w:proofErr w:type="spellEnd"/>
      <w:r w:rsidRPr="003C396A">
        <w:rPr>
          <w:i/>
          <w:iCs/>
          <w:szCs w:val="22"/>
          <w:lang w:val="fr-FR"/>
        </w:rPr>
        <w:t xml:space="preserve"> </w:t>
      </w:r>
      <w:proofErr w:type="spellStart"/>
      <w:r w:rsidRPr="003C396A">
        <w:rPr>
          <w:i/>
          <w:iCs/>
          <w:szCs w:val="22"/>
          <w:lang w:val="fr-FR"/>
        </w:rPr>
        <w:t>zum</w:t>
      </w:r>
      <w:proofErr w:type="spellEnd"/>
      <w:r w:rsidRPr="003C396A">
        <w:rPr>
          <w:i/>
          <w:iCs/>
          <w:szCs w:val="22"/>
          <w:lang w:val="fr-FR"/>
        </w:rPr>
        <w:t xml:space="preserve"> </w:t>
      </w:r>
      <w:proofErr w:type="spellStart"/>
      <w:r w:rsidRPr="003C396A">
        <w:rPr>
          <w:i/>
          <w:iCs/>
          <w:szCs w:val="22"/>
          <w:lang w:val="fr-FR"/>
        </w:rPr>
        <w:t>Rationalen</w:t>
      </w:r>
      <w:proofErr w:type="spellEnd"/>
      <w:r w:rsidRPr="003C396A">
        <w:rPr>
          <w:szCs w:val="22"/>
          <w:lang w:val="fr-FR"/>
        </w:rPr>
        <w:t xml:space="preserve"> (Breslau: </w:t>
      </w:r>
      <w:proofErr w:type="spellStart"/>
      <w:r w:rsidRPr="003C396A">
        <w:rPr>
          <w:szCs w:val="22"/>
          <w:lang w:val="fr-FR"/>
        </w:rPr>
        <w:t>Trewendt</w:t>
      </w:r>
      <w:proofErr w:type="spellEnd"/>
      <w:r w:rsidRPr="003C396A">
        <w:rPr>
          <w:szCs w:val="22"/>
          <w:lang w:val="fr-FR"/>
        </w:rPr>
        <w:t xml:space="preserve"> </w:t>
      </w:r>
      <w:proofErr w:type="spellStart"/>
      <w:r w:rsidRPr="003C396A">
        <w:rPr>
          <w:szCs w:val="22"/>
          <w:lang w:val="fr-FR"/>
        </w:rPr>
        <w:t>und</w:t>
      </w:r>
      <w:proofErr w:type="spellEnd"/>
      <w:r w:rsidRPr="003C396A">
        <w:rPr>
          <w:szCs w:val="22"/>
          <w:lang w:val="fr-FR"/>
        </w:rPr>
        <w:t xml:space="preserve"> </w:t>
      </w:r>
      <w:proofErr w:type="spellStart"/>
      <w:r w:rsidRPr="003C396A">
        <w:rPr>
          <w:szCs w:val="22"/>
          <w:lang w:val="fr-FR"/>
        </w:rPr>
        <w:t>Granier</w:t>
      </w:r>
      <w:proofErr w:type="spellEnd"/>
      <w:r w:rsidRPr="003C396A">
        <w:rPr>
          <w:szCs w:val="22"/>
          <w:lang w:val="fr-FR"/>
        </w:rPr>
        <w:t xml:space="preserve">, 1917); Mircea Eliade, </w:t>
      </w:r>
      <w:r w:rsidRPr="003C396A">
        <w:rPr>
          <w:i/>
          <w:iCs/>
          <w:szCs w:val="22"/>
          <w:lang w:val="fr-FR"/>
        </w:rPr>
        <w:t xml:space="preserve">The </w:t>
      </w:r>
      <w:proofErr w:type="spellStart"/>
      <w:r w:rsidRPr="003C396A">
        <w:rPr>
          <w:i/>
          <w:iCs/>
          <w:szCs w:val="22"/>
          <w:lang w:val="fr-FR"/>
        </w:rPr>
        <w:t>Sacred</w:t>
      </w:r>
      <w:proofErr w:type="spellEnd"/>
      <w:r w:rsidRPr="003C396A">
        <w:rPr>
          <w:i/>
          <w:iCs/>
          <w:szCs w:val="22"/>
          <w:lang w:val="fr-FR"/>
        </w:rPr>
        <w:t xml:space="preserve"> and the Profane: The Nature of Religion</w:t>
      </w:r>
      <w:r w:rsidRPr="003C396A">
        <w:rPr>
          <w:szCs w:val="22"/>
          <w:lang w:val="fr-FR"/>
        </w:rPr>
        <w:t xml:space="preserve"> (New York: Harcourt, </w:t>
      </w:r>
      <w:proofErr w:type="spellStart"/>
      <w:r w:rsidRPr="003C396A">
        <w:rPr>
          <w:szCs w:val="22"/>
          <w:lang w:val="fr-FR"/>
        </w:rPr>
        <w:t>Brace</w:t>
      </w:r>
      <w:proofErr w:type="spellEnd"/>
      <w:r w:rsidRPr="003C396A">
        <w:rPr>
          <w:szCs w:val="22"/>
          <w:lang w:val="fr-FR"/>
        </w:rPr>
        <w:t xml:space="preserve"> and World, 1959). </w:t>
      </w:r>
      <w:r w:rsidRPr="003C396A">
        <w:rPr>
          <w:szCs w:val="22"/>
        </w:rPr>
        <w:t xml:space="preserve">See also Matthew T. Evans, “The Sacred: Differentiating, Clarifying and Extending Concepts,” </w:t>
      </w:r>
      <w:r w:rsidRPr="003C396A">
        <w:rPr>
          <w:i/>
          <w:iCs/>
          <w:szCs w:val="22"/>
        </w:rPr>
        <w:t>Review of Religious Research</w:t>
      </w:r>
      <w:r w:rsidRPr="003C396A">
        <w:rPr>
          <w:szCs w:val="22"/>
        </w:rPr>
        <w:t xml:space="preserve"> 45, 1 (2003): 32–47; Bryan S. Rennie, “Mircea Eliade and the Perception of the Sacred in the Profane: Intention, Reduction, and Cognitive Theory,” </w:t>
      </w:r>
      <w:r w:rsidRPr="003C396A">
        <w:rPr>
          <w:i/>
          <w:iCs/>
          <w:szCs w:val="22"/>
        </w:rPr>
        <w:t>Temenos: Nordic Journal of Comparative Religion</w:t>
      </w:r>
      <w:r w:rsidRPr="003C396A">
        <w:rPr>
          <w:szCs w:val="22"/>
        </w:rPr>
        <w:t xml:space="preserve"> 43, 1 (2007): 73–98. </w:t>
      </w:r>
    </w:p>
  </w:footnote>
  <w:footnote w:id="4">
    <w:p w14:paraId="47C38D14" w14:textId="1881FFBF" w:rsidR="00E01E9B" w:rsidRPr="003C396A" w:rsidRDefault="00E01E9B" w:rsidP="008C6239">
      <w:pPr>
        <w:pStyle w:val="Footnotes"/>
        <w:rPr>
          <w:szCs w:val="22"/>
          <w:lang w:val="en-US" w:bidi="he-IL"/>
        </w:rPr>
      </w:pPr>
      <w:r w:rsidRPr="003C396A">
        <w:rPr>
          <w:rStyle w:val="FootnoteReference"/>
          <w:szCs w:val="22"/>
        </w:rPr>
        <w:footnoteRef/>
      </w:r>
      <w:r w:rsidRPr="003C396A">
        <w:rPr>
          <w:szCs w:val="22"/>
        </w:rPr>
        <w:t xml:space="preserve"> </w:t>
      </w:r>
      <w:r w:rsidR="005367C2" w:rsidRPr="003C396A">
        <w:rPr>
          <w:szCs w:val="22"/>
        </w:rPr>
        <w:t xml:space="preserve">General overview: </w:t>
      </w:r>
      <w:r w:rsidRPr="003C396A">
        <w:rPr>
          <w:szCs w:val="22"/>
        </w:rPr>
        <w:t xml:space="preserve">Theodore Friedman, Baruch A. Levine, and Eliezer </w:t>
      </w:r>
      <w:proofErr w:type="spellStart"/>
      <w:r w:rsidRPr="003C396A">
        <w:rPr>
          <w:szCs w:val="22"/>
        </w:rPr>
        <w:t>Schweid</w:t>
      </w:r>
      <w:proofErr w:type="spellEnd"/>
      <w:r w:rsidRPr="003C396A">
        <w:rPr>
          <w:szCs w:val="22"/>
        </w:rPr>
        <w:t>, “</w:t>
      </w:r>
      <w:proofErr w:type="spellStart"/>
      <w:r w:rsidRPr="003C396A">
        <w:rPr>
          <w:szCs w:val="22"/>
        </w:rPr>
        <w:t>Kedushah</w:t>
      </w:r>
      <w:proofErr w:type="spellEnd"/>
      <w:r w:rsidRPr="003C396A">
        <w:rPr>
          <w:szCs w:val="22"/>
        </w:rPr>
        <w:t xml:space="preserve">” in </w:t>
      </w:r>
      <w:r w:rsidRPr="003C396A">
        <w:rPr>
          <w:i/>
          <w:iCs/>
          <w:szCs w:val="22"/>
        </w:rPr>
        <w:t>Encyclopaedia Judaica</w:t>
      </w:r>
      <w:r w:rsidRPr="003C396A">
        <w:rPr>
          <w:szCs w:val="22"/>
        </w:rPr>
        <w:t xml:space="preserve"> 12 (Detroit: Macmillan Reference USA, 2007), 50–56 and the included bibliography</w:t>
      </w:r>
      <w:r w:rsidR="005367C2" w:rsidRPr="003C396A">
        <w:rPr>
          <w:szCs w:val="22"/>
        </w:rPr>
        <w:t>.</w:t>
      </w:r>
      <w:r w:rsidR="005367C2" w:rsidRPr="003C396A">
        <w:rPr>
          <w:szCs w:val="22"/>
          <w:lang w:val="en-US"/>
        </w:rPr>
        <w:t xml:space="preserve"> Ancient perceptions: </w:t>
      </w:r>
      <w:proofErr w:type="spellStart"/>
      <w:r w:rsidR="005367C2" w:rsidRPr="003C396A">
        <w:rPr>
          <w:szCs w:val="22"/>
          <w:lang w:val="en-US"/>
        </w:rPr>
        <w:t>Yehezkel</w:t>
      </w:r>
      <w:proofErr w:type="spellEnd"/>
      <w:r w:rsidR="005367C2" w:rsidRPr="003C396A">
        <w:rPr>
          <w:szCs w:val="22"/>
          <w:lang w:val="en-US"/>
        </w:rPr>
        <w:t xml:space="preserve"> Kaufman, </w:t>
      </w:r>
      <w:proofErr w:type="spellStart"/>
      <w:r w:rsidR="005367C2" w:rsidRPr="003C396A">
        <w:rPr>
          <w:i/>
          <w:iCs/>
          <w:szCs w:val="22"/>
          <w:lang w:val="en-US"/>
        </w:rPr>
        <w:t>Toledot</w:t>
      </w:r>
      <w:proofErr w:type="spellEnd"/>
      <w:r w:rsidR="005367C2" w:rsidRPr="003C396A">
        <w:rPr>
          <w:i/>
          <w:iCs/>
          <w:szCs w:val="22"/>
          <w:lang w:val="en-US"/>
        </w:rPr>
        <w:t xml:space="preserve"> ha-</w:t>
      </w:r>
      <w:proofErr w:type="spellStart"/>
      <w:r w:rsidR="005367C2" w:rsidRPr="003C396A">
        <w:rPr>
          <w:i/>
          <w:iCs/>
          <w:szCs w:val="22"/>
          <w:lang w:val="en-US"/>
        </w:rPr>
        <w:t>emunah</w:t>
      </w:r>
      <w:proofErr w:type="spellEnd"/>
      <w:r w:rsidR="005367C2" w:rsidRPr="003C396A">
        <w:rPr>
          <w:i/>
          <w:iCs/>
          <w:szCs w:val="22"/>
          <w:lang w:val="en-US"/>
        </w:rPr>
        <w:t xml:space="preserve"> ha-</w:t>
      </w:r>
      <w:proofErr w:type="spellStart"/>
      <w:r w:rsidR="005367C2" w:rsidRPr="003C396A">
        <w:rPr>
          <w:i/>
          <w:iCs/>
          <w:szCs w:val="22"/>
          <w:lang w:val="en-US"/>
        </w:rPr>
        <w:t>yisre’elit</w:t>
      </w:r>
      <w:proofErr w:type="spellEnd"/>
      <w:r w:rsidR="005367C2" w:rsidRPr="003C396A">
        <w:rPr>
          <w:szCs w:val="22"/>
          <w:lang w:val="en-US"/>
        </w:rPr>
        <w:t xml:space="preserve"> 2 (Jerusalem: Bialik Institute, 1937), 749 s. v. </w:t>
      </w:r>
      <w:proofErr w:type="spellStart"/>
      <w:r w:rsidR="005367C2" w:rsidRPr="003C396A">
        <w:rPr>
          <w:i/>
          <w:iCs/>
          <w:szCs w:val="22"/>
          <w:lang w:val="en-US"/>
        </w:rPr>
        <w:t>kedushah</w:t>
      </w:r>
      <w:proofErr w:type="spellEnd"/>
      <w:r w:rsidR="005367C2" w:rsidRPr="003C396A">
        <w:rPr>
          <w:szCs w:val="22"/>
          <w:lang w:val="en-US"/>
        </w:rPr>
        <w:t xml:space="preserve"> (Hebrew).</w:t>
      </w:r>
      <w:r w:rsidR="00496BF7" w:rsidRPr="003C396A">
        <w:rPr>
          <w:szCs w:val="22"/>
          <w:lang w:val="en-US"/>
        </w:rPr>
        <w:t xml:space="preserve"> </w:t>
      </w:r>
      <w:r w:rsidR="00557D6B" w:rsidRPr="003C396A">
        <w:rPr>
          <w:szCs w:val="22"/>
          <w:lang w:val="en-US"/>
        </w:rPr>
        <w:t>See</w:t>
      </w:r>
      <w:r w:rsidR="008C6239" w:rsidRPr="003C396A">
        <w:rPr>
          <w:szCs w:val="22"/>
          <w:lang w:val="en-US"/>
        </w:rPr>
        <w:t xml:space="preserve"> also </w:t>
      </w:r>
      <w:r w:rsidR="008C6239" w:rsidRPr="003C396A">
        <w:rPr>
          <w:szCs w:val="22"/>
        </w:rPr>
        <w:t xml:space="preserve">Jack N. </w:t>
      </w:r>
      <w:bookmarkStart w:id="4" w:name="_Hlk95818424"/>
      <w:r w:rsidR="008C6239" w:rsidRPr="003C396A">
        <w:rPr>
          <w:szCs w:val="22"/>
        </w:rPr>
        <w:t xml:space="preserve">Lightstone, </w:t>
      </w:r>
      <w:r w:rsidR="008C6239" w:rsidRPr="003C396A">
        <w:rPr>
          <w:i/>
          <w:iCs/>
          <w:szCs w:val="22"/>
          <w:lang w:bidi="he-IL"/>
        </w:rPr>
        <w:t xml:space="preserve">The Commerce of the Sacred: </w:t>
      </w:r>
      <w:bookmarkEnd w:id="4"/>
      <w:r w:rsidR="008C6239" w:rsidRPr="003C396A">
        <w:rPr>
          <w:i/>
          <w:iCs/>
          <w:szCs w:val="22"/>
          <w:lang w:bidi="he-IL"/>
        </w:rPr>
        <w:t>Mediation of the Divine Among Jews in the Greco-Roman World</w:t>
      </w:r>
      <w:r w:rsidR="008C6239" w:rsidRPr="003C396A">
        <w:rPr>
          <w:szCs w:val="22"/>
          <w:lang w:val="en-US" w:bidi="he-IL"/>
        </w:rPr>
        <w:t xml:space="preserve"> (New York: Columbia University Press, 2006).</w:t>
      </w:r>
    </w:p>
  </w:footnote>
  <w:footnote w:id="5">
    <w:p w14:paraId="1641FE32" w14:textId="79CD25EC" w:rsidR="00170101" w:rsidRPr="003C396A" w:rsidRDefault="00170101" w:rsidP="00A93339">
      <w:pPr>
        <w:pStyle w:val="Footnotes"/>
        <w:rPr>
          <w:szCs w:val="22"/>
        </w:rPr>
      </w:pPr>
      <w:r w:rsidRPr="003C396A">
        <w:rPr>
          <w:rStyle w:val="FootnoteTextChar1"/>
          <w:szCs w:val="22"/>
        </w:rPr>
        <w:footnoteRef/>
      </w:r>
      <w:r w:rsidRPr="003C396A">
        <w:rPr>
          <w:szCs w:val="22"/>
          <w:lang w:val="en-US"/>
        </w:rPr>
        <w:t xml:space="preserve"> </w:t>
      </w:r>
      <w:r w:rsidR="00A669E5" w:rsidRPr="003C396A">
        <w:rPr>
          <w:szCs w:val="22"/>
          <w:lang w:val="en-US"/>
        </w:rPr>
        <w:t>Note that a</w:t>
      </w:r>
      <w:r w:rsidR="006C6F76" w:rsidRPr="003C396A">
        <w:rPr>
          <w:szCs w:val="22"/>
          <w:lang w:val="en-US"/>
        </w:rPr>
        <w:t xml:space="preserve"> </w:t>
      </w:r>
      <w:r w:rsidRPr="003C396A">
        <w:rPr>
          <w:szCs w:val="22"/>
          <w:lang w:val="en-US"/>
        </w:rPr>
        <w:t xml:space="preserve">hierarchic rather than strictly binary approach to the sacred characterized </w:t>
      </w:r>
      <w:r w:rsidRPr="003C396A">
        <w:rPr>
          <w:szCs w:val="22"/>
        </w:rPr>
        <w:t xml:space="preserve">Gerardus van der Leeuw’s first publication of his </w:t>
      </w:r>
      <w:proofErr w:type="spellStart"/>
      <w:r w:rsidRPr="003C396A">
        <w:rPr>
          <w:i/>
          <w:iCs/>
          <w:szCs w:val="22"/>
        </w:rPr>
        <w:t>Wegen</w:t>
      </w:r>
      <w:proofErr w:type="spellEnd"/>
      <w:r w:rsidRPr="003C396A">
        <w:rPr>
          <w:i/>
          <w:iCs/>
          <w:szCs w:val="22"/>
        </w:rPr>
        <w:t xml:space="preserve"> </w:t>
      </w:r>
      <w:proofErr w:type="spellStart"/>
      <w:r w:rsidRPr="003C396A">
        <w:rPr>
          <w:i/>
          <w:iCs/>
          <w:szCs w:val="22"/>
        </w:rPr>
        <w:t>en</w:t>
      </w:r>
      <w:proofErr w:type="spellEnd"/>
      <w:r w:rsidRPr="003C396A">
        <w:rPr>
          <w:i/>
          <w:iCs/>
          <w:szCs w:val="22"/>
        </w:rPr>
        <w:t xml:space="preserve"> </w:t>
      </w:r>
      <w:proofErr w:type="spellStart"/>
      <w:r w:rsidRPr="003C396A">
        <w:rPr>
          <w:i/>
          <w:iCs/>
          <w:szCs w:val="22"/>
        </w:rPr>
        <w:t>grenzen</w:t>
      </w:r>
      <w:proofErr w:type="spellEnd"/>
      <w:r w:rsidRPr="003C396A">
        <w:rPr>
          <w:i/>
          <w:iCs/>
          <w:szCs w:val="22"/>
        </w:rPr>
        <w:t xml:space="preserve">: </w:t>
      </w:r>
      <w:proofErr w:type="spellStart"/>
      <w:r w:rsidRPr="003C396A">
        <w:rPr>
          <w:i/>
          <w:iCs/>
          <w:szCs w:val="22"/>
        </w:rPr>
        <w:t>studie</w:t>
      </w:r>
      <w:proofErr w:type="spellEnd"/>
      <w:r w:rsidRPr="003C396A">
        <w:rPr>
          <w:i/>
          <w:iCs/>
          <w:szCs w:val="22"/>
        </w:rPr>
        <w:t xml:space="preserve"> over de </w:t>
      </w:r>
      <w:proofErr w:type="spellStart"/>
      <w:r w:rsidRPr="003C396A">
        <w:rPr>
          <w:i/>
          <w:iCs/>
          <w:szCs w:val="22"/>
        </w:rPr>
        <w:t>verhouding</w:t>
      </w:r>
      <w:proofErr w:type="spellEnd"/>
      <w:r w:rsidRPr="003C396A">
        <w:rPr>
          <w:i/>
          <w:iCs/>
          <w:szCs w:val="22"/>
        </w:rPr>
        <w:t xml:space="preserve"> van </w:t>
      </w:r>
      <w:proofErr w:type="spellStart"/>
      <w:r w:rsidRPr="003C396A">
        <w:rPr>
          <w:i/>
          <w:iCs/>
          <w:szCs w:val="22"/>
        </w:rPr>
        <w:t>religie</w:t>
      </w:r>
      <w:proofErr w:type="spellEnd"/>
      <w:r w:rsidRPr="003C396A">
        <w:rPr>
          <w:i/>
          <w:iCs/>
          <w:szCs w:val="22"/>
        </w:rPr>
        <w:t xml:space="preserve"> </w:t>
      </w:r>
      <w:proofErr w:type="spellStart"/>
      <w:r w:rsidRPr="003C396A">
        <w:rPr>
          <w:i/>
          <w:iCs/>
          <w:szCs w:val="22"/>
        </w:rPr>
        <w:t>en</w:t>
      </w:r>
      <w:proofErr w:type="spellEnd"/>
      <w:r w:rsidRPr="003C396A">
        <w:rPr>
          <w:i/>
          <w:iCs/>
          <w:szCs w:val="22"/>
        </w:rPr>
        <w:t xml:space="preserve"> kunst</w:t>
      </w:r>
      <w:r w:rsidRPr="003C396A">
        <w:rPr>
          <w:szCs w:val="22"/>
        </w:rPr>
        <w:t xml:space="preserve"> (Amsterdam: H. J. Paris, 1932) and its amended German translation, </w:t>
      </w:r>
      <w:proofErr w:type="spellStart"/>
      <w:r w:rsidRPr="003C396A">
        <w:rPr>
          <w:i/>
          <w:iCs/>
          <w:szCs w:val="22"/>
        </w:rPr>
        <w:t>Vom</w:t>
      </w:r>
      <w:proofErr w:type="spellEnd"/>
      <w:r w:rsidRPr="003C396A">
        <w:rPr>
          <w:i/>
          <w:iCs/>
          <w:szCs w:val="22"/>
        </w:rPr>
        <w:t xml:space="preserve"> </w:t>
      </w:r>
      <w:proofErr w:type="spellStart"/>
      <w:r w:rsidRPr="003C396A">
        <w:rPr>
          <w:i/>
          <w:iCs/>
          <w:szCs w:val="22"/>
        </w:rPr>
        <w:t>Heiligen</w:t>
      </w:r>
      <w:proofErr w:type="spellEnd"/>
      <w:r w:rsidRPr="003C396A">
        <w:rPr>
          <w:i/>
          <w:iCs/>
          <w:szCs w:val="22"/>
        </w:rPr>
        <w:t xml:space="preserve"> in der Kunst</w:t>
      </w:r>
      <w:r w:rsidRPr="003C396A">
        <w:rPr>
          <w:szCs w:val="22"/>
        </w:rPr>
        <w:t xml:space="preserve">, trans. </w:t>
      </w:r>
      <w:proofErr w:type="spellStart"/>
      <w:r w:rsidRPr="003C396A">
        <w:rPr>
          <w:szCs w:val="22"/>
        </w:rPr>
        <w:t>Annelotte</w:t>
      </w:r>
      <w:proofErr w:type="spellEnd"/>
      <w:r w:rsidRPr="003C396A">
        <w:rPr>
          <w:szCs w:val="22"/>
        </w:rPr>
        <w:t xml:space="preserve"> Piper (</w:t>
      </w:r>
      <w:proofErr w:type="spellStart"/>
      <w:r w:rsidRPr="003C396A">
        <w:rPr>
          <w:szCs w:val="22"/>
        </w:rPr>
        <w:t>Gütersloh</w:t>
      </w:r>
      <w:proofErr w:type="spellEnd"/>
      <w:r w:rsidRPr="003C396A">
        <w:rPr>
          <w:szCs w:val="22"/>
        </w:rPr>
        <w:t xml:space="preserve">: C. Bertelsmann, 1957). The addition to the term “profane” to sharpen the dichotomy in the title of English edition of van der Leeuw’s </w:t>
      </w:r>
      <w:r w:rsidRPr="003C396A">
        <w:rPr>
          <w:i/>
          <w:iCs/>
          <w:szCs w:val="22"/>
        </w:rPr>
        <w:t>Sacred and Profane Beauty: The Holy in Art</w:t>
      </w:r>
      <w:r w:rsidRPr="003C396A">
        <w:rPr>
          <w:szCs w:val="22"/>
        </w:rPr>
        <w:t xml:space="preserve"> (see above, n. </w:t>
      </w:r>
      <w:r w:rsidRPr="003C396A">
        <w:rPr>
          <w:szCs w:val="22"/>
        </w:rPr>
        <w:fldChar w:fldCharType="begin"/>
      </w:r>
      <w:r w:rsidRPr="003C396A">
        <w:rPr>
          <w:szCs w:val="22"/>
        </w:rPr>
        <w:instrText xml:space="preserve"> NOTEREF _Ref52104588 \h  \* MERGEFORMAT </w:instrText>
      </w:r>
      <w:r w:rsidRPr="003C396A">
        <w:rPr>
          <w:szCs w:val="22"/>
        </w:rPr>
      </w:r>
      <w:r w:rsidRPr="003C396A">
        <w:rPr>
          <w:szCs w:val="22"/>
        </w:rPr>
        <w:fldChar w:fldCharType="separate"/>
      </w:r>
      <w:r w:rsidRPr="003C396A">
        <w:rPr>
          <w:szCs w:val="22"/>
        </w:rPr>
        <w:t>31</w:t>
      </w:r>
      <w:r w:rsidRPr="003C396A">
        <w:rPr>
          <w:szCs w:val="22"/>
        </w:rPr>
        <w:fldChar w:fldCharType="end"/>
      </w:r>
      <w:r w:rsidRPr="003C396A">
        <w:rPr>
          <w:szCs w:val="22"/>
        </w:rPr>
        <w:t xml:space="preserve">) was probably inspired by Eliade, who supplied it with his introduction. </w:t>
      </w:r>
      <w:r w:rsidR="006C6F76" w:rsidRPr="003C396A">
        <w:rPr>
          <w:szCs w:val="22"/>
        </w:rPr>
        <w:t>On the various dimensions of the sacred within the same religion, see, f</w:t>
      </w:r>
      <w:proofErr w:type="spellStart"/>
      <w:r w:rsidRPr="003C396A">
        <w:rPr>
          <w:szCs w:val="22"/>
          <w:lang w:val="en-US"/>
        </w:rPr>
        <w:t>or</w:t>
      </w:r>
      <w:proofErr w:type="spellEnd"/>
      <w:r w:rsidRPr="003C396A">
        <w:rPr>
          <w:szCs w:val="22"/>
          <w:lang w:val="en-US"/>
        </w:rPr>
        <w:t xml:space="preserve"> example, </w:t>
      </w:r>
      <w:r w:rsidRPr="003C396A">
        <w:rPr>
          <w:i/>
          <w:iCs/>
          <w:szCs w:val="22"/>
        </w:rPr>
        <w:t xml:space="preserve">Loci </w:t>
      </w:r>
      <w:proofErr w:type="spellStart"/>
      <w:r w:rsidRPr="003C396A">
        <w:rPr>
          <w:i/>
          <w:iCs/>
          <w:szCs w:val="22"/>
        </w:rPr>
        <w:t>Sacri</w:t>
      </w:r>
      <w:proofErr w:type="spellEnd"/>
      <w:r w:rsidRPr="003C396A">
        <w:rPr>
          <w:i/>
          <w:iCs/>
          <w:szCs w:val="22"/>
        </w:rPr>
        <w:t>: Understanding Sacred Places</w:t>
      </w:r>
      <w:r w:rsidRPr="003C396A">
        <w:rPr>
          <w:szCs w:val="22"/>
        </w:rPr>
        <w:t xml:space="preserve">, eds. </w:t>
      </w:r>
      <w:r w:rsidRPr="003C396A">
        <w:rPr>
          <w:szCs w:val="22"/>
          <w:lang w:val="en-US"/>
        </w:rPr>
        <w:t xml:space="preserve">Thomas </w:t>
      </w:r>
      <w:proofErr w:type="spellStart"/>
      <w:r w:rsidRPr="003C396A">
        <w:rPr>
          <w:szCs w:val="22"/>
          <w:lang w:val="en-US"/>
        </w:rPr>
        <w:t>Coomans</w:t>
      </w:r>
      <w:proofErr w:type="spellEnd"/>
      <w:r w:rsidRPr="003C396A">
        <w:rPr>
          <w:szCs w:val="22"/>
          <w:lang w:val="en-US"/>
        </w:rPr>
        <w:t xml:space="preserve">, Herman De </w:t>
      </w:r>
      <w:proofErr w:type="spellStart"/>
      <w:r w:rsidRPr="003C396A">
        <w:rPr>
          <w:szCs w:val="22"/>
          <w:lang w:val="en-US"/>
        </w:rPr>
        <w:t>Dijn</w:t>
      </w:r>
      <w:proofErr w:type="spellEnd"/>
      <w:r w:rsidRPr="003C396A">
        <w:rPr>
          <w:szCs w:val="22"/>
          <w:lang w:val="en-US"/>
        </w:rPr>
        <w:t xml:space="preserve">, Jan De </w:t>
      </w:r>
      <w:proofErr w:type="spellStart"/>
      <w:r w:rsidRPr="003C396A">
        <w:rPr>
          <w:szCs w:val="22"/>
          <w:lang w:val="en-US"/>
        </w:rPr>
        <w:t>Maeyer</w:t>
      </w:r>
      <w:proofErr w:type="spellEnd"/>
      <w:r w:rsidRPr="003C396A">
        <w:rPr>
          <w:szCs w:val="22"/>
          <w:lang w:val="en-US"/>
        </w:rPr>
        <w:t xml:space="preserve">, </w:t>
      </w:r>
      <w:r w:rsidRPr="003C396A">
        <w:rPr>
          <w:szCs w:val="22"/>
        </w:rPr>
        <w:t xml:space="preserve">Rajesh </w:t>
      </w:r>
      <w:proofErr w:type="spellStart"/>
      <w:r w:rsidRPr="003C396A">
        <w:rPr>
          <w:szCs w:val="22"/>
        </w:rPr>
        <w:t>Heynickx</w:t>
      </w:r>
      <w:proofErr w:type="spellEnd"/>
      <w:r w:rsidRPr="003C396A">
        <w:rPr>
          <w:szCs w:val="22"/>
        </w:rPr>
        <w:t xml:space="preserve">, and Bart </w:t>
      </w:r>
      <w:proofErr w:type="spellStart"/>
      <w:r w:rsidRPr="003C396A">
        <w:rPr>
          <w:szCs w:val="22"/>
        </w:rPr>
        <w:t>Verschaffel</w:t>
      </w:r>
      <w:proofErr w:type="spellEnd"/>
      <w:r w:rsidRPr="003C396A">
        <w:rPr>
          <w:szCs w:val="22"/>
        </w:rPr>
        <w:t xml:space="preserve"> (Louvain: Louvain University Press, 2012);</w:t>
      </w:r>
      <w:r w:rsidRPr="003C396A">
        <w:rPr>
          <w:szCs w:val="22"/>
          <w:lang w:val="en-US"/>
        </w:rPr>
        <w:t xml:space="preserve"> </w:t>
      </w:r>
      <w:r w:rsidR="006C6F76" w:rsidRPr="003C396A">
        <w:rPr>
          <w:szCs w:val="22"/>
          <w:lang w:val="en-US"/>
        </w:rPr>
        <w:t xml:space="preserve">and on this variety in Judaism, see </w:t>
      </w:r>
      <w:proofErr w:type="spellStart"/>
      <w:r w:rsidRPr="003C396A">
        <w:rPr>
          <w:szCs w:val="22"/>
        </w:rPr>
        <w:t>Haviva</w:t>
      </w:r>
      <w:proofErr w:type="spellEnd"/>
      <w:r w:rsidRPr="003C396A">
        <w:rPr>
          <w:szCs w:val="22"/>
        </w:rPr>
        <w:t xml:space="preserve"> </w:t>
      </w:r>
      <w:proofErr w:type="spellStart"/>
      <w:r w:rsidRPr="003C396A">
        <w:rPr>
          <w:szCs w:val="22"/>
        </w:rPr>
        <w:t>Pedaya</w:t>
      </w:r>
      <w:proofErr w:type="spellEnd"/>
      <w:r w:rsidRPr="003C396A">
        <w:rPr>
          <w:szCs w:val="22"/>
        </w:rPr>
        <w:t xml:space="preserve">, “The Divinity as Place and Time and the Holy Place in Jewish Mysticism,” in </w:t>
      </w:r>
      <w:r w:rsidRPr="003C396A">
        <w:rPr>
          <w:i/>
          <w:iCs/>
          <w:szCs w:val="22"/>
        </w:rPr>
        <w:t>Sacred Space: Shrine, City, Land</w:t>
      </w:r>
      <w:r w:rsidRPr="003C396A">
        <w:rPr>
          <w:szCs w:val="22"/>
        </w:rPr>
        <w:t>, 84–111.</w:t>
      </w:r>
    </w:p>
  </w:footnote>
  <w:footnote w:id="6">
    <w:p w14:paraId="5551CC5E" w14:textId="1A01F98B" w:rsidR="00BA71B7" w:rsidRPr="003C396A" w:rsidRDefault="00BA71B7" w:rsidP="00A93339">
      <w:pPr>
        <w:pStyle w:val="Footnotes"/>
        <w:rPr>
          <w:szCs w:val="22"/>
        </w:rPr>
      </w:pPr>
      <w:r w:rsidRPr="003C396A">
        <w:rPr>
          <w:rStyle w:val="FootnoteTextChar1"/>
          <w:szCs w:val="22"/>
        </w:rPr>
        <w:footnoteRef/>
      </w:r>
      <w:r w:rsidRPr="003C396A">
        <w:rPr>
          <w:szCs w:val="22"/>
          <w:lang w:val="en-US"/>
        </w:rPr>
        <w:t xml:space="preserve"> </w:t>
      </w:r>
      <w:r w:rsidRPr="003C396A">
        <w:rPr>
          <w:szCs w:val="22"/>
        </w:rPr>
        <w:t xml:space="preserve">Mircea Eliade, </w:t>
      </w:r>
      <w:proofErr w:type="spellStart"/>
      <w:r w:rsidRPr="003C396A">
        <w:rPr>
          <w:i/>
          <w:iCs/>
          <w:szCs w:val="22"/>
        </w:rPr>
        <w:t>Traité</w:t>
      </w:r>
      <w:proofErr w:type="spellEnd"/>
      <w:r w:rsidRPr="003C396A">
        <w:rPr>
          <w:i/>
          <w:iCs/>
          <w:szCs w:val="22"/>
        </w:rPr>
        <w:t xml:space="preserve"> </w:t>
      </w:r>
      <w:proofErr w:type="spellStart"/>
      <w:r w:rsidRPr="003C396A">
        <w:rPr>
          <w:i/>
          <w:iCs/>
          <w:szCs w:val="22"/>
        </w:rPr>
        <w:t>d’histoire</w:t>
      </w:r>
      <w:proofErr w:type="spellEnd"/>
      <w:r w:rsidRPr="003C396A">
        <w:rPr>
          <w:i/>
          <w:iCs/>
          <w:szCs w:val="22"/>
        </w:rPr>
        <w:t xml:space="preserve"> des religions: </w:t>
      </w:r>
      <w:proofErr w:type="spellStart"/>
      <w:r w:rsidRPr="003C396A">
        <w:rPr>
          <w:i/>
          <w:iCs/>
          <w:szCs w:val="22"/>
        </w:rPr>
        <w:t>Morphologie</w:t>
      </w:r>
      <w:proofErr w:type="spellEnd"/>
      <w:r w:rsidRPr="003C396A">
        <w:rPr>
          <w:i/>
          <w:iCs/>
          <w:szCs w:val="22"/>
        </w:rPr>
        <w:t xml:space="preserve"> du sacré</w:t>
      </w:r>
      <w:r w:rsidRPr="003C396A">
        <w:rPr>
          <w:szCs w:val="22"/>
          <w:lang w:val="en-US"/>
        </w:rPr>
        <w:t xml:space="preserve"> </w:t>
      </w:r>
      <w:r w:rsidRPr="003C396A">
        <w:rPr>
          <w:szCs w:val="22"/>
        </w:rPr>
        <w:t xml:space="preserve">(Paris: </w:t>
      </w:r>
      <w:proofErr w:type="spellStart"/>
      <w:r w:rsidRPr="003C396A">
        <w:rPr>
          <w:szCs w:val="22"/>
        </w:rPr>
        <w:t>Payot</w:t>
      </w:r>
      <w:proofErr w:type="spellEnd"/>
      <w:r w:rsidRPr="003C396A">
        <w:rPr>
          <w:szCs w:val="22"/>
        </w:rPr>
        <w:t xml:space="preserve">, 1953), 16–17; idem, </w:t>
      </w:r>
      <w:r w:rsidRPr="003C396A">
        <w:rPr>
          <w:i/>
          <w:iCs/>
          <w:szCs w:val="22"/>
        </w:rPr>
        <w:t>The Sacred and the Profane: The Nature of Religion</w:t>
      </w:r>
      <w:r w:rsidRPr="003C396A">
        <w:rPr>
          <w:szCs w:val="22"/>
        </w:rPr>
        <w:t xml:space="preserve"> (New York: Harcourt, Brace and World, 1959), 11–13.</w:t>
      </w:r>
      <w:r w:rsidRPr="003C396A">
        <w:rPr>
          <w:szCs w:val="22"/>
          <w:lang w:val="en-US"/>
        </w:rPr>
        <w:t xml:space="preserve"> </w:t>
      </w:r>
      <w:r w:rsidR="00D32ABF" w:rsidRPr="003C396A">
        <w:rPr>
          <w:szCs w:val="22"/>
          <w:lang w:val="en-US"/>
        </w:rPr>
        <w:t xml:space="preserve">We are also </w:t>
      </w:r>
      <w:r w:rsidR="00D32ABF" w:rsidRPr="003C396A">
        <w:rPr>
          <w:szCs w:val="22"/>
          <w:lang w:val="en-US" w:bidi="he-IL"/>
        </w:rPr>
        <w:t xml:space="preserve">attentive to the voices departing from several of Eliade’s implications, see </w:t>
      </w:r>
      <w:r w:rsidRPr="003C396A">
        <w:rPr>
          <w:szCs w:val="22"/>
        </w:rPr>
        <w:t xml:space="preserve">Bryan S. Rennie, </w:t>
      </w:r>
      <w:r w:rsidRPr="003C396A">
        <w:rPr>
          <w:i/>
          <w:iCs/>
          <w:szCs w:val="22"/>
        </w:rPr>
        <w:t>Reconstructing Eliade: Making Sense of Religion</w:t>
      </w:r>
      <w:r w:rsidRPr="003C396A">
        <w:rPr>
          <w:szCs w:val="22"/>
        </w:rPr>
        <w:t xml:space="preserve"> (Albany: State University of New York Press, 1996), 119–212.</w:t>
      </w:r>
    </w:p>
  </w:footnote>
  <w:footnote w:id="7">
    <w:p w14:paraId="6EE8026F" w14:textId="35732F8C" w:rsidR="00945061" w:rsidRPr="003C396A" w:rsidRDefault="00945061" w:rsidP="00A93339">
      <w:pPr>
        <w:pStyle w:val="Footnotes"/>
        <w:rPr>
          <w:szCs w:val="22"/>
          <w:lang w:val="en-US"/>
        </w:rPr>
      </w:pPr>
      <w:r w:rsidRPr="003C396A">
        <w:rPr>
          <w:rStyle w:val="FootnoteReference"/>
          <w:szCs w:val="22"/>
        </w:rPr>
        <w:footnoteRef/>
      </w:r>
      <w:r w:rsidRPr="003C396A">
        <w:rPr>
          <w:szCs w:val="22"/>
        </w:rPr>
        <w:t xml:space="preserve"> See </w:t>
      </w:r>
      <w:r w:rsidRPr="003C396A">
        <w:rPr>
          <w:i/>
          <w:iCs/>
          <w:szCs w:val="22"/>
        </w:rPr>
        <w:t>Theological Dictionary of the Old Testament</w:t>
      </w:r>
      <w:r w:rsidRPr="003C396A">
        <w:rPr>
          <w:szCs w:val="22"/>
        </w:rPr>
        <w:t xml:space="preserve"> 12</w:t>
      </w:r>
      <w:r w:rsidR="006B581B" w:rsidRPr="003C396A">
        <w:rPr>
          <w:szCs w:val="22"/>
        </w:rPr>
        <w:t>, eds.</w:t>
      </w:r>
      <w:r w:rsidRPr="003C396A">
        <w:rPr>
          <w:szCs w:val="22"/>
        </w:rPr>
        <w:t xml:space="preserve"> </w:t>
      </w:r>
      <w:r w:rsidR="006B581B" w:rsidRPr="003C396A">
        <w:rPr>
          <w:szCs w:val="22"/>
        </w:rPr>
        <w:t xml:space="preserve">G. Johannes </w:t>
      </w:r>
      <w:proofErr w:type="spellStart"/>
      <w:r w:rsidR="006B581B" w:rsidRPr="003C396A">
        <w:rPr>
          <w:szCs w:val="22"/>
        </w:rPr>
        <w:t>Botterweck</w:t>
      </w:r>
      <w:proofErr w:type="spellEnd"/>
      <w:r w:rsidR="006B581B" w:rsidRPr="003C396A">
        <w:rPr>
          <w:szCs w:val="22"/>
        </w:rPr>
        <w:t xml:space="preserve">, Helmer </w:t>
      </w:r>
      <w:proofErr w:type="spellStart"/>
      <w:r w:rsidR="006B581B" w:rsidRPr="003C396A">
        <w:rPr>
          <w:szCs w:val="22"/>
        </w:rPr>
        <w:t>Ringgren</w:t>
      </w:r>
      <w:proofErr w:type="spellEnd"/>
      <w:r w:rsidR="006B581B" w:rsidRPr="003C396A">
        <w:rPr>
          <w:szCs w:val="22"/>
        </w:rPr>
        <w:t xml:space="preserve">, and Heinz-Josef Fabry </w:t>
      </w:r>
      <w:r w:rsidRPr="003C396A">
        <w:rPr>
          <w:szCs w:val="22"/>
        </w:rPr>
        <w:t xml:space="preserve">(Grand Rapids: William B. Eerdmans, 2003), 521–45; </w:t>
      </w:r>
      <w:r w:rsidRPr="003C396A">
        <w:rPr>
          <w:i/>
          <w:iCs/>
          <w:szCs w:val="22"/>
        </w:rPr>
        <w:t>The Hebrew and Aramaic Lexicon of the Old Testament</w:t>
      </w:r>
      <w:r w:rsidR="006B581B" w:rsidRPr="003C396A">
        <w:rPr>
          <w:szCs w:val="22"/>
        </w:rPr>
        <w:t xml:space="preserve">, eds. Ludwig </w:t>
      </w:r>
      <w:proofErr w:type="spellStart"/>
      <w:r w:rsidR="006B581B" w:rsidRPr="003C396A">
        <w:rPr>
          <w:szCs w:val="22"/>
        </w:rPr>
        <w:t>Köhler</w:t>
      </w:r>
      <w:proofErr w:type="spellEnd"/>
      <w:r w:rsidR="006B581B" w:rsidRPr="003C396A">
        <w:rPr>
          <w:szCs w:val="22"/>
        </w:rPr>
        <w:t xml:space="preserve"> and Walter Baumgartner </w:t>
      </w:r>
      <w:r w:rsidRPr="003C396A">
        <w:rPr>
          <w:szCs w:val="22"/>
        </w:rPr>
        <w:t xml:space="preserve">(Leiden: Brill, 2001), no. 8268: </w:t>
      </w:r>
      <w:r w:rsidRPr="003C396A">
        <w:rPr>
          <w:szCs w:val="22"/>
          <w:rtl/>
          <w:lang w:bidi="he-IL"/>
        </w:rPr>
        <w:t>קדש</w:t>
      </w:r>
      <w:r w:rsidRPr="003C396A">
        <w:rPr>
          <w:szCs w:val="22"/>
        </w:rPr>
        <w:t xml:space="preserve">. </w:t>
      </w:r>
      <w:r w:rsidR="005035C4" w:rsidRPr="003C396A">
        <w:rPr>
          <w:szCs w:val="22"/>
        </w:rPr>
        <w:t xml:space="preserve">See also </w:t>
      </w:r>
      <w:bookmarkStart w:id="7" w:name="_Hlk94799555"/>
      <w:r w:rsidR="005035C4" w:rsidRPr="003C396A">
        <w:rPr>
          <w:szCs w:val="22"/>
        </w:rPr>
        <w:t xml:space="preserve">Joan R. </w:t>
      </w:r>
      <w:bookmarkStart w:id="8" w:name="_Hlk93997347"/>
      <w:r w:rsidR="005035C4" w:rsidRPr="003C396A">
        <w:rPr>
          <w:szCs w:val="22"/>
        </w:rPr>
        <w:t xml:space="preserve">Branham, “Vicarious Sacrality: </w:t>
      </w:r>
      <w:bookmarkEnd w:id="8"/>
      <w:r w:rsidR="005035C4" w:rsidRPr="003C396A">
        <w:rPr>
          <w:szCs w:val="22"/>
        </w:rPr>
        <w:t xml:space="preserve">Temple Space in Ancient Synagogues” in </w:t>
      </w:r>
      <w:r w:rsidR="005035C4" w:rsidRPr="003C396A">
        <w:rPr>
          <w:i/>
          <w:iCs/>
          <w:szCs w:val="22"/>
        </w:rPr>
        <w:t>Ancient Synagogues: Historical Analysis and Archaeological Discovery</w:t>
      </w:r>
      <w:r w:rsidR="005035C4" w:rsidRPr="003C396A">
        <w:rPr>
          <w:szCs w:val="22"/>
        </w:rPr>
        <w:t xml:space="preserve"> 2, eds. Dan </w:t>
      </w:r>
      <w:proofErr w:type="spellStart"/>
      <w:r w:rsidR="005035C4" w:rsidRPr="003C396A">
        <w:rPr>
          <w:szCs w:val="22"/>
        </w:rPr>
        <w:t>Urman</w:t>
      </w:r>
      <w:proofErr w:type="spellEnd"/>
      <w:r w:rsidR="005035C4" w:rsidRPr="003C396A">
        <w:rPr>
          <w:szCs w:val="22"/>
        </w:rPr>
        <w:t xml:space="preserve"> and Paul V. M. Flesher (Leiden: Brill, 1998), 326.</w:t>
      </w:r>
      <w:bookmarkEnd w:id="7"/>
      <w:r w:rsidR="005035C4" w:rsidRPr="003C396A">
        <w:rPr>
          <w:szCs w:val="22"/>
        </w:rPr>
        <w:t xml:space="preserve"> </w:t>
      </w:r>
      <w:r w:rsidRPr="003C396A">
        <w:rPr>
          <w:szCs w:val="22"/>
        </w:rPr>
        <w:t xml:space="preserve">We thank </w:t>
      </w:r>
      <w:proofErr w:type="spellStart"/>
      <w:r w:rsidRPr="003C396A">
        <w:rPr>
          <w:szCs w:val="22"/>
        </w:rPr>
        <w:t>Dr.</w:t>
      </w:r>
      <w:proofErr w:type="spellEnd"/>
      <w:r w:rsidRPr="003C396A">
        <w:rPr>
          <w:szCs w:val="22"/>
        </w:rPr>
        <w:t xml:space="preserve"> Tania </w:t>
      </w:r>
      <w:proofErr w:type="spellStart"/>
      <w:r w:rsidRPr="003C396A">
        <w:rPr>
          <w:szCs w:val="22"/>
        </w:rPr>
        <w:t>Notarius</w:t>
      </w:r>
      <w:proofErr w:type="spellEnd"/>
      <w:r w:rsidRPr="003C396A">
        <w:rPr>
          <w:szCs w:val="22"/>
        </w:rPr>
        <w:t xml:space="preserve"> for her kind advice on this issue. </w:t>
      </w:r>
      <w:bookmarkStart w:id="9" w:name="_Hlk93937185"/>
    </w:p>
    <w:bookmarkEnd w:id="9"/>
  </w:footnote>
  <w:footnote w:id="8">
    <w:p w14:paraId="1028DE8E" w14:textId="65C7340A" w:rsidR="001856BB" w:rsidRPr="003C396A" w:rsidRDefault="001856BB" w:rsidP="00BE745C">
      <w:pPr>
        <w:pStyle w:val="Footnotes"/>
        <w:rPr>
          <w:szCs w:val="22"/>
          <w:lang w:val="en-US"/>
        </w:rPr>
      </w:pPr>
      <w:r w:rsidRPr="003C396A">
        <w:rPr>
          <w:rStyle w:val="FootnoteReference"/>
          <w:szCs w:val="22"/>
        </w:rPr>
        <w:footnoteRef/>
      </w:r>
      <w:r w:rsidRPr="003C396A">
        <w:rPr>
          <w:szCs w:val="22"/>
        </w:rPr>
        <w:t xml:space="preserve"> </w:t>
      </w:r>
      <w:bookmarkStart w:id="10" w:name="_Hlk96589976"/>
      <w:r w:rsidR="00BE745C" w:rsidRPr="003C396A">
        <w:rPr>
          <w:szCs w:val="22"/>
        </w:rPr>
        <w:t>Douglas A. Marshall</w:t>
      </w:r>
      <w:bookmarkEnd w:id="10"/>
      <w:r w:rsidR="00BE745C" w:rsidRPr="003C396A">
        <w:rPr>
          <w:szCs w:val="22"/>
        </w:rPr>
        <w:t>, “Temptation, Tradition, and Taboo: A Theory of Sacralization</w:t>
      </w:r>
      <w:r w:rsidR="004C5F05" w:rsidRPr="003C396A">
        <w:rPr>
          <w:szCs w:val="22"/>
        </w:rPr>
        <w:t>,</w:t>
      </w:r>
      <w:r w:rsidR="00BE745C" w:rsidRPr="003C396A">
        <w:rPr>
          <w:szCs w:val="22"/>
        </w:rPr>
        <w:t xml:space="preserve">” </w:t>
      </w:r>
      <w:r w:rsidR="00BE745C" w:rsidRPr="003C396A">
        <w:rPr>
          <w:i/>
          <w:iCs/>
          <w:szCs w:val="22"/>
        </w:rPr>
        <w:t>Sociological Theory</w:t>
      </w:r>
      <w:r w:rsidR="00BE745C" w:rsidRPr="003C396A">
        <w:rPr>
          <w:szCs w:val="22"/>
        </w:rPr>
        <w:t xml:space="preserve"> 28, 1 (2010): 64–90.</w:t>
      </w:r>
    </w:p>
  </w:footnote>
  <w:footnote w:id="9">
    <w:p w14:paraId="6B1365CD" w14:textId="57513312" w:rsidR="004877CD" w:rsidRPr="003C396A" w:rsidRDefault="004877CD" w:rsidP="004877CD">
      <w:pPr>
        <w:pStyle w:val="Footnotes"/>
        <w:rPr>
          <w:szCs w:val="22"/>
          <w:lang w:val="en-US"/>
        </w:rPr>
      </w:pPr>
      <w:r w:rsidRPr="003C396A">
        <w:rPr>
          <w:rStyle w:val="FootnoteReference"/>
          <w:szCs w:val="22"/>
        </w:rPr>
        <w:footnoteRef/>
      </w:r>
      <w:r w:rsidRPr="003C396A">
        <w:rPr>
          <w:szCs w:val="22"/>
        </w:rPr>
        <w:t xml:space="preserve"> On this predicament, see David </w:t>
      </w:r>
      <w:proofErr w:type="spellStart"/>
      <w:r w:rsidRPr="003C396A">
        <w:rPr>
          <w:szCs w:val="22"/>
        </w:rPr>
        <w:t>Henige</w:t>
      </w:r>
      <w:proofErr w:type="spellEnd"/>
      <w:r w:rsidRPr="003C396A">
        <w:rPr>
          <w:szCs w:val="22"/>
        </w:rPr>
        <w:t xml:space="preserve">, </w:t>
      </w:r>
      <w:r w:rsidRPr="003C396A">
        <w:rPr>
          <w:i/>
          <w:iCs/>
          <w:szCs w:val="22"/>
        </w:rPr>
        <w:t>Historical Evidence and Argument</w:t>
      </w:r>
      <w:r w:rsidRPr="003C396A">
        <w:rPr>
          <w:szCs w:val="22"/>
        </w:rPr>
        <w:t xml:space="preserve"> (Madison: The University of Wisconsin Press, 2005), 42–57.</w:t>
      </w:r>
      <w:r w:rsidR="00E172C4" w:rsidRPr="003C396A">
        <w:rPr>
          <w:szCs w:val="22"/>
        </w:rPr>
        <w:t xml:space="preserve"> </w:t>
      </w:r>
      <w:r w:rsidR="00F92A80" w:rsidRPr="003C396A">
        <w:rPr>
          <w:szCs w:val="22"/>
        </w:rPr>
        <w:t xml:space="preserve">See also </w:t>
      </w:r>
      <w:proofErr w:type="spellStart"/>
      <w:r w:rsidR="00F92A80" w:rsidRPr="003C396A">
        <w:rPr>
          <w:szCs w:val="22"/>
        </w:rPr>
        <w:t>Jaś</w:t>
      </w:r>
      <w:proofErr w:type="spellEnd"/>
      <w:r w:rsidR="00F92A80" w:rsidRPr="003C396A">
        <w:rPr>
          <w:szCs w:val="22"/>
        </w:rPr>
        <w:t xml:space="preserve"> Elsner statement that archaeology can offer inferences rather than provide empirical observations of rituals in his “Material Culture and Ritual: State of the Question,” in </w:t>
      </w:r>
      <w:r w:rsidR="00F92A80" w:rsidRPr="003C396A">
        <w:rPr>
          <w:i/>
          <w:iCs/>
          <w:szCs w:val="22"/>
        </w:rPr>
        <w:t>Architecture of the Sacred: Space, Ritual, and Experience from Classical Greece to Byzantium</w:t>
      </w:r>
      <w:r w:rsidR="00F92A80" w:rsidRPr="003C396A">
        <w:rPr>
          <w:szCs w:val="22"/>
        </w:rPr>
        <w:t xml:space="preserve">, eds. </w:t>
      </w:r>
      <w:proofErr w:type="spellStart"/>
      <w:r w:rsidR="00326687" w:rsidRPr="003C396A">
        <w:rPr>
          <w:szCs w:val="22"/>
        </w:rPr>
        <w:t>Bonna</w:t>
      </w:r>
      <w:proofErr w:type="spellEnd"/>
      <w:r w:rsidR="00326687" w:rsidRPr="003C396A">
        <w:rPr>
          <w:szCs w:val="22"/>
        </w:rPr>
        <w:t xml:space="preserve"> D. </w:t>
      </w:r>
      <w:proofErr w:type="spellStart"/>
      <w:r w:rsidR="00326687" w:rsidRPr="003C396A">
        <w:rPr>
          <w:szCs w:val="22"/>
        </w:rPr>
        <w:t>Wescoat</w:t>
      </w:r>
      <w:proofErr w:type="spellEnd"/>
      <w:r w:rsidR="00326687" w:rsidRPr="003C396A">
        <w:rPr>
          <w:szCs w:val="22"/>
        </w:rPr>
        <w:t xml:space="preserve"> and Robert G. </w:t>
      </w:r>
      <w:proofErr w:type="spellStart"/>
      <w:r w:rsidR="00326687" w:rsidRPr="003C396A">
        <w:rPr>
          <w:szCs w:val="22"/>
        </w:rPr>
        <w:t>Ousterhout</w:t>
      </w:r>
      <w:proofErr w:type="spellEnd"/>
      <w:r w:rsidR="00326687" w:rsidRPr="003C396A">
        <w:rPr>
          <w:szCs w:val="22"/>
        </w:rPr>
        <w:t xml:space="preserve"> </w:t>
      </w:r>
      <w:r w:rsidR="00F92A80" w:rsidRPr="003C396A">
        <w:rPr>
          <w:szCs w:val="22"/>
        </w:rPr>
        <w:t xml:space="preserve">(Cambridge: Cambridge University Press, 2012), </w:t>
      </w:r>
      <w:r w:rsidR="00326687" w:rsidRPr="003C396A">
        <w:rPr>
          <w:szCs w:val="22"/>
        </w:rPr>
        <w:t>1–26</w:t>
      </w:r>
      <w:r w:rsidR="00F92A80" w:rsidRPr="003C396A">
        <w:rPr>
          <w:szCs w:val="22"/>
        </w:rPr>
        <w:t>.</w:t>
      </w:r>
    </w:p>
  </w:footnote>
  <w:footnote w:id="10">
    <w:p w14:paraId="43F92D0F" w14:textId="7613008E" w:rsidR="00746B75" w:rsidRPr="003C396A" w:rsidRDefault="00746B75" w:rsidP="00746B75">
      <w:pPr>
        <w:pStyle w:val="Footnotes"/>
        <w:rPr>
          <w:szCs w:val="22"/>
          <w:lang w:val="en-US"/>
        </w:rPr>
      </w:pPr>
      <w:r w:rsidRPr="003C396A">
        <w:rPr>
          <w:rStyle w:val="FootnoteReference"/>
          <w:szCs w:val="22"/>
        </w:rPr>
        <w:footnoteRef/>
      </w:r>
      <w:r w:rsidRPr="003C396A">
        <w:rPr>
          <w:szCs w:val="22"/>
        </w:rPr>
        <w:t xml:space="preserve"> </w:t>
      </w:r>
      <w:r w:rsidR="00BB3590" w:rsidRPr="003C396A">
        <w:rPr>
          <w:szCs w:val="22"/>
        </w:rPr>
        <w:t xml:space="preserve">On the spectrum of </w:t>
      </w:r>
      <w:r w:rsidRPr="003C396A">
        <w:rPr>
          <w:szCs w:val="22"/>
        </w:rPr>
        <w:t xml:space="preserve">methodologies </w:t>
      </w:r>
      <w:r w:rsidR="00BB3590" w:rsidRPr="003C396A">
        <w:rPr>
          <w:szCs w:val="22"/>
        </w:rPr>
        <w:t>of</w:t>
      </w:r>
      <w:r w:rsidRPr="003C396A">
        <w:rPr>
          <w:szCs w:val="22"/>
        </w:rPr>
        <w:t xml:space="preserve"> </w:t>
      </w:r>
      <w:r w:rsidR="00BB3590" w:rsidRPr="003C396A">
        <w:rPr>
          <w:szCs w:val="22"/>
        </w:rPr>
        <w:t xml:space="preserve">studying </w:t>
      </w:r>
      <w:r w:rsidRPr="003C396A">
        <w:rPr>
          <w:szCs w:val="22"/>
        </w:rPr>
        <w:t xml:space="preserve">the image-and-text </w:t>
      </w:r>
      <w:r w:rsidR="00BB3590" w:rsidRPr="003C396A">
        <w:rPr>
          <w:szCs w:val="22"/>
        </w:rPr>
        <w:t>interrelations</w:t>
      </w:r>
      <w:r w:rsidRPr="003C396A">
        <w:rPr>
          <w:szCs w:val="22"/>
        </w:rPr>
        <w:t xml:space="preserve"> in the Greco-Roman culture, see Rina </w:t>
      </w:r>
      <w:proofErr w:type="spellStart"/>
      <w:r w:rsidRPr="003C396A">
        <w:rPr>
          <w:szCs w:val="22"/>
        </w:rPr>
        <w:t>Talgam</w:t>
      </w:r>
      <w:proofErr w:type="spellEnd"/>
      <w:r w:rsidR="00243809" w:rsidRPr="003C396A">
        <w:rPr>
          <w:szCs w:val="22"/>
        </w:rPr>
        <w:t xml:space="preserve">, </w:t>
      </w:r>
      <w:r w:rsidR="00C21F3F" w:rsidRPr="003C396A">
        <w:rPr>
          <w:i/>
          <w:iCs/>
          <w:szCs w:val="22"/>
        </w:rPr>
        <w:t>The Magdala Stone: Emerging Liturgical Space in the Early Synagogue and Church</w:t>
      </w:r>
      <w:r w:rsidR="00C21F3F" w:rsidRPr="003C396A">
        <w:rPr>
          <w:szCs w:val="22"/>
        </w:rPr>
        <w:t>,</w:t>
      </w:r>
      <w:r w:rsidRPr="003C396A">
        <w:rPr>
          <w:szCs w:val="22"/>
        </w:rPr>
        <w:t xml:space="preserve"> </w:t>
      </w:r>
      <w:r w:rsidR="00243809" w:rsidRPr="003C396A">
        <w:rPr>
          <w:szCs w:val="22"/>
        </w:rPr>
        <w:t>Chapter 4: Description and Iconography (forthcoming).</w:t>
      </w:r>
      <w:r w:rsidR="00C21F3F" w:rsidRPr="003C396A">
        <w:rPr>
          <w:szCs w:val="22"/>
        </w:rPr>
        <w:t xml:space="preserve"> I thank the author who kindly </w:t>
      </w:r>
      <w:r w:rsidR="00893109" w:rsidRPr="003C396A">
        <w:rPr>
          <w:szCs w:val="22"/>
        </w:rPr>
        <w:t xml:space="preserve">provided me with an advanced draft of her </w:t>
      </w:r>
      <w:r w:rsidR="00C21F3F" w:rsidRPr="003C396A">
        <w:rPr>
          <w:szCs w:val="22"/>
        </w:rPr>
        <w:t xml:space="preserve">manuscript. </w:t>
      </w:r>
    </w:p>
  </w:footnote>
  <w:footnote w:id="11">
    <w:p w14:paraId="13D82FA6" w14:textId="38DAE847" w:rsidR="00C52172" w:rsidRPr="003C396A" w:rsidRDefault="00C52172" w:rsidP="004A3DD0">
      <w:pPr>
        <w:pStyle w:val="Footnotes"/>
        <w:rPr>
          <w:szCs w:val="22"/>
          <w:lang w:val="en-US"/>
        </w:rPr>
      </w:pPr>
      <w:r w:rsidRPr="003C396A">
        <w:rPr>
          <w:rStyle w:val="FootnoteReference"/>
          <w:szCs w:val="22"/>
        </w:rPr>
        <w:footnoteRef/>
      </w:r>
      <w:r w:rsidRPr="003C396A">
        <w:rPr>
          <w:szCs w:val="22"/>
        </w:rPr>
        <w:t xml:space="preserve"> </w:t>
      </w:r>
      <w:r w:rsidRPr="003C396A">
        <w:rPr>
          <w:szCs w:val="22"/>
          <w:lang w:val="en-US"/>
        </w:rPr>
        <w:t xml:space="preserve">See Lee I. Levine, </w:t>
      </w:r>
      <w:r w:rsidRPr="003C396A">
        <w:rPr>
          <w:i/>
          <w:iCs/>
          <w:szCs w:val="22"/>
          <w:lang w:val="en-US"/>
        </w:rPr>
        <w:t>Visual Judaism in Late Antiquity: Historical Contexts of Jewish Art</w:t>
      </w:r>
      <w:r w:rsidRPr="003C396A">
        <w:rPr>
          <w:szCs w:val="22"/>
          <w:lang w:val="en-US"/>
        </w:rPr>
        <w:t xml:space="preserve"> (New Haven, Conn: Yale University Press, 2013), 354–55 (Inscriptions); Goodman, </w:t>
      </w:r>
      <w:r w:rsidRPr="003C396A">
        <w:rPr>
          <w:i/>
          <w:iCs/>
          <w:szCs w:val="22"/>
          <w:lang w:val="en-US"/>
        </w:rPr>
        <w:t>Judaism in the Roman World</w:t>
      </w:r>
      <w:r w:rsidRPr="003C396A">
        <w:rPr>
          <w:szCs w:val="22"/>
          <w:lang w:val="en-US"/>
        </w:rPr>
        <w:t xml:space="preserve">, 222–25; </w:t>
      </w:r>
      <w:proofErr w:type="spellStart"/>
      <w:r w:rsidRPr="003C396A">
        <w:rPr>
          <w:szCs w:val="22"/>
          <w:lang w:val="en-US"/>
        </w:rPr>
        <w:t>Runesson</w:t>
      </w:r>
      <w:proofErr w:type="spellEnd"/>
      <w:r w:rsidRPr="003C396A">
        <w:rPr>
          <w:szCs w:val="22"/>
          <w:lang w:val="en-US"/>
        </w:rPr>
        <w:t xml:space="preserve">, </w:t>
      </w:r>
      <w:r w:rsidRPr="003C396A">
        <w:rPr>
          <w:i/>
          <w:iCs/>
          <w:szCs w:val="22"/>
          <w:lang w:val="en-US"/>
        </w:rPr>
        <w:t>The Origins of the Synagogue</w:t>
      </w:r>
      <w:r w:rsidRPr="003C396A">
        <w:rPr>
          <w:szCs w:val="22"/>
          <w:lang w:val="en-US"/>
        </w:rPr>
        <w:t xml:space="preserve">, 171–74; Anders </w:t>
      </w:r>
      <w:proofErr w:type="spellStart"/>
      <w:r w:rsidRPr="003C396A">
        <w:rPr>
          <w:szCs w:val="22"/>
          <w:lang w:val="en-US"/>
        </w:rPr>
        <w:t>Runesson</w:t>
      </w:r>
      <w:proofErr w:type="spellEnd"/>
      <w:r w:rsidRPr="003C396A">
        <w:rPr>
          <w:szCs w:val="22"/>
          <w:lang w:val="en-US"/>
        </w:rPr>
        <w:t>, Donald D. Binder</w:t>
      </w:r>
      <w:r w:rsidR="004A3DD0" w:rsidRPr="003C396A">
        <w:rPr>
          <w:szCs w:val="22"/>
          <w:lang w:val="en-US"/>
        </w:rPr>
        <w:t>,</w:t>
      </w:r>
      <w:r w:rsidRPr="003C396A">
        <w:rPr>
          <w:szCs w:val="22"/>
          <w:lang w:val="en-US"/>
        </w:rPr>
        <w:t xml:space="preserve"> and Birger Olsson, </w:t>
      </w:r>
      <w:r w:rsidRPr="003C396A">
        <w:rPr>
          <w:i/>
          <w:iCs/>
          <w:szCs w:val="22"/>
          <w:lang w:val="en-US"/>
        </w:rPr>
        <w:t>The Ancient Synagogue from its Origins to 200 C.E.: A Source Book</w:t>
      </w:r>
      <w:r w:rsidRPr="003C396A">
        <w:rPr>
          <w:szCs w:val="22"/>
          <w:lang w:val="en-US"/>
        </w:rPr>
        <w:t xml:space="preserve"> (Leiden: Brill, 2008), 10 </w:t>
      </w:r>
      <w:r w:rsidR="004A3DD0" w:rsidRPr="003C396A">
        <w:rPr>
          <w:szCs w:val="22"/>
          <w:lang w:val="en-US"/>
        </w:rPr>
        <w:t xml:space="preserve">and </w:t>
      </w:r>
      <w:r w:rsidRPr="003C396A">
        <w:rPr>
          <w:szCs w:val="22"/>
          <w:lang w:val="en-US"/>
        </w:rPr>
        <w:t xml:space="preserve">[328]; </w:t>
      </w:r>
      <w:bookmarkStart w:id="11" w:name="_Hlk94789978"/>
      <w:r w:rsidRPr="003C396A">
        <w:rPr>
          <w:szCs w:val="22"/>
          <w:lang w:val="en-US"/>
        </w:rPr>
        <w:t>Fine</w:t>
      </w:r>
      <w:r w:rsidR="00DB6CEF" w:rsidRPr="003C396A">
        <w:rPr>
          <w:szCs w:val="22"/>
          <w:lang w:val="en-US"/>
        </w:rPr>
        <w:t xml:space="preserve">, </w:t>
      </w:r>
      <w:r w:rsidR="00DB6CEF" w:rsidRPr="003C396A">
        <w:rPr>
          <w:i/>
          <w:iCs/>
          <w:szCs w:val="22"/>
          <w:lang w:val="en-US"/>
        </w:rPr>
        <w:t>This Holy Place</w:t>
      </w:r>
      <w:r w:rsidR="00DB6CEF" w:rsidRPr="003C396A">
        <w:rPr>
          <w:szCs w:val="22"/>
          <w:lang w:val="en-US"/>
        </w:rPr>
        <w:t>, 25–33</w:t>
      </w:r>
      <w:bookmarkEnd w:id="11"/>
      <w:r w:rsidR="004B5BE7" w:rsidRPr="003C396A">
        <w:rPr>
          <w:szCs w:val="22"/>
          <w:lang w:val="en-US"/>
        </w:rPr>
        <w:t xml:space="preserve">; </w:t>
      </w:r>
      <w:bookmarkStart w:id="12" w:name="_Hlk95906668"/>
      <w:r w:rsidR="004B5BE7" w:rsidRPr="003C396A">
        <w:rPr>
          <w:szCs w:val="22"/>
          <w:lang w:val="en-US"/>
        </w:rPr>
        <w:t xml:space="preserve">Donald D. Binder, </w:t>
      </w:r>
      <w:r w:rsidR="004B5BE7" w:rsidRPr="003C396A">
        <w:rPr>
          <w:i/>
          <w:iCs/>
          <w:szCs w:val="22"/>
          <w:lang w:val="en-US"/>
        </w:rPr>
        <w:t>Into the Temple Courts: The Place of the Synagogue in the Second</w:t>
      </w:r>
      <w:r w:rsidR="004B5BE7" w:rsidRPr="003C396A">
        <w:rPr>
          <w:szCs w:val="22"/>
          <w:lang w:val="en-US"/>
        </w:rPr>
        <w:t xml:space="preserve"> Temple Period (Atlanta: Society of Biblical Literature, 1999)</w:t>
      </w:r>
      <w:bookmarkEnd w:id="12"/>
      <w:r w:rsidR="00D47DF3" w:rsidRPr="003C396A">
        <w:rPr>
          <w:szCs w:val="22"/>
          <w:lang w:val="en-US"/>
        </w:rPr>
        <w:t>, 122–3</w:t>
      </w:r>
      <w:r w:rsidR="00FA0873" w:rsidRPr="003C396A">
        <w:rPr>
          <w:szCs w:val="22"/>
          <w:lang w:val="en-US"/>
        </w:rPr>
        <w:t>2</w:t>
      </w:r>
      <w:r w:rsidR="00D47DF3" w:rsidRPr="003C396A">
        <w:rPr>
          <w:szCs w:val="22"/>
          <w:lang w:val="en-US"/>
        </w:rPr>
        <w:t>.</w:t>
      </w:r>
    </w:p>
  </w:footnote>
  <w:footnote w:id="12">
    <w:p w14:paraId="5C4D15BF" w14:textId="25F070B3" w:rsidR="00C52172" w:rsidRPr="003C396A" w:rsidRDefault="00C52172" w:rsidP="004A3DD0">
      <w:pPr>
        <w:pStyle w:val="Footnotes"/>
        <w:rPr>
          <w:szCs w:val="22"/>
          <w:lang w:val="en-US"/>
        </w:rPr>
      </w:pPr>
      <w:r w:rsidRPr="003C396A">
        <w:rPr>
          <w:rStyle w:val="FootnoteReference"/>
          <w:szCs w:val="22"/>
        </w:rPr>
        <w:footnoteRef/>
      </w:r>
      <w:r w:rsidRPr="003C396A">
        <w:rPr>
          <w:szCs w:val="22"/>
        </w:rPr>
        <w:t xml:space="preserve"> </w:t>
      </w:r>
      <w:bookmarkStart w:id="13" w:name="_Hlk94774215"/>
      <w:r w:rsidRPr="003C396A">
        <w:rPr>
          <w:szCs w:val="22"/>
        </w:rPr>
        <w:t xml:space="preserve">Martin </w:t>
      </w:r>
      <w:bookmarkStart w:id="14" w:name="_Hlk94723524"/>
      <w:r w:rsidRPr="003C396A">
        <w:rPr>
          <w:szCs w:val="22"/>
        </w:rPr>
        <w:t xml:space="preserve">Goodman, </w:t>
      </w:r>
      <w:r w:rsidRPr="003C396A">
        <w:rPr>
          <w:i/>
          <w:iCs/>
          <w:szCs w:val="22"/>
        </w:rPr>
        <w:t>Judaism in the Roman World</w:t>
      </w:r>
      <w:r w:rsidRPr="003C396A">
        <w:rPr>
          <w:szCs w:val="22"/>
        </w:rPr>
        <w:t xml:space="preserve"> </w:t>
      </w:r>
      <w:bookmarkEnd w:id="14"/>
      <w:r w:rsidRPr="003C396A">
        <w:rPr>
          <w:szCs w:val="22"/>
        </w:rPr>
        <w:t>(Leiden: Brill. 2007), 219–31.</w:t>
      </w:r>
      <w:bookmarkEnd w:id="13"/>
    </w:p>
  </w:footnote>
  <w:footnote w:id="13">
    <w:p w14:paraId="6C129B59" w14:textId="3E2F86EA" w:rsidR="004A3DD0" w:rsidRPr="003C396A" w:rsidRDefault="004A3DD0" w:rsidP="00BB3590">
      <w:pPr>
        <w:pStyle w:val="Footnotes"/>
        <w:rPr>
          <w:szCs w:val="22"/>
          <w:lang w:val="en-US"/>
        </w:rPr>
      </w:pPr>
      <w:r w:rsidRPr="003C396A">
        <w:rPr>
          <w:rStyle w:val="FootnoteReference"/>
          <w:szCs w:val="22"/>
        </w:rPr>
        <w:footnoteRef/>
      </w:r>
      <w:r w:rsidRPr="003C396A">
        <w:rPr>
          <w:szCs w:val="22"/>
        </w:rPr>
        <w:t xml:space="preserve"> </w:t>
      </w:r>
      <w:r w:rsidRPr="003C396A">
        <w:rPr>
          <w:szCs w:val="22"/>
          <w:lang w:val="en-US"/>
        </w:rPr>
        <w:t xml:space="preserve">Ibid., 224. </w:t>
      </w:r>
    </w:p>
  </w:footnote>
  <w:footnote w:id="14">
    <w:p w14:paraId="7D30ED8E" w14:textId="63A984EA" w:rsidR="006D562D" w:rsidRPr="003C396A" w:rsidRDefault="006D562D" w:rsidP="00BB3590">
      <w:pPr>
        <w:pStyle w:val="Footnotes"/>
        <w:rPr>
          <w:szCs w:val="22"/>
          <w:lang w:val="en-US"/>
        </w:rPr>
      </w:pPr>
      <w:r w:rsidRPr="003C396A">
        <w:rPr>
          <w:rStyle w:val="FootnoteReference"/>
          <w:szCs w:val="22"/>
        </w:rPr>
        <w:footnoteRef/>
      </w:r>
      <w:r w:rsidRPr="003C396A">
        <w:rPr>
          <w:szCs w:val="22"/>
        </w:rPr>
        <w:t xml:space="preserve"> </w:t>
      </w:r>
      <w:r w:rsidRPr="003C396A">
        <w:rPr>
          <w:szCs w:val="22"/>
          <w:lang w:val="en-US"/>
        </w:rPr>
        <w:t>Ibid., 225.</w:t>
      </w:r>
    </w:p>
  </w:footnote>
  <w:footnote w:id="15">
    <w:p w14:paraId="2E1DE9E1" w14:textId="77777777" w:rsidR="00936BEC" w:rsidRPr="003C396A" w:rsidRDefault="00936BEC" w:rsidP="00BB3590">
      <w:pPr>
        <w:pStyle w:val="Footnotes"/>
        <w:rPr>
          <w:szCs w:val="22"/>
          <w:lang w:val="en-US"/>
        </w:rPr>
      </w:pPr>
      <w:r w:rsidRPr="003C396A">
        <w:rPr>
          <w:rStyle w:val="FootnoteReference"/>
          <w:szCs w:val="22"/>
        </w:rPr>
        <w:footnoteRef/>
      </w:r>
      <w:r w:rsidRPr="003C396A">
        <w:rPr>
          <w:szCs w:val="22"/>
        </w:rPr>
        <w:t xml:space="preserve"> </w:t>
      </w:r>
      <w:bookmarkStart w:id="15" w:name="_Hlk94781751"/>
      <w:bookmarkStart w:id="16" w:name="_Hlk94697844"/>
      <w:bookmarkStart w:id="17" w:name="_Hlk94723800"/>
      <w:r w:rsidRPr="003C396A">
        <w:rPr>
          <w:szCs w:val="22"/>
        </w:rPr>
        <w:t xml:space="preserve">Lee I. Levine, </w:t>
      </w:r>
      <w:bookmarkEnd w:id="15"/>
      <w:r w:rsidRPr="003C396A">
        <w:rPr>
          <w:szCs w:val="22"/>
        </w:rPr>
        <w:t xml:space="preserve">“Synagogue Sanctity” in idem, </w:t>
      </w:r>
      <w:r w:rsidRPr="003C396A">
        <w:rPr>
          <w:i/>
          <w:iCs/>
          <w:szCs w:val="22"/>
        </w:rPr>
        <w:t>Visual Judaism in Late Antiquity: Historical Contexts of Jewish Art</w:t>
      </w:r>
      <w:r w:rsidRPr="003C396A">
        <w:rPr>
          <w:szCs w:val="22"/>
        </w:rPr>
        <w:t xml:space="preserve"> (New Haven, Co</w:t>
      </w:r>
      <w:bookmarkEnd w:id="16"/>
      <w:r w:rsidRPr="003C396A">
        <w:rPr>
          <w:szCs w:val="22"/>
        </w:rPr>
        <w:t xml:space="preserve">nn: Yale University Press, 2013), 354–59. </w:t>
      </w:r>
    </w:p>
    <w:bookmarkEnd w:id="17"/>
  </w:footnote>
  <w:footnote w:id="16">
    <w:p w14:paraId="4CA2184E" w14:textId="77777777" w:rsidR="00936BEC" w:rsidRPr="003C396A" w:rsidRDefault="00936BEC" w:rsidP="00BB3590">
      <w:pPr>
        <w:pStyle w:val="Footnotes"/>
        <w:rPr>
          <w:szCs w:val="22"/>
          <w:lang w:val="en-US"/>
        </w:rPr>
      </w:pPr>
      <w:r w:rsidRPr="003C396A">
        <w:rPr>
          <w:rStyle w:val="FootnoteReference"/>
          <w:szCs w:val="22"/>
        </w:rPr>
        <w:footnoteRef/>
      </w:r>
      <w:r w:rsidRPr="003C396A">
        <w:rPr>
          <w:szCs w:val="22"/>
        </w:rPr>
        <w:t xml:space="preserve"> E.g., </w:t>
      </w:r>
      <w:proofErr w:type="spellStart"/>
      <w:r w:rsidRPr="003C396A">
        <w:rPr>
          <w:szCs w:val="22"/>
        </w:rPr>
        <w:t>i</w:t>
      </w:r>
      <w:proofErr w:type="spellEnd"/>
      <w:r w:rsidRPr="003C396A">
        <w:rPr>
          <w:szCs w:val="22"/>
          <w:lang w:val="en-US"/>
        </w:rPr>
        <w:t xml:space="preserve">dem, </w:t>
      </w:r>
      <w:r w:rsidRPr="003C396A">
        <w:rPr>
          <w:i/>
          <w:iCs/>
          <w:szCs w:val="22"/>
          <w:lang w:val="en-US"/>
        </w:rPr>
        <w:t>The Ancient Synagogue: The First Thousand Years</w:t>
      </w:r>
      <w:r w:rsidRPr="003C396A">
        <w:rPr>
          <w:szCs w:val="22"/>
          <w:lang w:val="en-US"/>
        </w:rPr>
        <w:t xml:space="preserve"> (New Haven, Yale University Press, 2000), 170.</w:t>
      </w:r>
    </w:p>
  </w:footnote>
  <w:footnote w:id="17">
    <w:p w14:paraId="018B51B0" w14:textId="77777777" w:rsidR="00936BEC" w:rsidRPr="003C396A" w:rsidRDefault="00936BEC" w:rsidP="00BB3590">
      <w:pPr>
        <w:pStyle w:val="Footnotes"/>
        <w:rPr>
          <w:szCs w:val="22"/>
          <w:lang w:val="en-US"/>
        </w:rPr>
      </w:pPr>
      <w:r w:rsidRPr="003C396A">
        <w:rPr>
          <w:rStyle w:val="FootnoteReference"/>
          <w:szCs w:val="22"/>
        </w:rPr>
        <w:footnoteRef/>
      </w:r>
      <w:r w:rsidRPr="003C396A">
        <w:rPr>
          <w:szCs w:val="22"/>
        </w:rPr>
        <w:t xml:space="preserve"> Goodman, </w:t>
      </w:r>
      <w:r w:rsidRPr="003C396A">
        <w:rPr>
          <w:i/>
          <w:iCs/>
          <w:szCs w:val="22"/>
        </w:rPr>
        <w:t>Judaism in the Roman World</w:t>
      </w:r>
      <w:r w:rsidRPr="003C396A">
        <w:rPr>
          <w:szCs w:val="22"/>
        </w:rPr>
        <w:t>, 220.</w:t>
      </w:r>
    </w:p>
  </w:footnote>
  <w:footnote w:id="18">
    <w:p w14:paraId="58C98F3F" w14:textId="77777777" w:rsidR="00936BEC" w:rsidRPr="003C396A" w:rsidRDefault="00936BEC" w:rsidP="00BB3590">
      <w:pPr>
        <w:pStyle w:val="Footnotes"/>
        <w:rPr>
          <w:b/>
          <w:bCs/>
          <w:szCs w:val="22"/>
          <w:lang w:val="en-US"/>
        </w:rPr>
      </w:pPr>
      <w:r w:rsidRPr="003C396A">
        <w:rPr>
          <w:rStyle w:val="FootnoteReference"/>
          <w:szCs w:val="22"/>
        </w:rPr>
        <w:footnoteRef/>
      </w:r>
      <w:r w:rsidRPr="003C396A">
        <w:rPr>
          <w:szCs w:val="22"/>
        </w:rPr>
        <w:t xml:space="preserve"> Lee I. Levine, </w:t>
      </w:r>
      <w:r w:rsidRPr="003C396A">
        <w:rPr>
          <w:i/>
          <w:iCs/>
          <w:szCs w:val="22"/>
          <w:lang w:val="en-US"/>
        </w:rPr>
        <w:t>The Ancient Synagogue</w:t>
      </w:r>
      <w:r w:rsidRPr="003C396A">
        <w:rPr>
          <w:szCs w:val="22"/>
        </w:rPr>
        <w:t>, 356.</w:t>
      </w:r>
    </w:p>
  </w:footnote>
  <w:footnote w:id="19">
    <w:p w14:paraId="47895A93" w14:textId="77777777" w:rsidR="00936BEC" w:rsidRPr="003C396A" w:rsidRDefault="00936BEC" w:rsidP="00BB3590">
      <w:pPr>
        <w:pStyle w:val="Footnotes"/>
        <w:rPr>
          <w:szCs w:val="22"/>
          <w:lang w:val="en-US"/>
        </w:rPr>
      </w:pPr>
      <w:r w:rsidRPr="003C396A">
        <w:rPr>
          <w:rStyle w:val="FootnoteReference"/>
          <w:szCs w:val="22"/>
        </w:rPr>
        <w:footnoteRef/>
      </w:r>
      <w:r w:rsidRPr="003C396A">
        <w:rPr>
          <w:szCs w:val="22"/>
        </w:rPr>
        <w:t xml:space="preserve"> Idem, </w:t>
      </w:r>
      <w:bookmarkStart w:id="18" w:name="_Hlk95238569"/>
      <w:r w:rsidRPr="003C396A">
        <w:rPr>
          <w:i/>
          <w:iCs/>
          <w:szCs w:val="22"/>
        </w:rPr>
        <w:t>Visual Judaism in Late Antiquity</w:t>
      </w:r>
      <w:r w:rsidRPr="003C396A">
        <w:rPr>
          <w:szCs w:val="22"/>
        </w:rPr>
        <w:t xml:space="preserve">, </w:t>
      </w:r>
      <w:bookmarkEnd w:id="18"/>
      <w:r w:rsidRPr="003C396A">
        <w:rPr>
          <w:szCs w:val="22"/>
        </w:rPr>
        <w:t xml:space="preserve">337–54. Here Levine classified “religious art” the into “Jewish symbols,” meaning the objects and plants mentioned in the Hebrew Bible (the menorah, often accompanied by shofar, lulav, etrog, and incense shovel) and other “Biblical depictions” comprising “figures” and “scenes.” This discussion excluded the Greco-Roman and Persian images found in synagogues. </w:t>
      </w:r>
    </w:p>
  </w:footnote>
  <w:footnote w:id="20">
    <w:p w14:paraId="7B6493EA" w14:textId="77777777" w:rsidR="00936BEC" w:rsidRPr="003C396A" w:rsidRDefault="00936BEC" w:rsidP="00BB3590">
      <w:pPr>
        <w:pStyle w:val="Footnotes"/>
        <w:rPr>
          <w:szCs w:val="22"/>
          <w:lang w:val="en-US"/>
        </w:rPr>
      </w:pPr>
      <w:r w:rsidRPr="003C396A">
        <w:rPr>
          <w:rStyle w:val="FootnoteReference"/>
          <w:szCs w:val="22"/>
        </w:rPr>
        <w:footnoteRef/>
      </w:r>
      <w:r w:rsidRPr="003C396A">
        <w:rPr>
          <w:szCs w:val="22"/>
        </w:rPr>
        <w:t xml:space="preserve"> </w:t>
      </w:r>
      <w:r w:rsidRPr="003C396A">
        <w:rPr>
          <w:szCs w:val="22"/>
          <w:lang w:val="en-US"/>
        </w:rPr>
        <w:t>Ibid., 341.</w:t>
      </w:r>
    </w:p>
  </w:footnote>
  <w:footnote w:id="21">
    <w:p w14:paraId="659CDAAB" w14:textId="7D2D48FC" w:rsidR="002C5F71" w:rsidRPr="003C396A" w:rsidRDefault="002C5F71" w:rsidP="002C5F71">
      <w:pPr>
        <w:pStyle w:val="Footnotes"/>
        <w:rPr>
          <w:szCs w:val="22"/>
          <w:lang w:val="en-US"/>
        </w:rPr>
      </w:pPr>
      <w:r w:rsidRPr="003C396A">
        <w:rPr>
          <w:rStyle w:val="FootnoteReference"/>
          <w:szCs w:val="22"/>
        </w:rPr>
        <w:footnoteRef/>
      </w:r>
      <w:r w:rsidRPr="003C396A">
        <w:rPr>
          <w:szCs w:val="22"/>
        </w:rPr>
        <w:t xml:space="preserve"> </w:t>
      </w:r>
      <w:bookmarkStart w:id="19" w:name="_Hlk94012654"/>
      <w:r w:rsidRPr="003C396A">
        <w:rPr>
          <w:szCs w:val="22"/>
        </w:rPr>
        <w:t xml:space="preserve">Cf. </w:t>
      </w:r>
      <w:bookmarkStart w:id="20" w:name="_Hlk101362251"/>
      <w:r w:rsidRPr="003C396A">
        <w:rPr>
          <w:szCs w:val="22"/>
        </w:rPr>
        <w:t xml:space="preserve">Branham, “Vicarious Sacrality,” </w:t>
      </w:r>
      <w:bookmarkEnd w:id="19"/>
      <w:r w:rsidRPr="003C396A">
        <w:rPr>
          <w:szCs w:val="22"/>
        </w:rPr>
        <w:t>325</w:t>
      </w:r>
      <w:bookmarkEnd w:id="20"/>
      <w:r w:rsidRPr="003C396A">
        <w:rPr>
          <w:szCs w:val="22"/>
        </w:rPr>
        <w:t>–29</w:t>
      </w:r>
      <w:bookmarkStart w:id="21" w:name="_Hlk94799634"/>
      <w:r w:rsidRPr="003C396A">
        <w:rPr>
          <w:szCs w:val="22"/>
        </w:rPr>
        <w:t xml:space="preserve">; </w:t>
      </w:r>
      <w:bookmarkStart w:id="22" w:name="_Hlk95121692"/>
      <w:r w:rsidRPr="003C396A">
        <w:rPr>
          <w:szCs w:val="22"/>
        </w:rPr>
        <w:t xml:space="preserve">Martin Goodman, </w:t>
      </w:r>
      <w:bookmarkStart w:id="23" w:name="_Hlk101383674"/>
      <w:r w:rsidRPr="003C396A">
        <w:rPr>
          <w:i/>
          <w:iCs/>
          <w:szCs w:val="22"/>
        </w:rPr>
        <w:t>Judaism in the Roman World</w:t>
      </w:r>
      <w:r w:rsidRPr="003C396A">
        <w:rPr>
          <w:szCs w:val="22"/>
        </w:rPr>
        <w:t xml:space="preserve"> </w:t>
      </w:r>
      <w:bookmarkEnd w:id="23"/>
      <w:r w:rsidRPr="003C396A">
        <w:rPr>
          <w:szCs w:val="22"/>
        </w:rPr>
        <w:t xml:space="preserve">(Leiden: Brill. 2007), </w:t>
      </w:r>
      <w:bookmarkEnd w:id="22"/>
      <w:r w:rsidRPr="003C396A">
        <w:rPr>
          <w:szCs w:val="22"/>
        </w:rPr>
        <w:t>219–20</w:t>
      </w:r>
      <w:bookmarkEnd w:id="21"/>
      <w:r w:rsidR="00C156FF" w:rsidRPr="003C396A">
        <w:rPr>
          <w:szCs w:val="22"/>
        </w:rPr>
        <w:t xml:space="preserve">; Ze’ev </w:t>
      </w:r>
      <w:proofErr w:type="spellStart"/>
      <w:r w:rsidR="00C156FF" w:rsidRPr="003C396A">
        <w:rPr>
          <w:szCs w:val="22"/>
        </w:rPr>
        <w:t>Safrai</w:t>
      </w:r>
      <w:proofErr w:type="spellEnd"/>
      <w:r w:rsidR="00C156FF" w:rsidRPr="003C396A">
        <w:rPr>
          <w:szCs w:val="22"/>
        </w:rPr>
        <w:t xml:space="preserve">, “From the Synagogue to ‘Little Temple’,” </w:t>
      </w:r>
      <w:r w:rsidR="00C156FF" w:rsidRPr="003C396A">
        <w:rPr>
          <w:i/>
          <w:iCs/>
          <w:szCs w:val="22"/>
        </w:rPr>
        <w:t>Proceedings of the World Congress of Jewish Studies</w:t>
      </w:r>
      <w:r w:rsidR="00C156FF" w:rsidRPr="003C396A">
        <w:rPr>
          <w:szCs w:val="22"/>
        </w:rPr>
        <w:t xml:space="preserve"> 10: B, 2 (</w:t>
      </w:r>
      <w:r w:rsidR="00C156FF" w:rsidRPr="003C396A">
        <w:rPr>
          <w:szCs w:val="22"/>
          <w:rtl/>
          <w:lang w:bidi="he-IL"/>
        </w:rPr>
        <w:t>1989</w:t>
      </w:r>
      <w:r w:rsidR="00C156FF" w:rsidRPr="003C396A">
        <w:rPr>
          <w:szCs w:val="22"/>
        </w:rPr>
        <w:t>, 23–28.</w:t>
      </w:r>
    </w:p>
  </w:footnote>
  <w:footnote w:id="22">
    <w:p w14:paraId="4D7DB540" w14:textId="77777777" w:rsidR="002C5F71" w:rsidRPr="003C396A" w:rsidRDefault="002C5F71" w:rsidP="00BB3590">
      <w:pPr>
        <w:pStyle w:val="Footnotes"/>
        <w:rPr>
          <w:szCs w:val="22"/>
          <w:lang w:val="en-US"/>
        </w:rPr>
      </w:pPr>
      <w:r w:rsidRPr="003C396A">
        <w:rPr>
          <w:rStyle w:val="FootnoteReference"/>
          <w:szCs w:val="22"/>
        </w:rPr>
        <w:footnoteRef/>
      </w:r>
      <w:r w:rsidRPr="003C396A">
        <w:rPr>
          <w:szCs w:val="22"/>
        </w:rPr>
        <w:t xml:space="preserve"> Goodman, </w:t>
      </w:r>
      <w:r w:rsidRPr="003C396A">
        <w:rPr>
          <w:i/>
          <w:iCs/>
          <w:szCs w:val="22"/>
        </w:rPr>
        <w:t>Judaism in the Roman World</w:t>
      </w:r>
      <w:r w:rsidRPr="003C396A">
        <w:rPr>
          <w:szCs w:val="22"/>
        </w:rPr>
        <w:t>, 222.</w:t>
      </w:r>
    </w:p>
  </w:footnote>
  <w:footnote w:id="23">
    <w:p w14:paraId="6A9F3E00" w14:textId="20BF2394" w:rsidR="002C5F71" w:rsidRPr="003C396A" w:rsidRDefault="002C5F71" w:rsidP="00BB3590">
      <w:pPr>
        <w:pStyle w:val="Footnotes"/>
        <w:rPr>
          <w:szCs w:val="22"/>
          <w:lang w:val="en-US"/>
        </w:rPr>
      </w:pPr>
      <w:r w:rsidRPr="003C396A">
        <w:rPr>
          <w:rStyle w:val="FootnoteReference"/>
          <w:szCs w:val="22"/>
        </w:rPr>
        <w:footnoteRef/>
      </w:r>
      <w:r w:rsidRPr="003C396A">
        <w:rPr>
          <w:szCs w:val="22"/>
        </w:rPr>
        <w:t xml:space="preserve"> Lee I</w:t>
      </w:r>
      <w:bookmarkStart w:id="24" w:name="_Hlk95237693"/>
      <w:r w:rsidRPr="003C396A">
        <w:rPr>
          <w:szCs w:val="22"/>
        </w:rPr>
        <w:t xml:space="preserve">. </w:t>
      </w:r>
      <w:r w:rsidRPr="003C396A">
        <w:rPr>
          <w:szCs w:val="22"/>
          <w:lang w:val="en-US"/>
        </w:rPr>
        <w:t xml:space="preserve">Levine, </w:t>
      </w:r>
      <w:r w:rsidRPr="003C396A">
        <w:rPr>
          <w:i/>
          <w:iCs/>
          <w:szCs w:val="22"/>
          <w:lang w:val="en-US"/>
        </w:rPr>
        <w:t xml:space="preserve">The Ancient Synagogue: </w:t>
      </w:r>
      <w:bookmarkEnd w:id="24"/>
      <w:r w:rsidRPr="003C396A">
        <w:rPr>
          <w:i/>
          <w:iCs/>
          <w:szCs w:val="22"/>
          <w:lang w:val="en-US"/>
        </w:rPr>
        <w:t xml:space="preserve">The First Thousand Years </w:t>
      </w:r>
      <w:r w:rsidRPr="003C396A">
        <w:rPr>
          <w:szCs w:val="22"/>
          <w:lang w:val="en-US"/>
        </w:rPr>
        <w:t xml:space="preserve">(New Haven, Yale University Press, 2000), 169–73; Goodman, </w:t>
      </w:r>
      <w:r w:rsidR="007F10E8" w:rsidRPr="003C396A">
        <w:rPr>
          <w:i/>
          <w:iCs/>
          <w:szCs w:val="22"/>
          <w:lang w:val="en-US"/>
        </w:rPr>
        <w:t>Judaism in the Roman World</w:t>
      </w:r>
      <w:r w:rsidRPr="003C396A">
        <w:rPr>
          <w:szCs w:val="22"/>
          <w:lang w:val="en-US"/>
        </w:rPr>
        <w:t>, 2</w:t>
      </w:r>
      <w:r w:rsidR="007F10E8" w:rsidRPr="003C396A">
        <w:rPr>
          <w:szCs w:val="22"/>
          <w:lang w:val="en-US"/>
        </w:rPr>
        <w:t>–</w:t>
      </w:r>
      <w:r w:rsidRPr="003C396A">
        <w:rPr>
          <w:szCs w:val="22"/>
          <w:lang w:val="en-US"/>
        </w:rPr>
        <w:t>6, Fine</w:t>
      </w:r>
      <w:r w:rsidR="007F10E8" w:rsidRPr="003C396A">
        <w:rPr>
          <w:szCs w:val="22"/>
          <w:lang w:val="en-US"/>
        </w:rPr>
        <w:t>,</w:t>
      </w:r>
      <w:r w:rsidRPr="003C396A">
        <w:rPr>
          <w:szCs w:val="22"/>
          <w:lang w:val="en-US"/>
        </w:rPr>
        <w:t xml:space="preserve"> </w:t>
      </w:r>
      <w:r w:rsidRPr="003C396A">
        <w:rPr>
          <w:i/>
          <w:iCs/>
          <w:szCs w:val="22"/>
          <w:lang w:val="en-US"/>
        </w:rPr>
        <w:t>This Holy Place</w:t>
      </w:r>
      <w:r w:rsidR="007F10E8" w:rsidRPr="003C396A">
        <w:rPr>
          <w:szCs w:val="22"/>
          <w:lang w:val="en-US"/>
        </w:rPr>
        <w:t xml:space="preserve">, </w:t>
      </w:r>
      <w:r w:rsidRPr="003C396A">
        <w:rPr>
          <w:szCs w:val="22"/>
          <w:lang w:val="en-US"/>
        </w:rPr>
        <w:t>25</w:t>
      </w:r>
      <w:r w:rsidR="007F10E8" w:rsidRPr="003C396A">
        <w:rPr>
          <w:szCs w:val="22"/>
          <w:lang w:val="en-US"/>
        </w:rPr>
        <w:t>–</w:t>
      </w:r>
      <w:r w:rsidRPr="003C396A">
        <w:rPr>
          <w:szCs w:val="22"/>
          <w:lang w:val="en-US"/>
        </w:rPr>
        <w:t>33</w:t>
      </w:r>
      <w:r w:rsidR="007F10E8" w:rsidRPr="003C396A">
        <w:rPr>
          <w:szCs w:val="22"/>
          <w:lang w:val="en-US"/>
        </w:rPr>
        <w:t>.</w:t>
      </w:r>
    </w:p>
  </w:footnote>
  <w:footnote w:id="24">
    <w:p w14:paraId="7A1A7976" w14:textId="77777777" w:rsidR="002C5F71" w:rsidRPr="003C396A" w:rsidRDefault="002C5F71" w:rsidP="002C5F71">
      <w:pPr>
        <w:pStyle w:val="FootnoteText"/>
        <w:rPr>
          <w:szCs w:val="22"/>
          <w:lang w:val="en-US"/>
        </w:rPr>
      </w:pPr>
      <w:r w:rsidRPr="003C396A">
        <w:rPr>
          <w:rStyle w:val="FootnoteReference"/>
          <w:szCs w:val="22"/>
        </w:rPr>
        <w:footnoteRef/>
      </w:r>
      <w:r w:rsidRPr="003C396A">
        <w:rPr>
          <w:szCs w:val="22"/>
        </w:rPr>
        <w:t xml:space="preserve"> Levine, </w:t>
      </w:r>
      <w:r w:rsidRPr="003C396A">
        <w:rPr>
          <w:i/>
          <w:iCs/>
          <w:szCs w:val="22"/>
        </w:rPr>
        <w:t>The Ancient Synagogue</w:t>
      </w:r>
      <w:r w:rsidRPr="003C396A">
        <w:rPr>
          <w:szCs w:val="22"/>
        </w:rPr>
        <w:t>, 24.</w:t>
      </w:r>
    </w:p>
  </w:footnote>
  <w:footnote w:id="25">
    <w:p w14:paraId="64B2A08C" w14:textId="77777777" w:rsidR="002C5F71" w:rsidRPr="003C396A" w:rsidRDefault="002C5F71" w:rsidP="002C5F71">
      <w:pPr>
        <w:pStyle w:val="Footnotes"/>
        <w:rPr>
          <w:szCs w:val="22"/>
          <w:lang w:val="en-US"/>
        </w:rPr>
      </w:pPr>
      <w:r w:rsidRPr="003C396A">
        <w:rPr>
          <w:rStyle w:val="FootnoteReference"/>
          <w:szCs w:val="22"/>
        </w:rPr>
        <w:footnoteRef/>
      </w:r>
      <w:r w:rsidRPr="003C396A">
        <w:rPr>
          <w:szCs w:val="22"/>
        </w:rPr>
        <w:t xml:space="preserve"> </w:t>
      </w:r>
      <w:bookmarkStart w:id="29" w:name="_Hlk95335842"/>
      <w:r w:rsidRPr="003C396A">
        <w:rPr>
          <w:szCs w:val="22"/>
        </w:rPr>
        <w:t xml:space="preserve">Fine, </w:t>
      </w:r>
      <w:r w:rsidRPr="003C396A">
        <w:rPr>
          <w:i/>
          <w:iCs/>
          <w:szCs w:val="22"/>
        </w:rPr>
        <w:t>This Holy Place</w:t>
      </w:r>
      <w:r w:rsidRPr="003C396A">
        <w:rPr>
          <w:szCs w:val="22"/>
        </w:rPr>
        <w:t xml:space="preserve">, 81 </w:t>
      </w:r>
      <w:bookmarkEnd w:id="29"/>
      <w:r w:rsidRPr="003C396A">
        <w:rPr>
          <w:szCs w:val="22"/>
        </w:rPr>
        <w:t>and the discussion at 79–94.</w:t>
      </w:r>
    </w:p>
  </w:footnote>
  <w:footnote w:id="26">
    <w:p w14:paraId="33C5FE4A" w14:textId="77777777" w:rsidR="002C5F71" w:rsidRPr="003C396A" w:rsidRDefault="002C5F71" w:rsidP="002C5F71">
      <w:pPr>
        <w:pStyle w:val="Footnotes"/>
        <w:rPr>
          <w:szCs w:val="22"/>
          <w:lang w:val="en-US"/>
        </w:rPr>
      </w:pPr>
      <w:r w:rsidRPr="003C396A">
        <w:rPr>
          <w:rStyle w:val="FootnoteReference"/>
          <w:szCs w:val="22"/>
        </w:rPr>
        <w:footnoteRef/>
      </w:r>
      <w:r w:rsidRPr="003C396A">
        <w:rPr>
          <w:szCs w:val="22"/>
        </w:rPr>
        <w:t xml:space="preserve"> Ibid., 49–59. See also Levine, </w:t>
      </w:r>
      <w:r w:rsidRPr="003C396A">
        <w:rPr>
          <w:i/>
          <w:iCs/>
          <w:szCs w:val="22"/>
        </w:rPr>
        <w:t>The Ancient Synagogue</w:t>
      </w:r>
      <w:r w:rsidRPr="003C396A">
        <w:rPr>
          <w:szCs w:val="22"/>
        </w:rPr>
        <w:t xml:space="preserve">, 193–206; idem, </w:t>
      </w:r>
      <w:r w:rsidRPr="003C396A">
        <w:rPr>
          <w:i/>
          <w:iCs/>
          <w:szCs w:val="22"/>
        </w:rPr>
        <w:t>Visual Judaism in Late Antiquity</w:t>
      </w:r>
      <w:r w:rsidRPr="003C396A">
        <w:rPr>
          <w:szCs w:val="22"/>
        </w:rPr>
        <w:t xml:space="preserve">, 338, 412–13. </w:t>
      </w:r>
    </w:p>
  </w:footnote>
  <w:footnote w:id="27">
    <w:p w14:paraId="7AFF7CC5" w14:textId="14B24D04" w:rsidR="00223958" w:rsidRPr="003C396A" w:rsidRDefault="00E83EA6" w:rsidP="00223958">
      <w:pPr>
        <w:pStyle w:val="Footnotes"/>
        <w:spacing w:before="240"/>
        <w:rPr>
          <w:szCs w:val="22"/>
          <w:lang w:val="en-US"/>
        </w:rPr>
      </w:pPr>
      <w:r w:rsidRPr="003C396A">
        <w:rPr>
          <w:rStyle w:val="FootnoteReference"/>
          <w:szCs w:val="22"/>
        </w:rPr>
        <w:footnoteRef/>
      </w:r>
      <w:r w:rsidRPr="003C396A">
        <w:rPr>
          <w:szCs w:val="22"/>
        </w:rPr>
        <w:t xml:space="preserve"> </w:t>
      </w:r>
      <w:proofErr w:type="spellStart"/>
      <w:r w:rsidRPr="003C396A">
        <w:rPr>
          <w:szCs w:val="22"/>
        </w:rPr>
        <w:t>Talgam</w:t>
      </w:r>
      <w:proofErr w:type="spellEnd"/>
      <w:r w:rsidRPr="003C396A">
        <w:rPr>
          <w:szCs w:val="22"/>
        </w:rPr>
        <w:t xml:space="preserve">, </w:t>
      </w:r>
      <w:r w:rsidRPr="003C396A">
        <w:rPr>
          <w:i/>
          <w:iCs/>
          <w:szCs w:val="22"/>
        </w:rPr>
        <w:t>The Magdala Stone</w:t>
      </w:r>
      <w:r w:rsidRPr="003C396A">
        <w:rPr>
          <w:szCs w:val="22"/>
        </w:rPr>
        <w:t xml:space="preserve">, passim; </w:t>
      </w:r>
      <w:r w:rsidRPr="003C396A">
        <w:rPr>
          <w:szCs w:val="22"/>
          <w:lang w:val="en-US"/>
        </w:rPr>
        <w:t xml:space="preserve">Dina </w:t>
      </w:r>
      <w:proofErr w:type="spellStart"/>
      <w:r w:rsidRPr="003C396A">
        <w:rPr>
          <w:szCs w:val="22"/>
          <w:lang w:val="en-US"/>
        </w:rPr>
        <w:t>Avshalom-Gorni</w:t>
      </w:r>
      <w:proofErr w:type="spellEnd"/>
      <w:r w:rsidRPr="003C396A">
        <w:rPr>
          <w:szCs w:val="22"/>
          <w:lang w:val="en-US"/>
        </w:rPr>
        <w:t xml:space="preserve"> and </w:t>
      </w:r>
      <w:proofErr w:type="spellStart"/>
      <w:r w:rsidRPr="003C396A">
        <w:rPr>
          <w:szCs w:val="22"/>
          <w:lang w:val="en-US"/>
        </w:rPr>
        <w:t>Arfan</w:t>
      </w:r>
      <w:proofErr w:type="spellEnd"/>
      <w:r w:rsidRPr="003C396A">
        <w:rPr>
          <w:szCs w:val="22"/>
          <w:lang w:val="en-US"/>
        </w:rPr>
        <w:t xml:space="preserve"> </w:t>
      </w:r>
      <w:proofErr w:type="spellStart"/>
      <w:r w:rsidRPr="003C396A">
        <w:rPr>
          <w:szCs w:val="22"/>
          <w:lang w:val="en-US"/>
        </w:rPr>
        <w:t>Najar</w:t>
      </w:r>
      <w:proofErr w:type="spellEnd"/>
      <w:r w:rsidRPr="003C396A">
        <w:rPr>
          <w:szCs w:val="22"/>
          <w:lang w:val="en-US"/>
        </w:rPr>
        <w:t xml:space="preserve">, “Magdala: Preliminary Report,” </w:t>
      </w:r>
      <w:proofErr w:type="spellStart"/>
      <w:r w:rsidRPr="003C396A">
        <w:rPr>
          <w:i/>
          <w:iCs/>
          <w:szCs w:val="22"/>
          <w:lang w:val="en-US"/>
        </w:rPr>
        <w:t>Hadashot</w:t>
      </w:r>
      <w:proofErr w:type="spellEnd"/>
      <w:r w:rsidRPr="003C396A">
        <w:rPr>
          <w:i/>
          <w:iCs/>
          <w:szCs w:val="22"/>
          <w:lang w:val="en-US"/>
        </w:rPr>
        <w:t xml:space="preserve"> </w:t>
      </w:r>
      <w:proofErr w:type="spellStart"/>
      <w:r w:rsidRPr="003C396A">
        <w:rPr>
          <w:i/>
          <w:iCs/>
          <w:szCs w:val="22"/>
          <w:lang w:val="en-US"/>
        </w:rPr>
        <w:t>Arkheologiyot</w:t>
      </w:r>
      <w:proofErr w:type="spellEnd"/>
      <w:r w:rsidRPr="003C396A">
        <w:rPr>
          <w:i/>
          <w:iCs/>
          <w:szCs w:val="22"/>
          <w:lang w:val="en-US"/>
        </w:rPr>
        <w:t>: Excavations and Surveys in Israel</w:t>
      </w:r>
      <w:r w:rsidRPr="003C396A">
        <w:rPr>
          <w:szCs w:val="22"/>
          <w:lang w:val="en-US"/>
        </w:rPr>
        <w:t xml:space="preserve"> 125 (2013), www.hadashot-esi.org.il (</w:t>
      </w:r>
      <w:r w:rsidR="00871642" w:rsidRPr="003C396A">
        <w:rPr>
          <w:szCs w:val="22"/>
          <w:lang w:val="en-US"/>
        </w:rPr>
        <w:t>accessed February 20, 2020</w:t>
      </w:r>
      <w:r w:rsidRPr="003C396A">
        <w:rPr>
          <w:szCs w:val="22"/>
          <w:lang w:val="en-US"/>
        </w:rPr>
        <w:t xml:space="preserve">). </w:t>
      </w:r>
      <w:r w:rsidR="00C643DE" w:rsidRPr="003C396A">
        <w:rPr>
          <w:szCs w:val="22"/>
          <w:lang w:val="en-US"/>
        </w:rPr>
        <w:t xml:space="preserve">On more publications </w:t>
      </w:r>
      <w:r w:rsidR="00223958" w:rsidRPr="003C396A">
        <w:rPr>
          <w:szCs w:val="22"/>
          <w:lang w:val="en-US"/>
        </w:rPr>
        <w:t xml:space="preserve">and other similar decorated stone blocks from the late Second Temple period and the first centuries C.E., see </w:t>
      </w:r>
      <w:proofErr w:type="spellStart"/>
      <w:r w:rsidR="00223958" w:rsidRPr="003C396A">
        <w:rPr>
          <w:szCs w:val="22"/>
        </w:rPr>
        <w:t>Talgam</w:t>
      </w:r>
      <w:proofErr w:type="spellEnd"/>
      <w:r w:rsidR="00223958" w:rsidRPr="003C396A">
        <w:rPr>
          <w:szCs w:val="22"/>
        </w:rPr>
        <w:t xml:space="preserve">, </w:t>
      </w:r>
      <w:r w:rsidR="00223958" w:rsidRPr="003C396A">
        <w:rPr>
          <w:i/>
          <w:iCs/>
          <w:szCs w:val="22"/>
        </w:rPr>
        <w:t>The Magdala Stone</w:t>
      </w:r>
      <w:r w:rsidR="00223958" w:rsidRPr="003C396A">
        <w:rPr>
          <w:szCs w:val="22"/>
        </w:rPr>
        <w:t xml:space="preserve">; </w:t>
      </w:r>
      <w:proofErr w:type="spellStart"/>
      <w:r w:rsidR="00223958" w:rsidRPr="003C396A">
        <w:rPr>
          <w:szCs w:val="22"/>
        </w:rPr>
        <w:t>Zeev</w:t>
      </w:r>
      <w:proofErr w:type="spellEnd"/>
      <w:r w:rsidR="00223958" w:rsidRPr="003C396A">
        <w:rPr>
          <w:szCs w:val="22"/>
        </w:rPr>
        <w:t xml:space="preserve"> Weiss, “The ‘Magdala Stone Table’: Its Function and Role in Determining the Liturgical Furniture in The Ancient Synagogue,” </w:t>
      </w:r>
      <w:r w:rsidR="00223958" w:rsidRPr="003C396A">
        <w:rPr>
          <w:i/>
          <w:iCs/>
          <w:szCs w:val="22"/>
        </w:rPr>
        <w:t>Journal of Roman Archaeology</w:t>
      </w:r>
      <w:r w:rsidR="00223958" w:rsidRPr="003C396A">
        <w:rPr>
          <w:szCs w:val="22"/>
        </w:rPr>
        <w:t xml:space="preserve"> 34, 2 (2021): 610–612 (The Magdala stone: Current State of Research), 617–</w:t>
      </w:r>
      <w:r w:rsidR="00871642" w:rsidRPr="003C396A">
        <w:rPr>
          <w:szCs w:val="22"/>
        </w:rPr>
        <w:t>24 (Evidence of Other Stone Tables: Review of the Archaeological Finds)</w:t>
      </w:r>
      <w:r w:rsidR="00223958" w:rsidRPr="003C396A">
        <w:rPr>
          <w:szCs w:val="22"/>
        </w:rPr>
        <w:t>.</w:t>
      </w:r>
    </w:p>
  </w:footnote>
  <w:footnote w:id="28">
    <w:p w14:paraId="251ED32D" w14:textId="6CD1A92A" w:rsidR="00E83EA6" w:rsidRPr="003C396A" w:rsidRDefault="00E83EA6" w:rsidP="00FF6A0B">
      <w:pPr>
        <w:pStyle w:val="Footnotes"/>
        <w:rPr>
          <w:szCs w:val="22"/>
          <w:lang w:val="en-US"/>
        </w:rPr>
      </w:pPr>
      <w:r w:rsidRPr="003C396A">
        <w:rPr>
          <w:rStyle w:val="FootnoteReference"/>
          <w:szCs w:val="22"/>
        </w:rPr>
        <w:footnoteRef/>
      </w:r>
      <w:r w:rsidRPr="003C396A">
        <w:rPr>
          <w:szCs w:val="22"/>
        </w:rPr>
        <w:t xml:space="preserve"> </w:t>
      </w:r>
      <w:r w:rsidR="005A7657" w:rsidRPr="003C396A">
        <w:rPr>
          <w:szCs w:val="22"/>
          <w:lang w:val="en-US"/>
        </w:rPr>
        <w:t xml:space="preserve">See </w:t>
      </w:r>
      <w:proofErr w:type="spellStart"/>
      <w:r w:rsidR="005A7657" w:rsidRPr="003C396A">
        <w:rPr>
          <w:szCs w:val="22"/>
          <w:lang w:val="en-US"/>
        </w:rPr>
        <w:t>Zeev</w:t>
      </w:r>
      <w:proofErr w:type="spellEnd"/>
      <w:r w:rsidR="005A7657" w:rsidRPr="003C396A">
        <w:rPr>
          <w:szCs w:val="22"/>
          <w:lang w:val="en-US"/>
        </w:rPr>
        <w:t xml:space="preserve"> Weiss, “The Synagogue in the Age of Transition, from the Second Temple to Roman Times: Recent Developments in Research,”</w:t>
      </w:r>
      <w:r w:rsidR="00FF6A0B" w:rsidRPr="003C396A">
        <w:rPr>
          <w:szCs w:val="22"/>
        </w:rPr>
        <w:t xml:space="preserve"> </w:t>
      </w:r>
      <w:r w:rsidR="00BD54FE" w:rsidRPr="003C396A">
        <w:rPr>
          <w:szCs w:val="22"/>
        </w:rPr>
        <w:t xml:space="preserve">Lutz Doering, “The Synagogue of Magdala: Between Localized Practice and Reference to the Temple,” </w:t>
      </w:r>
      <w:r w:rsidR="00FF6A0B" w:rsidRPr="003C396A">
        <w:rPr>
          <w:szCs w:val="22"/>
        </w:rPr>
        <w:t xml:space="preserve">and </w:t>
      </w:r>
      <w:r w:rsidR="00FF6A0B" w:rsidRPr="003C396A">
        <w:rPr>
          <w:szCs w:val="22"/>
          <w:lang w:val="en-US"/>
        </w:rPr>
        <w:t>Judith H. Newman,</w:t>
      </w:r>
      <w:r w:rsidR="005A7657" w:rsidRPr="003C396A">
        <w:rPr>
          <w:szCs w:val="22"/>
          <w:lang w:val="en-US"/>
        </w:rPr>
        <w:t xml:space="preserve"> </w:t>
      </w:r>
      <w:r w:rsidR="00FF6A0B" w:rsidRPr="003C396A">
        <w:rPr>
          <w:szCs w:val="22"/>
          <w:lang w:val="en-US"/>
        </w:rPr>
        <w:t xml:space="preserve">“Contextualizing the Magdala Synagogue Stone in Its Place: An Exercise in Liturgical Imagination” </w:t>
      </w:r>
      <w:r w:rsidR="005A7657" w:rsidRPr="003C396A">
        <w:rPr>
          <w:szCs w:val="22"/>
          <w:lang w:val="en-US"/>
        </w:rPr>
        <w:t xml:space="preserve">in </w:t>
      </w:r>
      <w:r w:rsidR="005A7657" w:rsidRPr="003C396A">
        <w:rPr>
          <w:i/>
          <w:iCs/>
          <w:szCs w:val="22"/>
          <w:lang w:val="en-US"/>
        </w:rPr>
        <w:t>Synagogues in the Hellenistic and Roman Periods Archaeological Finds: New Methods, New Theories</w:t>
      </w:r>
      <w:r w:rsidR="005A7657" w:rsidRPr="003C396A">
        <w:rPr>
          <w:szCs w:val="22"/>
          <w:lang w:val="en-US"/>
        </w:rPr>
        <w:t xml:space="preserve">, eds. </w:t>
      </w:r>
      <w:bookmarkStart w:id="31" w:name="_Hlk97223340"/>
      <w:r w:rsidR="005A7657" w:rsidRPr="003C396A">
        <w:rPr>
          <w:szCs w:val="22"/>
          <w:lang w:val="en-US"/>
        </w:rPr>
        <w:t xml:space="preserve">Lutz Doering </w:t>
      </w:r>
      <w:bookmarkEnd w:id="31"/>
      <w:r w:rsidR="005A7657" w:rsidRPr="003C396A">
        <w:rPr>
          <w:szCs w:val="22"/>
          <w:lang w:val="en-US"/>
        </w:rPr>
        <w:t>and Andrew R. Krause (</w:t>
      </w:r>
      <w:proofErr w:type="spellStart"/>
      <w:r w:rsidR="005A7657" w:rsidRPr="003C396A">
        <w:rPr>
          <w:szCs w:val="22"/>
          <w:lang w:val="en-US"/>
        </w:rPr>
        <w:t>Göttingen</w:t>
      </w:r>
      <w:proofErr w:type="spellEnd"/>
      <w:r w:rsidR="005A7657" w:rsidRPr="003C396A">
        <w:rPr>
          <w:szCs w:val="22"/>
          <w:lang w:val="en-US"/>
        </w:rPr>
        <w:t xml:space="preserve">: </w:t>
      </w:r>
      <w:proofErr w:type="spellStart"/>
      <w:r w:rsidR="005A7657" w:rsidRPr="003C396A">
        <w:rPr>
          <w:szCs w:val="22"/>
          <w:lang w:val="en-US"/>
        </w:rPr>
        <w:t>Vandenhoeck</w:t>
      </w:r>
      <w:proofErr w:type="spellEnd"/>
      <w:r w:rsidR="005A7657" w:rsidRPr="003C396A">
        <w:rPr>
          <w:szCs w:val="22"/>
          <w:lang w:val="en-US"/>
        </w:rPr>
        <w:t xml:space="preserve"> and Ruprecht, 2020), 33–38</w:t>
      </w:r>
      <w:r w:rsidR="00FF6A0B" w:rsidRPr="003C396A">
        <w:rPr>
          <w:szCs w:val="22"/>
          <w:lang w:val="en-US"/>
        </w:rPr>
        <w:t>, 127–53, 155–73 (respectively)</w:t>
      </w:r>
      <w:r w:rsidR="005A7657" w:rsidRPr="003C396A">
        <w:rPr>
          <w:szCs w:val="22"/>
          <w:lang w:val="en-US"/>
        </w:rPr>
        <w:t>.</w:t>
      </w:r>
    </w:p>
  </w:footnote>
  <w:footnote w:id="29">
    <w:p w14:paraId="0243842D" w14:textId="5137B6F3" w:rsidR="008D024D" w:rsidRPr="003C396A" w:rsidRDefault="008D024D" w:rsidP="002F0B0A">
      <w:pPr>
        <w:pStyle w:val="Footnotes"/>
        <w:rPr>
          <w:szCs w:val="22"/>
        </w:rPr>
      </w:pPr>
      <w:r w:rsidRPr="003C396A">
        <w:rPr>
          <w:rStyle w:val="FootnoteReference"/>
          <w:szCs w:val="22"/>
        </w:rPr>
        <w:footnoteRef/>
      </w:r>
      <w:r w:rsidRPr="003C396A">
        <w:rPr>
          <w:szCs w:val="22"/>
        </w:rPr>
        <w:t xml:space="preserve"> </w:t>
      </w:r>
      <w:r w:rsidR="002C707E" w:rsidRPr="003C396A">
        <w:rPr>
          <w:szCs w:val="22"/>
        </w:rPr>
        <w:t xml:space="preserve">E. g., Rachel </w:t>
      </w:r>
      <w:proofErr w:type="spellStart"/>
      <w:r w:rsidR="002C707E" w:rsidRPr="003C396A">
        <w:rPr>
          <w:szCs w:val="22"/>
        </w:rPr>
        <w:t>Hachlili</w:t>
      </w:r>
      <w:proofErr w:type="spellEnd"/>
      <w:r w:rsidR="002C707E" w:rsidRPr="003C396A">
        <w:rPr>
          <w:szCs w:val="22"/>
        </w:rPr>
        <w:t xml:space="preserve">, “The Migdal Stone and its Ornamentation,” </w:t>
      </w:r>
      <w:r w:rsidR="002C707E" w:rsidRPr="003C396A">
        <w:rPr>
          <w:i/>
          <w:iCs/>
          <w:szCs w:val="22"/>
        </w:rPr>
        <w:t xml:space="preserve">Revue </w:t>
      </w:r>
      <w:proofErr w:type="spellStart"/>
      <w:r w:rsidR="002C707E" w:rsidRPr="003C396A">
        <w:rPr>
          <w:i/>
          <w:iCs/>
          <w:szCs w:val="22"/>
        </w:rPr>
        <w:t>Biblique</w:t>
      </w:r>
      <w:proofErr w:type="spellEnd"/>
      <w:r w:rsidR="002C707E" w:rsidRPr="003C396A">
        <w:rPr>
          <w:szCs w:val="22"/>
        </w:rPr>
        <w:t xml:space="preserve"> 124, 2 (2017): 245–72; Steven Fine, “The Magdala Ashlar: From Synagogue Furnishing to Media Event,” </w:t>
      </w:r>
      <w:r w:rsidR="002C707E" w:rsidRPr="003C396A">
        <w:rPr>
          <w:i/>
          <w:iCs/>
          <w:szCs w:val="22"/>
        </w:rPr>
        <w:t>Ars Judaica</w:t>
      </w:r>
      <w:r w:rsidR="002C707E" w:rsidRPr="003C396A">
        <w:rPr>
          <w:szCs w:val="22"/>
        </w:rPr>
        <w:t xml:space="preserve"> 13 (2017): 27–38. </w:t>
      </w:r>
    </w:p>
  </w:footnote>
  <w:footnote w:id="30">
    <w:p w14:paraId="49B173D0" w14:textId="77777777" w:rsidR="00BE5D48" w:rsidRPr="003C396A" w:rsidRDefault="00BE5D48" w:rsidP="00BE5D48">
      <w:pPr>
        <w:pStyle w:val="Footnotes"/>
        <w:rPr>
          <w:szCs w:val="22"/>
          <w:lang w:val="en-US"/>
        </w:rPr>
      </w:pPr>
      <w:r w:rsidRPr="003C396A">
        <w:rPr>
          <w:rStyle w:val="FootnoteReference"/>
          <w:szCs w:val="22"/>
        </w:rPr>
        <w:footnoteRef/>
      </w:r>
      <w:r w:rsidRPr="003C396A">
        <w:rPr>
          <w:szCs w:val="22"/>
        </w:rPr>
        <w:t xml:space="preserve"> </w:t>
      </w:r>
      <w:bookmarkStart w:id="32" w:name="_Hlk96532782"/>
      <w:r w:rsidRPr="003C396A">
        <w:rPr>
          <w:szCs w:val="22"/>
        </w:rPr>
        <w:t xml:space="preserve">Goodman, </w:t>
      </w:r>
      <w:r w:rsidRPr="003C396A">
        <w:rPr>
          <w:i/>
          <w:iCs/>
          <w:szCs w:val="22"/>
        </w:rPr>
        <w:t>Judaism in the Roman World</w:t>
      </w:r>
      <w:r w:rsidRPr="003C396A">
        <w:rPr>
          <w:szCs w:val="22"/>
        </w:rPr>
        <w:t>, 223.</w:t>
      </w:r>
    </w:p>
    <w:bookmarkEnd w:id="32"/>
  </w:footnote>
  <w:footnote w:id="31">
    <w:p w14:paraId="37B4E1AF" w14:textId="77777777" w:rsidR="00BE5D48" w:rsidRPr="003C396A" w:rsidRDefault="00BE5D48" w:rsidP="00BE5D48">
      <w:pPr>
        <w:pStyle w:val="Footnotes"/>
        <w:rPr>
          <w:szCs w:val="22"/>
          <w:lang w:val="en-US"/>
        </w:rPr>
      </w:pPr>
      <w:r w:rsidRPr="003C396A">
        <w:rPr>
          <w:rStyle w:val="FootnoteReference"/>
          <w:szCs w:val="22"/>
        </w:rPr>
        <w:footnoteRef/>
      </w:r>
      <w:r w:rsidRPr="003C396A">
        <w:rPr>
          <w:szCs w:val="22"/>
        </w:rPr>
        <w:t xml:space="preserve"> </w:t>
      </w:r>
      <w:bookmarkStart w:id="33" w:name="_Hlk96324642"/>
      <w:bookmarkStart w:id="34" w:name="_Hlk95374733"/>
      <w:r w:rsidRPr="003C396A">
        <w:rPr>
          <w:szCs w:val="22"/>
        </w:rPr>
        <w:t xml:space="preserve">Levine, </w:t>
      </w:r>
      <w:r w:rsidRPr="003C396A">
        <w:rPr>
          <w:i/>
          <w:iCs/>
          <w:szCs w:val="22"/>
        </w:rPr>
        <w:t>The Ancient Synagogue</w:t>
      </w:r>
      <w:r w:rsidRPr="003C396A">
        <w:rPr>
          <w:szCs w:val="22"/>
        </w:rPr>
        <w:t>, 24</w:t>
      </w:r>
      <w:bookmarkEnd w:id="33"/>
      <w:r w:rsidRPr="003C396A">
        <w:rPr>
          <w:szCs w:val="22"/>
        </w:rPr>
        <w:t xml:space="preserve">; </w:t>
      </w:r>
      <w:bookmarkEnd w:id="34"/>
      <w:r w:rsidRPr="003C396A">
        <w:rPr>
          <w:szCs w:val="22"/>
        </w:rPr>
        <w:t>95–96, 206; idem</w:t>
      </w:r>
      <w:bookmarkStart w:id="35" w:name="_Hlk95308139"/>
      <w:r w:rsidRPr="003C396A">
        <w:rPr>
          <w:szCs w:val="22"/>
        </w:rPr>
        <w:t xml:space="preserve">, </w:t>
      </w:r>
      <w:r w:rsidRPr="003C396A">
        <w:rPr>
          <w:i/>
          <w:iCs/>
          <w:szCs w:val="22"/>
        </w:rPr>
        <w:t>Visual Judaism in Late Antiquity</w:t>
      </w:r>
      <w:r w:rsidRPr="003C396A">
        <w:rPr>
          <w:szCs w:val="22"/>
        </w:rPr>
        <w:t>, 358.</w:t>
      </w:r>
      <w:bookmarkEnd w:id="35"/>
    </w:p>
  </w:footnote>
  <w:footnote w:id="32">
    <w:p w14:paraId="50150F08" w14:textId="77777777" w:rsidR="00301FD6" w:rsidRPr="003C396A" w:rsidRDefault="00301FD6" w:rsidP="00301FD6">
      <w:pPr>
        <w:pStyle w:val="Footnotes"/>
        <w:rPr>
          <w:szCs w:val="22"/>
          <w:lang w:val="en-US"/>
        </w:rPr>
      </w:pPr>
      <w:r w:rsidRPr="003C396A">
        <w:rPr>
          <w:rStyle w:val="FootnoteReference"/>
          <w:szCs w:val="22"/>
        </w:rPr>
        <w:footnoteRef/>
      </w:r>
      <w:r w:rsidRPr="003C396A">
        <w:rPr>
          <w:szCs w:val="22"/>
        </w:rPr>
        <w:t xml:space="preserve"> </w:t>
      </w:r>
      <w:bookmarkStart w:id="36" w:name="_Hlk94799683"/>
      <w:bookmarkStart w:id="37" w:name="_Hlk94092360"/>
      <w:r w:rsidRPr="003C396A">
        <w:rPr>
          <w:szCs w:val="22"/>
        </w:rPr>
        <w:t>Branham</w:t>
      </w:r>
      <w:bookmarkStart w:id="38" w:name="_Hlk94027747"/>
      <w:bookmarkEnd w:id="36"/>
      <w:r w:rsidRPr="003C396A">
        <w:rPr>
          <w:szCs w:val="22"/>
        </w:rPr>
        <w:t xml:space="preserve">, </w:t>
      </w:r>
      <w:bookmarkStart w:id="39" w:name="_Hlk95717612"/>
      <w:r w:rsidRPr="003C396A">
        <w:rPr>
          <w:szCs w:val="22"/>
        </w:rPr>
        <w:t xml:space="preserve">“Vicarious </w:t>
      </w:r>
      <w:proofErr w:type="spellStart"/>
      <w:r w:rsidRPr="003C396A">
        <w:rPr>
          <w:szCs w:val="22"/>
        </w:rPr>
        <w:t>Sacrality</w:t>
      </w:r>
      <w:proofErr w:type="spellEnd"/>
      <w:r w:rsidRPr="003C396A">
        <w:rPr>
          <w:szCs w:val="22"/>
        </w:rPr>
        <w:t>,”</w:t>
      </w:r>
      <w:bookmarkEnd w:id="38"/>
      <w:r w:rsidRPr="003C396A">
        <w:rPr>
          <w:szCs w:val="22"/>
        </w:rPr>
        <w:t xml:space="preserve"> </w:t>
      </w:r>
      <w:bookmarkEnd w:id="37"/>
      <w:bookmarkEnd w:id="39"/>
      <w:r w:rsidRPr="003C396A">
        <w:rPr>
          <w:szCs w:val="22"/>
        </w:rPr>
        <w:t xml:space="preserve">322; </w:t>
      </w:r>
      <w:bookmarkStart w:id="40" w:name="_Hlk94799669"/>
      <w:proofErr w:type="spellStart"/>
      <w:r w:rsidRPr="003C396A">
        <w:rPr>
          <w:szCs w:val="22"/>
        </w:rPr>
        <w:t>eadem</w:t>
      </w:r>
      <w:proofErr w:type="spellEnd"/>
      <w:r w:rsidRPr="003C396A">
        <w:rPr>
          <w:szCs w:val="22"/>
        </w:rPr>
        <w:t xml:space="preserve">, “Sacred Space under Erasure in Ancient Synagogues and Early Churches,” </w:t>
      </w:r>
      <w:r w:rsidRPr="003C396A">
        <w:rPr>
          <w:i/>
          <w:iCs/>
          <w:szCs w:val="22"/>
        </w:rPr>
        <w:t>The Art Bulletin</w:t>
      </w:r>
      <w:r w:rsidRPr="003C396A">
        <w:rPr>
          <w:szCs w:val="22"/>
        </w:rPr>
        <w:t xml:space="preserve"> 74, 3 (1992): 375–94.</w:t>
      </w:r>
      <w:bookmarkEnd w:id="40"/>
      <w:r w:rsidRPr="003C396A">
        <w:rPr>
          <w:szCs w:val="22"/>
        </w:rPr>
        <w:t xml:space="preserve"> See also </w:t>
      </w:r>
      <w:proofErr w:type="spellStart"/>
      <w:r w:rsidRPr="003C396A">
        <w:rPr>
          <w:szCs w:val="22"/>
        </w:rPr>
        <w:t>eadem</w:t>
      </w:r>
      <w:proofErr w:type="spellEnd"/>
      <w:r w:rsidRPr="003C396A">
        <w:rPr>
          <w:szCs w:val="22"/>
        </w:rPr>
        <w:t>, “Sacred Space in Ancient Jewish and Early Medieval Christian Architecture” (Ph.D. Dissertation, Columbia University, 1993).</w:t>
      </w:r>
    </w:p>
  </w:footnote>
  <w:footnote w:id="33">
    <w:p w14:paraId="52EE84B1" w14:textId="77777777" w:rsidR="00301FD6" w:rsidRPr="003C396A" w:rsidRDefault="00301FD6" w:rsidP="00301FD6">
      <w:pPr>
        <w:pStyle w:val="Footnotes"/>
        <w:rPr>
          <w:szCs w:val="22"/>
          <w:lang w:val="en-US"/>
        </w:rPr>
      </w:pPr>
      <w:r w:rsidRPr="003C396A">
        <w:rPr>
          <w:rStyle w:val="FootnoteReference"/>
          <w:szCs w:val="22"/>
        </w:rPr>
        <w:footnoteRef/>
      </w:r>
      <w:r w:rsidRPr="003C396A">
        <w:rPr>
          <w:szCs w:val="22"/>
        </w:rPr>
        <w:t xml:space="preserve"> See Jonathan Z. Smith, </w:t>
      </w:r>
      <w:r w:rsidRPr="003C396A">
        <w:rPr>
          <w:i/>
          <w:iCs/>
          <w:szCs w:val="22"/>
        </w:rPr>
        <w:t>Map Is Not Territory</w:t>
      </w:r>
      <w:r w:rsidRPr="003C396A">
        <w:rPr>
          <w:szCs w:val="22"/>
        </w:rPr>
        <w:t xml:space="preserve"> (Chicago, University of Chicago Press, 1993), 104–28, 187–88.</w:t>
      </w:r>
    </w:p>
  </w:footnote>
  <w:footnote w:id="34">
    <w:p w14:paraId="23654B86" w14:textId="77777777" w:rsidR="00301FD6" w:rsidRPr="003C396A" w:rsidRDefault="00301FD6" w:rsidP="00301FD6">
      <w:pPr>
        <w:pStyle w:val="Footnotes"/>
        <w:rPr>
          <w:szCs w:val="22"/>
          <w:lang w:val="en-US"/>
        </w:rPr>
      </w:pPr>
      <w:r w:rsidRPr="003C396A">
        <w:rPr>
          <w:rStyle w:val="FootnoteReference"/>
          <w:szCs w:val="22"/>
        </w:rPr>
        <w:footnoteRef/>
      </w:r>
      <w:r w:rsidRPr="003C396A">
        <w:rPr>
          <w:szCs w:val="22"/>
        </w:rPr>
        <w:t xml:space="preserve"> </w:t>
      </w:r>
      <w:r w:rsidRPr="003C396A">
        <w:rPr>
          <w:szCs w:val="22"/>
          <w:lang w:val="en-US"/>
        </w:rPr>
        <w:t xml:space="preserve">See René Girard, </w:t>
      </w:r>
      <w:r w:rsidRPr="003C396A">
        <w:rPr>
          <w:i/>
          <w:iCs/>
          <w:szCs w:val="22"/>
          <w:lang w:val="en-US"/>
        </w:rPr>
        <w:t xml:space="preserve">La violence et le </w:t>
      </w:r>
      <w:proofErr w:type="spellStart"/>
      <w:r w:rsidRPr="003C396A">
        <w:rPr>
          <w:i/>
          <w:iCs/>
          <w:szCs w:val="22"/>
          <w:lang w:val="en-US"/>
        </w:rPr>
        <w:t>sacre</w:t>
      </w:r>
      <w:proofErr w:type="spellEnd"/>
      <w:r w:rsidRPr="003C396A">
        <w:rPr>
          <w:i/>
          <w:iCs/>
          <w:szCs w:val="22"/>
          <w:lang w:val="en-US"/>
        </w:rPr>
        <w:t>́</w:t>
      </w:r>
      <w:r w:rsidRPr="003C396A">
        <w:rPr>
          <w:szCs w:val="22"/>
          <w:lang w:val="en-US"/>
        </w:rPr>
        <w:t xml:space="preserve"> (Paris: Bernard Grasset, 1972).</w:t>
      </w:r>
    </w:p>
  </w:footnote>
  <w:footnote w:id="35">
    <w:p w14:paraId="000F29A0" w14:textId="77777777" w:rsidR="00301FD6" w:rsidRPr="003C396A" w:rsidRDefault="00301FD6" w:rsidP="00301FD6">
      <w:pPr>
        <w:pStyle w:val="Footnotes"/>
        <w:rPr>
          <w:szCs w:val="22"/>
          <w:lang w:val="en-US"/>
        </w:rPr>
      </w:pPr>
      <w:r w:rsidRPr="003C396A">
        <w:rPr>
          <w:rStyle w:val="FootnoteReference"/>
          <w:szCs w:val="22"/>
        </w:rPr>
        <w:footnoteRef/>
      </w:r>
      <w:r w:rsidRPr="003C396A">
        <w:rPr>
          <w:szCs w:val="22"/>
        </w:rPr>
        <w:t xml:space="preserve"> Branham, </w:t>
      </w:r>
      <w:bookmarkStart w:id="43" w:name="_Hlk94084962"/>
      <w:r w:rsidRPr="003C396A">
        <w:rPr>
          <w:szCs w:val="22"/>
        </w:rPr>
        <w:t>“Sacred Space under Erasure,”</w:t>
      </w:r>
      <w:bookmarkEnd w:id="43"/>
      <w:r w:rsidRPr="003C396A">
        <w:rPr>
          <w:szCs w:val="22"/>
        </w:rPr>
        <w:t xml:space="preserve"> 392, refers to Jacques Derrida, </w:t>
      </w:r>
      <w:r w:rsidRPr="003C396A">
        <w:rPr>
          <w:i/>
          <w:iCs/>
          <w:szCs w:val="22"/>
        </w:rPr>
        <w:t xml:space="preserve">De la </w:t>
      </w:r>
      <w:proofErr w:type="spellStart"/>
      <w:r w:rsidRPr="003C396A">
        <w:rPr>
          <w:i/>
          <w:iCs/>
          <w:szCs w:val="22"/>
        </w:rPr>
        <w:t>grammatologie</w:t>
      </w:r>
      <w:proofErr w:type="spellEnd"/>
      <w:r w:rsidRPr="003C396A">
        <w:rPr>
          <w:szCs w:val="22"/>
        </w:rPr>
        <w:t xml:space="preserve"> (Paris, 1967), 89; and </w:t>
      </w:r>
      <w:r w:rsidRPr="003C396A">
        <w:rPr>
          <w:szCs w:val="22"/>
          <w:lang w:val="en-US"/>
        </w:rPr>
        <w:t xml:space="preserve">Jean-Luc Marion, </w:t>
      </w:r>
      <w:r w:rsidRPr="003C396A">
        <w:rPr>
          <w:i/>
          <w:iCs/>
          <w:szCs w:val="22"/>
          <w:lang w:val="en-US"/>
        </w:rPr>
        <w:t xml:space="preserve">Dieu sans </w:t>
      </w:r>
      <w:proofErr w:type="spellStart"/>
      <w:r w:rsidRPr="003C396A">
        <w:rPr>
          <w:i/>
          <w:iCs/>
          <w:szCs w:val="22"/>
          <w:lang w:val="en-US"/>
        </w:rPr>
        <w:t>l'être</w:t>
      </w:r>
      <w:proofErr w:type="spellEnd"/>
      <w:r w:rsidRPr="003C396A">
        <w:rPr>
          <w:i/>
          <w:iCs/>
          <w:szCs w:val="22"/>
          <w:lang w:val="en-US"/>
        </w:rPr>
        <w:t>: Hors-</w:t>
      </w:r>
      <w:proofErr w:type="spellStart"/>
      <w:r w:rsidRPr="003C396A">
        <w:rPr>
          <w:i/>
          <w:iCs/>
          <w:szCs w:val="22"/>
          <w:lang w:val="en-US"/>
        </w:rPr>
        <w:t>texte</w:t>
      </w:r>
      <w:proofErr w:type="spellEnd"/>
      <w:r w:rsidRPr="003C396A">
        <w:rPr>
          <w:szCs w:val="22"/>
          <w:lang w:val="en-US"/>
        </w:rPr>
        <w:t xml:space="preserve"> (Paris: </w:t>
      </w:r>
      <w:proofErr w:type="spellStart"/>
      <w:r w:rsidRPr="003C396A">
        <w:rPr>
          <w:szCs w:val="22"/>
          <w:lang w:val="en-US"/>
        </w:rPr>
        <w:t>Fayard</w:t>
      </w:r>
      <w:proofErr w:type="spellEnd"/>
      <w:r w:rsidRPr="003C396A">
        <w:rPr>
          <w:szCs w:val="22"/>
          <w:lang w:val="en-US"/>
        </w:rPr>
        <w:t>, 1982), 72–73.</w:t>
      </w:r>
    </w:p>
  </w:footnote>
  <w:footnote w:id="36">
    <w:p w14:paraId="60BC9FB6" w14:textId="77777777" w:rsidR="00301FD6" w:rsidRPr="003C396A" w:rsidRDefault="00301FD6" w:rsidP="00301FD6">
      <w:pPr>
        <w:pStyle w:val="Footnotes"/>
        <w:rPr>
          <w:szCs w:val="22"/>
          <w:lang w:val="en-US"/>
        </w:rPr>
      </w:pPr>
      <w:r w:rsidRPr="003C396A">
        <w:rPr>
          <w:rStyle w:val="FootnoteReference"/>
          <w:szCs w:val="22"/>
        </w:rPr>
        <w:footnoteRef/>
      </w:r>
      <w:r w:rsidRPr="003C396A">
        <w:rPr>
          <w:szCs w:val="22"/>
        </w:rPr>
        <w:t xml:space="preserve"> Gary A. </w:t>
      </w:r>
      <w:bookmarkStart w:id="45" w:name="_Hlk95335805"/>
      <w:proofErr w:type="spellStart"/>
      <w:r w:rsidRPr="003C396A">
        <w:rPr>
          <w:szCs w:val="22"/>
        </w:rPr>
        <w:t>Rendsburg</w:t>
      </w:r>
      <w:proofErr w:type="spellEnd"/>
      <w:r w:rsidRPr="003C396A">
        <w:rPr>
          <w:szCs w:val="22"/>
        </w:rPr>
        <w:t xml:space="preserve">, “Sacred Space in Judaism after the Temple,” </w:t>
      </w:r>
      <w:bookmarkEnd w:id="45"/>
      <w:r w:rsidRPr="003C396A">
        <w:rPr>
          <w:szCs w:val="22"/>
        </w:rPr>
        <w:t xml:space="preserve">in </w:t>
      </w:r>
      <w:r w:rsidRPr="003C396A">
        <w:rPr>
          <w:i/>
          <w:iCs/>
          <w:szCs w:val="22"/>
        </w:rPr>
        <w:t>Sacred Space, Sacred Thread: Perspectives Across Time and Traditions</w:t>
      </w:r>
      <w:r w:rsidRPr="003C396A">
        <w:rPr>
          <w:szCs w:val="22"/>
        </w:rPr>
        <w:t xml:space="preserve">, eds. John W. Welch and Jacob </w:t>
      </w:r>
      <w:proofErr w:type="spellStart"/>
      <w:r w:rsidRPr="003C396A">
        <w:rPr>
          <w:szCs w:val="22"/>
        </w:rPr>
        <w:t>Rennaker</w:t>
      </w:r>
      <w:proofErr w:type="spellEnd"/>
      <w:r w:rsidRPr="003C396A">
        <w:rPr>
          <w:szCs w:val="22"/>
        </w:rPr>
        <w:t xml:space="preserve"> (Eugene: Pickwick Publications, 2019), 15–49.</w:t>
      </w:r>
    </w:p>
  </w:footnote>
  <w:footnote w:id="37">
    <w:p w14:paraId="3F47F8FD" w14:textId="77777777" w:rsidR="00301FD6" w:rsidRPr="003C396A" w:rsidRDefault="00301FD6" w:rsidP="00301FD6">
      <w:pPr>
        <w:pStyle w:val="Footnotes"/>
        <w:rPr>
          <w:szCs w:val="22"/>
          <w:lang w:val="en-US"/>
        </w:rPr>
      </w:pPr>
      <w:r w:rsidRPr="003C396A">
        <w:rPr>
          <w:rStyle w:val="FootnoteReference"/>
          <w:szCs w:val="22"/>
        </w:rPr>
        <w:footnoteRef/>
      </w:r>
      <w:r w:rsidRPr="003C396A">
        <w:rPr>
          <w:szCs w:val="22"/>
        </w:rPr>
        <w:t xml:space="preserve"> See Michel Foucault, “Des </w:t>
      </w:r>
      <w:proofErr w:type="spellStart"/>
      <w:r w:rsidRPr="003C396A">
        <w:rPr>
          <w:szCs w:val="22"/>
        </w:rPr>
        <w:t>espaces</w:t>
      </w:r>
      <w:proofErr w:type="spellEnd"/>
      <w:r w:rsidRPr="003C396A">
        <w:rPr>
          <w:szCs w:val="22"/>
        </w:rPr>
        <w:t xml:space="preserve"> </w:t>
      </w:r>
      <w:proofErr w:type="spellStart"/>
      <w:r w:rsidRPr="003C396A">
        <w:rPr>
          <w:szCs w:val="22"/>
        </w:rPr>
        <w:t>autres</w:t>
      </w:r>
      <w:proofErr w:type="spellEnd"/>
      <w:r w:rsidRPr="003C396A">
        <w:rPr>
          <w:szCs w:val="22"/>
        </w:rPr>
        <w:t xml:space="preserve">,” </w:t>
      </w:r>
      <w:proofErr w:type="spellStart"/>
      <w:r w:rsidRPr="003C396A">
        <w:rPr>
          <w:i/>
          <w:iCs/>
          <w:szCs w:val="22"/>
        </w:rPr>
        <w:t>L’Architettura</w:t>
      </w:r>
      <w:proofErr w:type="spellEnd"/>
      <w:r w:rsidRPr="003C396A">
        <w:rPr>
          <w:szCs w:val="22"/>
        </w:rPr>
        <w:t xml:space="preserve"> 13 (1968): 822–23.</w:t>
      </w:r>
    </w:p>
  </w:footnote>
  <w:footnote w:id="38">
    <w:p w14:paraId="4727CA4A" w14:textId="77777777" w:rsidR="00301FD6" w:rsidRPr="003C396A" w:rsidRDefault="00301FD6" w:rsidP="00301FD6">
      <w:pPr>
        <w:pStyle w:val="Footnotes"/>
        <w:rPr>
          <w:szCs w:val="22"/>
          <w:lang w:val="en-US"/>
        </w:rPr>
      </w:pPr>
      <w:r w:rsidRPr="003C396A">
        <w:rPr>
          <w:rStyle w:val="FootnoteReference"/>
          <w:szCs w:val="22"/>
        </w:rPr>
        <w:footnoteRef/>
      </w:r>
      <w:r w:rsidRPr="003C396A">
        <w:rPr>
          <w:szCs w:val="22"/>
        </w:rPr>
        <w:t xml:space="preserve"> </w:t>
      </w:r>
      <w:proofErr w:type="spellStart"/>
      <w:r w:rsidRPr="003C396A">
        <w:rPr>
          <w:szCs w:val="22"/>
        </w:rPr>
        <w:t>Rendsburg</w:t>
      </w:r>
      <w:proofErr w:type="spellEnd"/>
      <w:r w:rsidRPr="003C396A">
        <w:rPr>
          <w:szCs w:val="22"/>
        </w:rPr>
        <w:t>, “Sacred Space in Judaism after the Temple,” 25.</w:t>
      </w:r>
    </w:p>
  </w:footnote>
  <w:footnote w:id="39">
    <w:p w14:paraId="5C88648E" w14:textId="77777777" w:rsidR="00301FD6" w:rsidRPr="003C396A" w:rsidRDefault="00301FD6" w:rsidP="00301FD6">
      <w:pPr>
        <w:pStyle w:val="Footnotes"/>
        <w:rPr>
          <w:szCs w:val="22"/>
          <w:lang w:val="en-US"/>
        </w:rPr>
      </w:pPr>
      <w:r w:rsidRPr="003C396A">
        <w:rPr>
          <w:rStyle w:val="FootnoteReference"/>
          <w:szCs w:val="22"/>
        </w:rPr>
        <w:footnoteRef/>
      </w:r>
      <w:r w:rsidRPr="003C396A">
        <w:rPr>
          <w:szCs w:val="22"/>
        </w:rPr>
        <w:t xml:space="preserve"> </w:t>
      </w:r>
      <w:bookmarkStart w:id="46" w:name="_Hlk95821376"/>
      <w:bookmarkStart w:id="47" w:name="_Hlk95923245"/>
      <w:bookmarkStart w:id="48" w:name="_Hlk96323655"/>
      <w:r w:rsidRPr="003C396A">
        <w:rPr>
          <w:szCs w:val="22"/>
        </w:rPr>
        <w:t xml:space="preserve">Fine, </w:t>
      </w:r>
      <w:r w:rsidRPr="003C396A">
        <w:rPr>
          <w:i/>
          <w:iCs/>
          <w:szCs w:val="22"/>
        </w:rPr>
        <w:t>This Holy Place</w:t>
      </w:r>
      <w:r w:rsidRPr="003C396A">
        <w:rPr>
          <w:szCs w:val="22"/>
        </w:rPr>
        <w:t xml:space="preserve">, </w:t>
      </w:r>
      <w:bookmarkEnd w:id="46"/>
      <w:r w:rsidRPr="003C396A">
        <w:rPr>
          <w:szCs w:val="22"/>
        </w:rPr>
        <w:t>36.</w:t>
      </w:r>
      <w:bookmarkEnd w:id="47"/>
    </w:p>
    <w:bookmarkEnd w:id="48"/>
  </w:footnote>
  <w:footnote w:id="40">
    <w:p w14:paraId="6D5529AF" w14:textId="490004A1" w:rsidR="00A20EF4" w:rsidRPr="003C396A" w:rsidRDefault="00A20EF4" w:rsidP="00A20EF4">
      <w:pPr>
        <w:pStyle w:val="Footnotes"/>
        <w:rPr>
          <w:szCs w:val="22"/>
          <w:lang w:val="en-US"/>
        </w:rPr>
      </w:pPr>
      <w:r w:rsidRPr="003C396A">
        <w:rPr>
          <w:rStyle w:val="FootnoteReference"/>
          <w:szCs w:val="22"/>
        </w:rPr>
        <w:footnoteRef/>
      </w:r>
      <w:r w:rsidRPr="003C396A">
        <w:rPr>
          <w:szCs w:val="22"/>
        </w:rPr>
        <w:t xml:space="preserve"> </w:t>
      </w:r>
      <w:r w:rsidRPr="003C396A">
        <w:rPr>
          <w:szCs w:val="22"/>
          <w:lang w:val="en-US"/>
        </w:rPr>
        <w:t>On constructing the Temple’s sacred space through ritual, see</w:t>
      </w:r>
      <w:r w:rsidRPr="003C396A">
        <w:rPr>
          <w:szCs w:val="22"/>
        </w:rPr>
        <w:t xml:space="preserve"> </w:t>
      </w:r>
      <w:r w:rsidRPr="003C396A">
        <w:rPr>
          <w:szCs w:val="22"/>
          <w:lang w:val="en-US"/>
        </w:rPr>
        <w:t xml:space="preserve">Naftali S. Cohn, </w:t>
      </w:r>
      <w:r w:rsidRPr="003C396A">
        <w:rPr>
          <w:i/>
          <w:iCs/>
          <w:szCs w:val="22"/>
          <w:lang w:val="en-US"/>
        </w:rPr>
        <w:t>The Memory of the Temple and the Making of the Rabbis</w:t>
      </w:r>
      <w:r w:rsidRPr="003C396A">
        <w:rPr>
          <w:szCs w:val="22"/>
          <w:lang w:val="en-US"/>
        </w:rPr>
        <w:t xml:space="preserve"> (Philadelphia: University of Pennsylvania Press, 2013), 73–89.</w:t>
      </w:r>
    </w:p>
  </w:footnote>
  <w:footnote w:id="41">
    <w:p w14:paraId="4DF60F7D" w14:textId="6C929B6B" w:rsidR="0071457A" w:rsidRPr="003C396A" w:rsidRDefault="0071457A" w:rsidP="00C52FE7">
      <w:pPr>
        <w:pStyle w:val="Footnotes"/>
        <w:rPr>
          <w:szCs w:val="22"/>
          <w:lang w:val="en-US"/>
        </w:rPr>
      </w:pPr>
      <w:r w:rsidRPr="003C396A">
        <w:rPr>
          <w:rStyle w:val="FootnoteReference"/>
          <w:szCs w:val="22"/>
        </w:rPr>
        <w:footnoteRef/>
      </w:r>
      <w:r w:rsidRPr="003C396A">
        <w:rPr>
          <w:szCs w:val="22"/>
        </w:rPr>
        <w:t xml:space="preserve"> The relation of the post-Temple to Temple liturgy was </w:t>
      </w:r>
      <w:r w:rsidR="00232FE8" w:rsidRPr="003C396A">
        <w:rPr>
          <w:szCs w:val="22"/>
        </w:rPr>
        <w:t xml:space="preserve">widely </w:t>
      </w:r>
      <w:r w:rsidRPr="003C396A">
        <w:rPr>
          <w:szCs w:val="22"/>
        </w:rPr>
        <w:t xml:space="preserve">debated. </w:t>
      </w:r>
      <w:r w:rsidR="00534EB4" w:rsidRPr="003C396A">
        <w:rPr>
          <w:szCs w:val="22"/>
        </w:rPr>
        <w:t xml:space="preserve">Ezra Fleischer considered that after the Temple’s destruction, Jewish liturgy </w:t>
      </w:r>
      <w:r w:rsidR="00C52FE7" w:rsidRPr="003C396A">
        <w:rPr>
          <w:szCs w:val="22"/>
        </w:rPr>
        <w:t xml:space="preserve">abruptly </w:t>
      </w:r>
      <w:r w:rsidR="00534EB4" w:rsidRPr="003C396A">
        <w:rPr>
          <w:szCs w:val="22"/>
        </w:rPr>
        <w:t xml:space="preserve">discontinued the old rite, see his “The Beginnings of Obligatory Jewish Prayer,” </w:t>
      </w:r>
      <w:proofErr w:type="spellStart"/>
      <w:r w:rsidR="00534EB4" w:rsidRPr="003C396A">
        <w:rPr>
          <w:i/>
          <w:iCs/>
          <w:szCs w:val="22"/>
        </w:rPr>
        <w:t>Tarbiz</w:t>
      </w:r>
      <w:proofErr w:type="spellEnd"/>
      <w:r w:rsidR="00534EB4" w:rsidRPr="003C396A">
        <w:rPr>
          <w:szCs w:val="22"/>
        </w:rPr>
        <w:t xml:space="preserve"> 59 (1990): 397–</w:t>
      </w:r>
      <w:r w:rsidR="0027614F" w:rsidRPr="003C396A">
        <w:rPr>
          <w:szCs w:val="22"/>
        </w:rPr>
        <w:t xml:space="preserve">441 [Hebrew]. </w:t>
      </w:r>
      <w:r w:rsidR="00232FE8" w:rsidRPr="003C396A">
        <w:rPr>
          <w:szCs w:val="22"/>
        </w:rPr>
        <w:t xml:space="preserve">Others maintained the theory of </w:t>
      </w:r>
      <w:r w:rsidR="00C52FE7" w:rsidRPr="003C396A">
        <w:rPr>
          <w:szCs w:val="22"/>
        </w:rPr>
        <w:t>a gradual evolution</w:t>
      </w:r>
      <w:r w:rsidR="00232FE8" w:rsidRPr="003C396A">
        <w:rPr>
          <w:szCs w:val="22"/>
        </w:rPr>
        <w:t xml:space="preserve">; for example, </w:t>
      </w:r>
      <w:r w:rsidR="00C52FE7" w:rsidRPr="003C396A">
        <w:rPr>
          <w:szCs w:val="22"/>
        </w:rPr>
        <w:t xml:space="preserve">see </w:t>
      </w:r>
      <w:r w:rsidR="00232FE8" w:rsidRPr="003C396A">
        <w:rPr>
          <w:szCs w:val="22"/>
        </w:rPr>
        <w:t xml:space="preserve">Esther G. </w:t>
      </w:r>
      <w:proofErr w:type="spellStart"/>
      <w:r w:rsidR="00232FE8" w:rsidRPr="003C396A">
        <w:rPr>
          <w:szCs w:val="22"/>
        </w:rPr>
        <w:t>Chazon</w:t>
      </w:r>
      <w:proofErr w:type="spellEnd"/>
      <w:r w:rsidR="00232FE8" w:rsidRPr="003C396A">
        <w:rPr>
          <w:szCs w:val="22"/>
        </w:rPr>
        <w:t xml:space="preserve">, </w:t>
      </w:r>
      <w:r w:rsidR="00C52FE7" w:rsidRPr="003C396A">
        <w:rPr>
          <w:szCs w:val="22"/>
        </w:rPr>
        <w:t xml:space="preserve">“Liturgy Before and After the Temple’s Destruction: Change or Continuity?” in </w:t>
      </w:r>
      <w:r w:rsidR="00C52FE7" w:rsidRPr="003C396A">
        <w:rPr>
          <w:i/>
          <w:iCs/>
          <w:szCs w:val="22"/>
        </w:rPr>
        <w:t>Was 70 CE a Watershed in Jewish History?</w:t>
      </w:r>
      <w:r w:rsidR="00C52FE7" w:rsidRPr="003C396A">
        <w:rPr>
          <w:szCs w:val="22"/>
        </w:rPr>
        <w:t xml:space="preserve"> eds. Daniel R. Schwartz and </w:t>
      </w:r>
      <w:proofErr w:type="spellStart"/>
      <w:r w:rsidR="00C52FE7" w:rsidRPr="003C396A">
        <w:rPr>
          <w:szCs w:val="22"/>
        </w:rPr>
        <w:t>Zeev</w:t>
      </w:r>
      <w:proofErr w:type="spellEnd"/>
      <w:r w:rsidR="00C52FE7" w:rsidRPr="003C396A">
        <w:rPr>
          <w:szCs w:val="22"/>
        </w:rPr>
        <w:t xml:space="preserve"> Weiss (Leiden: Brill, 2012)</w:t>
      </w:r>
      <w:r w:rsidR="0070233B" w:rsidRPr="003C396A">
        <w:rPr>
          <w:szCs w:val="22"/>
        </w:rPr>
        <w:t>, 371–92</w:t>
      </w:r>
      <w:r w:rsidR="00232FE8" w:rsidRPr="003C396A">
        <w:rPr>
          <w:szCs w:val="22"/>
        </w:rPr>
        <w:t>;</w:t>
      </w:r>
      <w:r w:rsidRPr="003C396A">
        <w:rPr>
          <w:szCs w:val="22"/>
        </w:rPr>
        <w:t xml:space="preserve"> </w:t>
      </w:r>
      <w:proofErr w:type="spellStart"/>
      <w:r w:rsidR="00232FE8" w:rsidRPr="003C396A">
        <w:rPr>
          <w:szCs w:val="22"/>
        </w:rPr>
        <w:t>Eyal</w:t>
      </w:r>
      <w:proofErr w:type="spellEnd"/>
      <w:r w:rsidR="00232FE8" w:rsidRPr="003C396A">
        <w:rPr>
          <w:szCs w:val="22"/>
        </w:rPr>
        <w:t xml:space="preserve"> Regev, “Temple Prayer as the Origin of the Fixed Prayer: On the Evolution of Prayer during the Period of the Second Temple,” </w:t>
      </w:r>
      <w:r w:rsidR="00232FE8" w:rsidRPr="003C396A">
        <w:rPr>
          <w:i/>
          <w:iCs/>
          <w:szCs w:val="22"/>
        </w:rPr>
        <w:t xml:space="preserve">Zion </w:t>
      </w:r>
      <w:r w:rsidR="00232FE8" w:rsidRPr="003C396A">
        <w:rPr>
          <w:szCs w:val="22"/>
        </w:rPr>
        <w:t>70, 1 (2005): 1–25 [Hebrew].</w:t>
      </w:r>
    </w:p>
  </w:footnote>
  <w:footnote w:id="42">
    <w:p w14:paraId="1CFE5E62" w14:textId="5EAB0E46" w:rsidR="002317FC" w:rsidRPr="003C396A" w:rsidRDefault="002317FC" w:rsidP="002317FC">
      <w:pPr>
        <w:pStyle w:val="Footnotes"/>
        <w:rPr>
          <w:szCs w:val="22"/>
          <w:lang w:val="en-US"/>
        </w:rPr>
      </w:pPr>
      <w:r w:rsidRPr="003C396A">
        <w:rPr>
          <w:rStyle w:val="FootnoteReference"/>
          <w:szCs w:val="22"/>
        </w:rPr>
        <w:footnoteRef/>
      </w:r>
      <w:r w:rsidRPr="003C396A">
        <w:rPr>
          <w:szCs w:val="22"/>
        </w:rPr>
        <w:t xml:space="preserve"> Levine, </w:t>
      </w:r>
      <w:bookmarkStart w:id="50" w:name="_Hlk96861253"/>
      <w:r w:rsidRPr="003C396A">
        <w:rPr>
          <w:i/>
          <w:iCs/>
          <w:szCs w:val="22"/>
        </w:rPr>
        <w:t>The Ancient Synagogue</w:t>
      </w:r>
      <w:bookmarkEnd w:id="50"/>
      <w:r w:rsidRPr="003C396A">
        <w:rPr>
          <w:szCs w:val="22"/>
        </w:rPr>
        <w:t>, 526–27.</w:t>
      </w:r>
    </w:p>
  </w:footnote>
  <w:footnote w:id="43">
    <w:p w14:paraId="22D73F60" w14:textId="5436A705" w:rsidR="00751BCD" w:rsidRPr="003C396A" w:rsidRDefault="00751BCD" w:rsidP="00751BCD">
      <w:pPr>
        <w:pStyle w:val="Footnotes"/>
        <w:rPr>
          <w:szCs w:val="22"/>
          <w:lang w:val="en-US"/>
        </w:rPr>
      </w:pPr>
      <w:r w:rsidRPr="003C396A">
        <w:rPr>
          <w:rStyle w:val="FootnoteReference"/>
          <w:szCs w:val="22"/>
        </w:rPr>
        <w:footnoteRef/>
      </w:r>
      <w:r w:rsidRPr="003C396A">
        <w:rPr>
          <w:szCs w:val="22"/>
        </w:rPr>
        <w:t xml:space="preserve"> Levine, </w:t>
      </w:r>
      <w:r w:rsidRPr="003C396A">
        <w:rPr>
          <w:i/>
          <w:iCs/>
          <w:szCs w:val="22"/>
        </w:rPr>
        <w:t>The Ancient Synagogue</w:t>
      </w:r>
      <w:r w:rsidRPr="003C396A">
        <w:rPr>
          <w:szCs w:val="22"/>
        </w:rPr>
        <w:t xml:space="preserve">, 526–27. See also Goodman, </w:t>
      </w:r>
      <w:r w:rsidRPr="003C396A">
        <w:rPr>
          <w:i/>
          <w:iCs/>
          <w:szCs w:val="22"/>
        </w:rPr>
        <w:t>Judaism in the Roman World</w:t>
      </w:r>
      <w:r w:rsidRPr="003C396A">
        <w:rPr>
          <w:szCs w:val="22"/>
        </w:rPr>
        <w:t>, 223</w:t>
      </w:r>
      <w:r w:rsidR="005C1584" w:rsidRPr="003C396A">
        <w:rPr>
          <w:szCs w:val="22"/>
        </w:rPr>
        <w:t xml:space="preserve">; Branham, </w:t>
      </w:r>
      <w:r w:rsidR="009D2C64" w:rsidRPr="003C396A">
        <w:rPr>
          <w:szCs w:val="22"/>
        </w:rPr>
        <w:t xml:space="preserve">“Vicarious </w:t>
      </w:r>
      <w:proofErr w:type="spellStart"/>
      <w:r w:rsidR="009D2C64" w:rsidRPr="003C396A">
        <w:rPr>
          <w:szCs w:val="22"/>
        </w:rPr>
        <w:t>Sacrality</w:t>
      </w:r>
      <w:proofErr w:type="spellEnd"/>
      <w:r w:rsidR="009D2C64" w:rsidRPr="003C396A">
        <w:rPr>
          <w:szCs w:val="22"/>
        </w:rPr>
        <w:t xml:space="preserve">,” 325–26; </w:t>
      </w:r>
      <w:proofErr w:type="spellStart"/>
      <w:r w:rsidR="009D2C64" w:rsidRPr="003C396A">
        <w:rPr>
          <w:szCs w:val="22"/>
        </w:rPr>
        <w:t>eadem</w:t>
      </w:r>
      <w:proofErr w:type="spellEnd"/>
      <w:r w:rsidR="009D2C64" w:rsidRPr="003C396A">
        <w:rPr>
          <w:szCs w:val="22"/>
        </w:rPr>
        <w:t xml:space="preserve">, </w:t>
      </w:r>
      <w:r w:rsidR="005C1584" w:rsidRPr="003C396A">
        <w:rPr>
          <w:szCs w:val="22"/>
        </w:rPr>
        <w:t>“Sacred Space under Erasure,” 391</w:t>
      </w:r>
      <w:r w:rsidR="009D2C64" w:rsidRPr="003C396A">
        <w:rPr>
          <w:szCs w:val="22"/>
        </w:rPr>
        <w:t>.</w:t>
      </w:r>
      <w:r w:rsidR="005C1584" w:rsidRPr="003C396A">
        <w:rPr>
          <w:szCs w:val="22"/>
        </w:rPr>
        <w:t xml:space="preserve"> </w:t>
      </w:r>
    </w:p>
  </w:footnote>
  <w:footnote w:id="44">
    <w:p w14:paraId="5E106AE7" w14:textId="34A3BF2E" w:rsidR="004444EA" w:rsidRPr="003C396A" w:rsidRDefault="004444EA" w:rsidP="004444EA">
      <w:pPr>
        <w:pStyle w:val="Footnotes"/>
        <w:rPr>
          <w:szCs w:val="22"/>
          <w:lang w:val="en-US"/>
        </w:rPr>
      </w:pPr>
      <w:r w:rsidRPr="003C396A">
        <w:rPr>
          <w:rStyle w:val="FootnoteReference"/>
          <w:szCs w:val="22"/>
        </w:rPr>
        <w:footnoteRef/>
      </w:r>
      <w:r w:rsidRPr="003C396A">
        <w:rPr>
          <w:szCs w:val="22"/>
        </w:rPr>
        <w:t xml:space="preserve"> Susan Haber, </w:t>
      </w:r>
      <w:r w:rsidRPr="003C396A">
        <w:rPr>
          <w:i/>
          <w:iCs/>
          <w:szCs w:val="22"/>
        </w:rPr>
        <w:t>“They Shall Purify Themselves:” Essays on Purity in Early Judaism</w:t>
      </w:r>
      <w:r w:rsidRPr="003C396A">
        <w:rPr>
          <w:szCs w:val="22"/>
        </w:rPr>
        <w:t xml:space="preserve"> (Atlanta: Society of Biblical Literature 2008), 163–64</w:t>
      </w:r>
      <w:r w:rsidR="001B3971" w:rsidRPr="003C396A">
        <w:rPr>
          <w:szCs w:val="22"/>
        </w:rPr>
        <w:t>, 172–75</w:t>
      </w:r>
      <w:r w:rsidRPr="003C396A">
        <w:rPr>
          <w:szCs w:val="22"/>
        </w:rPr>
        <w:t>.</w:t>
      </w:r>
    </w:p>
  </w:footnote>
  <w:footnote w:id="45">
    <w:p w14:paraId="67862C83" w14:textId="15DFD4E2" w:rsidR="00C62BA2" w:rsidRPr="003C396A" w:rsidRDefault="00C62BA2" w:rsidP="008F2345">
      <w:pPr>
        <w:pStyle w:val="Footnotes"/>
        <w:spacing w:before="240"/>
        <w:rPr>
          <w:szCs w:val="22"/>
          <w:lang w:val="en-US"/>
        </w:rPr>
      </w:pPr>
      <w:r w:rsidRPr="003C396A">
        <w:rPr>
          <w:rStyle w:val="FootnoteReference"/>
          <w:szCs w:val="22"/>
        </w:rPr>
        <w:footnoteRef/>
      </w:r>
      <w:r w:rsidRPr="003C396A">
        <w:rPr>
          <w:szCs w:val="22"/>
        </w:rPr>
        <w:t xml:space="preserve"> Here is a selection of these contributions: Michael D. Swartz, “The Topography of Blood in Mishnah Yoma,” in </w:t>
      </w:r>
      <w:r w:rsidRPr="003C396A">
        <w:rPr>
          <w:i/>
          <w:iCs/>
          <w:szCs w:val="22"/>
        </w:rPr>
        <w:t>Jewish Blood: Metaphor and Reality in Jewish History, Culture, and Religion</w:t>
      </w:r>
      <w:r w:rsidRPr="003C396A">
        <w:rPr>
          <w:szCs w:val="22"/>
        </w:rPr>
        <w:t xml:space="preserve">, ed. Mitchell B. Hart; London; Routledge, 2009), 70–82; </w:t>
      </w:r>
      <w:bookmarkStart w:id="52" w:name="_Hlk97280311"/>
      <w:bookmarkStart w:id="53" w:name="_Hlk97052951"/>
      <w:r w:rsidR="008F2345" w:rsidRPr="003C396A">
        <w:rPr>
          <w:szCs w:val="22"/>
        </w:rPr>
        <w:t xml:space="preserve">Haber, </w:t>
      </w:r>
      <w:r w:rsidR="008F2345" w:rsidRPr="003C396A">
        <w:rPr>
          <w:i/>
          <w:iCs/>
          <w:szCs w:val="22"/>
        </w:rPr>
        <w:t>“They Shall Purify Themselves</w:t>
      </w:r>
      <w:r w:rsidR="004444EA" w:rsidRPr="003C396A">
        <w:rPr>
          <w:i/>
          <w:iCs/>
          <w:szCs w:val="22"/>
        </w:rPr>
        <w:t>,</w:t>
      </w:r>
      <w:r w:rsidR="008F2345" w:rsidRPr="003C396A">
        <w:rPr>
          <w:i/>
          <w:iCs/>
          <w:szCs w:val="22"/>
        </w:rPr>
        <w:t>”</w:t>
      </w:r>
      <w:r w:rsidR="008F2345" w:rsidRPr="003C396A">
        <w:rPr>
          <w:szCs w:val="22"/>
        </w:rPr>
        <w:t xml:space="preserve"> 9–71, 161–</w:t>
      </w:r>
      <w:bookmarkEnd w:id="52"/>
      <w:r w:rsidR="001B3971" w:rsidRPr="003C396A">
        <w:rPr>
          <w:szCs w:val="22"/>
        </w:rPr>
        <w:t>79</w:t>
      </w:r>
      <w:r w:rsidR="008F2345" w:rsidRPr="003C396A">
        <w:rPr>
          <w:szCs w:val="22"/>
        </w:rPr>
        <w:t xml:space="preserve">; </w:t>
      </w:r>
      <w:bookmarkEnd w:id="53"/>
      <w:r w:rsidRPr="003C396A">
        <w:rPr>
          <w:szCs w:val="22"/>
        </w:rPr>
        <w:t xml:space="preserve">Michael </w:t>
      </w:r>
      <w:proofErr w:type="spellStart"/>
      <w:r w:rsidRPr="003C396A">
        <w:rPr>
          <w:szCs w:val="22"/>
        </w:rPr>
        <w:t>Fishbane</w:t>
      </w:r>
      <w:proofErr w:type="spellEnd"/>
      <w:r w:rsidRPr="003C396A">
        <w:rPr>
          <w:szCs w:val="22"/>
        </w:rPr>
        <w:t xml:space="preserve">, </w:t>
      </w:r>
      <w:r w:rsidRPr="003C396A">
        <w:rPr>
          <w:i/>
          <w:iCs/>
          <w:szCs w:val="22"/>
        </w:rPr>
        <w:t>The Exegetical Imagination: On Jewish Thought and Theology</w:t>
      </w:r>
      <w:r w:rsidRPr="003C396A">
        <w:rPr>
          <w:szCs w:val="22"/>
        </w:rPr>
        <w:t xml:space="preserve"> (Cambridge: Harvard University Press, 1998), 123–219; Jacob </w:t>
      </w:r>
      <w:proofErr w:type="spellStart"/>
      <w:r w:rsidRPr="003C396A">
        <w:rPr>
          <w:szCs w:val="22"/>
        </w:rPr>
        <w:t>Neusner</w:t>
      </w:r>
      <w:proofErr w:type="spellEnd"/>
      <w:r w:rsidRPr="003C396A">
        <w:rPr>
          <w:szCs w:val="22"/>
        </w:rPr>
        <w:t xml:space="preserve">, “Map Without Territory: Mishnah’s System of Sacrifice and Sanctuary,” </w:t>
      </w:r>
      <w:r w:rsidRPr="003C396A">
        <w:rPr>
          <w:i/>
          <w:iCs/>
          <w:szCs w:val="22"/>
        </w:rPr>
        <w:t>History of Religions</w:t>
      </w:r>
      <w:r w:rsidRPr="003C396A">
        <w:rPr>
          <w:szCs w:val="22"/>
        </w:rPr>
        <w:t xml:space="preserve"> 19, 2 (1979): 103–27; Naftali Goldstein, “Sacrifice and Worship of God in Rabbinic Thought after the Destruction of the Temple,” </w:t>
      </w:r>
      <w:proofErr w:type="spellStart"/>
      <w:r w:rsidRPr="003C396A">
        <w:rPr>
          <w:i/>
          <w:iCs/>
          <w:szCs w:val="22"/>
        </w:rPr>
        <w:t>Daat</w:t>
      </w:r>
      <w:proofErr w:type="spellEnd"/>
      <w:r w:rsidRPr="003C396A">
        <w:rPr>
          <w:szCs w:val="22"/>
        </w:rPr>
        <w:t xml:space="preserve"> 8 (1982): 29–51 </w:t>
      </w:r>
      <w:r w:rsidR="00444194" w:rsidRPr="003C396A">
        <w:rPr>
          <w:szCs w:val="22"/>
        </w:rPr>
        <w:t>[</w:t>
      </w:r>
      <w:r w:rsidRPr="003C396A">
        <w:rPr>
          <w:szCs w:val="22"/>
        </w:rPr>
        <w:t>Hebrew</w:t>
      </w:r>
      <w:r w:rsidR="00444194" w:rsidRPr="003C396A">
        <w:rPr>
          <w:szCs w:val="22"/>
        </w:rPr>
        <w:t>]</w:t>
      </w:r>
      <w:r w:rsidRPr="003C396A">
        <w:rPr>
          <w:szCs w:val="22"/>
        </w:rPr>
        <w:t>.</w:t>
      </w:r>
    </w:p>
  </w:footnote>
  <w:footnote w:id="46">
    <w:p w14:paraId="33EFF816" w14:textId="6129D35F" w:rsidR="003D1D22" w:rsidRPr="003C396A" w:rsidRDefault="003D1D22" w:rsidP="003D1D22">
      <w:pPr>
        <w:pStyle w:val="Footnotes"/>
        <w:rPr>
          <w:szCs w:val="22"/>
          <w:lang w:val="en-US"/>
        </w:rPr>
      </w:pPr>
      <w:r w:rsidRPr="003C396A">
        <w:rPr>
          <w:rStyle w:val="FootnoteReference"/>
          <w:szCs w:val="22"/>
        </w:rPr>
        <w:footnoteRef/>
      </w:r>
      <w:r w:rsidRPr="003C396A">
        <w:rPr>
          <w:szCs w:val="22"/>
        </w:rPr>
        <w:t xml:space="preserve"> </w:t>
      </w:r>
      <w:bookmarkStart w:id="54" w:name="_Hlk96869123"/>
      <w:r w:rsidRPr="003C396A">
        <w:rPr>
          <w:szCs w:val="22"/>
        </w:rPr>
        <w:t xml:space="preserve">Michael D. </w:t>
      </w:r>
      <w:bookmarkStart w:id="55" w:name="_Hlk96872038"/>
      <w:r w:rsidRPr="003C396A">
        <w:rPr>
          <w:szCs w:val="22"/>
        </w:rPr>
        <w:t xml:space="preserve">Swartz, </w:t>
      </w:r>
      <w:bookmarkEnd w:id="54"/>
      <w:r w:rsidRPr="003C396A">
        <w:rPr>
          <w:szCs w:val="22"/>
        </w:rPr>
        <w:t xml:space="preserve">“Liturgy, Poetry, and the Persistence of Sacrifice,” </w:t>
      </w:r>
      <w:bookmarkEnd w:id="55"/>
      <w:r w:rsidRPr="003C396A">
        <w:rPr>
          <w:szCs w:val="22"/>
        </w:rPr>
        <w:t xml:space="preserve">in </w:t>
      </w:r>
      <w:r w:rsidRPr="003C396A">
        <w:rPr>
          <w:i/>
          <w:iCs/>
          <w:szCs w:val="22"/>
        </w:rPr>
        <w:t>Was 70 CE a Watershed in Jewish History?</w:t>
      </w:r>
      <w:r w:rsidRPr="003C396A">
        <w:rPr>
          <w:szCs w:val="22"/>
        </w:rPr>
        <w:t xml:space="preserve"> 393–412</w:t>
      </w:r>
    </w:p>
  </w:footnote>
  <w:footnote w:id="47">
    <w:p w14:paraId="2541EBC2" w14:textId="1EB7F049" w:rsidR="0033269E" w:rsidRPr="003C396A" w:rsidRDefault="0033269E" w:rsidP="00583C42">
      <w:pPr>
        <w:pStyle w:val="Footnotes"/>
        <w:rPr>
          <w:szCs w:val="22"/>
        </w:rPr>
      </w:pPr>
      <w:r w:rsidRPr="003C396A">
        <w:rPr>
          <w:rStyle w:val="FootnoteReference"/>
          <w:szCs w:val="22"/>
        </w:rPr>
        <w:footnoteRef/>
      </w:r>
      <w:r w:rsidRPr="003C396A">
        <w:rPr>
          <w:szCs w:val="22"/>
        </w:rPr>
        <w:t xml:space="preserve"> </w:t>
      </w:r>
      <w:bookmarkStart w:id="56" w:name="_Hlk96503493"/>
      <w:r w:rsidR="007765C4" w:rsidRPr="003C396A">
        <w:rPr>
          <w:szCs w:val="22"/>
        </w:rPr>
        <w:t xml:space="preserve">Levine, </w:t>
      </w:r>
      <w:r w:rsidR="007765C4" w:rsidRPr="003C396A">
        <w:rPr>
          <w:i/>
          <w:iCs/>
          <w:szCs w:val="22"/>
        </w:rPr>
        <w:t>The Ancient Synagogue</w:t>
      </w:r>
      <w:r w:rsidR="007765C4" w:rsidRPr="003C396A">
        <w:rPr>
          <w:szCs w:val="22"/>
        </w:rPr>
        <w:t>, 240, 302–305</w:t>
      </w:r>
      <w:r w:rsidR="005C2C8A" w:rsidRPr="003C396A">
        <w:rPr>
          <w:szCs w:val="22"/>
        </w:rPr>
        <w:t>, 344</w:t>
      </w:r>
      <w:bookmarkEnd w:id="56"/>
      <w:r w:rsidR="007765C4" w:rsidRPr="003C396A">
        <w:rPr>
          <w:szCs w:val="22"/>
        </w:rPr>
        <w:t xml:space="preserve">; </w:t>
      </w:r>
      <w:r w:rsidR="00EA7534" w:rsidRPr="003C396A">
        <w:rPr>
          <w:szCs w:val="22"/>
        </w:rPr>
        <w:t xml:space="preserve">Fine, </w:t>
      </w:r>
      <w:r w:rsidR="00EA7534" w:rsidRPr="003C396A">
        <w:rPr>
          <w:i/>
          <w:iCs/>
          <w:szCs w:val="22"/>
        </w:rPr>
        <w:t>This Holy Place</w:t>
      </w:r>
      <w:r w:rsidR="00EA7534" w:rsidRPr="003C396A">
        <w:rPr>
          <w:szCs w:val="22"/>
        </w:rPr>
        <w:t xml:space="preserve">, 10–23, 32, 48, 62, 83; </w:t>
      </w:r>
      <w:r w:rsidR="00684FD7" w:rsidRPr="003C396A">
        <w:rPr>
          <w:szCs w:val="22"/>
        </w:rPr>
        <w:t xml:space="preserve">Lightstone, </w:t>
      </w:r>
      <w:r w:rsidR="00684FD7" w:rsidRPr="003C396A">
        <w:rPr>
          <w:i/>
          <w:iCs/>
          <w:szCs w:val="22"/>
        </w:rPr>
        <w:t>The Commerce of the Sacred</w:t>
      </w:r>
      <w:r w:rsidR="00684FD7" w:rsidRPr="003C396A">
        <w:rPr>
          <w:szCs w:val="22"/>
        </w:rPr>
        <w:t xml:space="preserve">, 85; </w:t>
      </w:r>
      <w:r w:rsidRPr="003C396A">
        <w:rPr>
          <w:szCs w:val="22"/>
        </w:rPr>
        <w:t xml:space="preserve">Branham, “Vicarious </w:t>
      </w:r>
      <w:proofErr w:type="spellStart"/>
      <w:r w:rsidRPr="003C396A">
        <w:rPr>
          <w:szCs w:val="22"/>
        </w:rPr>
        <w:t>Sacrality</w:t>
      </w:r>
      <w:proofErr w:type="spellEnd"/>
      <w:r w:rsidRPr="003C396A">
        <w:rPr>
          <w:szCs w:val="22"/>
        </w:rPr>
        <w:t>,” 336</w:t>
      </w:r>
      <w:r w:rsidR="00E54753" w:rsidRPr="003C396A">
        <w:rPr>
          <w:szCs w:val="22"/>
        </w:rPr>
        <w:t xml:space="preserve">; </w:t>
      </w:r>
      <w:proofErr w:type="spellStart"/>
      <w:r w:rsidR="005C1584" w:rsidRPr="003C396A">
        <w:rPr>
          <w:szCs w:val="22"/>
        </w:rPr>
        <w:t>eadem</w:t>
      </w:r>
      <w:proofErr w:type="spellEnd"/>
      <w:r w:rsidR="005C1584" w:rsidRPr="003C396A">
        <w:rPr>
          <w:szCs w:val="22"/>
        </w:rPr>
        <w:t>, “Sacred Space under Erasure,” 39</w:t>
      </w:r>
      <w:r w:rsidR="009D2C64" w:rsidRPr="003C396A">
        <w:rPr>
          <w:szCs w:val="22"/>
        </w:rPr>
        <w:t xml:space="preserve">2; </w:t>
      </w:r>
      <w:proofErr w:type="spellStart"/>
      <w:r w:rsidR="00E54753" w:rsidRPr="003C396A">
        <w:rPr>
          <w:szCs w:val="22"/>
        </w:rPr>
        <w:t>Rendsburg</w:t>
      </w:r>
      <w:proofErr w:type="spellEnd"/>
      <w:r w:rsidR="00E54753" w:rsidRPr="003C396A">
        <w:rPr>
          <w:szCs w:val="22"/>
        </w:rPr>
        <w:t xml:space="preserve">, “Sacred Space in Judaism after the Temple,” 19; </w:t>
      </w:r>
      <w:r w:rsidR="00583C42" w:rsidRPr="003C396A">
        <w:rPr>
          <w:szCs w:val="22"/>
        </w:rPr>
        <w:t xml:space="preserve">David Amit and Yonatan Adler, “The Observance of Ritual Purity after 70 C.E. A </w:t>
      </w:r>
      <w:proofErr w:type="spellStart"/>
      <w:r w:rsidR="00583C42" w:rsidRPr="003C396A">
        <w:rPr>
          <w:szCs w:val="22"/>
        </w:rPr>
        <w:t>Reevaluation</w:t>
      </w:r>
      <w:proofErr w:type="spellEnd"/>
      <w:r w:rsidR="00583C42" w:rsidRPr="003C396A">
        <w:rPr>
          <w:szCs w:val="22"/>
        </w:rPr>
        <w:t xml:space="preserve"> of the Evidence in Light of Recent Archaeological Discoveries” and Jodi </w:t>
      </w:r>
      <w:r w:rsidRPr="003C396A">
        <w:rPr>
          <w:szCs w:val="22"/>
        </w:rPr>
        <w:t xml:space="preserve">Magness, “Priests and Purity in the Dura-Europos Synagogue” </w:t>
      </w:r>
      <w:r w:rsidR="00583C42" w:rsidRPr="003C396A">
        <w:rPr>
          <w:szCs w:val="22"/>
        </w:rPr>
        <w:t xml:space="preserve">in </w:t>
      </w:r>
      <w:r w:rsidR="00583C42" w:rsidRPr="003C396A">
        <w:rPr>
          <w:i/>
          <w:iCs/>
          <w:szCs w:val="22"/>
        </w:rPr>
        <w:t xml:space="preserve">Follow the Wise: Studies in Jewish History and Culture in </w:t>
      </w:r>
      <w:proofErr w:type="spellStart"/>
      <w:r w:rsidR="00583C42" w:rsidRPr="003C396A">
        <w:rPr>
          <w:i/>
          <w:iCs/>
          <w:szCs w:val="22"/>
        </w:rPr>
        <w:t>Honor</w:t>
      </w:r>
      <w:proofErr w:type="spellEnd"/>
      <w:r w:rsidR="00583C42" w:rsidRPr="003C396A">
        <w:rPr>
          <w:i/>
          <w:iCs/>
          <w:szCs w:val="22"/>
        </w:rPr>
        <w:t xml:space="preserve"> of Lee I. Levine</w:t>
      </w:r>
      <w:r w:rsidR="00583C42" w:rsidRPr="003C396A">
        <w:rPr>
          <w:szCs w:val="22"/>
        </w:rPr>
        <w:t xml:space="preserve">, eds. Seth Schwartz, Jodi Magness, Oded </w:t>
      </w:r>
      <w:proofErr w:type="spellStart"/>
      <w:r w:rsidR="00583C42" w:rsidRPr="003C396A">
        <w:rPr>
          <w:szCs w:val="22"/>
        </w:rPr>
        <w:t>Irshai</w:t>
      </w:r>
      <w:proofErr w:type="spellEnd"/>
      <w:r w:rsidR="00583C42" w:rsidRPr="003C396A">
        <w:rPr>
          <w:szCs w:val="22"/>
        </w:rPr>
        <w:t xml:space="preserve">, and </w:t>
      </w:r>
      <w:proofErr w:type="spellStart"/>
      <w:r w:rsidR="00583C42" w:rsidRPr="003C396A">
        <w:rPr>
          <w:szCs w:val="22"/>
        </w:rPr>
        <w:t>Zeev</w:t>
      </w:r>
      <w:proofErr w:type="spellEnd"/>
      <w:r w:rsidR="00583C42" w:rsidRPr="003C396A">
        <w:rPr>
          <w:szCs w:val="22"/>
        </w:rPr>
        <w:t xml:space="preserve"> Weiss (University Park: Penn State University Press, 2010), 121–44, </w:t>
      </w:r>
      <w:r w:rsidRPr="003C396A">
        <w:rPr>
          <w:szCs w:val="22"/>
        </w:rPr>
        <w:t>421–3</w:t>
      </w:r>
      <w:r w:rsidR="00583C42" w:rsidRPr="003C396A">
        <w:rPr>
          <w:szCs w:val="22"/>
        </w:rPr>
        <w:t>4 (respectively)</w:t>
      </w:r>
      <w:r w:rsidR="00EE6E2A" w:rsidRPr="003C396A">
        <w:rPr>
          <w:szCs w:val="22"/>
        </w:rPr>
        <w:t>;</w:t>
      </w:r>
      <w:r w:rsidR="00FF67D8" w:rsidRPr="003C396A">
        <w:rPr>
          <w:szCs w:val="22"/>
        </w:rPr>
        <w:t xml:space="preserve"> </w:t>
      </w:r>
      <w:r w:rsidR="00EE6E2A" w:rsidRPr="003C396A">
        <w:rPr>
          <w:szCs w:val="22"/>
        </w:rPr>
        <w:t xml:space="preserve">Shaye J. D. Cohen, “Purity and Piety: The Separation of Menstruants from the Sancta,” in </w:t>
      </w:r>
      <w:r w:rsidR="00EE6E2A" w:rsidRPr="003C396A">
        <w:rPr>
          <w:i/>
          <w:iCs/>
          <w:szCs w:val="22"/>
        </w:rPr>
        <w:t>Daughters of the King</w:t>
      </w:r>
      <w:r w:rsidR="00EE6E2A" w:rsidRPr="003C396A">
        <w:rPr>
          <w:szCs w:val="22"/>
        </w:rPr>
        <w:t>, eds. Susan Grossman and Rivka Haut, (Philadelphia: Jewish Publication Society, 1992), 103–15.</w:t>
      </w:r>
    </w:p>
    <w:p w14:paraId="16DD4F7B" w14:textId="51037F9F" w:rsidR="005E3DDC" w:rsidRPr="003C396A" w:rsidRDefault="005E3DDC" w:rsidP="00583C42">
      <w:pPr>
        <w:pStyle w:val="Footnotes"/>
        <w:rPr>
          <w:szCs w:val="22"/>
          <w:lang w:val="en-US"/>
        </w:rPr>
      </w:pPr>
      <w:r w:rsidRPr="003C396A">
        <w:rPr>
          <w:szCs w:val="22"/>
        </w:rPr>
        <w:t xml:space="preserve">On ritual purity, see Jacob </w:t>
      </w:r>
      <w:proofErr w:type="spellStart"/>
      <w:r w:rsidRPr="003C396A">
        <w:rPr>
          <w:szCs w:val="22"/>
        </w:rPr>
        <w:t>Neusner</w:t>
      </w:r>
      <w:proofErr w:type="spellEnd"/>
      <w:r w:rsidRPr="003C396A">
        <w:rPr>
          <w:szCs w:val="22"/>
        </w:rPr>
        <w:t xml:space="preserve">, </w:t>
      </w:r>
      <w:r w:rsidRPr="003C396A">
        <w:rPr>
          <w:i/>
          <w:iCs/>
          <w:szCs w:val="22"/>
        </w:rPr>
        <w:t>The Idea of Purity in Ancient Judaism</w:t>
      </w:r>
      <w:r w:rsidRPr="003C396A">
        <w:rPr>
          <w:szCs w:val="22"/>
        </w:rPr>
        <w:t xml:space="preserve"> (Leiden: Brill, 1973).</w:t>
      </w:r>
    </w:p>
  </w:footnote>
  <w:footnote w:id="48">
    <w:p w14:paraId="111757FA" w14:textId="1AEF3B0B" w:rsidR="00BE745C" w:rsidRPr="003C396A" w:rsidRDefault="00BE745C" w:rsidP="002673AA">
      <w:pPr>
        <w:pStyle w:val="Footnotes"/>
        <w:rPr>
          <w:szCs w:val="22"/>
          <w:lang w:val="en-US"/>
        </w:rPr>
      </w:pPr>
      <w:r w:rsidRPr="003C396A">
        <w:rPr>
          <w:rStyle w:val="FootnoteReference"/>
          <w:szCs w:val="22"/>
        </w:rPr>
        <w:footnoteRef/>
      </w:r>
      <w:r w:rsidRPr="003C396A">
        <w:rPr>
          <w:szCs w:val="22"/>
        </w:rPr>
        <w:t xml:space="preserve"> </w:t>
      </w:r>
      <w:r w:rsidR="002673AA" w:rsidRPr="003C396A">
        <w:rPr>
          <w:szCs w:val="22"/>
        </w:rPr>
        <w:t>Cf. Marshall</w:t>
      </w:r>
      <w:r w:rsidR="00F920E5" w:rsidRPr="003C396A">
        <w:rPr>
          <w:szCs w:val="22"/>
        </w:rPr>
        <w:t xml:space="preserve">’s theory of the religious taboo as </w:t>
      </w:r>
      <w:r w:rsidR="00787C04" w:rsidRPr="003C396A">
        <w:rPr>
          <w:szCs w:val="22"/>
        </w:rPr>
        <w:t xml:space="preserve">a sacralization agent </w:t>
      </w:r>
      <w:r w:rsidR="00F920E5" w:rsidRPr="003C396A">
        <w:rPr>
          <w:szCs w:val="22"/>
        </w:rPr>
        <w:t xml:space="preserve">resolving </w:t>
      </w:r>
      <w:r w:rsidR="00787C04" w:rsidRPr="003C396A">
        <w:rPr>
          <w:szCs w:val="22"/>
        </w:rPr>
        <w:t>the tension between individual temptations and collective tradition in his</w:t>
      </w:r>
      <w:r w:rsidR="002673AA" w:rsidRPr="003C396A">
        <w:rPr>
          <w:szCs w:val="22"/>
        </w:rPr>
        <w:t xml:space="preserve"> “Temptation, Tradition, and Taboo,” 64–90.</w:t>
      </w:r>
    </w:p>
  </w:footnote>
  <w:footnote w:id="49">
    <w:p w14:paraId="5FFD455B" w14:textId="3C6D06CB" w:rsidR="00732155" w:rsidRPr="003C396A" w:rsidRDefault="00732155" w:rsidP="00033DFA">
      <w:pPr>
        <w:pStyle w:val="Footnotes"/>
        <w:rPr>
          <w:szCs w:val="22"/>
          <w:lang w:val="en-US"/>
        </w:rPr>
      </w:pPr>
      <w:r w:rsidRPr="003C396A">
        <w:rPr>
          <w:rStyle w:val="FootnoteReference"/>
          <w:szCs w:val="22"/>
        </w:rPr>
        <w:footnoteRef/>
      </w:r>
      <w:r w:rsidRPr="003C396A">
        <w:rPr>
          <w:szCs w:val="22"/>
        </w:rPr>
        <w:t xml:space="preserve"> </w:t>
      </w:r>
      <w:r w:rsidR="00A534A0" w:rsidRPr="003C396A">
        <w:rPr>
          <w:szCs w:val="22"/>
          <w:lang w:val="en-US"/>
        </w:rPr>
        <w:t xml:space="preserve">Mishnah, </w:t>
      </w:r>
      <w:proofErr w:type="spellStart"/>
      <w:r w:rsidR="00A534A0" w:rsidRPr="003C396A">
        <w:rPr>
          <w:i/>
          <w:iCs/>
          <w:szCs w:val="22"/>
          <w:lang w:val="en-US"/>
        </w:rPr>
        <w:t>Middot</w:t>
      </w:r>
      <w:proofErr w:type="spellEnd"/>
      <w:r w:rsidR="00A534A0" w:rsidRPr="003C396A">
        <w:rPr>
          <w:szCs w:val="22"/>
          <w:lang w:val="en-US"/>
        </w:rPr>
        <w:t xml:space="preserve"> 2:5; </w:t>
      </w:r>
      <w:proofErr w:type="spellStart"/>
      <w:r w:rsidR="00A534A0" w:rsidRPr="003C396A">
        <w:rPr>
          <w:szCs w:val="22"/>
          <w:lang w:val="en-US"/>
        </w:rPr>
        <w:t>Tosefta</w:t>
      </w:r>
      <w:proofErr w:type="spellEnd"/>
      <w:r w:rsidR="00A534A0" w:rsidRPr="003C396A">
        <w:rPr>
          <w:szCs w:val="22"/>
          <w:lang w:val="en-US"/>
        </w:rPr>
        <w:t xml:space="preserve">, </w:t>
      </w:r>
      <w:r w:rsidR="00A534A0" w:rsidRPr="003C396A">
        <w:rPr>
          <w:i/>
          <w:iCs/>
          <w:szCs w:val="22"/>
        </w:rPr>
        <w:t>Sukkah</w:t>
      </w:r>
      <w:r w:rsidR="00A534A0" w:rsidRPr="003C396A">
        <w:rPr>
          <w:szCs w:val="22"/>
        </w:rPr>
        <w:t xml:space="preserve"> 4:1</w:t>
      </w:r>
      <w:r w:rsidR="00047C3D" w:rsidRPr="003C396A">
        <w:rPr>
          <w:szCs w:val="22"/>
        </w:rPr>
        <w:t>,</w:t>
      </w:r>
      <w:r w:rsidR="00A534A0" w:rsidRPr="003C396A">
        <w:rPr>
          <w:szCs w:val="22"/>
        </w:rPr>
        <w:t xml:space="preserve"> </w:t>
      </w:r>
      <w:r w:rsidR="00047C3D" w:rsidRPr="003C396A">
        <w:rPr>
          <w:szCs w:val="22"/>
        </w:rPr>
        <w:t>s</w:t>
      </w:r>
      <w:r w:rsidR="00A534A0" w:rsidRPr="003C396A">
        <w:rPr>
          <w:szCs w:val="22"/>
        </w:rPr>
        <w:t>ee</w:t>
      </w:r>
      <w:r w:rsidR="00047C3D" w:rsidRPr="003C396A">
        <w:rPr>
          <w:szCs w:val="22"/>
        </w:rPr>
        <w:t xml:space="preserve">: </w:t>
      </w:r>
      <w:r w:rsidR="00047C3D" w:rsidRPr="003C396A">
        <w:rPr>
          <w:szCs w:val="22"/>
          <w:lang w:val="en-US"/>
        </w:rPr>
        <w:t xml:space="preserve">Levine, </w:t>
      </w:r>
      <w:r w:rsidR="00047C3D" w:rsidRPr="003C396A">
        <w:rPr>
          <w:i/>
          <w:iCs/>
          <w:szCs w:val="22"/>
          <w:lang w:val="en-US"/>
        </w:rPr>
        <w:t>The Ancient Synagogue</w:t>
      </w:r>
      <w:r w:rsidR="00047C3D" w:rsidRPr="003C396A">
        <w:rPr>
          <w:szCs w:val="22"/>
          <w:lang w:val="en-US"/>
        </w:rPr>
        <w:t xml:space="preserve">, 504–505 and more </w:t>
      </w:r>
      <w:r w:rsidR="00D47455" w:rsidRPr="003C396A">
        <w:rPr>
          <w:szCs w:val="22"/>
          <w:lang w:val="en-US"/>
        </w:rPr>
        <w:t xml:space="preserve">rabbinical </w:t>
      </w:r>
      <w:r w:rsidR="00047C3D" w:rsidRPr="003C396A">
        <w:rPr>
          <w:szCs w:val="22"/>
          <w:lang w:val="en-US"/>
        </w:rPr>
        <w:t xml:space="preserve">sources </w:t>
      </w:r>
      <w:r w:rsidR="00D47455" w:rsidRPr="003C396A">
        <w:rPr>
          <w:szCs w:val="22"/>
          <w:lang w:val="en-US"/>
        </w:rPr>
        <w:t xml:space="preserve">and scholarly publications </w:t>
      </w:r>
      <w:r w:rsidR="00047C3D" w:rsidRPr="003C396A">
        <w:rPr>
          <w:szCs w:val="22"/>
          <w:lang w:val="en-US"/>
        </w:rPr>
        <w:t>in 504 n. 32. See also</w:t>
      </w:r>
      <w:r w:rsidR="00A534A0" w:rsidRPr="003C396A">
        <w:rPr>
          <w:szCs w:val="22"/>
        </w:rPr>
        <w:t xml:space="preserve"> </w:t>
      </w:r>
      <w:r w:rsidR="00033DFA" w:rsidRPr="003C396A">
        <w:rPr>
          <w:szCs w:val="22"/>
        </w:rPr>
        <w:t xml:space="preserve">Chad </w:t>
      </w:r>
      <w:bookmarkStart w:id="57" w:name="_Hlk96499461"/>
      <w:proofErr w:type="spellStart"/>
      <w:r w:rsidR="00033DFA" w:rsidRPr="003C396A">
        <w:rPr>
          <w:szCs w:val="22"/>
        </w:rPr>
        <w:t>Spigel</w:t>
      </w:r>
      <w:proofErr w:type="spellEnd"/>
      <w:r w:rsidR="00033DFA" w:rsidRPr="003C396A">
        <w:rPr>
          <w:szCs w:val="22"/>
        </w:rPr>
        <w:t xml:space="preserve">, “Reconsidering the Question of Separate Seating in Ancient Synagogues,” </w:t>
      </w:r>
      <w:bookmarkEnd w:id="57"/>
      <w:r w:rsidR="00033DFA" w:rsidRPr="003C396A">
        <w:rPr>
          <w:i/>
          <w:iCs/>
          <w:szCs w:val="22"/>
        </w:rPr>
        <w:t>Journal of Jewish Studies</w:t>
      </w:r>
      <w:r w:rsidR="00033DFA" w:rsidRPr="003C396A">
        <w:rPr>
          <w:szCs w:val="22"/>
        </w:rPr>
        <w:t xml:space="preserve"> 58, 1 (2012): </w:t>
      </w:r>
      <w:r w:rsidRPr="003C396A">
        <w:rPr>
          <w:szCs w:val="22"/>
          <w:lang w:val="en-US"/>
        </w:rPr>
        <w:t>70</w:t>
      </w:r>
      <w:r w:rsidR="00047C3D" w:rsidRPr="003C396A">
        <w:rPr>
          <w:szCs w:val="22"/>
          <w:lang w:val="en-US"/>
        </w:rPr>
        <w:t>.</w:t>
      </w:r>
    </w:p>
  </w:footnote>
  <w:footnote w:id="50">
    <w:p w14:paraId="02321920" w14:textId="1DA609F4" w:rsidR="0058493B" w:rsidRPr="003C396A" w:rsidRDefault="0058493B" w:rsidP="001334D4">
      <w:pPr>
        <w:pStyle w:val="Footnotes"/>
        <w:rPr>
          <w:szCs w:val="22"/>
          <w:lang w:val="en-US"/>
        </w:rPr>
      </w:pPr>
      <w:r w:rsidRPr="003C396A">
        <w:rPr>
          <w:rStyle w:val="FootnoteReference"/>
          <w:szCs w:val="22"/>
        </w:rPr>
        <w:footnoteRef/>
      </w:r>
      <w:r w:rsidRPr="003C396A">
        <w:rPr>
          <w:szCs w:val="22"/>
        </w:rPr>
        <w:t xml:space="preserve"> </w:t>
      </w:r>
      <w:r w:rsidR="00047C3D" w:rsidRPr="003C396A">
        <w:rPr>
          <w:szCs w:val="22"/>
          <w:lang w:val="en-US"/>
        </w:rPr>
        <w:t xml:space="preserve">Levine, </w:t>
      </w:r>
      <w:r w:rsidR="00047C3D" w:rsidRPr="003C396A">
        <w:rPr>
          <w:i/>
          <w:iCs/>
          <w:szCs w:val="22"/>
          <w:lang w:val="en-US"/>
        </w:rPr>
        <w:t>The Ancient Synagogue</w:t>
      </w:r>
      <w:r w:rsidR="00047C3D" w:rsidRPr="003C396A">
        <w:rPr>
          <w:szCs w:val="22"/>
          <w:lang w:val="en-US"/>
        </w:rPr>
        <w:t>,</w:t>
      </w:r>
      <w:r w:rsidRPr="003C396A">
        <w:rPr>
          <w:szCs w:val="22"/>
        </w:rPr>
        <w:t xml:space="preserve"> 502–505; Bernadette Brooten, </w:t>
      </w:r>
      <w:r w:rsidRPr="003C396A">
        <w:rPr>
          <w:i/>
          <w:iCs/>
          <w:szCs w:val="22"/>
        </w:rPr>
        <w:t xml:space="preserve">Women Leaders in the Ancient Synagogue: Inscriptional Evidence and Background Issues </w:t>
      </w:r>
      <w:r w:rsidRPr="003C396A">
        <w:rPr>
          <w:szCs w:val="22"/>
        </w:rPr>
        <w:t xml:space="preserve">(Chico, CA: Scholars Press, 1982), </w:t>
      </w:r>
      <w:r w:rsidR="001334D4" w:rsidRPr="003C396A">
        <w:rPr>
          <w:szCs w:val="22"/>
        </w:rPr>
        <w:t>103</w:t>
      </w:r>
      <w:r w:rsidRPr="003C396A">
        <w:rPr>
          <w:szCs w:val="22"/>
        </w:rPr>
        <w:t xml:space="preserve">; Shmuel </w:t>
      </w:r>
      <w:proofErr w:type="spellStart"/>
      <w:r w:rsidRPr="003C396A">
        <w:rPr>
          <w:szCs w:val="22"/>
        </w:rPr>
        <w:t>Safrai</w:t>
      </w:r>
      <w:proofErr w:type="spellEnd"/>
      <w:r w:rsidRPr="003C396A">
        <w:rPr>
          <w:szCs w:val="22"/>
        </w:rPr>
        <w:t xml:space="preserve">, “Was There a Women’s Gallery in the Synagogues of Antiquity?” </w:t>
      </w:r>
      <w:proofErr w:type="spellStart"/>
      <w:r w:rsidRPr="003C396A">
        <w:rPr>
          <w:i/>
          <w:iCs/>
          <w:szCs w:val="22"/>
        </w:rPr>
        <w:t>Tarbiz</w:t>
      </w:r>
      <w:proofErr w:type="spellEnd"/>
      <w:r w:rsidRPr="003C396A">
        <w:rPr>
          <w:szCs w:val="22"/>
        </w:rPr>
        <w:t xml:space="preserve"> 22 (1963): 333–34</w:t>
      </w:r>
      <w:r w:rsidR="001334D4" w:rsidRPr="003C396A">
        <w:rPr>
          <w:szCs w:val="22"/>
        </w:rPr>
        <w:t xml:space="preserve"> [Hebrew]</w:t>
      </w:r>
      <w:r w:rsidRPr="003C396A">
        <w:rPr>
          <w:szCs w:val="22"/>
        </w:rPr>
        <w:t>. See also earlier</w:t>
      </w:r>
      <w:r w:rsidR="001334D4" w:rsidRPr="003C396A">
        <w:rPr>
          <w:szCs w:val="22"/>
        </w:rPr>
        <w:t>:</w:t>
      </w:r>
      <w:r w:rsidRPr="003C396A">
        <w:rPr>
          <w:szCs w:val="22"/>
        </w:rPr>
        <w:t xml:space="preserve"> </w:t>
      </w:r>
      <w:r w:rsidR="001334D4" w:rsidRPr="003C396A">
        <w:rPr>
          <w:szCs w:val="22"/>
        </w:rPr>
        <w:t xml:space="preserve">Richard </w:t>
      </w:r>
      <w:proofErr w:type="spellStart"/>
      <w:r w:rsidR="001334D4" w:rsidRPr="003C396A">
        <w:rPr>
          <w:szCs w:val="22"/>
        </w:rPr>
        <w:t>Krautheimer</w:t>
      </w:r>
      <w:proofErr w:type="spellEnd"/>
      <w:r w:rsidR="001334D4" w:rsidRPr="003C396A">
        <w:rPr>
          <w:szCs w:val="22"/>
        </w:rPr>
        <w:t xml:space="preserve">, </w:t>
      </w:r>
      <w:proofErr w:type="spellStart"/>
      <w:r w:rsidR="001334D4" w:rsidRPr="003C396A">
        <w:rPr>
          <w:i/>
          <w:iCs/>
          <w:szCs w:val="22"/>
        </w:rPr>
        <w:t>Mittelalterliche</w:t>
      </w:r>
      <w:proofErr w:type="spellEnd"/>
      <w:r w:rsidR="001334D4" w:rsidRPr="003C396A">
        <w:rPr>
          <w:i/>
          <w:iCs/>
          <w:szCs w:val="22"/>
        </w:rPr>
        <w:t xml:space="preserve"> </w:t>
      </w:r>
      <w:proofErr w:type="spellStart"/>
      <w:r w:rsidR="001334D4" w:rsidRPr="003C396A">
        <w:rPr>
          <w:i/>
          <w:iCs/>
          <w:szCs w:val="22"/>
        </w:rPr>
        <w:t>Synagogen</w:t>
      </w:r>
      <w:proofErr w:type="spellEnd"/>
      <w:r w:rsidR="001334D4" w:rsidRPr="003C396A">
        <w:rPr>
          <w:szCs w:val="22"/>
        </w:rPr>
        <w:t xml:space="preserve"> (Berlin: Frankfurter </w:t>
      </w:r>
      <w:proofErr w:type="spellStart"/>
      <w:r w:rsidR="001334D4" w:rsidRPr="003C396A">
        <w:rPr>
          <w:szCs w:val="22"/>
        </w:rPr>
        <w:t>Verlagsanstalt</w:t>
      </w:r>
      <w:proofErr w:type="spellEnd"/>
      <w:r w:rsidR="001334D4" w:rsidRPr="003C396A">
        <w:rPr>
          <w:szCs w:val="22"/>
        </w:rPr>
        <w:t xml:space="preserve">, 1927), 54; Leopold </w:t>
      </w:r>
      <w:proofErr w:type="spellStart"/>
      <w:r w:rsidR="001334D4" w:rsidRPr="003C396A">
        <w:rPr>
          <w:szCs w:val="22"/>
        </w:rPr>
        <w:t>L</w:t>
      </w:r>
      <w:r w:rsidR="00B40E7D" w:rsidRPr="003C396A">
        <w:rPr>
          <w:szCs w:val="22"/>
        </w:rPr>
        <w:t>ö</w:t>
      </w:r>
      <w:r w:rsidR="001334D4" w:rsidRPr="003C396A">
        <w:rPr>
          <w:szCs w:val="22"/>
        </w:rPr>
        <w:t>w</w:t>
      </w:r>
      <w:proofErr w:type="spellEnd"/>
      <w:r w:rsidR="001334D4" w:rsidRPr="003C396A">
        <w:rPr>
          <w:szCs w:val="22"/>
        </w:rPr>
        <w:t xml:space="preserve">, “Der </w:t>
      </w:r>
      <w:proofErr w:type="spellStart"/>
      <w:r w:rsidR="001334D4" w:rsidRPr="003C396A">
        <w:rPr>
          <w:szCs w:val="22"/>
        </w:rPr>
        <w:t>synagogale</w:t>
      </w:r>
      <w:proofErr w:type="spellEnd"/>
      <w:r w:rsidR="001334D4" w:rsidRPr="003C396A">
        <w:rPr>
          <w:szCs w:val="22"/>
        </w:rPr>
        <w:t xml:space="preserve"> </w:t>
      </w:r>
      <w:proofErr w:type="spellStart"/>
      <w:r w:rsidR="001334D4" w:rsidRPr="003C396A">
        <w:rPr>
          <w:szCs w:val="22"/>
        </w:rPr>
        <w:t>Ritus</w:t>
      </w:r>
      <w:proofErr w:type="spellEnd"/>
      <w:r w:rsidR="001334D4" w:rsidRPr="003C396A">
        <w:rPr>
          <w:szCs w:val="22"/>
        </w:rPr>
        <w:t xml:space="preserve">,” </w:t>
      </w:r>
      <w:proofErr w:type="spellStart"/>
      <w:r w:rsidR="001334D4" w:rsidRPr="003C396A">
        <w:rPr>
          <w:i/>
          <w:iCs/>
          <w:szCs w:val="22"/>
        </w:rPr>
        <w:t>Monatschrift</w:t>
      </w:r>
      <w:proofErr w:type="spellEnd"/>
      <w:r w:rsidR="001334D4" w:rsidRPr="003C396A">
        <w:rPr>
          <w:i/>
          <w:iCs/>
          <w:szCs w:val="22"/>
        </w:rPr>
        <w:t xml:space="preserve"> </w:t>
      </w:r>
      <w:proofErr w:type="spellStart"/>
      <w:r w:rsidR="001334D4" w:rsidRPr="003C396A">
        <w:rPr>
          <w:i/>
          <w:iCs/>
          <w:szCs w:val="22"/>
        </w:rPr>
        <w:t>für</w:t>
      </w:r>
      <w:proofErr w:type="spellEnd"/>
      <w:r w:rsidR="001334D4" w:rsidRPr="003C396A">
        <w:rPr>
          <w:i/>
          <w:iCs/>
          <w:szCs w:val="22"/>
        </w:rPr>
        <w:t xml:space="preserve"> </w:t>
      </w:r>
      <w:proofErr w:type="spellStart"/>
      <w:r w:rsidR="001334D4" w:rsidRPr="003C396A">
        <w:rPr>
          <w:i/>
          <w:iCs/>
          <w:szCs w:val="22"/>
        </w:rPr>
        <w:t>Geschichte</w:t>
      </w:r>
      <w:proofErr w:type="spellEnd"/>
      <w:r w:rsidR="001334D4" w:rsidRPr="003C396A">
        <w:rPr>
          <w:i/>
          <w:iCs/>
          <w:szCs w:val="22"/>
        </w:rPr>
        <w:t xml:space="preserve"> und </w:t>
      </w:r>
      <w:proofErr w:type="spellStart"/>
      <w:r w:rsidR="001334D4" w:rsidRPr="003C396A">
        <w:rPr>
          <w:i/>
          <w:iCs/>
          <w:szCs w:val="22"/>
        </w:rPr>
        <w:t>Wissenschaft</w:t>
      </w:r>
      <w:proofErr w:type="spellEnd"/>
      <w:r w:rsidR="001334D4" w:rsidRPr="003C396A">
        <w:rPr>
          <w:i/>
          <w:iCs/>
          <w:szCs w:val="22"/>
        </w:rPr>
        <w:t xml:space="preserve"> des </w:t>
      </w:r>
      <w:proofErr w:type="spellStart"/>
      <w:r w:rsidR="001334D4" w:rsidRPr="003C396A">
        <w:rPr>
          <w:i/>
          <w:iCs/>
          <w:szCs w:val="22"/>
        </w:rPr>
        <w:t>Judentums</w:t>
      </w:r>
      <w:proofErr w:type="spellEnd"/>
      <w:r w:rsidR="001334D4" w:rsidRPr="003C396A">
        <w:rPr>
          <w:szCs w:val="22"/>
        </w:rPr>
        <w:t xml:space="preserve"> 33 (1884): 364–74.</w:t>
      </w:r>
    </w:p>
  </w:footnote>
  <w:footnote w:id="51">
    <w:p w14:paraId="284280DC" w14:textId="57909B4E" w:rsidR="00033DFA" w:rsidRPr="003C396A" w:rsidRDefault="00033DFA" w:rsidP="00C00848">
      <w:pPr>
        <w:pStyle w:val="Footnotes"/>
        <w:rPr>
          <w:szCs w:val="22"/>
          <w:lang w:val="en-US"/>
        </w:rPr>
      </w:pPr>
      <w:r w:rsidRPr="003C396A">
        <w:rPr>
          <w:rStyle w:val="FootnoteReference"/>
          <w:szCs w:val="22"/>
        </w:rPr>
        <w:footnoteRef/>
      </w:r>
      <w:r w:rsidRPr="003C396A">
        <w:rPr>
          <w:szCs w:val="22"/>
        </w:rPr>
        <w:t xml:space="preserve"> </w:t>
      </w:r>
      <w:proofErr w:type="spellStart"/>
      <w:r w:rsidR="00FA5F9B" w:rsidRPr="003C396A">
        <w:rPr>
          <w:szCs w:val="22"/>
        </w:rPr>
        <w:t>Spigel</w:t>
      </w:r>
      <w:proofErr w:type="spellEnd"/>
      <w:r w:rsidR="00FA5F9B" w:rsidRPr="003C396A">
        <w:rPr>
          <w:szCs w:val="22"/>
        </w:rPr>
        <w:t>, “Reconsidering the Question of Separate Seating in Ancient Synagogues,” 62–83.</w:t>
      </w:r>
    </w:p>
  </w:footnote>
  <w:footnote w:id="52">
    <w:p w14:paraId="10D5FAA1" w14:textId="77777777" w:rsidR="00F22AEB" w:rsidRPr="003C396A" w:rsidRDefault="00F22AEB" w:rsidP="00F22AEB">
      <w:pPr>
        <w:pStyle w:val="Footnotes"/>
        <w:rPr>
          <w:szCs w:val="22"/>
        </w:rPr>
      </w:pPr>
      <w:r w:rsidRPr="003C396A">
        <w:rPr>
          <w:rStyle w:val="FootnoteReference"/>
          <w:szCs w:val="22"/>
        </w:rPr>
        <w:footnoteRef/>
      </w:r>
      <w:r w:rsidRPr="003C396A">
        <w:rPr>
          <w:szCs w:val="22"/>
        </w:rPr>
        <w:t xml:space="preserve"> Steven Fine, “Furnishing God’s Study House: An Exercise in Rabbinic Imagination,” in idem,</w:t>
      </w:r>
      <w:r w:rsidRPr="003C396A">
        <w:rPr>
          <w:rStyle w:val="Heading1Char"/>
          <w:sz w:val="22"/>
          <w:szCs w:val="22"/>
        </w:rPr>
        <w:t xml:space="preserve"> </w:t>
      </w:r>
      <w:r w:rsidRPr="003C396A">
        <w:rPr>
          <w:i/>
          <w:iCs/>
          <w:szCs w:val="22"/>
        </w:rPr>
        <w:t>Art, History and the Historiography of Judaism in Roman Antiquity</w:t>
      </w:r>
      <w:r w:rsidRPr="003C396A">
        <w:rPr>
          <w:szCs w:val="22"/>
        </w:rPr>
        <w:t xml:space="preserve"> (Leiden: Brill, 2014), 139–57.</w:t>
      </w:r>
    </w:p>
  </w:footnote>
  <w:footnote w:id="53">
    <w:p w14:paraId="436B2E81" w14:textId="5F0E59E4" w:rsidR="00CA0B9D" w:rsidRPr="003C396A" w:rsidRDefault="00CA0B9D" w:rsidP="00092E50">
      <w:pPr>
        <w:pStyle w:val="Footnotes"/>
        <w:rPr>
          <w:szCs w:val="22"/>
          <w:lang w:val="en-US"/>
        </w:rPr>
      </w:pPr>
      <w:r w:rsidRPr="003C396A">
        <w:rPr>
          <w:rStyle w:val="FootnoteReference"/>
          <w:szCs w:val="22"/>
        </w:rPr>
        <w:footnoteRef/>
      </w:r>
      <w:r w:rsidRPr="003C396A">
        <w:rPr>
          <w:szCs w:val="22"/>
        </w:rPr>
        <w:t xml:space="preserve"> </w:t>
      </w:r>
      <w:bookmarkStart w:id="59" w:name="_Hlk96605305"/>
      <w:proofErr w:type="spellStart"/>
      <w:r w:rsidR="00092E50" w:rsidRPr="003C396A">
        <w:rPr>
          <w:szCs w:val="22"/>
        </w:rPr>
        <w:t>Ismar</w:t>
      </w:r>
      <w:proofErr w:type="spellEnd"/>
      <w:r w:rsidR="00092E50" w:rsidRPr="003C396A">
        <w:rPr>
          <w:szCs w:val="22"/>
        </w:rPr>
        <w:t xml:space="preserve"> </w:t>
      </w:r>
      <w:proofErr w:type="spellStart"/>
      <w:r w:rsidR="00092E50" w:rsidRPr="003C396A">
        <w:rPr>
          <w:szCs w:val="22"/>
        </w:rPr>
        <w:t>Elbogen</w:t>
      </w:r>
      <w:bookmarkEnd w:id="59"/>
      <w:proofErr w:type="spellEnd"/>
      <w:r w:rsidR="00092E50" w:rsidRPr="003C396A">
        <w:rPr>
          <w:szCs w:val="22"/>
        </w:rPr>
        <w:t xml:space="preserve">, </w:t>
      </w:r>
      <w:r w:rsidR="00092E50" w:rsidRPr="003C396A">
        <w:rPr>
          <w:i/>
          <w:iCs/>
          <w:szCs w:val="22"/>
        </w:rPr>
        <w:t xml:space="preserve">Der </w:t>
      </w:r>
      <w:proofErr w:type="spellStart"/>
      <w:r w:rsidR="00092E50" w:rsidRPr="003C396A">
        <w:rPr>
          <w:i/>
          <w:iCs/>
          <w:szCs w:val="22"/>
        </w:rPr>
        <w:t>jüdische</w:t>
      </w:r>
      <w:proofErr w:type="spellEnd"/>
      <w:r w:rsidR="00092E50" w:rsidRPr="003C396A">
        <w:rPr>
          <w:i/>
          <w:iCs/>
          <w:szCs w:val="22"/>
        </w:rPr>
        <w:t xml:space="preserve"> </w:t>
      </w:r>
      <w:proofErr w:type="spellStart"/>
      <w:r w:rsidR="00092E50" w:rsidRPr="003C396A">
        <w:rPr>
          <w:i/>
          <w:iCs/>
          <w:szCs w:val="22"/>
        </w:rPr>
        <w:t>Gottesdienst</w:t>
      </w:r>
      <w:proofErr w:type="spellEnd"/>
      <w:r w:rsidR="00092E50" w:rsidRPr="003C396A">
        <w:rPr>
          <w:i/>
          <w:iCs/>
          <w:szCs w:val="22"/>
        </w:rPr>
        <w:t xml:space="preserve"> in seiner </w:t>
      </w:r>
      <w:proofErr w:type="spellStart"/>
      <w:r w:rsidR="00092E50" w:rsidRPr="003C396A">
        <w:rPr>
          <w:i/>
          <w:iCs/>
          <w:szCs w:val="22"/>
        </w:rPr>
        <w:t>geschichtlichen</w:t>
      </w:r>
      <w:proofErr w:type="spellEnd"/>
      <w:r w:rsidR="00092E50" w:rsidRPr="003C396A">
        <w:rPr>
          <w:i/>
          <w:iCs/>
          <w:szCs w:val="22"/>
        </w:rPr>
        <w:t xml:space="preserve"> </w:t>
      </w:r>
      <w:proofErr w:type="spellStart"/>
      <w:r w:rsidR="00092E50" w:rsidRPr="003C396A">
        <w:rPr>
          <w:i/>
          <w:iCs/>
          <w:szCs w:val="22"/>
        </w:rPr>
        <w:t>Entwicklung</w:t>
      </w:r>
      <w:proofErr w:type="spellEnd"/>
      <w:r w:rsidR="00092E50" w:rsidRPr="003C396A">
        <w:rPr>
          <w:szCs w:val="22"/>
        </w:rPr>
        <w:t xml:space="preserve"> (Frankfurt am Main: Olms, 1931), 466–68; see also </w:t>
      </w:r>
      <w:r w:rsidRPr="003C396A">
        <w:rPr>
          <w:szCs w:val="22"/>
        </w:rPr>
        <w:t xml:space="preserve">Richard </w:t>
      </w:r>
      <w:proofErr w:type="spellStart"/>
      <w:r w:rsidRPr="003C396A">
        <w:rPr>
          <w:szCs w:val="22"/>
        </w:rPr>
        <w:t>Krautheimer</w:t>
      </w:r>
      <w:proofErr w:type="spellEnd"/>
      <w:r w:rsidRPr="003C396A">
        <w:rPr>
          <w:szCs w:val="22"/>
        </w:rPr>
        <w:t xml:space="preserve">, </w:t>
      </w:r>
      <w:proofErr w:type="spellStart"/>
      <w:r w:rsidRPr="003C396A">
        <w:rPr>
          <w:i/>
          <w:iCs/>
          <w:szCs w:val="22"/>
        </w:rPr>
        <w:t>Mittelalterliche</w:t>
      </w:r>
      <w:proofErr w:type="spellEnd"/>
      <w:r w:rsidRPr="003C396A">
        <w:rPr>
          <w:i/>
          <w:iCs/>
          <w:szCs w:val="22"/>
        </w:rPr>
        <w:t xml:space="preserve"> </w:t>
      </w:r>
      <w:proofErr w:type="spellStart"/>
      <w:r w:rsidRPr="003C396A">
        <w:rPr>
          <w:i/>
          <w:iCs/>
          <w:szCs w:val="22"/>
        </w:rPr>
        <w:t>Synagogen</w:t>
      </w:r>
      <w:proofErr w:type="spellEnd"/>
      <w:r w:rsidRPr="003C396A">
        <w:rPr>
          <w:szCs w:val="22"/>
        </w:rPr>
        <w:t xml:space="preserve"> (Berlin: Frankfurter </w:t>
      </w:r>
      <w:proofErr w:type="spellStart"/>
      <w:r w:rsidRPr="003C396A">
        <w:rPr>
          <w:szCs w:val="22"/>
        </w:rPr>
        <w:t>Verlagsanstalt</w:t>
      </w:r>
      <w:proofErr w:type="spellEnd"/>
      <w:r w:rsidRPr="003C396A">
        <w:rPr>
          <w:szCs w:val="22"/>
        </w:rPr>
        <w:t>, 1927), 54.</w:t>
      </w:r>
    </w:p>
  </w:footnote>
  <w:footnote w:id="54">
    <w:p w14:paraId="174E2EBC" w14:textId="24D4C151" w:rsidR="00B8201A" w:rsidRPr="003C396A" w:rsidRDefault="00B8201A" w:rsidP="00B8201A">
      <w:pPr>
        <w:pStyle w:val="Footnotes"/>
        <w:rPr>
          <w:szCs w:val="22"/>
          <w:lang w:val="en-US"/>
        </w:rPr>
      </w:pPr>
      <w:r w:rsidRPr="003C396A">
        <w:rPr>
          <w:rStyle w:val="FootnoteReference"/>
          <w:szCs w:val="22"/>
        </w:rPr>
        <w:footnoteRef/>
      </w:r>
      <w:r w:rsidRPr="003C396A">
        <w:rPr>
          <w:szCs w:val="22"/>
        </w:rPr>
        <w:t xml:space="preserve"> Simon Paulus, </w:t>
      </w:r>
      <w:r w:rsidRPr="003C396A">
        <w:rPr>
          <w:i/>
          <w:iCs/>
          <w:szCs w:val="22"/>
        </w:rPr>
        <w:t xml:space="preserve">Die </w:t>
      </w:r>
      <w:proofErr w:type="spellStart"/>
      <w:r w:rsidRPr="003C396A">
        <w:rPr>
          <w:i/>
          <w:iCs/>
          <w:szCs w:val="22"/>
        </w:rPr>
        <w:t>Architektur</w:t>
      </w:r>
      <w:proofErr w:type="spellEnd"/>
      <w:r w:rsidRPr="003C396A">
        <w:rPr>
          <w:i/>
          <w:iCs/>
          <w:szCs w:val="22"/>
        </w:rPr>
        <w:t xml:space="preserve"> der </w:t>
      </w:r>
      <w:proofErr w:type="spellStart"/>
      <w:r w:rsidRPr="003C396A">
        <w:rPr>
          <w:i/>
          <w:iCs/>
          <w:szCs w:val="22"/>
        </w:rPr>
        <w:t>Synagoge</w:t>
      </w:r>
      <w:proofErr w:type="spellEnd"/>
      <w:r w:rsidRPr="003C396A">
        <w:rPr>
          <w:i/>
          <w:iCs/>
          <w:szCs w:val="22"/>
        </w:rPr>
        <w:t xml:space="preserve"> </w:t>
      </w:r>
      <w:proofErr w:type="spellStart"/>
      <w:r w:rsidRPr="003C396A">
        <w:rPr>
          <w:i/>
          <w:iCs/>
          <w:szCs w:val="22"/>
        </w:rPr>
        <w:t>im</w:t>
      </w:r>
      <w:proofErr w:type="spellEnd"/>
      <w:r w:rsidRPr="003C396A">
        <w:rPr>
          <w:i/>
          <w:iCs/>
          <w:szCs w:val="22"/>
        </w:rPr>
        <w:t xml:space="preserve"> </w:t>
      </w:r>
      <w:proofErr w:type="spellStart"/>
      <w:r w:rsidRPr="003C396A">
        <w:rPr>
          <w:i/>
          <w:iCs/>
          <w:szCs w:val="22"/>
        </w:rPr>
        <w:t>Mittelalter</w:t>
      </w:r>
      <w:proofErr w:type="spellEnd"/>
      <w:r w:rsidRPr="003C396A">
        <w:rPr>
          <w:i/>
          <w:iCs/>
          <w:szCs w:val="22"/>
        </w:rPr>
        <w:t xml:space="preserve">: </w:t>
      </w:r>
      <w:proofErr w:type="spellStart"/>
      <w:r w:rsidRPr="003C396A">
        <w:rPr>
          <w:i/>
          <w:iCs/>
          <w:szCs w:val="22"/>
        </w:rPr>
        <w:t>Überlieferung</w:t>
      </w:r>
      <w:proofErr w:type="spellEnd"/>
      <w:r w:rsidRPr="003C396A">
        <w:rPr>
          <w:i/>
          <w:iCs/>
          <w:szCs w:val="22"/>
        </w:rPr>
        <w:t xml:space="preserve"> und </w:t>
      </w:r>
      <w:proofErr w:type="spellStart"/>
      <w:r w:rsidRPr="003C396A">
        <w:rPr>
          <w:i/>
          <w:iCs/>
          <w:szCs w:val="22"/>
        </w:rPr>
        <w:t>Bestand</w:t>
      </w:r>
      <w:proofErr w:type="spellEnd"/>
      <w:r w:rsidRPr="003C396A">
        <w:rPr>
          <w:szCs w:val="22"/>
        </w:rPr>
        <w:t xml:space="preserve"> (</w:t>
      </w:r>
      <w:proofErr w:type="spellStart"/>
      <w:r w:rsidRPr="003C396A">
        <w:rPr>
          <w:szCs w:val="22"/>
        </w:rPr>
        <w:t>Petersberg</w:t>
      </w:r>
      <w:proofErr w:type="spellEnd"/>
      <w:r w:rsidRPr="003C396A">
        <w:rPr>
          <w:szCs w:val="22"/>
        </w:rPr>
        <w:t xml:space="preserve">: Michael </w:t>
      </w:r>
      <w:proofErr w:type="spellStart"/>
      <w:r w:rsidRPr="003C396A">
        <w:rPr>
          <w:szCs w:val="22"/>
        </w:rPr>
        <w:t>Imhof</w:t>
      </w:r>
      <w:proofErr w:type="spellEnd"/>
      <w:r w:rsidRPr="003C396A">
        <w:rPr>
          <w:szCs w:val="22"/>
        </w:rPr>
        <w:t xml:space="preserve"> Verlag, 2007), 509–1</w:t>
      </w:r>
      <w:r w:rsidR="00996C1F" w:rsidRPr="003C396A">
        <w:rPr>
          <w:szCs w:val="22"/>
        </w:rPr>
        <w:t>0</w:t>
      </w:r>
      <w:r w:rsidRPr="003C396A">
        <w:rPr>
          <w:szCs w:val="22"/>
        </w:rPr>
        <w:t>.</w:t>
      </w:r>
    </w:p>
  </w:footnote>
  <w:footnote w:id="55">
    <w:p w14:paraId="759ED723" w14:textId="21FBCF95" w:rsidR="00691610" w:rsidRPr="003C396A" w:rsidRDefault="00691610" w:rsidP="00183E71">
      <w:pPr>
        <w:pStyle w:val="Footnotes"/>
        <w:rPr>
          <w:szCs w:val="22"/>
        </w:rPr>
      </w:pPr>
      <w:r w:rsidRPr="003C396A">
        <w:rPr>
          <w:rStyle w:val="FootnoteReference"/>
          <w:szCs w:val="22"/>
        </w:rPr>
        <w:footnoteRef/>
      </w:r>
      <w:r w:rsidRPr="003C396A">
        <w:rPr>
          <w:szCs w:val="22"/>
        </w:rPr>
        <w:t xml:space="preserve"> </w:t>
      </w:r>
      <w:r w:rsidR="0055263E" w:rsidRPr="003C396A">
        <w:rPr>
          <w:szCs w:val="22"/>
        </w:rPr>
        <w:t xml:space="preserve">Rachel </w:t>
      </w:r>
      <w:bookmarkStart w:id="60" w:name="_Hlk99285751"/>
      <w:proofErr w:type="spellStart"/>
      <w:r w:rsidR="0055263E" w:rsidRPr="003C396A">
        <w:rPr>
          <w:szCs w:val="22"/>
        </w:rPr>
        <w:t>Wischnitzer</w:t>
      </w:r>
      <w:proofErr w:type="spellEnd"/>
      <w:r w:rsidR="0055263E" w:rsidRPr="003C396A">
        <w:rPr>
          <w:szCs w:val="22"/>
        </w:rPr>
        <w:t xml:space="preserve">, </w:t>
      </w:r>
      <w:r w:rsidR="0055263E" w:rsidRPr="003C396A">
        <w:rPr>
          <w:i/>
          <w:iCs/>
          <w:szCs w:val="22"/>
        </w:rPr>
        <w:t>The Architecture of the European Synagogue</w:t>
      </w:r>
      <w:r w:rsidR="0055263E" w:rsidRPr="003C396A">
        <w:rPr>
          <w:szCs w:val="22"/>
        </w:rPr>
        <w:t xml:space="preserve"> </w:t>
      </w:r>
      <w:bookmarkEnd w:id="60"/>
      <w:r w:rsidR="0055263E" w:rsidRPr="003C396A">
        <w:rPr>
          <w:szCs w:val="22"/>
        </w:rPr>
        <w:t>(Philadelphia: Jewish Publication Society of America, 1964), 51;</w:t>
      </w:r>
      <w:r w:rsidR="00092E50" w:rsidRPr="003C396A">
        <w:rPr>
          <w:szCs w:val="22"/>
        </w:rPr>
        <w:t xml:space="preserve"> </w:t>
      </w:r>
      <w:r w:rsidR="00183E71" w:rsidRPr="003C396A">
        <w:rPr>
          <w:szCs w:val="22"/>
        </w:rPr>
        <w:t xml:space="preserve">Israel Abrahams, </w:t>
      </w:r>
      <w:r w:rsidR="00183E71" w:rsidRPr="003C396A">
        <w:rPr>
          <w:i/>
          <w:iCs/>
          <w:szCs w:val="22"/>
        </w:rPr>
        <w:t>Jewish Life in the Middle Ages</w:t>
      </w:r>
      <w:r w:rsidR="00183E71" w:rsidRPr="003C396A">
        <w:rPr>
          <w:szCs w:val="22"/>
        </w:rPr>
        <w:t xml:space="preserve"> (Philadelphia: Jewish Publication Society of America, 1898), 25–2</w:t>
      </w:r>
      <w:r w:rsidR="00227E14" w:rsidRPr="003C396A">
        <w:rPr>
          <w:szCs w:val="22"/>
        </w:rPr>
        <w:t>6</w:t>
      </w:r>
      <w:r w:rsidR="00092E50" w:rsidRPr="003C396A">
        <w:rPr>
          <w:szCs w:val="22"/>
        </w:rPr>
        <w:t>.</w:t>
      </w:r>
      <w:r w:rsidR="00183E71" w:rsidRPr="003C396A">
        <w:rPr>
          <w:szCs w:val="22"/>
        </w:rPr>
        <w:t xml:space="preserve"> </w:t>
      </w:r>
    </w:p>
  </w:footnote>
  <w:footnote w:id="56">
    <w:p w14:paraId="14FE28A2" w14:textId="3A58DA34" w:rsidR="00A01D75" w:rsidRPr="003C396A" w:rsidRDefault="00A01D75" w:rsidP="00C37442">
      <w:pPr>
        <w:pStyle w:val="Footnotes"/>
        <w:rPr>
          <w:szCs w:val="22"/>
          <w:lang w:val="en-US"/>
        </w:rPr>
      </w:pPr>
      <w:r w:rsidRPr="003C396A">
        <w:rPr>
          <w:rStyle w:val="FootnoteReference"/>
          <w:szCs w:val="22"/>
        </w:rPr>
        <w:footnoteRef/>
      </w:r>
      <w:r w:rsidRPr="003C396A">
        <w:rPr>
          <w:szCs w:val="22"/>
        </w:rPr>
        <w:t xml:space="preserve"> </w:t>
      </w:r>
      <w:r w:rsidR="007F5CA4" w:rsidRPr="003C396A">
        <w:rPr>
          <w:szCs w:val="22"/>
        </w:rPr>
        <w:t xml:space="preserve">Katrin </w:t>
      </w:r>
      <w:proofErr w:type="spellStart"/>
      <w:r w:rsidR="007F5CA4" w:rsidRPr="003C396A">
        <w:rPr>
          <w:szCs w:val="22"/>
        </w:rPr>
        <w:t>Keßler</w:t>
      </w:r>
      <w:proofErr w:type="spellEnd"/>
      <w:r w:rsidR="007F5CA4" w:rsidRPr="003C396A">
        <w:rPr>
          <w:szCs w:val="22"/>
        </w:rPr>
        <w:t xml:space="preserve">, </w:t>
      </w:r>
      <w:r w:rsidR="00C37442" w:rsidRPr="003C396A">
        <w:rPr>
          <w:szCs w:val="22"/>
        </w:rPr>
        <w:t>“The Jewish Ritual Bath in Germany: Evolution and Statistics,”</w:t>
      </w:r>
      <w:r w:rsidR="007F5CA4" w:rsidRPr="003C396A">
        <w:rPr>
          <w:szCs w:val="22"/>
        </w:rPr>
        <w:t xml:space="preserve"> in </w:t>
      </w:r>
      <w:r w:rsidR="007F5CA4" w:rsidRPr="003C396A">
        <w:rPr>
          <w:i/>
          <w:iCs/>
          <w:szCs w:val="22"/>
        </w:rPr>
        <w:t>Jewish Architecture: New Sources and Approaches</w:t>
      </w:r>
      <w:r w:rsidR="007F5CA4" w:rsidRPr="003C396A">
        <w:rPr>
          <w:szCs w:val="22"/>
        </w:rPr>
        <w:t xml:space="preserve">, eds. Katrin Kessler and Alexander von </w:t>
      </w:r>
      <w:proofErr w:type="spellStart"/>
      <w:r w:rsidR="007F5CA4" w:rsidRPr="003C396A">
        <w:rPr>
          <w:szCs w:val="22"/>
        </w:rPr>
        <w:t>Kienlin</w:t>
      </w:r>
      <w:proofErr w:type="spellEnd"/>
      <w:r w:rsidR="007F5CA4" w:rsidRPr="003C396A">
        <w:rPr>
          <w:szCs w:val="22"/>
        </w:rPr>
        <w:t xml:space="preserve"> (</w:t>
      </w:r>
      <w:proofErr w:type="spellStart"/>
      <w:r w:rsidR="007F5CA4" w:rsidRPr="003C396A">
        <w:rPr>
          <w:szCs w:val="22"/>
        </w:rPr>
        <w:t>Petersberg</w:t>
      </w:r>
      <w:proofErr w:type="spellEnd"/>
      <w:r w:rsidR="007F5CA4" w:rsidRPr="003C396A">
        <w:rPr>
          <w:szCs w:val="22"/>
        </w:rPr>
        <w:t xml:space="preserve">: Michael </w:t>
      </w:r>
      <w:proofErr w:type="spellStart"/>
      <w:r w:rsidR="007F5CA4" w:rsidRPr="003C396A">
        <w:rPr>
          <w:szCs w:val="22"/>
        </w:rPr>
        <w:t>Imhof</w:t>
      </w:r>
      <w:proofErr w:type="spellEnd"/>
      <w:r w:rsidR="007F5CA4" w:rsidRPr="003C396A">
        <w:rPr>
          <w:szCs w:val="22"/>
        </w:rPr>
        <w:t xml:space="preserve"> Verlag, 2015), </w:t>
      </w:r>
      <w:r w:rsidR="00C37442" w:rsidRPr="003C396A">
        <w:rPr>
          <w:szCs w:val="22"/>
        </w:rPr>
        <w:t xml:space="preserve">52–63; </w:t>
      </w:r>
      <w:proofErr w:type="spellStart"/>
      <w:r w:rsidR="007F5CA4" w:rsidRPr="003C396A">
        <w:rPr>
          <w:i/>
          <w:iCs/>
          <w:szCs w:val="22"/>
        </w:rPr>
        <w:t>Mikwe</w:t>
      </w:r>
      <w:proofErr w:type="spellEnd"/>
      <w:r w:rsidR="007F5CA4" w:rsidRPr="003C396A">
        <w:rPr>
          <w:i/>
          <w:iCs/>
          <w:szCs w:val="22"/>
        </w:rPr>
        <w:t xml:space="preserve">: </w:t>
      </w:r>
      <w:proofErr w:type="spellStart"/>
      <w:r w:rsidR="007F5CA4" w:rsidRPr="003C396A">
        <w:rPr>
          <w:i/>
          <w:iCs/>
          <w:szCs w:val="22"/>
        </w:rPr>
        <w:t>Geschichte</w:t>
      </w:r>
      <w:proofErr w:type="spellEnd"/>
      <w:r w:rsidR="007F5CA4" w:rsidRPr="003C396A">
        <w:rPr>
          <w:i/>
          <w:iCs/>
          <w:szCs w:val="22"/>
        </w:rPr>
        <w:t xml:space="preserve"> und </w:t>
      </w:r>
      <w:proofErr w:type="spellStart"/>
      <w:r w:rsidR="007F5CA4" w:rsidRPr="003C396A">
        <w:rPr>
          <w:i/>
          <w:iCs/>
          <w:szCs w:val="22"/>
        </w:rPr>
        <w:t>Architektur</w:t>
      </w:r>
      <w:proofErr w:type="spellEnd"/>
      <w:r w:rsidR="007F5CA4" w:rsidRPr="003C396A">
        <w:rPr>
          <w:i/>
          <w:iCs/>
          <w:szCs w:val="22"/>
        </w:rPr>
        <w:t xml:space="preserve"> </w:t>
      </w:r>
      <w:proofErr w:type="spellStart"/>
      <w:r w:rsidR="007F5CA4" w:rsidRPr="003C396A">
        <w:rPr>
          <w:i/>
          <w:iCs/>
          <w:szCs w:val="22"/>
        </w:rPr>
        <w:t>jüdischer</w:t>
      </w:r>
      <w:proofErr w:type="spellEnd"/>
      <w:r w:rsidR="007F5CA4" w:rsidRPr="003C396A">
        <w:rPr>
          <w:i/>
          <w:iCs/>
          <w:szCs w:val="22"/>
        </w:rPr>
        <w:t xml:space="preserve"> </w:t>
      </w:r>
      <w:proofErr w:type="spellStart"/>
      <w:r w:rsidR="007F5CA4" w:rsidRPr="003C396A">
        <w:rPr>
          <w:i/>
          <w:iCs/>
          <w:szCs w:val="22"/>
        </w:rPr>
        <w:t>Ritualbäder</w:t>
      </w:r>
      <w:proofErr w:type="spellEnd"/>
      <w:r w:rsidR="007F5CA4" w:rsidRPr="003C396A">
        <w:rPr>
          <w:i/>
          <w:iCs/>
          <w:szCs w:val="22"/>
        </w:rPr>
        <w:t xml:space="preserve"> in Deutschland</w:t>
      </w:r>
      <w:r w:rsidR="007F5CA4" w:rsidRPr="003C396A">
        <w:rPr>
          <w:szCs w:val="22"/>
        </w:rPr>
        <w:t xml:space="preserve">, ed. Georg </w:t>
      </w:r>
      <w:proofErr w:type="spellStart"/>
      <w:r w:rsidR="007F5CA4" w:rsidRPr="003C396A">
        <w:rPr>
          <w:szCs w:val="22"/>
        </w:rPr>
        <w:t>Heuberger</w:t>
      </w:r>
      <w:proofErr w:type="spellEnd"/>
      <w:r w:rsidR="007F5CA4" w:rsidRPr="003C396A">
        <w:rPr>
          <w:szCs w:val="22"/>
        </w:rPr>
        <w:t xml:space="preserve"> (Frankfurt: </w:t>
      </w:r>
      <w:proofErr w:type="spellStart"/>
      <w:r w:rsidR="007F5CA4" w:rsidRPr="003C396A">
        <w:rPr>
          <w:szCs w:val="22"/>
        </w:rPr>
        <w:t>Jüdisches</w:t>
      </w:r>
      <w:proofErr w:type="spellEnd"/>
      <w:r w:rsidR="007F5CA4" w:rsidRPr="003C396A">
        <w:rPr>
          <w:szCs w:val="22"/>
        </w:rPr>
        <w:t xml:space="preserve"> Museum der Stadt Frankfurt am Main, 1992).</w:t>
      </w:r>
      <w:r w:rsidR="00CA4A4D" w:rsidRPr="003C396A">
        <w:rPr>
          <w:szCs w:val="22"/>
        </w:rPr>
        <w:t xml:space="preserve"> </w:t>
      </w:r>
    </w:p>
  </w:footnote>
  <w:footnote w:id="57">
    <w:p w14:paraId="7F07C337" w14:textId="223010E7" w:rsidR="00A845D8" w:rsidRPr="003C396A" w:rsidRDefault="00A845D8" w:rsidP="00A845D8">
      <w:pPr>
        <w:pStyle w:val="Footnotes"/>
        <w:rPr>
          <w:szCs w:val="22"/>
          <w:lang w:val="en-US"/>
        </w:rPr>
      </w:pPr>
      <w:r w:rsidRPr="003C396A">
        <w:rPr>
          <w:rStyle w:val="FootnoteTextChar1"/>
          <w:szCs w:val="22"/>
        </w:rPr>
        <w:footnoteRef/>
      </w:r>
      <w:r w:rsidRPr="003C396A">
        <w:rPr>
          <w:szCs w:val="22"/>
        </w:rPr>
        <w:t xml:space="preserve"> </w:t>
      </w:r>
      <w:bookmarkStart w:id="61" w:name="_Hlk96614416"/>
      <w:proofErr w:type="spellStart"/>
      <w:r w:rsidR="006E6519" w:rsidRPr="003C396A">
        <w:rPr>
          <w:szCs w:val="22"/>
        </w:rPr>
        <w:t>Elisheva</w:t>
      </w:r>
      <w:proofErr w:type="spellEnd"/>
      <w:r w:rsidR="006E6519" w:rsidRPr="003C396A">
        <w:rPr>
          <w:szCs w:val="22"/>
        </w:rPr>
        <w:t xml:space="preserve"> Baumgarten,</w:t>
      </w:r>
      <w:bookmarkEnd w:id="61"/>
      <w:r w:rsidR="006E6519" w:rsidRPr="003C396A">
        <w:rPr>
          <w:szCs w:val="22"/>
        </w:rPr>
        <w:t xml:space="preserve"> </w:t>
      </w:r>
      <w:r w:rsidR="006E6519" w:rsidRPr="003C396A">
        <w:rPr>
          <w:i/>
          <w:iCs/>
          <w:szCs w:val="22"/>
        </w:rPr>
        <w:t xml:space="preserve">Practicing Piety in Medieval </w:t>
      </w:r>
      <w:proofErr w:type="spellStart"/>
      <w:r w:rsidR="006E6519" w:rsidRPr="003C396A">
        <w:rPr>
          <w:i/>
          <w:iCs/>
          <w:szCs w:val="22"/>
        </w:rPr>
        <w:t>Ashkenaz</w:t>
      </w:r>
      <w:proofErr w:type="spellEnd"/>
      <w:r w:rsidR="006E6519" w:rsidRPr="003C396A">
        <w:rPr>
          <w:i/>
          <w:iCs/>
          <w:szCs w:val="22"/>
        </w:rPr>
        <w:t>: Men, Women, and Everyday Religious Observance</w:t>
      </w:r>
      <w:r w:rsidR="006E6519" w:rsidRPr="003C396A">
        <w:rPr>
          <w:szCs w:val="22"/>
        </w:rPr>
        <w:t xml:space="preserve"> (Philadelphia, 2014), 21–50 (“Standing Before God: Purity and Impurity in the Synagogue”). </w:t>
      </w:r>
      <w:r w:rsidR="00671AA1" w:rsidRPr="003C396A">
        <w:rPr>
          <w:szCs w:val="22"/>
        </w:rPr>
        <w:t xml:space="preserve">Cf. also Shaye J. D. Cohen, “Purity and Piety: The Separation of Menstruants from the Sancta,” in </w:t>
      </w:r>
      <w:r w:rsidR="00671AA1" w:rsidRPr="003C396A">
        <w:rPr>
          <w:i/>
          <w:iCs/>
          <w:szCs w:val="22"/>
        </w:rPr>
        <w:t>Daughters of the King</w:t>
      </w:r>
      <w:r w:rsidR="00671AA1" w:rsidRPr="003C396A">
        <w:rPr>
          <w:szCs w:val="22"/>
        </w:rPr>
        <w:t>, eds. Susan Grossman and Rivka Haut (Philadelphia: Jewish Publication Society, 1992), 103–15.</w:t>
      </w:r>
    </w:p>
  </w:footnote>
  <w:footnote w:id="58">
    <w:p w14:paraId="599AF02B" w14:textId="39D86D10" w:rsidR="00B65299" w:rsidRPr="003C396A" w:rsidRDefault="00B65299" w:rsidP="009B4630">
      <w:pPr>
        <w:pStyle w:val="Footnotes"/>
        <w:rPr>
          <w:szCs w:val="22"/>
          <w:lang w:val="en-US"/>
        </w:rPr>
      </w:pPr>
      <w:r w:rsidRPr="003C396A">
        <w:rPr>
          <w:rStyle w:val="FootnoteReference"/>
          <w:szCs w:val="22"/>
        </w:rPr>
        <w:footnoteRef/>
      </w:r>
      <w:r w:rsidRPr="003C396A">
        <w:rPr>
          <w:szCs w:val="22"/>
        </w:rPr>
        <w:t xml:space="preserve"> </w:t>
      </w:r>
      <w:r w:rsidR="006E6519" w:rsidRPr="003C396A">
        <w:rPr>
          <w:szCs w:val="22"/>
        </w:rPr>
        <w:t xml:space="preserve">Jeffrey </w:t>
      </w:r>
      <w:bookmarkStart w:id="62" w:name="_Hlk96619228"/>
      <w:r w:rsidR="006E6519" w:rsidRPr="003C396A">
        <w:rPr>
          <w:szCs w:val="22"/>
        </w:rPr>
        <w:t xml:space="preserve">Woolf, </w:t>
      </w:r>
      <w:r w:rsidR="006E6519" w:rsidRPr="003C396A">
        <w:rPr>
          <w:i/>
          <w:iCs/>
          <w:szCs w:val="22"/>
        </w:rPr>
        <w:t xml:space="preserve">The Fabric of Religious Life in Medieval </w:t>
      </w:r>
      <w:proofErr w:type="spellStart"/>
      <w:r w:rsidR="006E6519" w:rsidRPr="003C396A">
        <w:rPr>
          <w:i/>
          <w:iCs/>
          <w:szCs w:val="22"/>
        </w:rPr>
        <w:t>Ashkenaz</w:t>
      </w:r>
      <w:proofErr w:type="spellEnd"/>
      <w:r w:rsidR="006E6519" w:rsidRPr="003C396A">
        <w:rPr>
          <w:i/>
          <w:iCs/>
          <w:szCs w:val="22"/>
        </w:rPr>
        <w:t xml:space="preserve"> </w:t>
      </w:r>
      <w:bookmarkEnd w:id="62"/>
      <w:r w:rsidR="006E6519" w:rsidRPr="003C396A">
        <w:rPr>
          <w:i/>
          <w:iCs/>
          <w:szCs w:val="22"/>
        </w:rPr>
        <w:t>(1000–1300): Creating Sacred Communities</w:t>
      </w:r>
      <w:r w:rsidR="006E6519" w:rsidRPr="003C396A">
        <w:rPr>
          <w:szCs w:val="22"/>
        </w:rPr>
        <w:t xml:space="preserve"> (Leiden and Boston: Brill, 2015), 21, see also 89–95, 136, 142.</w:t>
      </w:r>
    </w:p>
  </w:footnote>
  <w:footnote w:id="59">
    <w:p w14:paraId="2BE086F0" w14:textId="041B4C8F" w:rsidR="00512C76" w:rsidRPr="003C396A" w:rsidRDefault="00512C76" w:rsidP="00996C1F">
      <w:pPr>
        <w:pStyle w:val="Footnotes"/>
        <w:rPr>
          <w:szCs w:val="22"/>
          <w:lang w:val="en-US"/>
        </w:rPr>
      </w:pPr>
      <w:r w:rsidRPr="003C396A">
        <w:rPr>
          <w:rStyle w:val="FootnoteReference"/>
          <w:szCs w:val="22"/>
        </w:rPr>
        <w:footnoteRef/>
      </w:r>
      <w:r w:rsidRPr="003C396A">
        <w:rPr>
          <w:szCs w:val="22"/>
        </w:rPr>
        <w:t xml:space="preserve"> </w:t>
      </w:r>
      <w:r w:rsidR="00996C1F" w:rsidRPr="003C396A">
        <w:rPr>
          <w:szCs w:val="22"/>
        </w:rPr>
        <w:t xml:space="preserve">Vladimir Levin, “The Architecture of Gender: Women in the Eastern European Synagogue,” </w:t>
      </w:r>
      <w:r w:rsidR="00996C1F" w:rsidRPr="003C396A">
        <w:rPr>
          <w:i/>
          <w:iCs/>
          <w:szCs w:val="22"/>
        </w:rPr>
        <w:t>Jewish History</w:t>
      </w:r>
      <w:r w:rsidR="00996C1F" w:rsidRPr="003C396A">
        <w:rPr>
          <w:szCs w:val="22"/>
        </w:rPr>
        <w:t xml:space="preserve"> 35 (2021): 89–134; Moshe Rosman, “Ashkenazic Women’s Participation in Public Worship: Four Hundred Years Moving Toward the </w:t>
      </w:r>
      <w:proofErr w:type="spellStart"/>
      <w:r w:rsidR="00996C1F" w:rsidRPr="003C396A">
        <w:rPr>
          <w:szCs w:val="22"/>
        </w:rPr>
        <w:t>Center</w:t>
      </w:r>
      <w:proofErr w:type="spellEnd"/>
      <w:r w:rsidR="00996C1F" w:rsidRPr="003C396A">
        <w:rPr>
          <w:szCs w:val="22"/>
        </w:rPr>
        <w:t xml:space="preserve">,” in </w:t>
      </w:r>
      <w:proofErr w:type="spellStart"/>
      <w:r w:rsidR="00996C1F" w:rsidRPr="003C396A">
        <w:rPr>
          <w:i/>
          <w:iCs/>
          <w:szCs w:val="22"/>
        </w:rPr>
        <w:t>Ushmu’el</w:t>
      </w:r>
      <w:proofErr w:type="spellEnd"/>
      <w:r w:rsidR="00996C1F" w:rsidRPr="003C396A">
        <w:rPr>
          <w:i/>
          <w:iCs/>
          <w:szCs w:val="22"/>
        </w:rPr>
        <w:t xml:space="preserve"> </w:t>
      </w:r>
      <w:proofErr w:type="spellStart"/>
      <w:r w:rsidR="00996C1F" w:rsidRPr="003C396A">
        <w:rPr>
          <w:i/>
          <w:iCs/>
          <w:szCs w:val="22"/>
        </w:rPr>
        <w:t>Beqore’e</w:t>
      </w:r>
      <w:proofErr w:type="spellEnd"/>
      <w:r w:rsidR="00996C1F" w:rsidRPr="003C396A">
        <w:rPr>
          <w:i/>
          <w:iCs/>
          <w:szCs w:val="22"/>
        </w:rPr>
        <w:t xml:space="preserve"> </w:t>
      </w:r>
      <w:proofErr w:type="spellStart"/>
      <w:r w:rsidR="00996C1F" w:rsidRPr="003C396A">
        <w:rPr>
          <w:i/>
          <w:iCs/>
          <w:szCs w:val="22"/>
        </w:rPr>
        <w:t>Shemo</w:t>
      </w:r>
      <w:proofErr w:type="spellEnd"/>
      <w:r w:rsidR="00996C1F" w:rsidRPr="003C396A">
        <w:rPr>
          <w:i/>
          <w:iCs/>
          <w:szCs w:val="22"/>
        </w:rPr>
        <w:t>: Shmuel (Samuel) Leiter Memorial Volume</w:t>
      </w:r>
      <w:r w:rsidR="00996C1F" w:rsidRPr="003C396A">
        <w:rPr>
          <w:szCs w:val="22"/>
        </w:rPr>
        <w:t xml:space="preserve">, ed. </w:t>
      </w:r>
      <w:proofErr w:type="spellStart"/>
      <w:r w:rsidR="00996C1F" w:rsidRPr="003C396A">
        <w:rPr>
          <w:szCs w:val="22"/>
        </w:rPr>
        <w:t>Shamma</w:t>
      </w:r>
      <w:proofErr w:type="spellEnd"/>
      <w:r w:rsidR="00996C1F" w:rsidRPr="003C396A">
        <w:rPr>
          <w:szCs w:val="22"/>
        </w:rPr>
        <w:t xml:space="preserve"> Friedman et al. (Jerusalem, </w:t>
      </w:r>
      <w:r w:rsidR="00671AA1" w:rsidRPr="003C396A">
        <w:rPr>
          <w:szCs w:val="22"/>
        </w:rPr>
        <w:t xml:space="preserve">The </w:t>
      </w:r>
      <w:r w:rsidR="00996C1F" w:rsidRPr="003C396A">
        <w:rPr>
          <w:szCs w:val="22"/>
        </w:rPr>
        <w:t>Bialik Institute</w:t>
      </w:r>
      <w:r w:rsidR="00671AA1" w:rsidRPr="003C396A">
        <w:rPr>
          <w:szCs w:val="22"/>
        </w:rPr>
        <w:t xml:space="preserve">, </w:t>
      </w:r>
      <w:r w:rsidR="00996C1F" w:rsidRPr="003C396A">
        <w:rPr>
          <w:szCs w:val="22"/>
        </w:rPr>
        <w:t>2016), 248–49</w:t>
      </w:r>
      <w:r w:rsidR="00671AA1" w:rsidRPr="003C396A">
        <w:rPr>
          <w:szCs w:val="22"/>
        </w:rPr>
        <w:t xml:space="preserve">; </w:t>
      </w:r>
      <w:r w:rsidR="00996C1F" w:rsidRPr="003C396A">
        <w:rPr>
          <w:szCs w:val="22"/>
        </w:rPr>
        <w:t xml:space="preserve">Moshe Rosman, “The History of Jewish Women in Early Modern Poland: An Assessment,” </w:t>
      </w:r>
      <w:proofErr w:type="spellStart"/>
      <w:r w:rsidR="00996C1F" w:rsidRPr="003C396A">
        <w:rPr>
          <w:i/>
          <w:iCs/>
          <w:szCs w:val="22"/>
        </w:rPr>
        <w:t>Polin</w:t>
      </w:r>
      <w:proofErr w:type="spellEnd"/>
      <w:r w:rsidR="00996C1F" w:rsidRPr="003C396A">
        <w:rPr>
          <w:szCs w:val="22"/>
        </w:rPr>
        <w:t xml:space="preserve"> 18 (2007): 46–50; Paulus, </w:t>
      </w:r>
      <w:r w:rsidR="00996C1F" w:rsidRPr="003C396A">
        <w:rPr>
          <w:i/>
          <w:iCs/>
          <w:szCs w:val="22"/>
        </w:rPr>
        <w:t xml:space="preserve">Die </w:t>
      </w:r>
      <w:proofErr w:type="spellStart"/>
      <w:r w:rsidR="00996C1F" w:rsidRPr="003C396A">
        <w:rPr>
          <w:i/>
          <w:iCs/>
          <w:szCs w:val="22"/>
        </w:rPr>
        <w:t>Architektur</w:t>
      </w:r>
      <w:proofErr w:type="spellEnd"/>
      <w:r w:rsidR="00996C1F" w:rsidRPr="003C396A">
        <w:rPr>
          <w:i/>
          <w:iCs/>
          <w:szCs w:val="22"/>
        </w:rPr>
        <w:t xml:space="preserve"> der </w:t>
      </w:r>
      <w:proofErr w:type="spellStart"/>
      <w:r w:rsidR="00996C1F" w:rsidRPr="003C396A">
        <w:rPr>
          <w:i/>
          <w:iCs/>
          <w:szCs w:val="22"/>
        </w:rPr>
        <w:t>Synagoge</w:t>
      </w:r>
      <w:proofErr w:type="spellEnd"/>
      <w:r w:rsidR="00996C1F" w:rsidRPr="003C396A">
        <w:rPr>
          <w:i/>
          <w:iCs/>
          <w:szCs w:val="22"/>
        </w:rPr>
        <w:t xml:space="preserve"> </w:t>
      </w:r>
      <w:proofErr w:type="spellStart"/>
      <w:r w:rsidR="00996C1F" w:rsidRPr="003C396A">
        <w:rPr>
          <w:i/>
          <w:iCs/>
          <w:szCs w:val="22"/>
        </w:rPr>
        <w:t>im</w:t>
      </w:r>
      <w:proofErr w:type="spellEnd"/>
      <w:r w:rsidR="00996C1F" w:rsidRPr="003C396A">
        <w:rPr>
          <w:i/>
          <w:iCs/>
          <w:szCs w:val="22"/>
        </w:rPr>
        <w:t xml:space="preserve"> </w:t>
      </w:r>
      <w:proofErr w:type="spellStart"/>
      <w:r w:rsidR="00996C1F" w:rsidRPr="003C396A">
        <w:rPr>
          <w:i/>
          <w:iCs/>
          <w:szCs w:val="22"/>
        </w:rPr>
        <w:t>Mittelalter</w:t>
      </w:r>
      <w:proofErr w:type="spellEnd"/>
      <w:r w:rsidR="00996C1F" w:rsidRPr="003C396A">
        <w:rPr>
          <w:szCs w:val="22"/>
        </w:rPr>
        <w:t xml:space="preserve">, 509–11; Carol </w:t>
      </w:r>
      <w:proofErr w:type="spellStart"/>
      <w:r w:rsidR="00996C1F" w:rsidRPr="003C396A">
        <w:rPr>
          <w:szCs w:val="22"/>
        </w:rPr>
        <w:t>Herselle</w:t>
      </w:r>
      <w:proofErr w:type="spellEnd"/>
      <w:r w:rsidR="00996C1F" w:rsidRPr="003C396A">
        <w:rPr>
          <w:szCs w:val="22"/>
        </w:rPr>
        <w:t xml:space="preserve"> </w:t>
      </w:r>
      <w:proofErr w:type="spellStart"/>
      <w:r w:rsidR="00996C1F" w:rsidRPr="003C396A">
        <w:rPr>
          <w:szCs w:val="22"/>
        </w:rPr>
        <w:t>Krinsky</w:t>
      </w:r>
      <w:proofErr w:type="spellEnd"/>
      <w:r w:rsidR="00996C1F" w:rsidRPr="003C396A">
        <w:rPr>
          <w:szCs w:val="22"/>
        </w:rPr>
        <w:t xml:space="preserve">, </w:t>
      </w:r>
      <w:r w:rsidR="00996C1F" w:rsidRPr="003C396A">
        <w:rPr>
          <w:i/>
          <w:iCs/>
          <w:szCs w:val="22"/>
        </w:rPr>
        <w:t>Synagogues of Europe: Architecture, History, Meaning</w:t>
      </w:r>
      <w:r w:rsidR="00996C1F" w:rsidRPr="003C396A">
        <w:rPr>
          <w:szCs w:val="22"/>
        </w:rPr>
        <w:t xml:space="preserve"> (New York: Architectural History Foundation and MIT Press, 1985), 28–31</w:t>
      </w:r>
      <w:r w:rsidR="00671AA1" w:rsidRPr="003C396A">
        <w:rPr>
          <w:szCs w:val="22"/>
        </w:rPr>
        <w:t>.</w:t>
      </w:r>
    </w:p>
  </w:footnote>
  <w:footnote w:id="60">
    <w:p w14:paraId="2E1B61D5" w14:textId="77777777" w:rsidR="00A20205" w:rsidRPr="003C396A" w:rsidRDefault="00A20205" w:rsidP="00A20205">
      <w:pPr>
        <w:pStyle w:val="Footnotes"/>
        <w:rPr>
          <w:szCs w:val="22"/>
          <w:lang w:val="de-DE"/>
        </w:rPr>
      </w:pPr>
      <w:r w:rsidRPr="003C396A">
        <w:rPr>
          <w:rStyle w:val="FootnoteTextChar1"/>
          <w:szCs w:val="22"/>
        </w:rPr>
        <w:footnoteRef/>
      </w:r>
      <w:r w:rsidRPr="003C396A">
        <w:rPr>
          <w:szCs w:val="22"/>
        </w:rPr>
        <w:t xml:space="preserve"> Richard </w:t>
      </w:r>
      <w:proofErr w:type="spellStart"/>
      <w:r w:rsidRPr="003C396A">
        <w:rPr>
          <w:szCs w:val="22"/>
        </w:rPr>
        <w:t>Krautheimer</w:t>
      </w:r>
      <w:proofErr w:type="spellEnd"/>
      <w:r w:rsidRPr="003C396A">
        <w:rPr>
          <w:szCs w:val="22"/>
        </w:rPr>
        <w:t xml:space="preserve">, “Introduction to an ‘Iconography of Mediaeval Architecture’,” </w:t>
      </w:r>
      <w:r w:rsidRPr="003C396A">
        <w:rPr>
          <w:i/>
          <w:iCs/>
          <w:szCs w:val="22"/>
        </w:rPr>
        <w:t xml:space="preserve">Journal of the Warburg and </w:t>
      </w:r>
      <w:proofErr w:type="spellStart"/>
      <w:r w:rsidRPr="003C396A">
        <w:rPr>
          <w:i/>
          <w:iCs/>
          <w:szCs w:val="22"/>
        </w:rPr>
        <w:t>Courtauld</w:t>
      </w:r>
      <w:proofErr w:type="spellEnd"/>
      <w:r w:rsidRPr="003C396A">
        <w:rPr>
          <w:i/>
          <w:iCs/>
          <w:szCs w:val="22"/>
        </w:rPr>
        <w:t xml:space="preserve"> Institutes </w:t>
      </w:r>
      <w:r w:rsidRPr="003C396A">
        <w:rPr>
          <w:szCs w:val="22"/>
        </w:rPr>
        <w:t xml:space="preserve">5 (1942), 1–33; and Catherine Carver </w:t>
      </w:r>
      <w:proofErr w:type="spellStart"/>
      <w:r w:rsidRPr="003C396A">
        <w:rPr>
          <w:szCs w:val="22"/>
        </w:rPr>
        <w:t>McCurrach</w:t>
      </w:r>
      <w:proofErr w:type="spellEnd"/>
      <w:r w:rsidRPr="003C396A">
        <w:rPr>
          <w:szCs w:val="22"/>
        </w:rPr>
        <w:t>, “‘</w:t>
      </w:r>
      <w:proofErr w:type="spellStart"/>
      <w:r w:rsidRPr="003C396A">
        <w:rPr>
          <w:szCs w:val="22"/>
        </w:rPr>
        <w:t>Renovatio</w:t>
      </w:r>
      <w:proofErr w:type="spellEnd"/>
      <w:r w:rsidRPr="003C396A">
        <w:rPr>
          <w:szCs w:val="22"/>
        </w:rPr>
        <w:t xml:space="preserve">’ Reconsidered: Richard </w:t>
      </w:r>
      <w:proofErr w:type="spellStart"/>
      <w:r w:rsidRPr="003C396A">
        <w:rPr>
          <w:szCs w:val="22"/>
        </w:rPr>
        <w:t>Krautheimer</w:t>
      </w:r>
      <w:proofErr w:type="spellEnd"/>
      <w:r w:rsidRPr="003C396A">
        <w:rPr>
          <w:szCs w:val="22"/>
        </w:rPr>
        <w:t xml:space="preserve"> and the Iconography of Architecture,” </w:t>
      </w:r>
      <w:proofErr w:type="spellStart"/>
      <w:r w:rsidRPr="003C396A">
        <w:rPr>
          <w:i/>
          <w:iCs/>
          <w:szCs w:val="22"/>
        </w:rPr>
        <w:t>Gesta</w:t>
      </w:r>
      <w:proofErr w:type="spellEnd"/>
      <w:r w:rsidRPr="003C396A">
        <w:rPr>
          <w:szCs w:val="22"/>
        </w:rPr>
        <w:t xml:space="preserve"> 50, 1 (2011): 41–69. See also </w:t>
      </w:r>
      <w:r w:rsidRPr="003C396A">
        <w:rPr>
          <w:i/>
          <w:iCs/>
          <w:szCs w:val="22"/>
        </w:rPr>
        <w:t>Sacred Scripture – Sacred Space: The Interlacing of Real Places and Conceptual Spaces in Medieval Art and Architecture</w:t>
      </w:r>
      <w:r w:rsidRPr="003C396A">
        <w:rPr>
          <w:szCs w:val="22"/>
        </w:rPr>
        <w:t xml:space="preserve">, eds. </w:t>
      </w:r>
      <w:r w:rsidRPr="003C396A">
        <w:rPr>
          <w:szCs w:val="22"/>
          <w:lang w:val="de-DE"/>
        </w:rPr>
        <w:t xml:space="preserve">Tobias Frese, Wilfried E. Keil and Kristina Krüger (Berlin: De Gruyter, 2019). </w:t>
      </w:r>
    </w:p>
  </w:footnote>
  <w:footnote w:id="61">
    <w:p w14:paraId="6382D8AE" w14:textId="13EE03DC" w:rsidR="00703CEC" w:rsidRPr="003C396A" w:rsidRDefault="00703CEC" w:rsidP="00703CEC">
      <w:pPr>
        <w:pStyle w:val="Footnotes"/>
        <w:rPr>
          <w:szCs w:val="22"/>
          <w:lang w:val="fr-FR"/>
        </w:rPr>
      </w:pPr>
      <w:r w:rsidRPr="003C396A">
        <w:rPr>
          <w:rStyle w:val="FootnoteTextChar1"/>
          <w:szCs w:val="22"/>
        </w:rPr>
        <w:footnoteRef/>
      </w:r>
      <w:r w:rsidRPr="003C396A">
        <w:rPr>
          <w:szCs w:val="22"/>
          <w:lang w:val="fr-FR"/>
        </w:rPr>
        <w:t xml:space="preserve"> </w:t>
      </w:r>
      <w:proofErr w:type="spellStart"/>
      <w:r w:rsidRPr="003C396A">
        <w:rPr>
          <w:szCs w:val="22"/>
          <w:lang w:val="fr-FR"/>
        </w:rPr>
        <w:t>See</w:t>
      </w:r>
      <w:proofErr w:type="spellEnd"/>
      <w:r w:rsidRPr="003C396A">
        <w:rPr>
          <w:szCs w:val="22"/>
          <w:lang w:val="fr-FR"/>
        </w:rPr>
        <w:t xml:space="preserve"> Michel Foucault, “Des espaces </w:t>
      </w:r>
      <w:proofErr w:type="gramStart"/>
      <w:r w:rsidRPr="003C396A">
        <w:rPr>
          <w:szCs w:val="22"/>
          <w:lang w:val="fr-FR"/>
        </w:rPr>
        <w:t>autres:</w:t>
      </w:r>
      <w:proofErr w:type="gramEnd"/>
      <w:r w:rsidRPr="003C396A">
        <w:rPr>
          <w:szCs w:val="22"/>
          <w:lang w:val="fr-FR"/>
        </w:rPr>
        <w:t xml:space="preserve"> Hétérotopies,” in Michel Foucault, </w:t>
      </w:r>
      <w:r w:rsidRPr="003C396A">
        <w:rPr>
          <w:i/>
          <w:iCs/>
          <w:szCs w:val="22"/>
          <w:lang w:val="fr-FR"/>
        </w:rPr>
        <w:t>Dits et écrits, 1954–1988</w:t>
      </w:r>
      <w:r w:rsidRPr="003C396A">
        <w:rPr>
          <w:szCs w:val="22"/>
          <w:lang w:val="fr-FR"/>
        </w:rPr>
        <w:t xml:space="preserve"> 4 (Paris: Editions Gallimard, 1994): 752–62.</w:t>
      </w:r>
    </w:p>
  </w:footnote>
  <w:footnote w:id="62">
    <w:p w14:paraId="2DBF7FF3" w14:textId="77777777" w:rsidR="00703CEC" w:rsidRPr="003C396A" w:rsidRDefault="00703CEC" w:rsidP="00703CEC">
      <w:pPr>
        <w:pStyle w:val="Footnotes"/>
        <w:rPr>
          <w:szCs w:val="22"/>
          <w:lang w:val="en-US"/>
        </w:rPr>
      </w:pPr>
      <w:r w:rsidRPr="003C396A">
        <w:rPr>
          <w:rStyle w:val="FootnoteTextChar1"/>
          <w:szCs w:val="22"/>
        </w:rPr>
        <w:footnoteRef/>
      </w:r>
      <w:r w:rsidRPr="003C396A">
        <w:rPr>
          <w:szCs w:val="22"/>
        </w:rPr>
        <w:t xml:space="preserve"> Jonathan Z. Smith, “Constructing a Small Place,” in </w:t>
      </w:r>
      <w:r w:rsidRPr="003C396A">
        <w:rPr>
          <w:i/>
          <w:iCs/>
          <w:szCs w:val="22"/>
        </w:rPr>
        <w:t>Sacred Space: Shrine, City, Land</w:t>
      </w:r>
      <w:r w:rsidRPr="003C396A">
        <w:rPr>
          <w:szCs w:val="22"/>
        </w:rPr>
        <w:t xml:space="preserve">, eds. Benjamin Z. </w:t>
      </w:r>
      <w:proofErr w:type="spellStart"/>
      <w:r w:rsidRPr="003C396A">
        <w:rPr>
          <w:szCs w:val="22"/>
        </w:rPr>
        <w:t>Kedar</w:t>
      </w:r>
      <w:proofErr w:type="spellEnd"/>
      <w:r w:rsidRPr="003C396A">
        <w:rPr>
          <w:szCs w:val="22"/>
        </w:rPr>
        <w:t xml:space="preserve"> and Raphael J. </w:t>
      </w:r>
      <w:proofErr w:type="spellStart"/>
      <w:r w:rsidRPr="003C396A">
        <w:rPr>
          <w:szCs w:val="22"/>
        </w:rPr>
        <w:t>Zwi</w:t>
      </w:r>
      <w:proofErr w:type="spellEnd"/>
      <w:r w:rsidRPr="003C396A">
        <w:rPr>
          <w:szCs w:val="22"/>
        </w:rPr>
        <w:t xml:space="preserve"> </w:t>
      </w:r>
      <w:proofErr w:type="spellStart"/>
      <w:r w:rsidRPr="003C396A">
        <w:rPr>
          <w:szCs w:val="22"/>
        </w:rPr>
        <w:t>Werblowsky</w:t>
      </w:r>
      <w:proofErr w:type="spellEnd"/>
      <w:r w:rsidRPr="003C396A">
        <w:rPr>
          <w:szCs w:val="22"/>
        </w:rPr>
        <w:t xml:space="preserve"> (Jerusalem and London: Macmillan and Israel Academy of Arts and Sciences, 1998), 18.</w:t>
      </w:r>
    </w:p>
  </w:footnote>
  <w:footnote w:id="63">
    <w:p w14:paraId="14C9F68C" w14:textId="5A876A37" w:rsidR="00CF5179" w:rsidRPr="003C396A" w:rsidRDefault="00CF5179" w:rsidP="0059793D">
      <w:pPr>
        <w:pStyle w:val="Footnotes"/>
        <w:rPr>
          <w:szCs w:val="22"/>
          <w:lang w:val="en-US"/>
        </w:rPr>
      </w:pPr>
      <w:r w:rsidRPr="003C396A">
        <w:rPr>
          <w:rStyle w:val="FootnoteReference"/>
          <w:szCs w:val="22"/>
        </w:rPr>
        <w:footnoteRef/>
      </w:r>
      <w:r w:rsidRPr="003C396A">
        <w:rPr>
          <w:szCs w:val="22"/>
        </w:rPr>
        <w:t xml:space="preserve"> </w:t>
      </w:r>
      <w:proofErr w:type="spellStart"/>
      <w:r w:rsidR="0059793D" w:rsidRPr="003C396A">
        <w:rPr>
          <w:szCs w:val="22"/>
        </w:rPr>
        <w:t>Rendsburg</w:t>
      </w:r>
      <w:proofErr w:type="spellEnd"/>
      <w:r w:rsidR="0059793D" w:rsidRPr="003C396A">
        <w:rPr>
          <w:szCs w:val="22"/>
        </w:rPr>
        <w:t xml:space="preserve">, “Sacred Space in Judaism after the Temple,” 31–36. </w:t>
      </w:r>
      <w:proofErr w:type="spellStart"/>
      <w:r w:rsidRPr="003C396A">
        <w:rPr>
          <w:szCs w:val="22"/>
        </w:rPr>
        <w:t>Rendsburg</w:t>
      </w:r>
      <w:proofErr w:type="spellEnd"/>
      <w:r w:rsidRPr="003C396A">
        <w:rPr>
          <w:szCs w:val="22"/>
        </w:rPr>
        <w:t xml:space="preserve"> </w:t>
      </w:r>
      <w:r w:rsidR="00703CEC" w:rsidRPr="003C396A">
        <w:rPr>
          <w:szCs w:val="22"/>
        </w:rPr>
        <w:t xml:space="preserve">believed that </w:t>
      </w:r>
      <w:r w:rsidRPr="003C396A">
        <w:rPr>
          <w:szCs w:val="22"/>
        </w:rPr>
        <w:t xml:space="preserve">the triple gate </w:t>
      </w:r>
      <w:r w:rsidR="00B94480" w:rsidRPr="003C396A">
        <w:rPr>
          <w:szCs w:val="22"/>
        </w:rPr>
        <w:t>leading to the Herodian Temple’s courts</w:t>
      </w:r>
      <w:r w:rsidR="00703CEC" w:rsidRPr="003C396A">
        <w:rPr>
          <w:szCs w:val="22"/>
        </w:rPr>
        <w:t xml:space="preserve"> could serve an additional model for synagogue façades.  </w:t>
      </w:r>
      <w:r w:rsidR="0059793D" w:rsidRPr="003C396A">
        <w:rPr>
          <w:szCs w:val="22"/>
        </w:rPr>
        <w:t xml:space="preserve">  </w:t>
      </w:r>
      <w:r w:rsidR="00B94480" w:rsidRPr="003C396A">
        <w:rPr>
          <w:szCs w:val="22"/>
        </w:rPr>
        <w:t xml:space="preserve"> </w:t>
      </w:r>
    </w:p>
  </w:footnote>
  <w:footnote w:id="64">
    <w:p w14:paraId="0CBAD38E" w14:textId="77777777" w:rsidR="00A95028" w:rsidRPr="003C396A" w:rsidRDefault="00A95028" w:rsidP="00A95028">
      <w:pPr>
        <w:pStyle w:val="Footnotes"/>
        <w:rPr>
          <w:szCs w:val="22"/>
          <w:lang w:val="en-US"/>
        </w:rPr>
      </w:pPr>
      <w:r w:rsidRPr="003C396A">
        <w:rPr>
          <w:rStyle w:val="FootnoteReference"/>
          <w:szCs w:val="22"/>
        </w:rPr>
        <w:footnoteRef/>
      </w:r>
      <w:r w:rsidRPr="003C396A">
        <w:rPr>
          <w:szCs w:val="22"/>
        </w:rPr>
        <w:t xml:space="preserve"> Joan R. Branham, “Penetrating the Sacred:  Breaches and Barriers in the Jerusalem Temple,” in </w:t>
      </w:r>
      <w:r w:rsidRPr="003C396A">
        <w:rPr>
          <w:i/>
          <w:iCs/>
          <w:szCs w:val="22"/>
        </w:rPr>
        <w:t>Thresholds of the Sacred:  Architectural, Art Historical, Liturgical, and Theological Perspectives on Religious Screens, East and West</w:t>
      </w:r>
      <w:r w:rsidRPr="003C396A">
        <w:rPr>
          <w:szCs w:val="22"/>
        </w:rPr>
        <w:t>, ed. Sharon E. J. Gerstel (Dumbarton Oaks: Harvard University Press, 2006), 6–24; Branham, “Sacred Space under Erasure.”</w:t>
      </w:r>
    </w:p>
  </w:footnote>
  <w:footnote w:id="65">
    <w:p w14:paraId="6C427C73" w14:textId="553480E6" w:rsidR="000719E3" w:rsidRPr="003C396A" w:rsidRDefault="000719E3" w:rsidP="000719E3">
      <w:pPr>
        <w:pStyle w:val="Footnotes"/>
        <w:rPr>
          <w:szCs w:val="22"/>
          <w:lang w:bidi="he-IL"/>
        </w:rPr>
      </w:pPr>
      <w:r w:rsidRPr="003C396A">
        <w:rPr>
          <w:rStyle w:val="FootnoteReference"/>
          <w:szCs w:val="22"/>
        </w:rPr>
        <w:footnoteRef/>
      </w:r>
      <w:r w:rsidRPr="003C396A">
        <w:rPr>
          <w:szCs w:val="22"/>
        </w:rPr>
        <w:t xml:space="preserve"> Annette Weber, “Neue </w:t>
      </w:r>
      <w:proofErr w:type="spellStart"/>
      <w:r w:rsidRPr="003C396A">
        <w:rPr>
          <w:szCs w:val="22"/>
        </w:rPr>
        <w:t>Monumente</w:t>
      </w:r>
      <w:proofErr w:type="spellEnd"/>
      <w:r w:rsidRPr="003C396A">
        <w:rPr>
          <w:szCs w:val="22"/>
        </w:rPr>
        <w:t xml:space="preserve"> </w:t>
      </w:r>
      <w:proofErr w:type="spellStart"/>
      <w:r w:rsidRPr="003C396A">
        <w:rPr>
          <w:szCs w:val="22"/>
        </w:rPr>
        <w:t>für</w:t>
      </w:r>
      <w:proofErr w:type="spellEnd"/>
      <w:r w:rsidRPr="003C396A">
        <w:rPr>
          <w:szCs w:val="22"/>
        </w:rPr>
        <w:t xml:space="preserve"> das </w:t>
      </w:r>
      <w:proofErr w:type="spellStart"/>
      <w:r w:rsidRPr="003C396A">
        <w:rPr>
          <w:szCs w:val="22"/>
        </w:rPr>
        <w:t>mittelalterliche</w:t>
      </w:r>
      <w:proofErr w:type="spellEnd"/>
      <w:r w:rsidRPr="003C396A">
        <w:rPr>
          <w:szCs w:val="22"/>
        </w:rPr>
        <w:t xml:space="preserve"> </w:t>
      </w:r>
      <w:proofErr w:type="spellStart"/>
      <w:r w:rsidRPr="003C396A">
        <w:rPr>
          <w:szCs w:val="22"/>
        </w:rPr>
        <w:t>Aschkenas</w:t>
      </w:r>
      <w:proofErr w:type="spellEnd"/>
      <w:r w:rsidRPr="003C396A">
        <w:rPr>
          <w:szCs w:val="22"/>
        </w:rPr>
        <w:t xml:space="preserve">? </w:t>
      </w:r>
      <w:proofErr w:type="spellStart"/>
      <w:r w:rsidRPr="003C396A">
        <w:rPr>
          <w:szCs w:val="22"/>
        </w:rPr>
        <w:t>Zur</w:t>
      </w:r>
      <w:proofErr w:type="spellEnd"/>
      <w:r w:rsidRPr="003C396A">
        <w:rPr>
          <w:szCs w:val="22"/>
        </w:rPr>
        <w:t xml:space="preserve"> </w:t>
      </w:r>
      <w:proofErr w:type="spellStart"/>
      <w:r w:rsidRPr="003C396A">
        <w:rPr>
          <w:szCs w:val="22"/>
        </w:rPr>
        <w:t>Sakraltypologie</w:t>
      </w:r>
      <w:proofErr w:type="spellEnd"/>
      <w:r w:rsidRPr="003C396A">
        <w:rPr>
          <w:szCs w:val="22"/>
        </w:rPr>
        <w:t xml:space="preserve"> der </w:t>
      </w:r>
      <w:proofErr w:type="spellStart"/>
      <w:r w:rsidRPr="003C396A">
        <w:rPr>
          <w:szCs w:val="22"/>
        </w:rPr>
        <w:t>Ritualbauten</w:t>
      </w:r>
      <w:proofErr w:type="spellEnd"/>
      <w:r w:rsidRPr="003C396A">
        <w:rPr>
          <w:szCs w:val="22"/>
        </w:rPr>
        <w:t xml:space="preserve"> in den </w:t>
      </w:r>
      <w:proofErr w:type="spellStart"/>
      <w:r w:rsidRPr="003C396A">
        <w:rPr>
          <w:szCs w:val="22"/>
        </w:rPr>
        <w:t>SchUM-Gemeinden</w:t>
      </w:r>
      <w:proofErr w:type="spellEnd"/>
      <w:r w:rsidRPr="003C396A">
        <w:rPr>
          <w:szCs w:val="22"/>
        </w:rPr>
        <w:t xml:space="preserve">,” in </w:t>
      </w:r>
      <w:r w:rsidRPr="003C396A">
        <w:rPr>
          <w:i/>
          <w:iCs/>
          <w:szCs w:val="22"/>
        </w:rPr>
        <w:t xml:space="preserve">Die </w:t>
      </w:r>
      <w:proofErr w:type="spellStart"/>
      <w:r w:rsidRPr="003C396A">
        <w:rPr>
          <w:i/>
          <w:iCs/>
          <w:szCs w:val="22"/>
        </w:rPr>
        <w:t>SchUM-Gemeinden</w:t>
      </w:r>
      <w:proofErr w:type="spellEnd"/>
      <w:r w:rsidRPr="003C396A">
        <w:rPr>
          <w:i/>
          <w:iCs/>
          <w:szCs w:val="22"/>
        </w:rPr>
        <w:t xml:space="preserve"> Speyer, Worms, Mainz: auf </w:t>
      </w:r>
      <w:proofErr w:type="spellStart"/>
      <w:r w:rsidRPr="003C396A">
        <w:rPr>
          <w:i/>
          <w:iCs/>
          <w:szCs w:val="22"/>
        </w:rPr>
        <w:t>dem</w:t>
      </w:r>
      <w:proofErr w:type="spellEnd"/>
      <w:r w:rsidRPr="003C396A">
        <w:rPr>
          <w:i/>
          <w:iCs/>
          <w:szCs w:val="22"/>
        </w:rPr>
        <w:t xml:space="preserve"> </w:t>
      </w:r>
      <w:proofErr w:type="spellStart"/>
      <w:r w:rsidRPr="003C396A">
        <w:rPr>
          <w:i/>
          <w:iCs/>
          <w:szCs w:val="22"/>
        </w:rPr>
        <w:t>Weg</w:t>
      </w:r>
      <w:proofErr w:type="spellEnd"/>
      <w:r w:rsidRPr="003C396A">
        <w:rPr>
          <w:i/>
          <w:iCs/>
          <w:szCs w:val="22"/>
        </w:rPr>
        <w:t xml:space="preserve"> </w:t>
      </w:r>
      <w:proofErr w:type="spellStart"/>
      <w:r w:rsidRPr="003C396A">
        <w:rPr>
          <w:i/>
          <w:iCs/>
          <w:szCs w:val="22"/>
        </w:rPr>
        <w:t>zum</w:t>
      </w:r>
      <w:proofErr w:type="spellEnd"/>
      <w:r w:rsidRPr="003C396A">
        <w:rPr>
          <w:i/>
          <w:iCs/>
          <w:szCs w:val="22"/>
        </w:rPr>
        <w:t xml:space="preserve"> </w:t>
      </w:r>
      <w:proofErr w:type="spellStart"/>
      <w:r w:rsidRPr="003C396A">
        <w:rPr>
          <w:i/>
          <w:iCs/>
          <w:szCs w:val="22"/>
        </w:rPr>
        <w:t>Welterbe</w:t>
      </w:r>
      <w:proofErr w:type="spellEnd"/>
      <w:r w:rsidRPr="003C396A">
        <w:rPr>
          <w:szCs w:val="22"/>
        </w:rPr>
        <w:t xml:space="preserve">, eds. Pia </w:t>
      </w:r>
      <w:proofErr w:type="spellStart"/>
      <w:r w:rsidRPr="003C396A">
        <w:rPr>
          <w:szCs w:val="22"/>
        </w:rPr>
        <w:t>Heberer</w:t>
      </w:r>
      <w:proofErr w:type="spellEnd"/>
      <w:r w:rsidRPr="003C396A">
        <w:rPr>
          <w:szCs w:val="22"/>
        </w:rPr>
        <w:t xml:space="preserve"> and Ursula Reuter (Regensburg</w:t>
      </w:r>
      <w:r w:rsidR="00BC7865" w:rsidRPr="003C396A">
        <w:rPr>
          <w:szCs w:val="22"/>
        </w:rPr>
        <w:t>: Schnell and Steiner</w:t>
      </w:r>
      <w:r w:rsidRPr="003C396A">
        <w:rPr>
          <w:szCs w:val="22"/>
        </w:rPr>
        <w:t xml:space="preserve">, 2013), 37–62; Ilia Rodov, “Revisiting the ‘Blind Synagogue’: Vision and Voice in Double-Nave Prayer Halls” in </w:t>
      </w:r>
      <w:r w:rsidRPr="003C396A">
        <w:rPr>
          <w:i/>
          <w:iCs/>
          <w:szCs w:val="22"/>
          <w:lang w:bidi="he-IL"/>
        </w:rPr>
        <w:t>Jewish Architecture in Europe: New Sources and Approaches</w:t>
      </w:r>
      <w:r w:rsidRPr="003C396A">
        <w:rPr>
          <w:szCs w:val="22"/>
          <w:lang w:bidi="he-IL"/>
        </w:rPr>
        <w:t xml:space="preserve">, eds. Katrin </w:t>
      </w:r>
      <w:proofErr w:type="spellStart"/>
      <w:r w:rsidRPr="003C396A">
        <w:rPr>
          <w:szCs w:val="22"/>
          <w:lang w:bidi="he-IL"/>
        </w:rPr>
        <w:t>Keßler</w:t>
      </w:r>
      <w:proofErr w:type="spellEnd"/>
      <w:r w:rsidRPr="003C396A">
        <w:rPr>
          <w:szCs w:val="22"/>
          <w:lang w:bidi="he-IL"/>
        </w:rPr>
        <w:t xml:space="preserve"> and Alexander von </w:t>
      </w:r>
      <w:proofErr w:type="spellStart"/>
      <w:r w:rsidRPr="003C396A">
        <w:rPr>
          <w:szCs w:val="22"/>
          <w:lang w:bidi="he-IL"/>
        </w:rPr>
        <w:t>Kienlin</w:t>
      </w:r>
      <w:proofErr w:type="spellEnd"/>
      <w:r w:rsidRPr="003C396A">
        <w:rPr>
          <w:szCs w:val="22"/>
          <w:lang w:bidi="he-IL"/>
        </w:rPr>
        <w:t xml:space="preserve"> (</w:t>
      </w:r>
      <w:proofErr w:type="spellStart"/>
      <w:r w:rsidRPr="003C396A">
        <w:rPr>
          <w:szCs w:val="22"/>
          <w:lang w:bidi="he-IL"/>
        </w:rPr>
        <w:t>Petersberg</w:t>
      </w:r>
      <w:proofErr w:type="spellEnd"/>
      <w:r w:rsidRPr="003C396A">
        <w:rPr>
          <w:szCs w:val="22"/>
          <w:lang w:bidi="he-IL"/>
        </w:rPr>
        <w:t xml:space="preserve">: Michael </w:t>
      </w:r>
      <w:proofErr w:type="spellStart"/>
      <w:r w:rsidRPr="003C396A">
        <w:rPr>
          <w:szCs w:val="22"/>
          <w:lang w:bidi="he-IL"/>
        </w:rPr>
        <w:t>Imhof</w:t>
      </w:r>
      <w:proofErr w:type="spellEnd"/>
      <w:r w:rsidRPr="003C396A">
        <w:rPr>
          <w:szCs w:val="22"/>
          <w:lang w:bidi="he-IL"/>
        </w:rPr>
        <w:t xml:space="preserve"> Verlag, 2015), 83</w:t>
      </w:r>
      <w:r w:rsidRPr="003C396A">
        <w:rPr>
          <w:szCs w:val="22"/>
          <w:lang w:val="en-US" w:bidi="he-IL"/>
        </w:rPr>
        <w:t>–</w:t>
      </w:r>
      <w:r w:rsidRPr="003C396A">
        <w:rPr>
          <w:szCs w:val="22"/>
          <w:lang w:bidi="he-IL"/>
        </w:rPr>
        <w:t>94.</w:t>
      </w:r>
    </w:p>
  </w:footnote>
  <w:footnote w:id="66">
    <w:p w14:paraId="09947D31" w14:textId="090C3D82" w:rsidR="00703CEC" w:rsidRPr="003C396A" w:rsidRDefault="00703CEC" w:rsidP="00703CEC">
      <w:pPr>
        <w:pStyle w:val="Footnotes"/>
        <w:rPr>
          <w:szCs w:val="22"/>
          <w:lang w:val="en-US"/>
        </w:rPr>
      </w:pPr>
      <w:r w:rsidRPr="003C396A">
        <w:rPr>
          <w:rStyle w:val="FootnoteReference"/>
          <w:szCs w:val="22"/>
        </w:rPr>
        <w:footnoteRef/>
      </w:r>
      <w:r w:rsidRPr="003C396A">
        <w:rPr>
          <w:szCs w:val="22"/>
        </w:rPr>
        <w:t xml:space="preserve"> </w:t>
      </w:r>
      <w:proofErr w:type="spellStart"/>
      <w:r w:rsidRPr="003C396A">
        <w:rPr>
          <w:szCs w:val="22"/>
        </w:rPr>
        <w:t>Wischnitzer</w:t>
      </w:r>
      <w:proofErr w:type="spellEnd"/>
      <w:r w:rsidRPr="003C396A">
        <w:rPr>
          <w:szCs w:val="22"/>
        </w:rPr>
        <w:t xml:space="preserve">, </w:t>
      </w:r>
      <w:r w:rsidRPr="003C396A">
        <w:rPr>
          <w:i/>
          <w:iCs/>
          <w:szCs w:val="22"/>
        </w:rPr>
        <w:t>The Architecture of the European Synagogue</w:t>
      </w:r>
      <w:r w:rsidRPr="003C396A">
        <w:rPr>
          <w:szCs w:val="22"/>
        </w:rPr>
        <w:t xml:space="preserve">, </w:t>
      </w:r>
      <w:r w:rsidRPr="003C396A">
        <w:rPr>
          <w:szCs w:val="22"/>
          <w:lang w:val="en-US"/>
        </w:rPr>
        <w:t>45–47.</w:t>
      </w:r>
    </w:p>
  </w:footnote>
  <w:footnote w:id="67">
    <w:p w14:paraId="27E54070" w14:textId="3AE85C3E" w:rsidR="00393E10" w:rsidRPr="003C396A" w:rsidRDefault="00393E10" w:rsidP="00393E10">
      <w:pPr>
        <w:pStyle w:val="Footnotes"/>
        <w:rPr>
          <w:szCs w:val="22"/>
          <w:lang w:val="en-US"/>
        </w:rPr>
      </w:pPr>
      <w:r w:rsidRPr="003C396A">
        <w:rPr>
          <w:rStyle w:val="FootnoteTextChar1"/>
          <w:szCs w:val="22"/>
        </w:rPr>
        <w:footnoteRef/>
      </w:r>
      <w:r w:rsidRPr="003C396A">
        <w:rPr>
          <w:szCs w:val="22"/>
        </w:rPr>
        <w:t xml:space="preserve"> Jeffrey Woolf, </w:t>
      </w:r>
      <w:r w:rsidRPr="003C396A">
        <w:rPr>
          <w:i/>
          <w:iCs/>
          <w:szCs w:val="22"/>
        </w:rPr>
        <w:t xml:space="preserve">The Fabric of Religious Life in Medieval </w:t>
      </w:r>
      <w:proofErr w:type="spellStart"/>
      <w:r w:rsidRPr="003C396A">
        <w:rPr>
          <w:i/>
          <w:iCs/>
          <w:szCs w:val="22"/>
        </w:rPr>
        <w:t>Ashkenaz</w:t>
      </w:r>
      <w:proofErr w:type="spellEnd"/>
      <w:r w:rsidRPr="003C396A">
        <w:rPr>
          <w:i/>
          <w:iCs/>
          <w:szCs w:val="22"/>
        </w:rPr>
        <w:t xml:space="preserve"> (1000</w:t>
      </w:r>
      <w:r w:rsidR="00F46FD9" w:rsidRPr="003C396A">
        <w:rPr>
          <w:i/>
          <w:iCs/>
          <w:szCs w:val="22"/>
        </w:rPr>
        <w:t>–</w:t>
      </w:r>
      <w:r w:rsidRPr="003C396A">
        <w:rPr>
          <w:i/>
          <w:iCs/>
          <w:szCs w:val="22"/>
        </w:rPr>
        <w:t>1300): Creating Sacred Communities</w:t>
      </w:r>
      <w:r w:rsidRPr="003C396A">
        <w:rPr>
          <w:szCs w:val="22"/>
        </w:rPr>
        <w:t xml:space="preserve"> (Leiden and Boston: Brill, 2015), 129–30; and idem, </w:t>
      </w:r>
      <w:r w:rsidR="00BC7865" w:rsidRPr="003C396A">
        <w:rPr>
          <w:szCs w:val="22"/>
        </w:rPr>
        <w:t xml:space="preserve">The Synagogue Torah Ark as a “Lesser Temple” Within in a “Lesser Temple,” in </w:t>
      </w:r>
      <w:r w:rsidR="00BC7865" w:rsidRPr="003C396A">
        <w:rPr>
          <w:i/>
          <w:iCs/>
          <w:szCs w:val="22"/>
        </w:rPr>
        <w:t>Enshrining the Sacred: Microarchitecture in Ritual Spaces</w:t>
      </w:r>
      <w:r w:rsidR="00BC7865" w:rsidRPr="003C396A">
        <w:rPr>
          <w:szCs w:val="22"/>
        </w:rPr>
        <w:t>, ed. Ilia Rodov (New York: Peter Lang, forthcoming).</w:t>
      </w:r>
    </w:p>
  </w:footnote>
  <w:footnote w:id="68">
    <w:p w14:paraId="5D410681" w14:textId="77777777" w:rsidR="008A50EE" w:rsidRPr="003C396A" w:rsidRDefault="008A50EE" w:rsidP="008A50EE">
      <w:pPr>
        <w:pStyle w:val="Footnotes"/>
        <w:rPr>
          <w:szCs w:val="22"/>
        </w:rPr>
      </w:pPr>
      <w:r w:rsidRPr="003C396A">
        <w:rPr>
          <w:rStyle w:val="FootnoteTextChar1"/>
          <w:szCs w:val="22"/>
        </w:rPr>
        <w:footnoteRef/>
      </w:r>
      <w:r w:rsidRPr="003C396A">
        <w:rPr>
          <w:szCs w:val="22"/>
        </w:rPr>
        <w:t xml:space="preserve"> Smith, “Constructing a Small Place,” 21–23. Cf. also </w:t>
      </w:r>
      <w:r w:rsidRPr="003C396A">
        <w:rPr>
          <w:szCs w:val="22"/>
          <w:lang w:val="de-DE"/>
        </w:rPr>
        <w:t>Hans Sedlmayr,</w:t>
      </w:r>
      <w:r w:rsidRPr="003C396A">
        <w:rPr>
          <w:rStyle w:val="HTMLCite"/>
          <w:szCs w:val="22"/>
          <w:lang w:val="de-DE"/>
        </w:rPr>
        <w:t xml:space="preserve"> Die Entstehung </w:t>
      </w:r>
      <w:r w:rsidRPr="003C396A">
        <w:rPr>
          <w:rStyle w:val="HTMLCite"/>
          <w:szCs w:val="22"/>
          <w:lang w:val="de-DE"/>
        </w:rPr>
        <w:t>der Kathedrale</w:t>
      </w:r>
      <w:r w:rsidRPr="003C396A">
        <w:rPr>
          <w:szCs w:val="22"/>
          <w:lang w:val="de-DE"/>
        </w:rPr>
        <w:t xml:space="preserve"> (Zurich: Atlantis, 1950), 81–83, 430; </w:t>
      </w:r>
      <w:r w:rsidRPr="003C396A">
        <w:rPr>
          <w:szCs w:val="22"/>
          <w:lang w:val="en-US"/>
        </w:rPr>
        <w:t xml:space="preserve">Steven </w:t>
      </w:r>
      <w:proofErr w:type="spellStart"/>
      <w:r w:rsidRPr="003C396A">
        <w:rPr>
          <w:szCs w:val="22"/>
          <w:lang w:val="en-US"/>
        </w:rPr>
        <w:t>Millhauser</w:t>
      </w:r>
      <w:proofErr w:type="spellEnd"/>
      <w:r w:rsidRPr="003C396A">
        <w:rPr>
          <w:szCs w:val="22"/>
          <w:lang w:val="en-US"/>
        </w:rPr>
        <w:t xml:space="preserve">, “The Fascination of the Miniature,” </w:t>
      </w:r>
      <w:r w:rsidRPr="003C396A">
        <w:rPr>
          <w:i/>
          <w:iCs/>
          <w:szCs w:val="22"/>
          <w:lang w:val="en-US"/>
        </w:rPr>
        <w:t>Grand Street</w:t>
      </w:r>
      <w:r w:rsidRPr="003C396A">
        <w:rPr>
          <w:szCs w:val="22"/>
          <w:lang w:val="en-US"/>
        </w:rPr>
        <w:t xml:space="preserve"> 2, 4 (1983): 128–35.</w:t>
      </w:r>
    </w:p>
  </w:footnote>
  <w:footnote w:id="69">
    <w:p w14:paraId="22A35A02" w14:textId="77777777" w:rsidR="008A50EE" w:rsidRPr="003C396A" w:rsidRDefault="008A50EE" w:rsidP="008A50EE">
      <w:pPr>
        <w:pStyle w:val="Footnotes"/>
        <w:rPr>
          <w:szCs w:val="22"/>
          <w:lang w:val="en-US"/>
        </w:rPr>
      </w:pPr>
      <w:r w:rsidRPr="003C396A">
        <w:rPr>
          <w:rStyle w:val="FootnoteReference"/>
          <w:szCs w:val="22"/>
        </w:rPr>
        <w:footnoteRef/>
      </w:r>
      <w:r w:rsidRPr="003C396A">
        <w:rPr>
          <w:szCs w:val="22"/>
        </w:rPr>
        <w:t xml:space="preserve"> Claude Lévi-Strauss, </w:t>
      </w:r>
      <w:r w:rsidRPr="003C396A">
        <w:rPr>
          <w:i/>
          <w:iCs/>
          <w:szCs w:val="22"/>
        </w:rPr>
        <w:t>The Savage Mind</w:t>
      </w:r>
      <w:r w:rsidRPr="003C396A">
        <w:rPr>
          <w:szCs w:val="22"/>
        </w:rPr>
        <w:t xml:space="preserve"> (London: Weidenfeld and Nicolson, 1966), 23–24.</w:t>
      </w:r>
    </w:p>
  </w:footnote>
  <w:footnote w:id="70">
    <w:p w14:paraId="6E2724FF" w14:textId="4571C7FB" w:rsidR="008A50EE" w:rsidRPr="003C396A" w:rsidRDefault="008A50EE" w:rsidP="008A50EE">
      <w:pPr>
        <w:pStyle w:val="Footnotes"/>
        <w:rPr>
          <w:szCs w:val="22"/>
          <w:lang w:val="en-US"/>
        </w:rPr>
      </w:pPr>
      <w:r w:rsidRPr="003C396A">
        <w:rPr>
          <w:rStyle w:val="FootnoteReference"/>
          <w:szCs w:val="22"/>
        </w:rPr>
        <w:footnoteRef/>
      </w:r>
      <w:r w:rsidRPr="003C396A">
        <w:rPr>
          <w:szCs w:val="22"/>
        </w:rPr>
        <w:t xml:space="preserve"> For example, cf. Yosef Garfinkel and Madeleine </w:t>
      </w:r>
      <w:proofErr w:type="spellStart"/>
      <w:r w:rsidRPr="003C396A">
        <w:rPr>
          <w:szCs w:val="22"/>
        </w:rPr>
        <w:t>Mumcuoglu</w:t>
      </w:r>
      <w:proofErr w:type="spellEnd"/>
      <w:r w:rsidRPr="003C396A">
        <w:rPr>
          <w:szCs w:val="22"/>
        </w:rPr>
        <w:t xml:space="preserve">, </w:t>
      </w:r>
      <w:r w:rsidRPr="003C396A">
        <w:rPr>
          <w:i/>
          <w:iCs/>
          <w:szCs w:val="22"/>
        </w:rPr>
        <w:t>Solomon’s Temple and Palace: New Archaeological Discoveries</w:t>
      </w:r>
      <w:r w:rsidRPr="003C396A">
        <w:rPr>
          <w:szCs w:val="22"/>
        </w:rPr>
        <w:t xml:space="preserve"> (Jerusalem: Israel Exploration Society, 2015), 37–60, 102–26</w:t>
      </w:r>
      <w:r w:rsidR="00276612" w:rsidRPr="003C396A">
        <w:rPr>
          <w:szCs w:val="22"/>
        </w:rPr>
        <w:t>.</w:t>
      </w:r>
      <w:r w:rsidRPr="003C396A">
        <w:rPr>
          <w:szCs w:val="22"/>
        </w:rPr>
        <w:t xml:space="preserve"> </w:t>
      </w:r>
    </w:p>
  </w:footnote>
  <w:footnote w:id="71">
    <w:p w14:paraId="587CA1C5" w14:textId="0F60ACBF" w:rsidR="00393E10" w:rsidRPr="003C396A" w:rsidRDefault="00393E10" w:rsidP="00393E10">
      <w:pPr>
        <w:pStyle w:val="Footnotes"/>
        <w:rPr>
          <w:szCs w:val="22"/>
        </w:rPr>
      </w:pPr>
      <w:r w:rsidRPr="003C396A">
        <w:rPr>
          <w:rStyle w:val="FootnoteReference"/>
          <w:szCs w:val="22"/>
        </w:rPr>
        <w:footnoteRef/>
      </w:r>
      <w:r w:rsidRPr="003C396A">
        <w:rPr>
          <w:szCs w:val="22"/>
        </w:rPr>
        <w:t xml:space="preserve"> </w:t>
      </w:r>
      <w:proofErr w:type="spellStart"/>
      <w:r w:rsidRPr="003C396A">
        <w:rPr>
          <w:szCs w:val="22"/>
        </w:rPr>
        <w:t>Talgam</w:t>
      </w:r>
      <w:proofErr w:type="spellEnd"/>
      <w:r w:rsidRPr="003C396A">
        <w:rPr>
          <w:szCs w:val="22"/>
        </w:rPr>
        <w:t xml:space="preserve">, </w:t>
      </w:r>
      <w:r w:rsidRPr="003C396A">
        <w:rPr>
          <w:i/>
          <w:iCs/>
          <w:szCs w:val="22"/>
        </w:rPr>
        <w:t>The Magdala Stone</w:t>
      </w:r>
      <w:r w:rsidRPr="003C396A">
        <w:rPr>
          <w:szCs w:val="22"/>
        </w:rPr>
        <w:t xml:space="preserve">, passim; and publications based on Rina </w:t>
      </w:r>
      <w:proofErr w:type="spellStart"/>
      <w:r w:rsidRPr="003C396A">
        <w:rPr>
          <w:szCs w:val="22"/>
        </w:rPr>
        <w:t>Talgam’s</w:t>
      </w:r>
      <w:proofErr w:type="spellEnd"/>
      <w:r w:rsidRPr="003C396A">
        <w:rPr>
          <w:szCs w:val="22"/>
        </w:rPr>
        <w:t xml:space="preserve"> proposed concept:  Mordechai </w:t>
      </w:r>
      <w:proofErr w:type="spellStart"/>
      <w:r w:rsidRPr="003C396A">
        <w:rPr>
          <w:szCs w:val="22"/>
        </w:rPr>
        <w:t>Aviam</w:t>
      </w:r>
      <w:proofErr w:type="spellEnd"/>
      <w:r w:rsidRPr="003C396A">
        <w:rPr>
          <w:szCs w:val="22"/>
        </w:rPr>
        <w:t xml:space="preserve">, “The Decorated Stone from the Synagogue at Migdal: A Holistic Interpretation and a Glimpse into the Life of Galilean Jews at the Time of Jesus,” </w:t>
      </w:r>
      <w:r w:rsidRPr="003C396A">
        <w:rPr>
          <w:i/>
          <w:iCs/>
          <w:szCs w:val="22"/>
        </w:rPr>
        <w:t xml:space="preserve">Novum </w:t>
      </w:r>
      <w:proofErr w:type="spellStart"/>
      <w:r w:rsidRPr="003C396A">
        <w:rPr>
          <w:i/>
          <w:iCs/>
          <w:szCs w:val="22"/>
        </w:rPr>
        <w:t>Testamentum</w:t>
      </w:r>
      <w:proofErr w:type="spellEnd"/>
      <w:r w:rsidRPr="003C396A">
        <w:rPr>
          <w:szCs w:val="22"/>
        </w:rPr>
        <w:t xml:space="preserve"> 55 (2013): 205–20; idem, ”The Book of Enoch and the Galilean Archaeology and Landscapes,” in </w:t>
      </w:r>
      <w:r w:rsidRPr="003C396A">
        <w:rPr>
          <w:i/>
          <w:iCs/>
          <w:szCs w:val="22"/>
        </w:rPr>
        <w:t>Parables of Enoch: A Paradigm Shift</w:t>
      </w:r>
      <w:r w:rsidRPr="003C396A">
        <w:rPr>
          <w:szCs w:val="22"/>
        </w:rPr>
        <w:t xml:space="preserve">, eds. James H. Charlesworth and </w:t>
      </w:r>
      <w:proofErr w:type="spellStart"/>
      <w:r w:rsidRPr="003C396A">
        <w:rPr>
          <w:szCs w:val="22"/>
        </w:rPr>
        <w:t>Darell</w:t>
      </w:r>
      <w:proofErr w:type="spellEnd"/>
      <w:r w:rsidRPr="003C396A">
        <w:rPr>
          <w:szCs w:val="22"/>
        </w:rPr>
        <w:t xml:space="preserve"> L. Bock (London: Bloomsbury, 2013), 159–69; Mordechai </w:t>
      </w:r>
      <w:proofErr w:type="spellStart"/>
      <w:r w:rsidRPr="003C396A">
        <w:rPr>
          <w:szCs w:val="22"/>
        </w:rPr>
        <w:t>Aviam</w:t>
      </w:r>
      <w:proofErr w:type="spellEnd"/>
      <w:r w:rsidRPr="003C396A">
        <w:rPr>
          <w:szCs w:val="22"/>
        </w:rPr>
        <w:t xml:space="preserve">, “Reverence for Jerusalem and for the Temple in Galilean Society,” </w:t>
      </w:r>
      <w:r w:rsidRPr="003C396A">
        <w:rPr>
          <w:i/>
          <w:iCs/>
          <w:szCs w:val="22"/>
        </w:rPr>
        <w:t>Jesus and the Temple: Textual and Archaeological Exploration</w:t>
      </w:r>
      <w:r w:rsidRPr="003C396A">
        <w:rPr>
          <w:szCs w:val="22"/>
        </w:rPr>
        <w:t>, ed. James H. Charlesworth (Minneapolis: Fortress Press, 2014), 123–44.</w:t>
      </w:r>
    </w:p>
    <w:p w14:paraId="4056FA01" w14:textId="77777777" w:rsidR="00393E10" w:rsidRPr="003C396A" w:rsidRDefault="00393E10" w:rsidP="00393E10">
      <w:pPr>
        <w:pStyle w:val="Footnotes"/>
        <w:rPr>
          <w:szCs w:val="22"/>
          <w:lang w:val="en-US"/>
        </w:rPr>
      </w:pPr>
      <w:r w:rsidRPr="003C396A">
        <w:rPr>
          <w:szCs w:val="22"/>
          <w:lang w:val="en-US"/>
        </w:rPr>
        <w:t>On several more similar artifacts (dated from the Second Temple period to the sixth century) recently uncovered in Israel. Here are selected sources on them: [</w:t>
      </w:r>
      <w:proofErr w:type="spellStart"/>
      <w:r w:rsidRPr="003C396A">
        <w:rPr>
          <w:szCs w:val="22"/>
          <w:lang w:val="en-US"/>
        </w:rPr>
        <w:t>Ḥorvat</w:t>
      </w:r>
      <w:proofErr w:type="spellEnd"/>
      <w:r w:rsidRPr="003C396A">
        <w:rPr>
          <w:szCs w:val="22"/>
          <w:lang w:val="en-US"/>
        </w:rPr>
        <w:t xml:space="preserve"> Kur] Jürgen K. </w:t>
      </w:r>
      <w:proofErr w:type="spellStart"/>
      <w:r w:rsidRPr="003C396A">
        <w:rPr>
          <w:szCs w:val="22"/>
          <w:lang w:val="en-US"/>
        </w:rPr>
        <w:t>Zangenberg</w:t>
      </w:r>
      <w:proofErr w:type="spellEnd"/>
      <w:r w:rsidRPr="003C396A">
        <w:rPr>
          <w:szCs w:val="22"/>
          <w:lang w:val="en-US"/>
        </w:rPr>
        <w:t xml:space="preserve">, “New Observations on the ‘Basalt Stone Table’ from Horvat Kur, Galilee,” </w:t>
      </w:r>
      <w:r w:rsidRPr="003C396A">
        <w:rPr>
          <w:i/>
          <w:iCs/>
          <w:szCs w:val="22"/>
          <w:lang w:val="en-US"/>
        </w:rPr>
        <w:t>Strata: Bulletin of the Anglo-Israel Archaeological Society</w:t>
      </w:r>
      <w:r w:rsidRPr="003C396A">
        <w:rPr>
          <w:szCs w:val="22"/>
          <w:lang w:val="en-US"/>
        </w:rPr>
        <w:t xml:space="preserve"> 37 (2019): 95–111; [</w:t>
      </w:r>
      <w:proofErr w:type="spellStart"/>
      <w:r w:rsidRPr="003C396A">
        <w:rPr>
          <w:szCs w:val="22"/>
          <w:lang w:val="en-US"/>
        </w:rPr>
        <w:t>Ḥorvat</w:t>
      </w:r>
      <w:proofErr w:type="spellEnd"/>
      <w:r w:rsidRPr="003C396A">
        <w:rPr>
          <w:szCs w:val="22"/>
          <w:lang w:val="en-US"/>
        </w:rPr>
        <w:t xml:space="preserve"> </w:t>
      </w:r>
      <w:proofErr w:type="spellStart"/>
      <w:r w:rsidRPr="003C396A">
        <w:rPr>
          <w:szCs w:val="22"/>
          <w:lang w:val="en-US"/>
        </w:rPr>
        <w:t>Kanaf</w:t>
      </w:r>
      <w:proofErr w:type="spellEnd"/>
      <w:r w:rsidRPr="003C396A">
        <w:rPr>
          <w:szCs w:val="22"/>
          <w:lang w:val="en-US"/>
        </w:rPr>
        <w:t xml:space="preserve">] Oren </w:t>
      </w:r>
      <w:proofErr w:type="spellStart"/>
      <w:r w:rsidRPr="003C396A">
        <w:rPr>
          <w:szCs w:val="22"/>
          <w:lang w:val="en-US"/>
        </w:rPr>
        <w:t>Zingboym’s</w:t>
      </w:r>
      <w:proofErr w:type="spellEnd"/>
      <w:r w:rsidRPr="003C396A">
        <w:rPr>
          <w:szCs w:val="22"/>
          <w:lang w:val="en-US"/>
        </w:rPr>
        <w:t xml:space="preserve"> research on a carved ashlar he discovered at the </w:t>
      </w:r>
      <w:proofErr w:type="spellStart"/>
      <w:r w:rsidRPr="003C396A">
        <w:rPr>
          <w:szCs w:val="22"/>
          <w:lang w:val="en-US"/>
        </w:rPr>
        <w:t>Ḥorvat</w:t>
      </w:r>
      <w:proofErr w:type="spellEnd"/>
      <w:r w:rsidRPr="003C396A">
        <w:rPr>
          <w:szCs w:val="22"/>
          <w:lang w:val="en-US"/>
        </w:rPr>
        <w:t xml:space="preserve"> </w:t>
      </w:r>
      <w:proofErr w:type="spellStart"/>
      <w:r w:rsidRPr="003C396A">
        <w:rPr>
          <w:szCs w:val="22"/>
          <w:lang w:val="en-US"/>
        </w:rPr>
        <w:t>Kanaf</w:t>
      </w:r>
      <w:proofErr w:type="spellEnd"/>
      <w:r w:rsidRPr="003C396A">
        <w:rPr>
          <w:szCs w:val="22"/>
          <w:lang w:val="en-US"/>
        </w:rPr>
        <w:t xml:space="preserve"> synagogue has not yet been published, see </w:t>
      </w:r>
      <w:proofErr w:type="spellStart"/>
      <w:r w:rsidRPr="003C396A">
        <w:rPr>
          <w:szCs w:val="22"/>
          <w:lang w:val="en-US"/>
        </w:rPr>
        <w:t>Talgam</w:t>
      </w:r>
      <w:proofErr w:type="spellEnd"/>
      <w:r w:rsidRPr="003C396A">
        <w:rPr>
          <w:szCs w:val="22"/>
          <w:lang w:val="en-US"/>
        </w:rPr>
        <w:t xml:space="preserve">, </w:t>
      </w:r>
      <w:r w:rsidRPr="003C396A">
        <w:rPr>
          <w:i/>
          <w:iCs/>
          <w:szCs w:val="22"/>
          <w:lang w:val="en-US"/>
        </w:rPr>
        <w:t>The Magdala Stone</w:t>
      </w:r>
      <w:r w:rsidRPr="003C396A">
        <w:rPr>
          <w:szCs w:val="22"/>
          <w:lang w:val="en-US"/>
        </w:rPr>
        <w:t xml:space="preserve">, “Stones from </w:t>
      </w:r>
      <w:proofErr w:type="spellStart"/>
      <w:r w:rsidRPr="003C396A">
        <w:rPr>
          <w:szCs w:val="22"/>
          <w:lang w:val="en-US"/>
        </w:rPr>
        <w:t>Ḥorvat</w:t>
      </w:r>
      <w:proofErr w:type="spellEnd"/>
      <w:r w:rsidRPr="003C396A">
        <w:rPr>
          <w:szCs w:val="22"/>
          <w:lang w:val="en-US"/>
        </w:rPr>
        <w:t xml:space="preserve"> Kur, </w:t>
      </w:r>
      <w:proofErr w:type="spellStart"/>
      <w:r w:rsidRPr="003C396A">
        <w:rPr>
          <w:szCs w:val="22"/>
          <w:lang w:val="en-US"/>
        </w:rPr>
        <w:t>Ḥorvat</w:t>
      </w:r>
      <w:proofErr w:type="spellEnd"/>
      <w:r w:rsidRPr="003C396A">
        <w:rPr>
          <w:szCs w:val="22"/>
          <w:lang w:val="en-US"/>
        </w:rPr>
        <w:t xml:space="preserve"> </w:t>
      </w:r>
      <w:proofErr w:type="spellStart"/>
      <w:r w:rsidRPr="003C396A">
        <w:rPr>
          <w:szCs w:val="22"/>
          <w:lang w:val="en-US"/>
        </w:rPr>
        <w:t>Kanaf</w:t>
      </w:r>
      <w:proofErr w:type="spellEnd"/>
      <w:r w:rsidRPr="003C396A">
        <w:rPr>
          <w:szCs w:val="22"/>
          <w:lang w:val="en-US"/>
        </w:rPr>
        <w:t xml:space="preserve">, Deir Aziz, and </w:t>
      </w:r>
      <w:proofErr w:type="spellStart"/>
      <w:r w:rsidRPr="003C396A">
        <w:rPr>
          <w:szCs w:val="22"/>
          <w:lang w:val="en-US"/>
        </w:rPr>
        <w:t>Ḥorvat</w:t>
      </w:r>
      <w:proofErr w:type="spellEnd"/>
      <w:r w:rsidRPr="003C396A">
        <w:rPr>
          <w:szCs w:val="22"/>
          <w:lang w:val="en-US"/>
        </w:rPr>
        <w:t xml:space="preserve"> </w:t>
      </w:r>
      <w:proofErr w:type="spellStart"/>
      <w:r w:rsidRPr="003C396A">
        <w:rPr>
          <w:szCs w:val="22"/>
          <w:lang w:val="en-US"/>
        </w:rPr>
        <w:t>Hamam</w:t>
      </w:r>
      <w:proofErr w:type="spellEnd"/>
      <w:r w:rsidRPr="003C396A">
        <w:rPr>
          <w:szCs w:val="22"/>
          <w:lang w:val="en-US"/>
        </w:rPr>
        <w:t>”; [</w:t>
      </w:r>
      <w:proofErr w:type="spellStart"/>
      <w:r w:rsidRPr="003C396A">
        <w:rPr>
          <w:szCs w:val="22"/>
          <w:lang w:val="en-US"/>
        </w:rPr>
        <w:t>Ḥorvat</w:t>
      </w:r>
      <w:proofErr w:type="spellEnd"/>
      <w:r w:rsidRPr="003C396A">
        <w:rPr>
          <w:szCs w:val="22"/>
          <w:lang w:val="en-US"/>
        </w:rPr>
        <w:t xml:space="preserve"> </w:t>
      </w:r>
      <w:proofErr w:type="spellStart"/>
      <w:r w:rsidRPr="003C396A">
        <w:rPr>
          <w:szCs w:val="22"/>
          <w:lang w:val="en-US"/>
        </w:rPr>
        <w:t>Hamam</w:t>
      </w:r>
      <w:proofErr w:type="spellEnd"/>
      <w:r w:rsidRPr="003C396A">
        <w:rPr>
          <w:szCs w:val="22"/>
          <w:lang w:val="en-US"/>
        </w:rPr>
        <w:t xml:space="preserve">]: </w:t>
      </w:r>
      <w:r w:rsidRPr="003C396A">
        <w:rPr>
          <w:szCs w:val="22"/>
        </w:rPr>
        <w:t xml:space="preserve">Uzi </w:t>
      </w:r>
      <w:proofErr w:type="spellStart"/>
      <w:r w:rsidRPr="003C396A">
        <w:rPr>
          <w:szCs w:val="22"/>
        </w:rPr>
        <w:t>Leibner</w:t>
      </w:r>
      <w:proofErr w:type="spellEnd"/>
      <w:r w:rsidRPr="003C396A">
        <w:rPr>
          <w:szCs w:val="22"/>
        </w:rPr>
        <w:t xml:space="preserve">, </w:t>
      </w:r>
      <w:r w:rsidRPr="003C396A">
        <w:rPr>
          <w:i/>
          <w:iCs/>
          <w:szCs w:val="22"/>
        </w:rPr>
        <w:t xml:space="preserve">Khirbet Wadi </w:t>
      </w:r>
      <w:proofErr w:type="spellStart"/>
      <w:r w:rsidRPr="003C396A">
        <w:rPr>
          <w:i/>
          <w:iCs/>
          <w:szCs w:val="22"/>
        </w:rPr>
        <w:t>Ḥamam</w:t>
      </w:r>
      <w:proofErr w:type="spellEnd"/>
      <w:r w:rsidRPr="003C396A">
        <w:rPr>
          <w:i/>
          <w:iCs/>
          <w:szCs w:val="22"/>
        </w:rPr>
        <w:t>; A Roman-Period Village and Synagogue in the Lower Galilee</w:t>
      </w:r>
      <w:r w:rsidRPr="003C396A">
        <w:rPr>
          <w:szCs w:val="22"/>
        </w:rPr>
        <w:t xml:space="preserve"> (Jerusalem: The Institute of Archaeology of the Hebrew University of Jerusalem in Cooperation with the Israel Exploration Society, 2018), 125; </w:t>
      </w:r>
      <w:r w:rsidRPr="003C396A">
        <w:rPr>
          <w:szCs w:val="22"/>
          <w:lang w:val="en-US"/>
        </w:rPr>
        <w:t xml:space="preserve">[Deir Aziz] </w:t>
      </w:r>
      <w:proofErr w:type="spellStart"/>
      <w:r w:rsidRPr="003C396A">
        <w:rPr>
          <w:szCs w:val="22"/>
          <w:lang w:val="en-US"/>
        </w:rPr>
        <w:t>Zvi</w:t>
      </w:r>
      <w:proofErr w:type="spellEnd"/>
      <w:r w:rsidRPr="003C396A">
        <w:rPr>
          <w:szCs w:val="22"/>
          <w:lang w:val="en-US"/>
        </w:rPr>
        <w:t xml:space="preserve"> A. Maoz, "The Genizah in the Deir Aziz Synagogue on the Golan Heights," in </w:t>
      </w:r>
      <w:r w:rsidRPr="003C396A">
        <w:rPr>
          <w:i/>
          <w:iCs/>
          <w:szCs w:val="22"/>
          <w:lang w:val="en-US"/>
        </w:rPr>
        <w:t xml:space="preserve">Hoards and </w:t>
      </w:r>
      <w:proofErr w:type="spellStart"/>
      <w:r w:rsidRPr="003C396A">
        <w:rPr>
          <w:i/>
          <w:iCs/>
          <w:szCs w:val="22"/>
          <w:lang w:val="en-US"/>
        </w:rPr>
        <w:t>Genizot</w:t>
      </w:r>
      <w:proofErr w:type="spellEnd"/>
      <w:r w:rsidRPr="003C396A">
        <w:rPr>
          <w:i/>
          <w:iCs/>
          <w:szCs w:val="22"/>
          <w:lang w:val="en-US"/>
        </w:rPr>
        <w:t xml:space="preserve"> as Chapters in History</w:t>
      </w:r>
      <w:r w:rsidRPr="003C396A">
        <w:rPr>
          <w:szCs w:val="22"/>
          <w:lang w:val="en-US"/>
        </w:rPr>
        <w:t xml:space="preserve"> (Haifa, Hecht Museum University of Haifa, 2013): 70-75; and probably [Umm el-</w:t>
      </w:r>
      <w:proofErr w:type="spellStart"/>
      <w:r w:rsidRPr="003C396A">
        <w:rPr>
          <w:szCs w:val="22"/>
          <w:lang w:val="en-US"/>
        </w:rPr>
        <w:t>ʿUmdan</w:t>
      </w:r>
      <w:proofErr w:type="spellEnd"/>
      <w:r w:rsidRPr="003C396A">
        <w:rPr>
          <w:szCs w:val="22"/>
          <w:lang w:val="en-US"/>
        </w:rPr>
        <w:t xml:space="preserve">]: </w:t>
      </w:r>
      <w:r w:rsidRPr="003C396A">
        <w:rPr>
          <w:szCs w:val="22"/>
        </w:rPr>
        <w:t xml:space="preserve">Alexander Onn, </w:t>
      </w:r>
      <w:proofErr w:type="spellStart"/>
      <w:r w:rsidRPr="003C396A">
        <w:rPr>
          <w:szCs w:val="22"/>
        </w:rPr>
        <w:t>Shlomit</w:t>
      </w:r>
      <w:proofErr w:type="spellEnd"/>
      <w:r w:rsidRPr="003C396A">
        <w:rPr>
          <w:szCs w:val="22"/>
        </w:rPr>
        <w:t xml:space="preserve"> </w:t>
      </w:r>
      <w:proofErr w:type="spellStart"/>
      <w:r w:rsidRPr="003C396A">
        <w:rPr>
          <w:szCs w:val="22"/>
        </w:rPr>
        <w:t>Veksler-Bdolach</w:t>
      </w:r>
      <w:proofErr w:type="spellEnd"/>
      <w:r w:rsidRPr="003C396A">
        <w:rPr>
          <w:szCs w:val="22"/>
        </w:rPr>
        <w:t xml:space="preserve">, and Yehuda </w:t>
      </w:r>
      <w:proofErr w:type="spellStart"/>
      <w:r w:rsidRPr="003C396A">
        <w:rPr>
          <w:szCs w:val="22"/>
        </w:rPr>
        <w:t>Rapuano</w:t>
      </w:r>
      <w:proofErr w:type="spellEnd"/>
      <w:r w:rsidRPr="003C396A">
        <w:rPr>
          <w:szCs w:val="22"/>
        </w:rPr>
        <w:t xml:space="preserve">, “Synagogue of the Second Temple Period at </w:t>
      </w:r>
      <w:proofErr w:type="spellStart"/>
      <w:r w:rsidRPr="003C396A">
        <w:rPr>
          <w:szCs w:val="22"/>
        </w:rPr>
        <w:t>Horbat</w:t>
      </w:r>
      <w:proofErr w:type="spellEnd"/>
      <w:r w:rsidRPr="003C396A">
        <w:rPr>
          <w:szCs w:val="22"/>
        </w:rPr>
        <w:t xml:space="preserve"> Umm El-‘</w:t>
      </w:r>
      <w:proofErr w:type="spellStart"/>
      <w:r w:rsidRPr="003C396A">
        <w:rPr>
          <w:szCs w:val="22"/>
        </w:rPr>
        <w:t>Umdan</w:t>
      </w:r>
      <w:proofErr w:type="spellEnd"/>
      <w:r w:rsidRPr="003C396A">
        <w:rPr>
          <w:szCs w:val="22"/>
        </w:rPr>
        <w:t xml:space="preserve"> in </w:t>
      </w:r>
      <w:proofErr w:type="spellStart"/>
      <w:r w:rsidRPr="003C396A">
        <w:rPr>
          <w:szCs w:val="22"/>
        </w:rPr>
        <w:t>Modiin</w:t>
      </w:r>
      <w:proofErr w:type="spellEnd"/>
      <w:r w:rsidRPr="003C396A">
        <w:rPr>
          <w:szCs w:val="22"/>
        </w:rPr>
        <w:t xml:space="preserve">,” in </w:t>
      </w:r>
      <w:r w:rsidRPr="003C396A">
        <w:rPr>
          <w:i/>
          <w:iCs/>
          <w:szCs w:val="22"/>
        </w:rPr>
        <w:t>And Let Them Make Me a Sanctuary: Synagogues from Ancient Times to the Present Day</w:t>
      </w:r>
      <w:r w:rsidRPr="003C396A">
        <w:rPr>
          <w:szCs w:val="22"/>
        </w:rPr>
        <w:t xml:space="preserve">, eds. </w:t>
      </w:r>
      <w:proofErr w:type="spellStart"/>
      <w:r w:rsidRPr="003C396A">
        <w:rPr>
          <w:szCs w:val="22"/>
        </w:rPr>
        <w:t>Ya’acov</w:t>
      </w:r>
      <w:proofErr w:type="spellEnd"/>
      <w:r w:rsidRPr="003C396A">
        <w:rPr>
          <w:szCs w:val="22"/>
        </w:rPr>
        <w:t xml:space="preserve"> </w:t>
      </w:r>
      <w:proofErr w:type="spellStart"/>
      <w:r w:rsidRPr="003C396A">
        <w:rPr>
          <w:szCs w:val="22"/>
        </w:rPr>
        <w:t>Eshel</w:t>
      </w:r>
      <w:proofErr w:type="spellEnd"/>
      <w:r w:rsidRPr="003C396A">
        <w:rPr>
          <w:szCs w:val="22"/>
        </w:rPr>
        <w:t xml:space="preserve">, Ehud </w:t>
      </w:r>
      <w:proofErr w:type="spellStart"/>
      <w:r w:rsidRPr="003C396A">
        <w:rPr>
          <w:szCs w:val="22"/>
        </w:rPr>
        <w:t>Netzer</w:t>
      </w:r>
      <w:proofErr w:type="spellEnd"/>
      <w:r w:rsidRPr="003C396A">
        <w:rPr>
          <w:szCs w:val="22"/>
        </w:rPr>
        <w:t>, David Amit, and David Cassuto (Ariel: Ariel University, 2008), 25–30.</w:t>
      </w:r>
    </w:p>
  </w:footnote>
  <w:footnote w:id="72">
    <w:p w14:paraId="01521769" w14:textId="445776F9" w:rsidR="00D03AB3" w:rsidRPr="003C396A" w:rsidRDefault="00D03AB3" w:rsidP="00D03AB3">
      <w:pPr>
        <w:pStyle w:val="Footnotes"/>
        <w:rPr>
          <w:szCs w:val="22"/>
          <w:lang w:val="en-US"/>
        </w:rPr>
      </w:pPr>
      <w:r w:rsidRPr="003C396A">
        <w:rPr>
          <w:rStyle w:val="FootnoteReference"/>
          <w:szCs w:val="22"/>
        </w:rPr>
        <w:footnoteRef/>
      </w:r>
      <w:r w:rsidRPr="003C396A">
        <w:rPr>
          <w:szCs w:val="22"/>
        </w:rPr>
        <w:t xml:space="preserve"> See R</w:t>
      </w:r>
      <w:r w:rsidR="00703CEC" w:rsidRPr="003C396A">
        <w:rPr>
          <w:szCs w:val="22"/>
        </w:rPr>
        <w:t>achel</w:t>
      </w:r>
      <w:r w:rsidRPr="003C396A">
        <w:rPr>
          <w:szCs w:val="22"/>
        </w:rPr>
        <w:t xml:space="preserve"> </w:t>
      </w:r>
      <w:proofErr w:type="spellStart"/>
      <w:r w:rsidRPr="003C396A">
        <w:rPr>
          <w:szCs w:val="22"/>
        </w:rPr>
        <w:t>Hachlili</w:t>
      </w:r>
      <w:proofErr w:type="spellEnd"/>
      <w:r w:rsidRPr="003C396A">
        <w:rPr>
          <w:szCs w:val="22"/>
        </w:rPr>
        <w:t xml:space="preserve">, “The Migdal Stone and its Ornamentation,” </w:t>
      </w:r>
      <w:r w:rsidRPr="003C396A">
        <w:rPr>
          <w:i/>
          <w:iCs/>
          <w:szCs w:val="22"/>
        </w:rPr>
        <w:t xml:space="preserve">Revue </w:t>
      </w:r>
      <w:proofErr w:type="spellStart"/>
      <w:r w:rsidRPr="003C396A">
        <w:rPr>
          <w:i/>
          <w:iCs/>
          <w:szCs w:val="22"/>
        </w:rPr>
        <w:t>Biblique</w:t>
      </w:r>
      <w:proofErr w:type="spellEnd"/>
      <w:r w:rsidRPr="003C396A">
        <w:rPr>
          <w:szCs w:val="22"/>
        </w:rPr>
        <w:t xml:space="preserve"> 124, no. 2 (2017): 245</w:t>
      </w:r>
      <w:r w:rsidR="00703CEC" w:rsidRPr="003C396A">
        <w:rPr>
          <w:szCs w:val="22"/>
        </w:rPr>
        <w:t>–</w:t>
      </w:r>
      <w:r w:rsidRPr="003C396A">
        <w:rPr>
          <w:szCs w:val="22"/>
        </w:rPr>
        <w:t>72</w:t>
      </w:r>
      <w:r w:rsidR="00703CEC" w:rsidRPr="003C396A">
        <w:rPr>
          <w:szCs w:val="22"/>
        </w:rPr>
        <w:t>;</w:t>
      </w:r>
      <w:r w:rsidRPr="003C396A">
        <w:rPr>
          <w:szCs w:val="22"/>
        </w:rPr>
        <w:t xml:space="preserve"> Steven Fine, “The Magdala Ashlar: From Synagogue Furnishing to Media Event,” </w:t>
      </w:r>
      <w:r w:rsidRPr="003C396A">
        <w:rPr>
          <w:i/>
          <w:iCs/>
          <w:szCs w:val="22"/>
        </w:rPr>
        <w:t>Ars Judaica</w:t>
      </w:r>
      <w:r w:rsidRPr="003C396A">
        <w:rPr>
          <w:szCs w:val="22"/>
        </w:rPr>
        <w:t xml:space="preserve"> 13 (2017): 27</w:t>
      </w:r>
      <w:r w:rsidR="00703CEC" w:rsidRPr="003C396A">
        <w:rPr>
          <w:szCs w:val="22"/>
        </w:rPr>
        <w:t>–</w:t>
      </w:r>
      <w:r w:rsidRPr="003C396A">
        <w:rPr>
          <w:szCs w:val="22"/>
        </w:rPr>
        <w:t>38.</w:t>
      </w:r>
    </w:p>
  </w:footnote>
  <w:footnote w:id="73">
    <w:p w14:paraId="6BB39089" w14:textId="1C581B26" w:rsidR="00B334AA" w:rsidRPr="003C396A" w:rsidRDefault="00EE72D2" w:rsidP="00CB4DF1">
      <w:pPr>
        <w:pStyle w:val="Footnotes"/>
        <w:rPr>
          <w:szCs w:val="22"/>
        </w:rPr>
      </w:pPr>
      <w:r w:rsidRPr="003C396A">
        <w:rPr>
          <w:rStyle w:val="FootnoteReference"/>
          <w:szCs w:val="22"/>
        </w:rPr>
        <w:footnoteRef/>
      </w:r>
      <w:r w:rsidRPr="003C396A">
        <w:rPr>
          <w:szCs w:val="22"/>
        </w:rPr>
        <w:t xml:space="preserve"> </w:t>
      </w:r>
      <w:r w:rsidR="00CB4DF1" w:rsidRPr="003C396A">
        <w:rPr>
          <w:szCs w:val="22"/>
        </w:rPr>
        <w:t>Here is a selection of their publications:</w:t>
      </w:r>
      <w:r w:rsidRPr="003C396A">
        <w:rPr>
          <w:szCs w:val="22"/>
        </w:rPr>
        <w:t xml:space="preserve"> </w:t>
      </w:r>
      <w:r w:rsidR="00B334AA" w:rsidRPr="003C396A">
        <w:rPr>
          <w:i/>
          <w:iCs/>
          <w:szCs w:val="22"/>
        </w:rPr>
        <w:t>Natural Materials of the Holy Land and the Visual Translation of Place, 500</w:t>
      </w:r>
      <w:r w:rsidR="00CB4DF1" w:rsidRPr="003C396A">
        <w:rPr>
          <w:i/>
          <w:iCs/>
          <w:szCs w:val="22"/>
        </w:rPr>
        <w:t>–</w:t>
      </w:r>
      <w:r w:rsidR="00B334AA" w:rsidRPr="003C396A">
        <w:rPr>
          <w:i/>
          <w:iCs/>
          <w:szCs w:val="22"/>
        </w:rPr>
        <w:t>1500</w:t>
      </w:r>
      <w:r w:rsidR="00B334AA" w:rsidRPr="003C396A">
        <w:rPr>
          <w:szCs w:val="22"/>
        </w:rPr>
        <w:t xml:space="preserve">, eds. </w:t>
      </w:r>
      <w:proofErr w:type="spellStart"/>
      <w:r w:rsidR="00B334AA" w:rsidRPr="003C396A">
        <w:rPr>
          <w:szCs w:val="22"/>
        </w:rPr>
        <w:t>Bartal</w:t>
      </w:r>
      <w:proofErr w:type="spellEnd"/>
      <w:r w:rsidR="00B334AA" w:rsidRPr="003C396A">
        <w:rPr>
          <w:szCs w:val="22"/>
        </w:rPr>
        <w:t xml:space="preserve">, </w:t>
      </w:r>
      <w:proofErr w:type="spellStart"/>
      <w:r w:rsidR="00B334AA" w:rsidRPr="003C396A">
        <w:rPr>
          <w:szCs w:val="22"/>
        </w:rPr>
        <w:t>Renana</w:t>
      </w:r>
      <w:proofErr w:type="spellEnd"/>
      <w:r w:rsidR="00B334AA" w:rsidRPr="003C396A">
        <w:rPr>
          <w:szCs w:val="22"/>
        </w:rPr>
        <w:t xml:space="preserve">, Neta Bodner, and Bianca </w:t>
      </w:r>
      <w:proofErr w:type="spellStart"/>
      <w:r w:rsidR="00B334AA" w:rsidRPr="003C396A">
        <w:rPr>
          <w:szCs w:val="22"/>
        </w:rPr>
        <w:t>Kühnel</w:t>
      </w:r>
      <w:proofErr w:type="spellEnd"/>
      <w:r w:rsidR="00B334AA" w:rsidRPr="003C396A">
        <w:rPr>
          <w:szCs w:val="22"/>
        </w:rPr>
        <w:t xml:space="preserve"> (London: Routledge 2017); </w:t>
      </w:r>
      <w:r w:rsidR="00B334AA" w:rsidRPr="003C396A">
        <w:rPr>
          <w:i/>
          <w:iCs/>
          <w:szCs w:val="22"/>
        </w:rPr>
        <w:t>Reuse Value: Spolia and Appropriation in Art and Architecture from Constantine to Sherrie Levine</w:t>
      </w:r>
      <w:r w:rsidR="00CB4DF1" w:rsidRPr="003C396A">
        <w:rPr>
          <w:szCs w:val="22"/>
        </w:rPr>
        <w:t>, eds.</w:t>
      </w:r>
      <w:r w:rsidR="00B334AA" w:rsidRPr="003C396A">
        <w:rPr>
          <w:szCs w:val="22"/>
        </w:rPr>
        <w:t xml:space="preserve"> </w:t>
      </w:r>
      <w:r w:rsidR="00CB4DF1" w:rsidRPr="003C396A">
        <w:rPr>
          <w:szCs w:val="22"/>
        </w:rPr>
        <w:t>Richard Brilliant and Dale Kinney (London: Routledge,</w:t>
      </w:r>
      <w:r w:rsidR="006E6E2E" w:rsidRPr="003C396A">
        <w:rPr>
          <w:szCs w:val="22"/>
        </w:rPr>
        <w:t xml:space="preserve"> </w:t>
      </w:r>
      <w:r w:rsidR="00B334AA" w:rsidRPr="003C396A">
        <w:rPr>
          <w:szCs w:val="22"/>
        </w:rPr>
        <w:t>2016</w:t>
      </w:r>
      <w:r w:rsidR="00CB4DF1" w:rsidRPr="003C396A">
        <w:rPr>
          <w:szCs w:val="22"/>
        </w:rPr>
        <w:t>)</w:t>
      </w:r>
      <w:r w:rsidR="00B334AA" w:rsidRPr="003C396A">
        <w:rPr>
          <w:szCs w:val="22"/>
        </w:rPr>
        <w:t xml:space="preserve">; </w:t>
      </w:r>
      <w:proofErr w:type="spellStart"/>
      <w:r w:rsidR="00B334AA" w:rsidRPr="003C396A">
        <w:rPr>
          <w:szCs w:val="22"/>
        </w:rPr>
        <w:t>Yamit</w:t>
      </w:r>
      <w:proofErr w:type="spellEnd"/>
      <w:r w:rsidR="00B334AA" w:rsidRPr="003C396A">
        <w:rPr>
          <w:szCs w:val="22"/>
        </w:rPr>
        <w:t xml:space="preserve"> </w:t>
      </w:r>
      <w:proofErr w:type="spellStart"/>
      <w:r w:rsidR="00B334AA" w:rsidRPr="003C396A">
        <w:rPr>
          <w:szCs w:val="22"/>
        </w:rPr>
        <w:t>Rachman-Schrire</w:t>
      </w:r>
      <w:proofErr w:type="spellEnd"/>
      <w:r w:rsidR="00B334AA" w:rsidRPr="003C396A">
        <w:rPr>
          <w:szCs w:val="22"/>
        </w:rPr>
        <w:t xml:space="preserve">, “Sinai Stones on Mount Zion: Mary’s Pilgrimage in Jerusalem” and Neta B. Bodner, “Earth from Jerusalem in the Pisan </w:t>
      </w:r>
      <w:proofErr w:type="spellStart"/>
      <w:r w:rsidR="00B334AA" w:rsidRPr="003C396A">
        <w:rPr>
          <w:szCs w:val="22"/>
        </w:rPr>
        <w:t>Camposanto</w:t>
      </w:r>
      <w:proofErr w:type="spellEnd"/>
      <w:r w:rsidR="00B334AA" w:rsidRPr="003C396A">
        <w:rPr>
          <w:szCs w:val="22"/>
        </w:rPr>
        <w:t xml:space="preserve">,” in </w:t>
      </w:r>
      <w:r w:rsidR="00B334AA" w:rsidRPr="003C396A">
        <w:rPr>
          <w:i/>
          <w:iCs/>
          <w:szCs w:val="22"/>
        </w:rPr>
        <w:t>Between Jerusalem and Europe</w:t>
      </w:r>
      <w:r w:rsidR="00B334AA" w:rsidRPr="003C396A">
        <w:rPr>
          <w:szCs w:val="22"/>
        </w:rPr>
        <w:t xml:space="preserve">, eds. </w:t>
      </w:r>
      <w:proofErr w:type="spellStart"/>
      <w:r w:rsidR="00B334AA" w:rsidRPr="003C396A">
        <w:rPr>
          <w:szCs w:val="22"/>
        </w:rPr>
        <w:t>Renana</w:t>
      </w:r>
      <w:proofErr w:type="spellEnd"/>
      <w:r w:rsidR="00B334AA" w:rsidRPr="003C396A">
        <w:rPr>
          <w:szCs w:val="22"/>
        </w:rPr>
        <w:t xml:space="preserve"> </w:t>
      </w:r>
      <w:proofErr w:type="spellStart"/>
      <w:r w:rsidR="00B334AA" w:rsidRPr="003C396A">
        <w:rPr>
          <w:szCs w:val="22"/>
        </w:rPr>
        <w:t>Bartal</w:t>
      </w:r>
      <w:proofErr w:type="spellEnd"/>
      <w:r w:rsidR="00B334AA" w:rsidRPr="003C396A">
        <w:rPr>
          <w:szCs w:val="22"/>
        </w:rPr>
        <w:t xml:space="preserve"> and Hanna </w:t>
      </w:r>
      <w:proofErr w:type="spellStart"/>
      <w:r w:rsidR="00B334AA" w:rsidRPr="003C396A">
        <w:rPr>
          <w:szCs w:val="22"/>
        </w:rPr>
        <w:t>Vorholt</w:t>
      </w:r>
      <w:proofErr w:type="spellEnd"/>
      <w:r w:rsidR="00B334AA" w:rsidRPr="003C396A">
        <w:rPr>
          <w:szCs w:val="22"/>
        </w:rPr>
        <w:t xml:space="preserve"> (Leiden, Brill, 2015), 57–73 and 74–93 (respectively); </w:t>
      </w:r>
      <w:proofErr w:type="spellStart"/>
      <w:r w:rsidR="00C31B34" w:rsidRPr="003C396A">
        <w:rPr>
          <w:i/>
          <w:iCs/>
          <w:szCs w:val="22"/>
        </w:rPr>
        <w:t>Perspektiven</w:t>
      </w:r>
      <w:proofErr w:type="spellEnd"/>
      <w:r w:rsidR="00C31B34" w:rsidRPr="003C396A">
        <w:rPr>
          <w:i/>
          <w:iCs/>
          <w:szCs w:val="22"/>
        </w:rPr>
        <w:t xml:space="preserve"> der </w:t>
      </w:r>
      <w:proofErr w:type="spellStart"/>
      <w:r w:rsidR="00C31B34" w:rsidRPr="003C396A">
        <w:rPr>
          <w:i/>
          <w:iCs/>
          <w:szCs w:val="22"/>
        </w:rPr>
        <w:t>Spolienforschung</w:t>
      </w:r>
      <w:proofErr w:type="spellEnd"/>
      <w:r w:rsidR="00C31B34" w:rsidRPr="003C396A">
        <w:rPr>
          <w:szCs w:val="22"/>
        </w:rPr>
        <w:t xml:space="preserve">, </w:t>
      </w:r>
      <w:r w:rsidR="00EF2C77" w:rsidRPr="003C396A">
        <w:rPr>
          <w:szCs w:val="22"/>
        </w:rPr>
        <w:t xml:space="preserve">eds. Stefan </w:t>
      </w:r>
      <w:proofErr w:type="spellStart"/>
      <w:r w:rsidR="00EF2C77" w:rsidRPr="003C396A">
        <w:rPr>
          <w:szCs w:val="22"/>
        </w:rPr>
        <w:t>Altekamp</w:t>
      </w:r>
      <w:proofErr w:type="spellEnd"/>
      <w:r w:rsidR="00EF2C77" w:rsidRPr="003C396A">
        <w:rPr>
          <w:szCs w:val="22"/>
        </w:rPr>
        <w:t xml:space="preserve">, Carmen </w:t>
      </w:r>
      <w:proofErr w:type="spellStart"/>
      <w:r w:rsidR="00EF2C77" w:rsidRPr="003C396A">
        <w:rPr>
          <w:szCs w:val="22"/>
        </w:rPr>
        <w:t>Marcks</w:t>
      </w:r>
      <w:proofErr w:type="spellEnd"/>
      <w:r w:rsidR="00EF2C77" w:rsidRPr="003C396A">
        <w:rPr>
          <w:szCs w:val="22"/>
        </w:rPr>
        <w:t xml:space="preserve">-Jacobs, and Peter Seiler: </w:t>
      </w:r>
      <w:r w:rsidR="00C31B34" w:rsidRPr="003C396A">
        <w:rPr>
          <w:szCs w:val="22"/>
        </w:rPr>
        <w:t>1</w:t>
      </w:r>
      <w:r w:rsidR="00EF2C77" w:rsidRPr="003C396A">
        <w:rPr>
          <w:szCs w:val="22"/>
        </w:rPr>
        <w:t>.</w:t>
      </w:r>
      <w:r w:rsidR="00C31B34" w:rsidRPr="003C396A">
        <w:rPr>
          <w:szCs w:val="22"/>
        </w:rPr>
        <w:t xml:space="preserve"> </w:t>
      </w:r>
      <w:proofErr w:type="spellStart"/>
      <w:r w:rsidR="00C31B34" w:rsidRPr="003C396A">
        <w:rPr>
          <w:i/>
          <w:iCs/>
          <w:szCs w:val="22"/>
        </w:rPr>
        <w:t>Spoliierung</w:t>
      </w:r>
      <w:proofErr w:type="spellEnd"/>
      <w:r w:rsidR="00C31B34" w:rsidRPr="003C396A">
        <w:rPr>
          <w:i/>
          <w:iCs/>
          <w:szCs w:val="22"/>
        </w:rPr>
        <w:t xml:space="preserve"> und Transposition</w:t>
      </w:r>
      <w:r w:rsidR="00C31B34" w:rsidRPr="003C396A">
        <w:rPr>
          <w:szCs w:val="22"/>
        </w:rPr>
        <w:t xml:space="preserve"> </w:t>
      </w:r>
      <w:r w:rsidR="00EF2C77" w:rsidRPr="003C396A">
        <w:rPr>
          <w:szCs w:val="22"/>
        </w:rPr>
        <w:t xml:space="preserve">(Berlin: De Gruyter, 2013), </w:t>
      </w:r>
      <w:r w:rsidR="00C31B34" w:rsidRPr="003C396A">
        <w:rPr>
          <w:szCs w:val="22"/>
        </w:rPr>
        <w:t>2</w:t>
      </w:r>
      <w:r w:rsidR="00EF2C77" w:rsidRPr="003C396A">
        <w:rPr>
          <w:szCs w:val="22"/>
        </w:rPr>
        <w:t>.</w:t>
      </w:r>
      <w:r w:rsidR="00C31B34" w:rsidRPr="003C396A">
        <w:rPr>
          <w:szCs w:val="22"/>
        </w:rPr>
        <w:t xml:space="preserve"> </w:t>
      </w:r>
      <w:proofErr w:type="spellStart"/>
      <w:r w:rsidR="00C31B34" w:rsidRPr="003C396A">
        <w:rPr>
          <w:i/>
          <w:iCs/>
          <w:szCs w:val="22"/>
        </w:rPr>
        <w:t>Zentren</w:t>
      </w:r>
      <w:proofErr w:type="spellEnd"/>
      <w:r w:rsidR="00C31B34" w:rsidRPr="003C396A">
        <w:rPr>
          <w:i/>
          <w:iCs/>
          <w:szCs w:val="22"/>
        </w:rPr>
        <w:t xml:space="preserve"> und </w:t>
      </w:r>
      <w:proofErr w:type="spellStart"/>
      <w:r w:rsidR="00C31B34" w:rsidRPr="003C396A">
        <w:rPr>
          <w:i/>
          <w:iCs/>
          <w:szCs w:val="22"/>
        </w:rPr>
        <w:t>Konjunkturen</w:t>
      </w:r>
      <w:proofErr w:type="spellEnd"/>
      <w:r w:rsidR="00C31B34" w:rsidRPr="003C396A">
        <w:rPr>
          <w:i/>
          <w:iCs/>
          <w:szCs w:val="22"/>
        </w:rPr>
        <w:t xml:space="preserve"> der </w:t>
      </w:r>
      <w:proofErr w:type="spellStart"/>
      <w:r w:rsidR="00C31B34" w:rsidRPr="003C396A">
        <w:rPr>
          <w:i/>
          <w:iCs/>
          <w:szCs w:val="22"/>
        </w:rPr>
        <w:t>Spoliierung</w:t>
      </w:r>
      <w:proofErr w:type="spellEnd"/>
      <w:r w:rsidR="00EF2C77" w:rsidRPr="003C396A">
        <w:rPr>
          <w:szCs w:val="22"/>
        </w:rPr>
        <w:t xml:space="preserve"> </w:t>
      </w:r>
      <w:r w:rsidR="00C31B34" w:rsidRPr="003C396A">
        <w:rPr>
          <w:szCs w:val="22"/>
        </w:rPr>
        <w:t xml:space="preserve"> </w:t>
      </w:r>
      <w:r w:rsidR="00EF2C77" w:rsidRPr="003C396A">
        <w:rPr>
          <w:szCs w:val="22"/>
        </w:rPr>
        <w:t xml:space="preserve">(Berlin: </w:t>
      </w:r>
      <w:proofErr w:type="spellStart"/>
      <w:r w:rsidR="00EF2C77" w:rsidRPr="003C396A">
        <w:rPr>
          <w:szCs w:val="22"/>
        </w:rPr>
        <w:t>Topoi</w:t>
      </w:r>
      <w:proofErr w:type="spellEnd"/>
      <w:r w:rsidR="00EF2C77" w:rsidRPr="003C396A">
        <w:rPr>
          <w:szCs w:val="22"/>
        </w:rPr>
        <w:t xml:space="preserve">, 2017); </w:t>
      </w:r>
      <w:r w:rsidR="00B334AA" w:rsidRPr="003C396A">
        <w:rPr>
          <w:szCs w:val="22"/>
        </w:rPr>
        <w:t xml:space="preserve">Robert </w:t>
      </w:r>
      <w:proofErr w:type="spellStart"/>
      <w:r w:rsidR="00B334AA" w:rsidRPr="003C396A">
        <w:rPr>
          <w:szCs w:val="22"/>
        </w:rPr>
        <w:t>Ousterhout</w:t>
      </w:r>
      <w:proofErr w:type="spellEnd"/>
      <w:r w:rsidR="00B334AA" w:rsidRPr="003C396A">
        <w:rPr>
          <w:szCs w:val="22"/>
        </w:rPr>
        <w:t xml:space="preserve">, “Architecture as Relic and the Construction of Sanctity: The Stones of the Holy Sepulchre,” </w:t>
      </w:r>
      <w:r w:rsidR="00B334AA" w:rsidRPr="003C396A">
        <w:rPr>
          <w:i/>
          <w:iCs/>
          <w:szCs w:val="22"/>
        </w:rPr>
        <w:t>Journal of the Society of Architectural Historians</w:t>
      </w:r>
      <w:r w:rsidR="00B334AA" w:rsidRPr="003C396A">
        <w:rPr>
          <w:szCs w:val="22"/>
        </w:rPr>
        <w:t xml:space="preserve"> 62, 1 (2003): 4–23</w:t>
      </w:r>
      <w:r w:rsidR="00EF2C77" w:rsidRPr="003C396A">
        <w:rPr>
          <w:szCs w:val="22"/>
        </w:rPr>
        <w:t>;</w:t>
      </w:r>
      <w:r w:rsidR="00B334AA" w:rsidRPr="003C396A">
        <w:rPr>
          <w:szCs w:val="22"/>
        </w:rPr>
        <w:t xml:space="preserve"> </w:t>
      </w:r>
      <w:proofErr w:type="spellStart"/>
      <w:r w:rsidR="00B334AA" w:rsidRPr="003C396A">
        <w:rPr>
          <w:szCs w:val="22"/>
        </w:rPr>
        <w:t>Jaś</w:t>
      </w:r>
      <w:proofErr w:type="spellEnd"/>
      <w:r w:rsidR="00B334AA" w:rsidRPr="003C396A">
        <w:rPr>
          <w:szCs w:val="22"/>
        </w:rPr>
        <w:t xml:space="preserve"> Elsner, “From the Culture of Spolia to the Cult of Relics: The Arch of Constantine and the Genesis of Late Antique Forms,” </w:t>
      </w:r>
      <w:r w:rsidR="00B334AA" w:rsidRPr="003C396A">
        <w:rPr>
          <w:i/>
          <w:iCs/>
          <w:szCs w:val="22"/>
        </w:rPr>
        <w:t>Papers of the British School at Rome</w:t>
      </w:r>
      <w:r w:rsidR="00B334AA" w:rsidRPr="003C396A">
        <w:rPr>
          <w:szCs w:val="22"/>
        </w:rPr>
        <w:t xml:space="preserve">  68 (2000): 149–84</w:t>
      </w:r>
      <w:r w:rsidR="00A03108" w:rsidRPr="003C396A">
        <w:rPr>
          <w:szCs w:val="22"/>
        </w:rPr>
        <w:t>; B</w:t>
      </w:r>
      <w:r w:rsidR="004575A0" w:rsidRPr="003C396A">
        <w:rPr>
          <w:szCs w:val="22"/>
        </w:rPr>
        <w:t>eat</w:t>
      </w:r>
      <w:r w:rsidR="00A03108" w:rsidRPr="003C396A">
        <w:rPr>
          <w:szCs w:val="22"/>
        </w:rPr>
        <w:t xml:space="preserve"> </w:t>
      </w:r>
      <w:proofErr w:type="spellStart"/>
      <w:r w:rsidR="00A03108" w:rsidRPr="003C396A">
        <w:rPr>
          <w:szCs w:val="22"/>
        </w:rPr>
        <w:t>Brenk</w:t>
      </w:r>
      <w:proofErr w:type="spellEnd"/>
      <w:r w:rsidR="00A03108" w:rsidRPr="003C396A">
        <w:rPr>
          <w:szCs w:val="22"/>
        </w:rPr>
        <w:t xml:space="preserve">, “Spolia from Constantine to Charlemagne: Aesthetics versus Ideology,” </w:t>
      </w:r>
      <w:r w:rsidR="00A03108" w:rsidRPr="003C396A">
        <w:rPr>
          <w:i/>
          <w:iCs/>
          <w:szCs w:val="22"/>
        </w:rPr>
        <w:t>Dumbarton Oaks Papers</w:t>
      </w:r>
      <w:r w:rsidR="00A03108" w:rsidRPr="003C396A">
        <w:rPr>
          <w:szCs w:val="22"/>
        </w:rPr>
        <w:t xml:space="preserve"> 41 (1987), 103–109.</w:t>
      </w:r>
    </w:p>
  </w:footnote>
  <w:footnote w:id="74">
    <w:p w14:paraId="5E077261" w14:textId="3268CF6D" w:rsidR="00EA535D" w:rsidRPr="003C396A" w:rsidRDefault="00EA535D" w:rsidP="00E44B7D">
      <w:pPr>
        <w:pStyle w:val="Footnotes"/>
        <w:rPr>
          <w:szCs w:val="22"/>
        </w:rPr>
      </w:pPr>
      <w:r w:rsidRPr="003C396A">
        <w:rPr>
          <w:rStyle w:val="FootnoteReference"/>
          <w:szCs w:val="22"/>
        </w:rPr>
        <w:footnoteRef/>
      </w:r>
      <w:r w:rsidRPr="003C396A">
        <w:rPr>
          <w:szCs w:val="22"/>
        </w:rPr>
        <w:t xml:space="preserve"> </w:t>
      </w:r>
      <w:proofErr w:type="spellStart"/>
      <w:r w:rsidRPr="003C396A">
        <w:rPr>
          <w:szCs w:val="22"/>
        </w:rPr>
        <w:t>Raʻanan</w:t>
      </w:r>
      <w:proofErr w:type="spellEnd"/>
      <w:r w:rsidRPr="003C396A">
        <w:rPr>
          <w:szCs w:val="22"/>
        </w:rPr>
        <w:t xml:space="preserve"> S. </w:t>
      </w:r>
      <w:proofErr w:type="spellStart"/>
      <w:r w:rsidRPr="003C396A">
        <w:rPr>
          <w:szCs w:val="22"/>
        </w:rPr>
        <w:t>Boustan</w:t>
      </w:r>
      <w:proofErr w:type="spellEnd"/>
      <w:r w:rsidRPr="003C396A">
        <w:rPr>
          <w:szCs w:val="22"/>
        </w:rPr>
        <w:t xml:space="preserve">, “The Dislocation of the Temple Vessels: Mobile Sanctity and Rabbinic </w:t>
      </w:r>
      <w:proofErr w:type="spellStart"/>
      <w:r w:rsidRPr="003C396A">
        <w:rPr>
          <w:szCs w:val="22"/>
        </w:rPr>
        <w:t>Rhetorics</w:t>
      </w:r>
      <w:proofErr w:type="spellEnd"/>
      <w:r w:rsidRPr="003C396A">
        <w:rPr>
          <w:szCs w:val="22"/>
        </w:rPr>
        <w:t xml:space="preserve"> of Space,” in </w:t>
      </w:r>
      <w:r w:rsidRPr="003C396A">
        <w:rPr>
          <w:i/>
          <w:iCs/>
          <w:szCs w:val="22"/>
        </w:rPr>
        <w:t>Jewish Studies at the Crossroads of Anthropology and History: Authority, Diaspora, Tradition</w:t>
      </w:r>
      <w:r w:rsidRPr="003C396A">
        <w:rPr>
          <w:szCs w:val="22"/>
        </w:rPr>
        <w:t xml:space="preserve">, eds. </w:t>
      </w:r>
      <w:proofErr w:type="spellStart"/>
      <w:r w:rsidRPr="003C396A">
        <w:rPr>
          <w:szCs w:val="22"/>
        </w:rPr>
        <w:t>Raʻanan</w:t>
      </w:r>
      <w:proofErr w:type="spellEnd"/>
      <w:r w:rsidRPr="003C396A">
        <w:rPr>
          <w:szCs w:val="22"/>
        </w:rPr>
        <w:t xml:space="preserve"> S. </w:t>
      </w:r>
      <w:proofErr w:type="spellStart"/>
      <w:r w:rsidRPr="003C396A">
        <w:rPr>
          <w:szCs w:val="22"/>
        </w:rPr>
        <w:t>Boustan</w:t>
      </w:r>
      <w:proofErr w:type="spellEnd"/>
      <w:r w:rsidRPr="003C396A">
        <w:rPr>
          <w:szCs w:val="22"/>
        </w:rPr>
        <w:t xml:space="preserve">, Oren </w:t>
      </w:r>
      <w:proofErr w:type="spellStart"/>
      <w:r w:rsidRPr="003C396A">
        <w:rPr>
          <w:szCs w:val="22"/>
        </w:rPr>
        <w:t>Kosansky</w:t>
      </w:r>
      <w:proofErr w:type="spellEnd"/>
      <w:r w:rsidRPr="003C396A">
        <w:rPr>
          <w:szCs w:val="22"/>
        </w:rPr>
        <w:t xml:space="preserve">, and Marina </w:t>
      </w:r>
      <w:proofErr w:type="spellStart"/>
      <w:r w:rsidRPr="003C396A">
        <w:rPr>
          <w:szCs w:val="22"/>
        </w:rPr>
        <w:t>Rustow</w:t>
      </w:r>
      <w:proofErr w:type="spellEnd"/>
      <w:r w:rsidRPr="003C396A">
        <w:rPr>
          <w:szCs w:val="22"/>
        </w:rPr>
        <w:t xml:space="preserve"> (Philadelphia: University of Pennsylvania Press, 2011), 135–46.</w:t>
      </w:r>
      <w:r w:rsidR="00E44B7D" w:rsidRPr="003C396A">
        <w:rPr>
          <w:szCs w:val="22"/>
        </w:rPr>
        <w:t xml:space="preserve"> See also Steven Fine, </w:t>
      </w:r>
      <w:r w:rsidR="00E44B7D" w:rsidRPr="003C396A">
        <w:rPr>
          <w:i/>
          <w:iCs/>
          <w:szCs w:val="22"/>
        </w:rPr>
        <w:t>Art, History and the Historiography of Judaism in Roman Antiquity</w:t>
      </w:r>
      <w:r w:rsidR="00E44B7D" w:rsidRPr="003C396A">
        <w:rPr>
          <w:szCs w:val="22"/>
        </w:rPr>
        <w:t xml:space="preserve"> (Leiden: Brill, 2014), 64–86.</w:t>
      </w:r>
    </w:p>
  </w:footnote>
  <w:footnote w:id="75">
    <w:p w14:paraId="5F9CFC64" w14:textId="408311D8" w:rsidR="00DF2726" w:rsidRPr="003C396A" w:rsidRDefault="00DF2726" w:rsidP="00DF2726">
      <w:pPr>
        <w:pStyle w:val="Footnotes"/>
        <w:rPr>
          <w:szCs w:val="22"/>
          <w:lang w:val="en-US"/>
        </w:rPr>
      </w:pPr>
      <w:r w:rsidRPr="003C396A">
        <w:rPr>
          <w:rStyle w:val="FootnoteReference"/>
          <w:szCs w:val="22"/>
        </w:rPr>
        <w:footnoteRef/>
      </w:r>
      <w:r w:rsidRPr="003C396A">
        <w:rPr>
          <w:szCs w:val="22"/>
        </w:rPr>
        <w:t xml:space="preserve"> See Steven Fine, </w:t>
      </w:r>
      <w:r w:rsidRPr="003C396A">
        <w:rPr>
          <w:i/>
          <w:iCs/>
          <w:szCs w:val="22"/>
        </w:rPr>
        <w:t xml:space="preserve">The Menorah: From the Bible to Modern Israel </w:t>
      </w:r>
      <w:r w:rsidRPr="003C396A">
        <w:rPr>
          <w:szCs w:val="22"/>
        </w:rPr>
        <w:t>(Cambridge, MA: Harvard Universi</w:t>
      </w:r>
      <w:r w:rsidR="006B0602" w:rsidRPr="003C396A">
        <w:rPr>
          <w:szCs w:val="22"/>
        </w:rPr>
        <w:t>ty</w:t>
      </w:r>
      <w:r w:rsidR="007C67EB" w:rsidRPr="003C396A">
        <w:rPr>
          <w:szCs w:val="22"/>
        </w:rPr>
        <w:t>, 2016</w:t>
      </w:r>
      <w:r w:rsidRPr="003C396A">
        <w:rPr>
          <w:szCs w:val="22"/>
        </w:rPr>
        <w:t>)</w:t>
      </w:r>
      <w:r w:rsidR="006B0602" w:rsidRPr="003C396A">
        <w:rPr>
          <w:szCs w:val="22"/>
        </w:rPr>
        <w:t>, esp. 263–207</w:t>
      </w:r>
      <w:r w:rsidR="007C67EB" w:rsidRPr="003C396A">
        <w:rPr>
          <w:szCs w:val="22"/>
        </w:rPr>
        <w:t>;</w:t>
      </w:r>
      <w:r w:rsidR="00F67277" w:rsidRPr="003C396A">
        <w:rPr>
          <w:szCs w:val="22"/>
        </w:rPr>
        <w:t xml:space="preserve"> </w:t>
      </w:r>
      <w:proofErr w:type="spellStart"/>
      <w:r w:rsidR="007C67EB" w:rsidRPr="003C396A">
        <w:rPr>
          <w:szCs w:val="22"/>
        </w:rPr>
        <w:t>Raʿanan</w:t>
      </w:r>
      <w:proofErr w:type="spellEnd"/>
      <w:r w:rsidR="007C67EB" w:rsidRPr="003C396A">
        <w:rPr>
          <w:szCs w:val="22"/>
        </w:rPr>
        <w:t xml:space="preserve"> S. </w:t>
      </w:r>
      <w:proofErr w:type="spellStart"/>
      <w:r w:rsidR="007C67EB" w:rsidRPr="003C396A">
        <w:rPr>
          <w:szCs w:val="22"/>
        </w:rPr>
        <w:t>Boustan</w:t>
      </w:r>
      <w:proofErr w:type="spellEnd"/>
      <w:r w:rsidR="007C67EB" w:rsidRPr="003C396A">
        <w:rPr>
          <w:szCs w:val="22"/>
        </w:rPr>
        <w:t xml:space="preserve">, “The Spoils of the Jerusalem Temple </w:t>
      </w:r>
      <w:r w:rsidR="00ED53D3" w:rsidRPr="003C396A">
        <w:rPr>
          <w:szCs w:val="22"/>
        </w:rPr>
        <w:t>a</w:t>
      </w:r>
      <w:r w:rsidR="007C67EB" w:rsidRPr="003C396A">
        <w:rPr>
          <w:szCs w:val="22"/>
        </w:rPr>
        <w:t xml:space="preserve">t Rome and Constantinople: Jewish </w:t>
      </w:r>
      <w:proofErr w:type="spellStart"/>
      <w:r w:rsidR="007C67EB" w:rsidRPr="003C396A">
        <w:rPr>
          <w:szCs w:val="22"/>
        </w:rPr>
        <w:t>Conter</w:t>
      </w:r>
      <w:proofErr w:type="spellEnd"/>
      <w:r w:rsidR="007C67EB" w:rsidRPr="003C396A">
        <w:rPr>
          <w:szCs w:val="22"/>
        </w:rPr>
        <w:t xml:space="preserve">-geography in a Christianizing Empire,” </w:t>
      </w:r>
      <w:r w:rsidR="00ED53D3" w:rsidRPr="003C396A">
        <w:rPr>
          <w:szCs w:val="22"/>
        </w:rPr>
        <w:t xml:space="preserve">in </w:t>
      </w:r>
      <w:r w:rsidR="00ED53D3" w:rsidRPr="003C396A">
        <w:rPr>
          <w:i/>
          <w:iCs/>
          <w:szCs w:val="22"/>
        </w:rPr>
        <w:t>Antiquity in Antiquity: Jewish and Christian Pasts in the Greco-Roman World</w:t>
      </w:r>
      <w:r w:rsidR="00ED53D3" w:rsidRPr="003C396A">
        <w:rPr>
          <w:szCs w:val="22"/>
        </w:rPr>
        <w:t xml:space="preserve">, eds. Gregg Gardner and Kevin </w:t>
      </w:r>
      <w:proofErr w:type="spellStart"/>
      <w:r w:rsidR="00ED53D3" w:rsidRPr="003C396A">
        <w:rPr>
          <w:szCs w:val="22"/>
        </w:rPr>
        <w:t>Osterloh</w:t>
      </w:r>
      <w:proofErr w:type="spellEnd"/>
      <w:r w:rsidR="00ED53D3" w:rsidRPr="003C396A">
        <w:rPr>
          <w:szCs w:val="22"/>
        </w:rPr>
        <w:t xml:space="preserve"> (Tübingen: Mohr </w:t>
      </w:r>
      <w:proofErr w:type="spellStart"/>
      <w:r w:rsidR="00ED53D3" w:rsidRPr="003C396A">
        <w:rPr>
          <w:szCs w:val="22"/>
        </w:rPr>
        <w:t>Siebeck</w:t>
      </w:r>
      <w:proofErr w:type="spellEnd"/>
      <w:r w:rsidR="00ED53D3" w:rsidRPr="003C396A">
        <w:rPr>
          <w:szCs w:val="22"/>
        </w:rPr>
        <w:t>, 2008),</w:t>
      </w:r>
      <w:r w:rsidR="007C67EB" w:rsidRPr="003C396A">
        <w:rPr>
          <w:szCs w:val="22"/>
        </w:rPr>
        <w:t xml:space="preserve"> 327</w:t>
      </w:r>
      <w:r w:rsidR="00ED53D3" w:rsidRPr="003C396A">
        <w:rPr>
          <w:szCs w:val="22"/>
        </w:rPr>
        <w:t>–</w:t>
      </w:r>
      <w:r w:rsidR="007C67EB" w:rsidRPr="003C396A">
        <w:rPr>
          <w:szCs w:val="22"/>
        </w:rPr>
        <w:t>72</w:t>
      </w:r>
      <w:r w:rsidR="00C40EDC" w:rsidRPr="003C396A">
        <w:rPr>
          <w:szCs w:val="22"/>
        </w:rPr>
        <w:t>.</w:t>
      </w:r>
      <w:r w:rsidR="00ED53D3" w:rsidRPr="003C396A">
        <w:rPr>
          <w:szCs w:val="22"/>
        </w:rPr>
        <w:t xml:space="preserve"> </w:t>
      </w:r>
      <w:r w:rsidR="007C67EB" w:rsidRPr="003C396A">
        <w:rPr>
          <w:szCs w:val="22"/>
        </w:rPr>
        <w:t xml:space="preserve"> </w:t>
      </w:r>
      <w:r w:rsidR="00ED53D3" w:rsidRPr="003C396A">
        <w:rPr>
          <w:szCs w:val="22"/>
        </w:rPr>
        <w:t xml:space="preserve"> </w:t>
      </w:r>
    </w:p>
  </w:footnote>
  <w:footnote w:id="76">
    <w:p w14:paraId="2EB4147E" w14:textId="6E21CD8D" w:rsidR="00A03108" w:rsidRPr="003C396A" w:rsidRDefault="00A03108" w:rsidP="00A03108">
      <w:pPr>
        <w:pStyle w:val="Footnotes"/>
        <w:rPr>
          <w:szCs w:val="22"/>
          <w:lang w:val="en-US"/>
        </w:rPr>
      </w:pPr>
      <w:r w:rsidRPr="003C396A">
        <w:rPr>
          <w:rStyle w:val="FootnoteReference"/>
          <w:szCs w:val="22"/>
        </w:rPr>
        <w:footnoteRef/>
      </w:r>
      <w:r w:rsidRPr="003C396A">
        <w:rPr>
          <w:szCs w:val="22"/>
        </w:rPr>
        <w:t xml:space="preserve"> John B. Ward-Perkins, “The Shrine of St Peter's and its Twelve Spiral Columns,” </w:t>
      </w:r>
      <w:r w:rsidRPr="003C396A">
        <w:rPr>
          <w:i/>
          <w:iCs/>
          <w:szCs w:val="22"/>
        </w:rPr>
        <w:t>Journal of Roman Studies</w:t>
      </w:r>
      <w:r w:rsidRPr="003C396A">
        <w:rPr>
          <w:szCs w:val="22"/>
        </w:rPr>
        <w:t xml:space="preserve"> 42 (1952): 21–33.</w:t>
      </w:r>
      <w:r w:rsidR="007C67EB" w:rsidRPr="003C396A">
        <w:rPr>
          <w:szCs w:val="22"/>
        </w:rPr>
        <w:t xml:space="preserve"> </w:t>
      </w:r>
    </w:p>
  </w:footnote>
  <w:footnote w:id="77">
    <w:p w14:paraId="61DBDFCF" w14:textId="0AC1B70F" w:rsidR="00924862" w:rsidRPr="003C396A" w:rsidRDefault="00924862" w:rsidP="00924862">
      <w:pPr>
        <w:pStyle w:val="Footnotes"/>
        <w:rPr>
          <w:szCs w:val="22"/>
          <w:lang w:val="en-US"/>
        </w:rPr>
      </w:pPr>
      <w:r w:rsidRPr="003C396A">
        <w:rPr>
          <w:rStyle w:val="FootnoteReference"/>
          <w:szCs w:val="22"/>
        </w:rPr>
        <w:footnoteRef/>
      </w:r>
      <w:r w:rsidRPr="003C396A">
        <w:rPr>
          <w:szCs w:val="22"/>
        </w:rPr>
        <w:t xml:space="preserve"> </w:t>
      </w:r>
      <w:proofErr w:type="spellStart"/>
      <w:r w:rsidRPr="003C396A">
        <w:rPr>
          <w:i/>
          <w:iCs/>
          <w:szCs w:val="22"/>
        </w:rPr>
        <w:t>Igeret</w:t>
      </w:r>
      <w:proofErr w:type="spellEnd"/>
      <w:r w:rsidRPr="003C396A">
        <w:rPr>
          <w:i/>
          <w:iCs/>
          <w:szCs w:val="22"/>
        </w:rPr>
        <w:t xml:space="preserve"> ha-</w:t>
      </w:r>
      <w:proofErr w:type="spellStart"/>
      <w:r w:rsidRPr="003C396A">
        <w:rPr>
          <w:i/>
          <w:iCs/>
          <w:szCs w:val="22"/>
        </w:rPr>
        <w:t>rav</w:t>
      </w:r>
      <w:proofErr w:type="spellEnd"/>
      <w:r w:rsidRPr="003C396A">
        <w:rPr>
          <w:i/>
          <w:iCs/>
          <w:szCs w:val="22"/>
        </w:rPr>
        <w:t xml:space="preserve"> </w:t>
      </w:r>
      <w:proofErr w:type="spellStart"/>
      <w:r w:rsidRPr="003C396A">
        <w:rPr>
          <w:i/>
          <w:iCs/>
          <w:szCs w:val="22"/>
        </w:rPr>
        <w:t>Sherira</w:t>
      </w:r>
      <w:proofErr w:type="spellEnd"/>
      <w:r w:rsidRPr="003C396A">
        <w:rPr>
          <w:i/>
          <w:iCs/>
          <w:szCs w:val="22"/>
        </w:rPr>
        <w:t xml:space="preserve"> </w:t>
      </w:r>
      <w:proofErr w:type="spellStart"/>
      <w:r w:rsidRPr="003C396A">
        <w:rPr>
          <w:i/>
          <w:iCs/>
          <w:szCs w:val="22"/>
        </w:rPr>
        <w:t>Ga’on</w:t>
      </w:r>
      <w:proofErr w:type="spellEnd"/>
      <w:r w:rsidRPr="003C396A">
        <w:rPr>
          <w:szCs w:val="22"/>
        </w:rPr>
        <w:t xml:space="preserve">, ed. Benjamin Manasseh Lewin (Haifa: s. n., 1921), 72–73 (Hebrew); Joseph Gutmann, </w:t>
      </w:r>
      <w:r w:rsidR="00F6463A" w:rsidRPr="003C396A">
        <w:rPr>
          <w:szCs w:val="22"/>
        </w:rPr>
        <w:t>“</w:t>
      </w:r>
      <w:proofErr w:type="spellStart"/>
      <w:r w:rsidRPr="003C396A">
        <w:rPr>
          <w:szCs w:val="22"/>
        </w:rPr>
        <w:t>Sherira</w:t>
      </w:r>
      <w:proofErr w:type="spellEnd"/>
      <w:r w:rsidRPr="003C396A">
        <w:rPr>
          <w:szCs w:val="22"/>
        </w:rPr>
        <w:t xml:space="preserve"> Gaon and the Babylonian Origin of the Synagogue,</w:t>
      </w:r>
      <w:r w:rsidR="00F6463A" w:rsidRPr="003C396A">
        <w:rPr>
          <w:szCs w:val="22"/>
        </w:rPr>
        <w:t>”</w:t>
      </w:r>
      <w:r w:rsidRPr="003C396A">
        <w:rPr>
          <w:szCs w:val="22"/>
        </w:rPr>
        <w:t xml:space="preserve"> in </w:t>
      </w:r>
      <w:r w:rsidRPr="003C396A">
        <w:rPr>
          <w:i/>
          <w:iCs/>
          <w:szCs w:val="22"/>
        </w:rPr>
        <w:t xml:space="preserve">Occident and Orient: A Tribute to the Memory of Alexander </w:t>
      </w:r>
      <w:proofErr w:type="spellStart"/>
      <w:r w:rsidRPr="003C396A">
        <w:rPr>
          <w:i/>
          <w:iCs/>
          <w:szCs w:val="22"/>
        </w:rPr>
        <w:t>Scheiber</w:t>
      </w:r>
      <w:proofErr w:type="spellEnd"/>
      <w:r w:rsidRPr="003C396A">
        <w:rPr>
          <w:szCs w:val="22"/>
        </w:rPr>
        <w:t xml:space="preserve">, ed. Robert Dan (Budapest and Leiden: </w:t>
      </w:r>
      <w:proofErr w:type="spellStart"/>
      <w:r w:rsidRPr="003C396A">
        <w:rPr>
          <w:szCs w:val="22"/>
        </w:rPr>
        <w:t>Akadémiai</w:t>
      </w:r>
      <w:proofErr w:type="spellEnd"/>
      <w:r w:rsidRPr="003C396A">
        <w:rPr>
          <w:szCs w:val="22"/>
        </w:rPr>
        <w:t xml:space="preserve"> </w:t>
      </w:r>
      <w:proofErr w:type="spellStart"/>
      <w:r w:rsidRPr="003C396A">
        <w:rPr>
          <w:szCs w:val="22"/>
        </w:rPr>
        <w:t>Kiadó</w:t>
      </w:r>
      <w:proofErr w:type="spellEnd"/>
      <w:r w:rsidRPr="003C396A">
        <w:rPr>
          <w:szCs w:val="22"/>
        </w:rPr>
        <w:t xml:space="preserve"> and Brill, 1988), 209. </w:t>
      </w:r>
      <w:r w:rsidRPr="003C396A">
        <w:rPr>
          <w:szCs w:val="22"/>
          <w:lang w:val="en-US"/>
        </w:rPr>
        <w:t xml:space="preserve">See also </w:t>
      </w:r>
      <w:r w:rsidRPr="003C396A">
        <w:rPr>
          <w:szCs w:val="22"/>
        </w:rPr>
        <w:t>Branham, “Vicarious Sacrality,” 343.</w:t>
      </w:r>
    </w:p>
  </w:footnote>
  <w:footnote w:id="78">
    <w:p w14:paraId="4B25FEF6" w14:textId="0DF9F9DF" w:rsidR="00924862" w:rsidRPr="003C396A" w:rsidRDefault="00924862" w:rsidP="003C396A">
      <w:pPr>
        <w:pStyle w:val="Footnotes"/>
        <w:rPr>
          <w:szCs w:val="22"/>
          <w:lang w:val="en-US"/>
        </w:rPr>
      </w:pPr>
      <w:r w:rsidRPr="003C396A">
        <w:rPr>
          <w:rStyle w:val="FootnoteReference"/>
          <w:szCs w:val="22"/>
        </w:rPr>
        <w:footnoteRef/>
      </w:r>
      <w:r w:rsidRPr="003C396A">
        <w:rPr>
          <w:szCs w:val="22"/>
        </w:rPr>
        <w:t xml:space="preserve"> </w:t>
      </w:r>
      <w:r w:rsidR="00366DCA" w:rsidRPr="003C396A">
        <w:rPr>
          <w:szCs w:val="22"/>
        </w:rPr>
        <w:t xml:space="preserve">E.g., </w:t>
      </w:r>
      <w:r w:rsidR="00A33E1C" w:rsidRPr="003C396A">
        <w:rPr>
          <w:szCs w:val="22"/>
        </w:rPr>
        <w:t xml:space="preserve">Tunisian Jews believed that when the most part of Israelites were exiled to Babylon, a group of priestly exiles from Jerusalem took a door and stones of the Solomonic Temple and incorporated them in the </w:t>
      </w:r>
      <w:proofErr w:type="spellStart"/>
      <w:r w:rsidR="00A33E1C" w:rsidRPr="003C396A">
        <w:rPr>
          <w:szCs w:val="22"/>
        </w:rPr>
        <w:t>Ghriba</w:t>
      </w:r>
      <w:proofErr w:type="spellEnd"/>
      <w:r w:rsidR="00A33E1C" w:rsidRPr="003C396A">
        <w:rPr>
          <w:szCs w:val="22"/>
        </w:rPr>
        <w:t xml:space="preserve"> synagogue in </w:t>
      </w:r>
      <w:proofErr w:type="spellStart"/>
      <w:r w:rsidR="00A33E1C" w:rsidRPr="003C396A">
        <w:rPr>
          <w:szCs w:val="22"/>
        </w:rPr>
        <w:t>Djerba</w:t>
      </w:r>
      <w:proofErr w:type="spellEnd"/>
      <w:r w:rsidR="00A33E1C" w:rsidRPr="003C396A">
        <w:rPr>
          <w:szCs w:val="22"/>
        </w:rPr>
        <w:t xml:space="preserve">. See </w:t>
      </w:r>
      <w:r w:rsidR="00A33E1C" w:rsidRPr="003C396A">
        <w:rPr>
          <w:szCs w:val="22"/>
          <w:lang w:val="en-US"/>
        </w:rPr>
        <w:t xml:space="preserve">Abraham L. </w:t>
      </w:r>
      <w:proofErr w:type="spellStart"/>
      <w:r w:rsidR="00A33E1C" w:rsidRPr="003C396A">
        <w:rPr>
          <w:szCs w:val="22"/>
          <w:lang w:val="en-US"/>
        </w:rPr>
        <w:t>Udovitch</w:t>
      </w:r>
      <w:proofErr w:type="spellEnd"/>
      <w:r w:rsidR="00A33E1C" w:rsidRPr="003C396A">
        <w:rPr>
          <w:szCs w:val="22"/>
          <w:lang w:val="en-US"/>
        </w:rPr>
        <w:t xml:space="preserve"> and </w:t>
      </w:r>
      <w:proofErr w:type="spellStart"/>
      <w:r w:rsidR="00A33E1C" w:rsidRPr="003C396A">
        <w:rPr>
          <w:szCs w:val="22"/>
          <w:lang w:val="en-US"/>
        </w:rPr>
        <w:t>Lucette</w:t>
      </w:r>
      <w:proofErr w:type="spellEnd"/>
      <w:r w:rsidR="00A33E1C" w:rsidRPr="003C396A">
        <w:rPr>
          <w:szCs w:val="22"/>
          <w:lang w:val="en-US"/>
        </w:rPr>
        <w:t xml:space="preserve"> </w:t>
      </w:r>
      <w:proofErr w:type="spellStart"/>
      <w:r w:rsidR="00A33E1C" w:rsidRPr="003C396A">
        <w:rPr>
          <w:szCs w:val="22"/>
          <w:lang w:val="en-US"/>
        </w:rPr>
        <w:t>Valensi</w:t>
      </w:r>
      <w:proofErr w:type="spellEnd"/>
      <w:r w:rsidR="00A33E1C" w:rsidRPr="003C396A">
        <w:rPr>
          <w:szCs w:val="22"/>
          <w:lang w:val="en-US"/>
        </w:rPr>
        <w:t xml:space="preserve">, </w:t>
      </w:r>
      <w:r w:rsidR="00A33E1C" w:rsidRPr="003C396A">
        <w:rPr>
          <w:i/>
          <w:iCs/>
          <w:szCs w:val="22"/>
          <w:lang w:val="en-US"/>
        </w:rPr>
        <w:t xml:space="preserve">The Last Arab Jews: The Communities of </w:t>
      </w:r>
      <w:proofErr w:type="spellStart"/>
      <w:r w:rsidR="00A33E1C" w:rsidRPr="003C396A">
        <w:rPr>
          <w:i/>
          <w:iCs/>
          <w:szCs w:val="22"/>
          <w:lang w:val="en-US"/>
        </w:rPr>
        <w:t>Jerba</w:t>
      </w:r>
      <w:proofErr w:type="spellEnd"/>
      <w:r w:rsidR="00A33E1C" w:rsidRPr="003C396A">
        <w:rPr>
          <w:i/>
          <w:iCs/>
          <w:szCs w:val="22"/>
          <w:lang w:val="en-US"/>
        </w:rPr>
        <w:t>, Tunisia</w:t>
      </w:r>
      <w:r w:rsidR="00A33E1C" w:rsidRPr="003C396A">
        <w:rPr>
          <w:szCs w:val="22"/>
          <w:lang w:val="en-US"/>
        </w:rPr>
        <w:t xml:space="preserve"> (London: Routledge, 2016), 8.</w:t>
      </w:r>
      <w:r w:rsidR="00A33E1C">
        <w:rPr>
          <w:szCs w:val="22"/>
          <w:lang w:val="en-US"/>
        </w:rPr>
        <w:t xml:space="preserve"> </w:t>
      </w:r>
      <w:r w:rsidR="00366DCA" w:rsidRPr="003C396A">
        <w:rPr>
          <w:szCs w:val="22"/>
        </w:rPr>
        <w:t xml:space="preserve">Jews of Prague </w:t>
      </w:r>
      <w:r w:rsidR="00A33E1C">
        <w:rPr>
          <w:szCs w:val="22"/>
        </w:rPr>
        <w:t xml:space="preserve">narrated </w:t>
      </w:r>
      <w:r w:rsidR="004A7996" w:rsidRPr="003C396A">
        <w:rPr>
          <w:szCs w:val="22"/>
        </w:rPr>
        <w:t xml:space="preserve">that </w:t>
      </w:r>
      <w:r w:rsidR="00366DCA" w:rsidRPr="003C396A">
        <w:rPr>
          <w:szCs w:val="22"/>
        </w:rPr>
        <w:t xml:space="preserve">stones from the Second Temple in Jerusalem laid in the foundations of the Altneuschul, see Sergey R. Kravtsov, “Preserving a Synagogue: Cultural, Material, and Sacred Values,” </w:t>
      </w:r>
      <w:proofErr w:type="spellStart"/>
      <w:r w:rsidR="00366DCA" w:rsidRPr="003C396A">
        <w:rPr>
          <w:i/>
          <w:iCs/>
          <w:szCs w:val="22"/>
        </w:rPr>
        <w:t>Polin</w:t>
      </w:r>
      <w:proofErr w:type="spellEnd"/>
      <w:r w:rsidR="00366DCA" w:rsidRPr="003C396A">
        <w:rPr>
          <w:i/>
          <w:iCs/>
          <w:szCs w:val="22"/>
        </w:rPr>
        <w:t>: Studies in Polish Jewry</w:t>
      </w:r>
      <w:r w:rsidR="00366DCA" w:rsidRPr="003C396A">
        <w:rPr>
          <w:szCs w:val="22"/>
        </w:rPr>
        <w:t xml:space="preserve"> 33, 1 (2021): 222. </w:t>
      </w:r>
      <w:r w:rsidR="00A33E1C">
        <w:rPr>
          <w:szCs w:val="22"/>
        </w:rPr>
        <w:t xml:space="preserve">I thank </w:t>
      </w:r>
      <w:proofErr w:type="spellStart"/>
      <w:r w:rsidR="00A33E1C">
        <w:rPr>
          <w:szCs w:val="22"/>
        </w:rPr>
        <w:t>Dr.</w:t>
      </w:r>
      <w:proofErr w:type="spellEnd"/>
      <w:r w:rsidR="00A33E1C">
        <w:rPr>
          <w:szCs w:val="22"/>
        </w:rPr>
        <w:t xml:space="preserve"> </w:t>
      </w:r>
      <w:proofErr w:type="spellStart"/>
      <w:r w:rsidR="00A33E1C">
        <w:rPr>
          <w:szCs w:val="22"/>
        </w:rPr>
        <w:t>Kravtzov</w:t>
      </w:r>
      <w:proofErr w:type="spellEnd"/>
      <w:r w:rsidR="00A33E1C">
        <w:rPr>
          <w:szCs w:val="22"/>
        </w:rPr>
        <w:t xml:space="preserve"> who discussed with me this and many other issues relating to synagogue sanctity.  </w:t>
      </w:r>
    </w:p>
  </w:footnote>
  <w:footnote w:id="79">
    <w:p w14:paraId="74E77760" w14:textId="7B390D30" w:rsidR="003C396A" w:rsidRPr="003C396A" w:rsidRDefault="00F8299E" w:rsidP="003C396A">
      <w:pPr>
        <w:pStyle w:val="Footnotes"/>
        <w:rPr>
          <w:szCs w:val="22"/>
        </w:rPr>
      </w:pPr>
      <w:r w:rsidRPr="003C396A">
        <w:rPr>
          <w:rStyle w:val="FootnoteReference"/>
          <w:szCs w:val="22"/>
        </w:rPr>
        <w:footnoteRef/>
      </w:r>
      <w:r w:rsidRPr="003C396A">
        <w:rPr>
          <w:szCs w:val="22"/>
        </w:rPr>
        <w:t xml:space="preserve"> </w:t>
      </w:r>
      <w:proofErr w:type="spellStart"/>
      <w:r w:rsidRPr="003C396A">
        <w:rPr>
          <w:szCs w:val="22"/>
        </w:rPr>
        <w:t>Vered</w:t>
      </w:r>
      <w:proofErr w:type="spellEnd"/>
      <w:r w:rsidRPr="003C396A">
        <w:rPr>
          <w:szCs w:val="22"/>
        </w:rPr>
        <w:t xml:space="preserve"> </w:t>
      </w:r>
      <w:proofErr w:type="spellStart"/>
      <w:r w:rsidRPr="003C396A">
        <w:rPr>
          <w:szCs w:val="22"/>
        </w:rPr>
        <w:t>Tohar</w:t>
      </w:r>
      <w:proofErr w:type="spellEnd"/>
      <w:r w:rsidRPr="003C396A">
        <w:rPr>
          <w:szCs w:val="22"/>
        </w:rPr>
        <w:t xml:space="preserve">, “Sacred Stones: Literary and Folkloric Representations of the Remains of the Holy Temple,” in </w:t>
      </w:r>
      <w:r w:rsidRPr="003C396A">
        <w:rPr>
          <w:i/>
          <w:iCs/>
          <w:szCs w:val="22"/>
        </w:rPr>
        <w:t>Jerusalem and Other Holy Places as Foci of Multireligious and Ideological Confrontation</w:t>
      </w:r>
      <w:r w:rsidRPr="003C396A">
        <w:rPr>
          <w:szCs w:val="22"/>
        </w:rPr>
        <w:t xml:space="preserve"> (Leiden, The Netherlands: Brill, 2020), 339–54.</w:t>
      </w:r>
      <w:r w:rsidR="003C396A" w:rsidRPr="003C396A">
        <w:rPr>
          <w:szCs w:val="22"/>
        </w:rPr>
        <w:t xml:space="preserve"> </w:t>
      </w:r>
      <w:r w:rsidR="003C396A">
        <w:rPr>
          <w:szCs w:val="22"/>
        </w:rPr>
        <w:t>The motif of return of t</w:t>
      </w:r>
      <w:r w:rsidR="003C396A" w:rsidRPr="003C396A">
        <w:rPr>
          <w:szCs w:val="22"/>
        </w:rPr>
        <w:t>he synagogues and houses of learning in Babylon</w:t>
      </w:r>
      <w:r w:rsidR="003C396A">
        <w:rPr>
          <w:szCs w:val="22"/>
        </w:rPr>
        <w:t xml:space="preserve"> to the Land of Israel is traced back to the </w:t>
      </w:r>
      <w:r w:rsidR="003C396A" w:rsidRPr="003C396A">
        <w:rPr>
          <w:szCs w:val="22"/>
        </w:rPr>
        <w:t xml:space="preserve">Babylonian Talmud, </w:t>
      </w:r>
      <w:proofErr w:type="spellStart"/>
      <w:r w:rsidR="003C396A" w:rsidRPr="003C396A">
        <w:rPr>
          <w:i/>
          <w:iCs/>
          <w:szCs w:val="22"/>
        </w:rPr>
        <w:t>Megilah</w:t>
      </w:r>
      <w:proofErr w:type="spellEnd"/>
      <w:r w:rsidR="003C396A" w:rsidRPr="003C396A">
        <w:rPr>
          <w:szCs w:val="22"/>
        </w:rPr>
        <w:t xml:space="preserve"> 29a.</w:t>
      </w:r>
    </w:p>
    <w:p w14:paraId="64C51B62" w14:textId="60E190BF" w:rsidR="00F8299E" w:rsidRPr="003C396A" w:rsidRDefault="003C396A" w:rsidP="003C396A">
      <w:pPr>
        <w:pStyle w:val="Footnotes"/>
        <w:rPr>
          <w:szCs w:val="22"/>
          <w:lang w:val="en-US"/>
        </w:rPr>
      </w:pPr>
      <w:r w:rsidRPr="003C396A">
        <w:rPr>
          <w:szCs w:val="22"/>
        </w:rPr>
        <w:t>.</w:t>
      </w:r>
    </w:p>
  </w:footnote>
  <w:footnote w:id="80">
    <w:p w14:paraId="0FDE6622" w14:textId="3E16A519" w:rsidR="00AE701B" w:rsidRPr="003C396A" w:rsidRDefault="00AE701B" w:rsidP="00AE701B">
      <w:pPr>
        <w:pStyle w:val="Footnotes"/>
        <w:rPr>
          <w:szCs w:val="22"/>
          <w:lang w:val="en-US"/>
        </w:rPr>
      </w:pPr>
      <w:r w:rsidRPr="003C396A">
        <w:rPr>
          <w:rStyle w:val="FootnoteReference"/>
          <w:szCs w:val="22"/>
        </w:rPr>
        <w:footnoteRef/>
      </w:r>
      <w:r w:rsidRPr="003C396A">
        <w:rPr>
          <w:szCs w:val="22"/>
        </w:rPr>
        <w:t xml:space="preserve"> Uri Ehrlich, </w:t>
      </w:r>
      <w:r w:rsidRPr="003C396A">
        <w:rPr>
          <w:i/>
          <w:iCs/>
          <w:szCs w:val="22"/>
        </w:rPr>
        <w:t>The Nonverbal Language of Prayer: A New Approach to Jewish Liturgy</w:t>
      </w:r>
      <w:r w:rsidRPr="003C396A">
        <w:rPr>
          <w:szCs w:val="22"/>
        </w:rPr>
        <w:t xml:space="preserve"> (Tübingen: Mohr </w:t>
      </w:r>
      <w:proofErr w:type="spellStart"/>
      <w:r w:rsidRPr="003C396A">
        <w:rPr>
          <w:szCs w:val="22"/>
        </w:rPr>
        <w:t>Siebeck</w:t>
      </w:r>
      <w:proofErr w:type="spellEnd"/>
      <w:r w:rsidRPr="003C396A">
        <w:rPr>
          <w:szCs w:val="22"/>
        </w:rPr>
        <w:t>, 2004), 237–46</w:t>
      </w:r>
      <w:r w:rsidR="00F378FF" w:rsidRPr="003C396A">
        <w:rPr>
          <w:szCs w:val="22"/>
        </w:rPr>
        <w:t>.</w:t>
      </w:r>
      <w:r w:rsidR="00282D52" w:rsidRPr="003C396A">
        <w:rPr>
          <w:szCs w:val="22"/>
        </w:rPr>
        <w:t xml:space="preserve"> </w:t>
      </w:r>
    </w:p>
  </w:footnote>
  <w:footnote w:id="81">
    <w:p w14:paraId="370D6A9A" w14:textId="3170FF32" w:rsidR="007B1DC1" w:rsidRPr="003C396A" w:rsidRDefault="007B1DC1" w:rsidP="00A378A6">
      <w:pPr>
        <w:pStyle w:val="Footnotes"/>
        <w:rPr>
          <w:szCs w:val="22"/>
          <w:lang w:val="en-US"/>
        </w:rPr>
      </w:pPr>
      <w:r w:rsidRPr="003C396A">
        <w:rPr>
          <w:rStyle w:val="FootnoteReference"/>
          <w:szCs w:val="22"/>
        </w:rPr>
        <w:footnoteRef/>
      </w:r>
      <w:r w:rsidRPr="003C396A">
        <w:rPr>
          <w:szCs w:val="22"/>
        </w:rPr>
        <w:t xml:space="preserve"> Swartz, “Liturgy, Poetry, and the Persistence of Sacrifice,” 408–10.</w:t>
      </w:r>
    </w:p>
  </w:footnote>
  <w:footnote w:id="82">
    <w:p w14:paraId="0F03244E" w14:textId="66DB503C" w:rsidR="00AE701B" w:rsidRPr="003C396A" w:rsidRDefault="00AE701B" w:rsidP="00AE701B">
      <w:pPr>
        <w:pStyle w:val="Footnotes"/>
        <w:rPr>
          <w:szCs w:val="22"/>
          <w:lang w:val="en-US"/>
        </w:rPr>
      </w:pPr>
      <w:r w:rsidRPr="003C396A">
        <w:rPr>
          <w:rStyle w:val="FootnoteReference"/>
          <w:szCs w:val="22"/>
        </w:rPr>
        <w:footnoteRef/>
      </w:r>
      <w:r w:rsidRPr="003C396A">
        <w:rPr>
          <w:szCs w:val="22"/>
        </w:rPr>
        <w:t xml:space="preserve"> Ibid., 239.</w:t>
      </w:r>
      <w:r w:rsidR="008F37F2" w:rsidRPr="003C396A">
        <w:rPr>
          <w:szCs w:val="22"/>
        </w:rPr>
        <w:t xml:space="preserve"> </w:t>
      </w:r>
      <w:r w:rsidR="00392E07" w:rsidRPr="003C396A">
        <w:rPr>
          <w:szCs w:val="22"/>
        </w:rPr>
        <w:t xml:space="preserve">Cf. also idem, “When You Pray Know Before Whom You Are Standing,” </w:t>
      </w:r>
      <w:r w:rsidR="00392E07" w:rsidRPr="003C396A">
        <w:rPr>
          <w:i/>
          <w:iCs/>
          <w:szCs w:val="22"/>
        </w:rPr>
        <w:t>Journal of Jewish Studies</w:t>
      </w:r>
      <w:r w:rsidR="00392E07" w:rsidRPr="003C396A">
        <w:rPr>
          <w:szCs w:val="22"/>
        </w:rPr>
        <w:t xml:space="preserve"> 49, 1 (1998): 48–49.</w:t>
      </w:r>
    </w:p>
  </w:footnote>
  <w:footnote w:id="83">
    <w:p w14:paraId="68F6ECCF" w14:textId="7275F51F" w:rsidR="00F51085" w:rsidRPr="003C396A" w:rsidRDefault="00F51085" w:rsidP="00F51085">
      <w:pPr>
        <w:pStyle w:val="Footnotes"/>
        <w:rPr>
          <w:szCs w:val="22"/>
          <w:lang w:val="en-US"/>
        </w:rPr>
      </w:pPr>
      <w:r w:rsidRPr="003C396A">
        <w:rPr>
          <w:rStyle w:val="FootnoteReference"/>
          <w:szCs w:val="22"/>
        </w:rPr>
        <w:footnoteRef/>
      </w:r>
      <w:r w:rsidRPr="003C396A">
        <w:rPr>
          <w:szCs w:val="22"/>
        </w:rPr>
        <w:t xml:space="preserve"> Joseph Sievers, “‘Where Two or Three </w:t>
      </w:r>
      <w:r w:rsidR="00893BA3" w:rsidRPr="003C396A">
        <w:rPr>
          <w:szCs w:val="22"/>
        </w:rPr>
        <w:t>…,</w:t>
      </w:r>
      <w:r w:rsidRPr="003C396A">
        <w:rPr>
          <w:szCs w:val="22"/>
        </w:rPr>
        <w:t xml:space="preserve"> </w:t>
      </w:r>
      <w:proofErr w:type="spellStart"/>
      <w:r w:rsidRPr="003C396A">
        <w:rPr>
          <w:szCs w:val="22"/>
        </w:rPr>
        <w:t>Shekhinah</w:t>
      </w:r>
      <w:proofErr w:type="spellEnd"/>
      <w:r w:rsidRPr="003C396A">
        <w:rPr>
          <w:szCs w:val="22"/>
        </w:rPr>
        <w:t xml:space="preserve"> and Matthew 18:20: Foundations for Jewish-Christian Dialogue and Beyond?" </w:t>
      </w:r>
      <w:proofErr w:type="spellStart"/>
      <w:r w:rsidRPr="003C396A">
        <w:rPr>
          <w:i/>
          <w:iCs/>
          <w:szCs w:val="22"/>
        </w:rPr>
        <w:t>Claritas</w:t>
      </w:r>
      <w:proofErr w:type="spellEnd"/>
      <w:r w:rsidRPr="003C396A">
        <w:rPr>
          <w:i/>
          <w:iCs/>
          <w:szCs w:val="22"/>
        </w:rPr>
        <w:t>: Journal of Dialogue and Culture</w:t>
      </w:r>
      <w:r w:rsidRPr="003C396A">
        <w:rPr>
          <w:szCs w:val="22"/>
        </w:rPr>
        <w:t xml:space="preserve"> 6</w:t>
      </w:r>
      <w:r w:rsidR="00893BA3" w:rsidRPr="003C396A">
        <w:rPr>
          <w:szCs w:val="22"/>
        </w:rPr>
        <w:t>,</w:t>
      </w:r>
      <w:r w:rsidRPr="003C396A">
        <w:rPr>
          <w:szCs w:val="22"/>
        </w:rPr>
        <w:t xml:space="preserve"> 1 (2017)</w:t>
      </w:r>
      <w:r w:rsidR="00893BA3" w:rsidRPr="003C396A">
        <w:rPr>
          <w:szCs w:val="22"/>
        </w:rPr>
        <w:t>:</w:t>
      </w:r>
      <w:r w:rsidRPr="003C396A">
        <w:rPr>
          <w:szCs w:val="22"/>
        </w:rPr>
        <w:t xml:space="preserve"> </w:t>
      </w:r>
      <w:r w:rsidR="00893BA3" w:rsidRPr="003C396A">
        <w:rPr>
          <w:szCs w:val="22"/>
        </w:rPr>
        <w:t>24–39</w:t>
      </w:r>
      <w:r w:rsidRPr="003C396A">
        <w:rPr>
          <w:szCs w:val="22"/>
        </w:rPr>
        <w:t>.</w:t>
      </w:r>
    </w:p>
  </w:footnote>
  <w:footnote w:id="84">
    <w:p w14:paraId="4F3C49FF" w14:textId="6282EB62" w:rsidR="0096091E" w:rsidRPr="003C396A" w:rsidRDefault="0096091E" w:rsidP="0052716C">
      <w:pPr>
        <w:pStyle w:val="Footnotes"/>
        <w:rPr>
          <w:szCs w:val="22"/>
          <w:lang w:val="en-US"/>
        </w:rPr>
      </w:pPr>
      <w:r w:rsidRPr="003C396A">
        <w:rPr>
          <w:rStyle w:val="FootnoteReference"/>
          <w:szCs w:val="22"/>
        </w:rPr>
        <w:footnoteRef/>
      </w:r>
      <w:r w:rsidRPr="003C396A">
        <w:rPr>
          <w:szCs w:val="22"/>
        </w:rPr>
        <w:t xml:space="preserve"> </w:t>
      </w:r>
      <w:r w:rsidR="0052716C" w:rsidRPr="003C396A">
        <w:rPr>
          <w:szCs w:val="22"/>
        </w:rPr>
        <w:t xml:space="preserve">“Wherever ten persons assemble in a synagogue, God’s presence is with them” (Babylonian Talmud, </w:t>
      </w:r>
      <w:proofErr w:type="spellStart"/>
      <w:r w:rsidR="0052716C" w:rsidRPr="003C396A">
        <w:rPr>
          <w:i/>
          <w:iCs/>
          <w:szCs w:val="22"/>
        </w:rPr>
        <w:t>Berakhot</w:t>
      </w:r>
      <w:proofErr w:type="spellEnd"/>
      <w:r w:rsidR="0052716C" w:rsidRPr="003C396A">
        <w:rPr>
          <w:szCs w:val="22"/>
        </w:rPr>
        <w:t xml:space="preserve"> 6a and several parallels</w:t>
      </w:r>
      <w:r w:rsidR="00991B8D" w:rsidRPr="003C396A">
        <w:rPr>
          <w:szCs w:val="22"/>
        </w:rPr>
        <w:t>), quoted and discussed in</w:t>
      </w:r>
      <w:r w:rsidR="0052716C" w:rsidRPr="003C396A">
        <w:rPr>
          <w:szCs w:val="22"/>
        </w:rPr>
        <w:t xml:space="preserve"> </w:t>
      </w:r>
      <w:r w:rsidR="00536020" w:rsidRPr="003C396A">
        <w:rPr>
          <w:szCs w:val="22"/>
        </w:rPr>
        <w:t xml:space="preserve">Levine, </w:t>
      </w:r>
      <w:r w:rsidR="00536020" w:rsidRPr="003C396A">
        <w:rPr>
          <w:i/>
          <w:iCs/>
          <w:szCs w:val="22"/>
        </w:rPr>
        <w:t>The Ancient Synagogue</w:t>
      </w:r>
      <w:r w:rsidR="00536020" w:rsidRPr="003C396A">
        <w:rPr>
          <w:szCs w:val="22"/>
        </w:rPr>
        <w:t xml:space="preserve">, 198, </w:t>
      </w:r>
      <w:r w:rsidR="00991B8D" w:rsidRPr="003C396A">
        <w:rPr>
          <w:szCs w:val="22"/>
        </w:rPr>
        <w:t xml:space="preserve">see also </w:t>
      </w:r>
      <w:r w:rsidR="00536020" w:rsidRPr="003C396A">
        <w:rPr>
          <w:szCs w:val="22"/>
        </w:rPr>
        <w:t xml:space="preserve">246 n. 114, </w:t>
      </w:r>
      <w:r w:rsidR="00C240A5" w:rsidRPr="003C396A">
        <w:rPr>
          <w:szCs w:val="22"/>
        </w:rPr>
        <w:t>404</w:t>
      </w:r>
      <w:r w:rsidR="00991B8D" w:rsidRPr="003C396A">
        <w:rPr>
          <w:szCs w:val="22"/>
        </w:rPr>
        <w:t>.</w:t>
      </w:r>
      <w:r w:rsidR="00C240A5" w:rsidRPr="003C396A">
        <w:rPr>
          <w:szCs w:val="22"/>
        </w:rPr>
        <w:t xml:space="preserve"> </w:t>
      </w:r>
    </w:p>
  </w:footnote>
  <w:footnote w:id="85">
    <w:p w14:paraId="49C83CDC" w14:textId="32DECE0C" w:rsidR="00650353" w:rsidRPr="003C396A" w:rsidRDefault="00650353" w:rsidP="00BE1339">
      <w:pPr>
        <w:pStyle w:val="Footnotes"/>
        <w:rPr>
          <w:szCs w:val="22"/>
          <w:lang w:val="en-US"/>
        </w:rPr>
      </w:pPr>
      <w:r w:rsidRPr="003C396A">
        <w:rPr>
          <w:rStyle w:val="FootnoteReference"/>
          <w:szCs w:val="22"/>
        </w:rPr>
        <w:footnoteRef/>
      </w:r>
      <w:r w:rsidRPr="003C396A">
        <w:rPr>
          <w:szCs w:val="22"/>
        </w:rPr>
        <w:t xml:space="preserve"> </w:t>
      </w:r>
      <w:bookmarkStart w:id="70" w:name="_Hlk95927142"/>
      <w:r w:rsidR="00757023" w:rsidRPr="003C396A">
        <w:rPr>
          <w:szCs w:val="22"/>
        </w:rPr>
        <w:t xml:space="preserve">Fine, </w:t>
      </w:r>
      <w:r w:rsidR="00757023" w:rsidRPr="003C396A">
        <w:rPr>
          <w:i/>
          <w:iCs/>
          <w:szCs w:val="22"/>
        </w:rPr>
        <w:t>This Holy Place</w:t>
      </w:r>
      <w:r w:rsidR="00757023" w:rsidRPr="003C396A">
        <w:rPr>
          <w:szCs w:val="22"/>
        </w:rPr>
        <w:t>, 134–37.</w:t>
      </w:r>
      <w:r w:rsidR="0052716C" w:rsidRPr="003C396A">
        <w:rPr>
          <w:szCs w:val="22"/>
        </w:rPr>
        <w:t xml:space="preserve"> </w:t>
      </w:r>
      <w:bookmarkEnd w:id="70"/>
      <w:r w:rsidR="0052716C" w:rsidRPr="003C396A">
        <w:rPr>
          <w:szCs w:val="22"/>
        </w:rPr>
        <w:t xml:space="preserve">Cf. Levine, </w:t>
      </w:r>
      <w:r w:rsidR="0052716C" w:rsidRPr="003C396A">
        <w:rPr>
          <w:i/>
          <w:iCs/>
          <w:szCs w:val="22"/>
        </w:rPr>
        <w:t>The Ancient Synagogue</w:t>
      </w:r>
      <w:r w:rsidR="0052716C" w:rsidRPr="003C396A">
        <w:rPr>
          <w:szCs w:val="22"/>
        </w:rPr>
        <w:t>, 477.</w:t>
      </w:r>
    </w:p>
  </w:footnote>
  <w:footnote w:id="86">
    <w:p w14:paraId="4BA77F90" w14:textId="175EAE6E" w:rsidR="00CE3FC5" w:rsidRPr="003C396A" w:rsidRDefault="00CE3FC5" w:rsidP="00CE3FC5">
      <w:pPr>
        <w:pStyle w:val="Footnotes"/>
        <w:rPr>
          <w:szCs w:val="22"/>
          <w:lang w:val="en-US"/>
        </w:rPr>
      </w:pPr>
      <w:r w:rsidRPr="003C396A">
        <w:rPr>
          <w:rStyle w:val="FootnoteReference"/>
          <w:szCs w:val="22"/>
        </w:rPr>
        <w:footnoteRef/>
      </w:r>
      <w:r w:rsidRPr="003C396A">
        <w:rPr>
          <w:szCs w:val="22"/>
        </w:rPr>
        <w:t xml:space="preserve"> </w:t>
      </w:r>
      <w:r w:rsidRPr="003C396A">
        <w:rPr>
          <w:szCs w:val="22"/>
          <w:lang w:val="en-US"/>
        </w:rPr>
        <w:t>Branham, “Vicarious Sacrality,” 342.</w:t>
      </w:r>
    </w:p>
  </w:footnote>
  <w:footnote w:id="87">
    <w:p w14:paraId="7E0436B5" w14:textId="4AE363B0" w:rsidR="00C773E6" w:rsidRPr="003C396A" w:rsidRDefault="00C773E6" w:rsidP="009C57E5">
      <w:pPr>
        <w:pStyle w:val="Footnotes"/>
        <w:rPr>
          <w:szCs w:val="22"/>
          <w:lang w:val="en-US"/>
        </w:rPr>
      </w:pPr>
      <w:r w:rsidRPr="003C396A">
        <w:rPr>
          <w:rStyle w:val="FootnoteReference"/>
          <w:szCs w:val="22"/>
        </w:rPr>
        <w:footnoteRef/>
      </w:r>
      <w:r w:rsidRPr="003C396A">
        <w:rPr>
          <w:szCs w:val="22"/>
        </w:rPr>
        <w:t xml:space="preserve"> Fine, </w:t>
      </w:r>
      <w:r w:rsidRPr="003C396A">
        <w:rPr>
          <w:i/>
          <w:iCs/>
          <w:szCs w:val="22"/>
        </w:rPr>
        <w:t>This Holy Place</w:t>
      </w:r>
      <w:r w:rsidRPr="003C396A">
        <w:rPr>
          <w:szCs w:val="22"/>
        </w:rPr>
        <w:t xml:space="preserve">, 76; </w:t>
      </w:r>
      <w:proofErr w:type="spellStart"/>
      <w:r w:rsidR="00FE657E" w:rsidRPr="003C396A">
        <w:rPr>
          <w:szCs w:val="22"/>
        </w:rPr>
        <w:t>Shelomo</w:t>
      </w:r>
      <w:proofErr w:type="spellEnd"/>
      <w:r w:rsidR="00FE657E" w:rsidRPr="003C396A">
        <w:rPr>
          <w:szCs w:val="22"/>
        </w:rPr>
        <w:t xml:space="preserve"> </w:t>
      </w:r>
      <w:proofErr w:type="spellStart"/>
      <w:r w:rsidR="00FE657E" w:rsidRPr="003C396A">
        <w:rPr>
          <w:szCs w:val="22"/>
        </w:rPr>
        <w:t>Dov</w:t>
      </w:r>
      <w:proofErr w:type="spellEnd"/>
      <w:r w:rsidR="00FE657E" w:rsidRPr="003C396A">
        <w:rPr>
          <w:szCs w:val="22"/>
        </w:rPr>
        <w:t xml:space="preserve"> </w:t>
      </w:r>
      <w:proofErr w:type="spellStart"/>
      <w:r w:rsidR="00FE657E" w:rsidRPr="003C396A">
        <w:rPr>
          <w:szCs w:val="22"/>
        </w:rPr>
        <w:t>Goitein</w:t>
      </w:r>
      <w:proofErr w:type="spellEnd"/>
      <w:r w:rsidR="00FE657E" w:rsidRPr="003C396A">
        <w:rPr>
          <w:szCs w:val="22"/>
        </w:rPr>
        <w:t>,</w:t>
      </w:r>
      <w:r w:rsidR="00FE657E" w:rsidRPr="003C396A">
        <w:rPr>
          <w:i/>
          <w:iCs/>
          <w:szCs w:val="22"/>
        </w:rPr>
        <w:t xml:space="preserve"> A Mediterranean Society</w:t>
      </w:r>
      <w:r w:rsidR="00FE657E" w:rsidRPr="003C396A">
        <w:rPr>
          <w:szCs w:val="22"/>
        </w:rPr>
        <w:t xml:space="preserve"> 2 (Berkeley: University of California Press, 1971), 156.</w:t>
      </w:r>
    </w:p>
  </w:footnote>
  <w:footnote w:id="88">
    <w:p w14:paraId="14F9AA41" w14:textId="2847EC3A" w:rsidR="00997A46" w:rsidRPr="003C396A" w:rsidRDefault="00997B0B" w:rsidP="00064DC3">
      <w:pPr>
        <w:pStyle w:val="Footnotes"/>
        <w:rPr>
          <w:szCs w:val="22"/>
        </w:rPr>
      </w:pPr>
      <w:r w:rsidRPr="003C396A">
        <w:rPr>
          <w:rStyle w:val="FootnoteReference"/>
          <w:szCs w:val="22"/>
        </w:rPr>
        <w:footnoteRef/>
      </w:r>
      <w:r w:rsidRPr="003C396A">
        <w:rPr>
          <w:szCs w:val="22"/>
        </w:rPr>
        <w:t xml:space="preserve"> </w:t>
      </w:r>
      <w:r w:rsidR="00D3362B" w:rsidRPr="003C396A">
        <w:rPr>
          <w:szCs w:val="22"/>
        </w:rPr>
        <w:t xml:space="preserve">Ilia Rodov, </w:t>
      </w:r>
      <w:r w:rsidR="00B82351" w:rsidRPr="003C396A">
        <w:rPr>
          <w:szCs w:val="22"/>
        </w:rPr>
        <w:t xml:space="preserve">“Microarchitecture and Supernatural: An Introductory Survey – Manifestations of Sacredness” in </w:t>
      </w:r>
      <w:r w:rsidR="00B82351" w:rsidRPr="003C396A">
        <w:rPr>
          <w:i/>
          <w:iCs/>
          <w:szCs w:val="22"/>
        </w:rPr>
        <w:t>Enshrining the Sacred: Microarchitecture in Ritual Spaces</w:t>
      </w:r>
      <w:r w:rsidR="00B82351" w:rsidRPr="003C396A">
        <w:rPr>
          <w:szCs w:val="22"/>
        </w:rPr>
        <w:t>, ed. Ilia Rodov (New York: Peter Lang, forthcoming)</w:t>
      </w:r>
      <w:r w:rsidR="00AA6F7E" w:rsidRPr="003C396A">
        <w:rPr>
          <w:szCs w:val="22"/>
        </w:rPr>
        <w:t>;</w:t>
      </w:r>
      <w:r w:rsidR="00693516" w:rsidRPr="003C396A">
        <w:rPr>
          <w:szCs w:val="22"/>
        </w:rPr>
        <w:t xml:space="preserve"> </w:t>
      </w:r>
      <w:r w:rsidR="00AA6F7E" w:rsidRPr="003C396A">
        <w:rPr>
          <w:szCs w:val="22"/>
        </w:rPr>
        <w:t>idem, “</w:t>
      </w:r>
      <w:r w:rsidR="00693516" w:rsidRPr="003C396A">
        <w:rPr>
          <w:szCs w:val="22"/>
        </w:rPr>
        <w:t xml:space="preserve">Hallucination Depicted: God’s Name on </w:t>
      </w:r>
      <w:proofErr w:type="spellStart"/>
      <w:r w:rsidR="00693516" w:rsidRPr="003C396A">
        <w:rPr>
          <w:szCs w:val="22"/>
        </w:rPr>
        <w:t>Shiviti</w:t>
      </w:r>
      <w:proofErr w:type="spellEnd"/>
      <w:r w:rsidR="00693516" w:rsidRPr="003C396A">
        <w:rPr>
          <w:szCs w:val="22"/>
        </w:rPr>
        <w:t xml:space="preserve"> Plates</w:t>
      </w:r>
      <w:r w:rsidR="00AA6F7E" w:rsidRPr="003C396A">
        <w:rPr>
          <w:szCs w:val="22"/>
        </w:rPr>
        <w:t>”</w:t>
      </w:r>
      <w:r w:rsidR="00693516" w:rsidRPr="003C396A">
        <w:rPr>
          <w:szCs w:val="22"/>
        </w:rPr>
        <w:t xml:space="preserve"> in </w:t>
      </w:r>
      <w:r w:rsidR="00693516" w:rsidRPr="003C396A">
        <w:rPr>
          <w:i/>
          <w:iCs/>
          <w:szCs w:val="22"/>
        </w:rPr>
        <w:t>Sanctifying Texts, Transforming Rituals: Encounters with Religion and Culture</w:t>
      </w:r>
      <w:r w:rsidR="00693516" w:rsidRPr="003C396A">
        <w:rPr>
          <w:szCs w:val="22"/>
        </w:rPr>
        <w:t xml:space="preserve">, eds. Paul van </w:t>
      </w:r>
      <w:proofErr w:type="spellStart"/>
      <w:r w:rsidR="00693516" w:rsidRPr="003C396A">
        <w:rPr>
          <w:szCs w:val="22"/>
        </w:rPr>
        <w:t>Geest</w:t>
      </w:r>
      <w:proofErr w:type="spellEnd"/>
      <w:r w:rsidR="00693516" w:rsidRPr="003C396A">
        <w:rPr>
          <w:szCs w:val="22"/>
        </w:rPr>
        <w:t xml:space="preserve">, Marcel </w:t>
      </w:r>
      <w:proofErr w:type="spellStart"/>
      <w:r w:rsidR="00693516" w:rsidRPr="003C396A">
        <w:rPr>
          <w:szCs w:val="22"/>
        </w:rPr>
        <w:t>Poorthuis</w:t>
      </w:r>
      <w:proofErr w:type="spellEnd"/>
      <w:r w:rsidR="00693516" w:rsidRPr="003C396A">
        <w:rPr>
          <w:szCs w:val="22"/>
        </w:rPr>
        <w:t xml:space="preserve">, Els Rose (Leuven, </w:t>
      </w:r>
      <w:proofErr w:type="spellStart"/>
      <w:r w:rsidR="00693516" w:rsidRPr="003C396A">
        <w:rPr>
          <w:szCs w:val="22"/>
        </w:rPr>
        <w:t>Peeters</w:t>
      </w:r>
      <w:proofErr w:type="spellEnd"/>
      <w:r w:rsidR="00693516" w:rsidRPr="003C396A">
        <w:rPr>
          <w:szCs w:val="22"/>
        </w:rPr>
        <w:t>: 2017), 238</w:t>
      </w:r>
      <w:r w:rsidR="00AA6F7E" w:rsidRPr="003C396A">
        <w:rPr>
          <w:szCs w:val="22"/>
        </w:rPr>
        <w:t>–</w:t>
      </w:r>
      <w:r w:rsidR="00693516" w:rsidRPr="003C396A">
        <w:rPr>
          <w:szCs w:val="22"/>
        </w:rPr>
        <w:t>74</w:t>
      </w:r>
      <w:r w:rsidR="00AA6F7E" w:rsidRPr="003C396A">
        <w:rPr>
          <w:szCs w:val="22"/>
        </w:rPr>
        <w:t xml:space="preserve">; </w:t>
      </w:r>
      <w:r w:rsidR="00064DC3" w:rsidRPr="003C396A">
        <w:rPr>
          <w:szCs w:val="22"/>
        </w:rPr>
        <w:t>Ilia Rodov</w:t>
      </w:r>
      <w:r w:rsidR="00AA6F7E" w:rsidRPr="003C396A">
        <w:rPr>
          <w:szCs w:val="22"/>
        </w:rPr>
        <w:t xml:space="preserve">, </w:t>
      </w:r>
      <w:r w:rsidR="00997A46" w:rsidRPr="003C396A">
        <w:rPr>
          <w:szCs w:val="22"/>
        </w:rPr>
        <w:t>“Capturing the Ineffable: The Tetragrammaton in Synagogue Art of Romanian Moldavia</w:t>
      </w:r>
      <w:r w:rsidR="00AA6F7E" w:rsidRPr="003C396A">
        <w:rPr>
          <w:szCs w:val="22"/>
        </w:rPr>
        <w:t>,</w:t>
      </w:r>
      <w:r w:rsidR="00997A46" w:rsidRPr="003C396A">
        <w:rPr>
          <w:szCs w:val="22"/>
        </w:rPr>
        <w:t xml:space="preserve">” in: </w:t>
      </w:r>
      <w:r w:rsidR="00997A46" w:rsidRPr="003C396A">
        <w:rPr>
          <w:i/>
          <w:iCs/>
          <w:szCs w:val="22"/>
        </w:rPr>
        <w:t xml:space="preserve">The Paths of Daniel: Studies in Judaism and Jewish Culture in </w:t>
      </w:r>
      <w:proofErr w:type="spellStart"/>
      <w:r w:rsidR="00997A46" w:rsidRPr="003C396A">
        <w:rPr>
          <w:i/>
          <w:iCs/>
          <w:szCs w:val="22"/>
        </w:rPr>
        <w:t>Honor</w:t>
      </w:r>
      <w:proofErr w:type="spellEnd"/>
      <w:r w:rsidR="00997A46" w:rsidRPr="003C396A">
        <w:rPr>
          <w:i/>
          <w:iCs/>
          <w:szCs w:val="22"/>
        </w:rPr>
        <w:t xml:space="preserve"> of Rabbi Professor Daniel Sperber</w:t>
      </w:r>
      <w:r w:rsidR="00997A46" w:rsidRPr="003C396A">
        <w:rPr>
          <w:szCs w:val="22"/>
        </w:rPr>
        <w:t xml:space="preserve">, </w:t>
      </w:r>
      <w:r w:rsidR="00AA6F7E" w:rsidRPr="003C396A">
        <w:rPr>
          <w:szCs w:val="22"/>
        </w:rPr>
        <w:t xml:space="preserve">ed. Adam S. </w:t>
      </w:r>
      <w:proofErr w:type="spellStart"/>
      <w:r w:rsidR="00AA6F7E" w:rsidRPr="003C396A">
        <w:rPr>
          <w:szCs w:val="22"/>
        </w:rPr>
        <w:t>Ferziger</w:t>
      </w:r>
      <w:proofErr w:type="spellEnd"/>
      <w:r w:rsidR="00AA6F7E" w:rsidRPr="003C396A">
        <w:rPr>
          <w:szCs w:val="22"/>
        </w:rPr>
        <w:t xml:space="preserve"> (</w:t>
      </w:r>
      <w:r w:rsidR="00997A46" w:rsidRPr="003C396A">
        <w:rPr>
          <w:szCs w:val="22"/>
        </w:rPr>
        <w:t>Ramat Gan</w:t>
      </w:r>
      <w:r w:rsidR="00AA6F7E" w:rsidRPr="003C396A">
        <w:rPr>
          <w:szCs w:val="22"/>
        </w:rPr>
        <w:t xml:space="preserve">: Bar </w:t>
      </w:r>
      <w:proofErr w:type="spellStart"/>
      <w:r w:rsidR="00AA6F7E" w:rsidRPr="003C396A">
        <w:rPr>
          <w:szCs w:val="22"/>
        </w:rPr>
        <w:t>Ilan</w:t>
      </w:r>
      <w:proofErr w:type="spellEnd"/>
      <w:r w:rsidR="00AA6F7E" w:rsidRPr="003C396A">
        <w:rPr>
          <w:szCs w:val="22"/>
        </w:rPr>
        <w:t xml:space="preserve"> University Press,</w:t>
      </w:r>
      <w:r w:rsidR="00997A46" w:rsidRPr="003C396A">
        <w:rPr>
          <w:szCs w:val="22"/>
        </w:rPr>
        <w:t xml:space="preserve"> 2017</w:t>
      </w:r>
      <w:r w:rsidR="00AA6F7E" w:rsidRPr="003C396A">
        <w:rPr>
          <w:szCs w:val="22"/>
        </w:rPr>
        <w:t>)</w:t>
      </w:r>
      <w:r w:rsidR="00997A46" w:rsidRPr="003C396A">
        <w:rPr>
          <w:szCs w:val="22"/>
        </w:rPr>
        <w:t>, 191*</w:t>
      </w:r>
      <w:r w:rsidR="00064DC3" w:rsidRPr="003C396A">
        <w:rPr>
          <w:szCs w:val="22"/>
        </w:rPr>
        <w:t>–</w:t>
      </w:r>
      <w:r w:rsidR="00997A46" w:rsidRPr="003C396A">
        <w:rPr>
          <w:szCs w:val="22"/>
        </w:rPr>
        <w:t>213*</w:t>
      </w:r>
      <w:r w:rsidR="00AA6F7E" w:rsidRPr="003C396A">
        <w:rPr>
          <w:szCs w:val="22"/>
        </w:rPr>
        <w:t xml:space="preserve">; </w:t>
      </w:r>
      <w:r w:rsidR="00064DC3" w:rsidRPr="003C396A">
        <w:rPr>
          <w:szCs w:val="22"/>
        </w:rPr>
        <w:t>Ilia Rodov</w:t>
      </w:r>
      <w:r w:rsidR="00AA6F7E" w:rsidRPr="003C396A">
        <w:rPr>
          <w:szCs w:val="22"/>
        </w:rPr>
        <w:t>, “</w:t>
      </w:r>
      <w:r w:rsidR="00997A46" w:rsidRPr="003C396A">
        <w:rPr>
          <w:szCs w:val="22"/>
        </w:rPr>
        <w:t>Winged Image of the Divine: A Comparative Note on Catholic, Orthodox and Jewish Art in Early Modern Ukraine,</w:t>
      </w:r>
      <w:r w:rsidR="00AA6F7E" w:rsidRPr="003C396A">
        <w:rPr>
          <w:szCs w:val="22"/>
        </w:rPr>
        <w:t>”</w:t>
      </w:r>
      <w:r w:rsidR="00997A46" w:rsidRPr="003C396A">
        <w:rPr>
          <w:szCs w:val="22"/>
        </w:rPr>
        <w:t xml:space="preserve"> </w:t>
      </w:r>
      <w:r w:rsidR="00997A46" w:rsidRPr="003C396A">
        <w:rPr>
          <w:i/>
          <w:iCs/>
          <w:szCs w:val="22"/>
        </w:rPr>
        <w:t>Judaica Ukrainica</w:t>
      </w:r>
      <w:r w:rsidR="00997A46" w:rsidRPr="003C396A">
        <w:rPr>
          <w:szCs w:val="22"/>
        </w:rPr>
        <w:t xml:space="preserve"> 3 (2014), 105–127</w:t>
      </w:r>
      <w:r w:rsidR="00AA6F7E" w:rsidRPr="003C396A">
        <w:rPr>
          <w:szCs w:val="22"/>
        </w:rPr>
        <w:t xml:space="preserve">; </w:t>
      </w:r>
      <w:r w:rsidR="00997A46" w:rsidRPr="003C396A">
        <w:rPr>
          <w:szCs w:val="22"/>
        </w:rPr>
        <w:t xml:space="preserve">idem, </w:t>
      </w:r>
      <w:r w:rsidR="00AA6F7E" w:rsidRPr="003C396A">
        <w:rPr>
          <w:szCs w:val="22"/>
        </w:rPr>
        <w:t>“</w:t>
      </w:r>
      <w:r w:rsidR="00997A46" w:rsidRPr="003C396A">
        <w:rPr>
          <w:szCs w:val="22"/>
        </w:rPr>
        <w:t>Imagining Theophany in Romania: Synagogue Painting and Christian Orthodox Art,</w:t>
      </w:r>
      <w:r w:rsidR="00AA6F7E" w:rsidRPr="003C396A">
        <w:rPr>
          <w:szCs w:val="22"/>
        </w:rPr>
        <w:t>”</w:t>
      </w:r>
      <w:r w:rsidR="00997A46" w:rsidRPr="003C396A">
        <w:rPr>
          <w:szCs w:val="22"/>
        </w:rPr>
        <w:t xml:space="preserve"> </w:t>
      </w:r>
      <w:proofErr w:type="spellStart"/>
      <w:r w:rsidR="00997A46" w:rsidRPr="003C396A">
        <w:rPr>
          <w:i/>
          <w:iCs/>
          <w:szCs w:val="22"/>
        </w:rPr>
        <w:t>Apulum</w:t>
      </w:r>
      <w:proofErr w:type="spellEnd"/>
      <w:r w:rsidR="00997A46" w:rsidRPr="003C396A">
        <w:rPr>
          <w:szCs w:val="22"/>
        </w:rPr>
        <w:t>, 51 (2014), 49</w:t>
      </w:r>
      <w:r w:rsidR="00AA6F7E" w:rsidRPr="003C396A">
        <w:rPr>
          <w:szCs w:val="22"/>
        </w:rPr>
        <w:t>–</w:t>
      </w:r>
      <w:r w:rsidR="00997A46" w:rsidRPr="003C396A">
        <w:rPr>
          <w:szCs w:val="22"/>
        </w:rPr>
        <w:t>66</w:t>
      </w:r>
      <w:r w:rsidR="00AA6F7E" w:rsidRPr="003C396A">
        <w:rPr>
          <w:szCs w:val="22"/>
        </w:rPr>
        <w:t xml:space="preserve">; </w:t>
      </w:r>
      <w:r w:rsidR="00064DC3" w:rsidRPr="003C396A">
        <w:rPr>
          <w:szCs w:val="22"/>
        </w:rPr>
        <w:t xml:space="preserve">idem, </w:t>
      </w:r>
      <w:r w:rsidR="00997A46" w:rsidRPr="003C396A">
        <w:rPr>
          <w:i/>
          <w:iCs/>
          <w:szCs w:val="22"/>
        </w:rPr>
        <w:t>The Torah Ark in Renaissance Poland: A Jewish Revival of Classical Antiquity</w:t>
      </w:r>
      <w:r w:rsidR="00997A46" w:rsidRPr="003C396A">
        <w:rPr>
          <w:szCs w:val="22"/>
        </w:rPr>
        <w:t xml:space="preserve"> (Leiden and Boston: Brill, 2013), 180–81</w:t>
      </w:r>
      <w:r w:rsidR="00064DC3" w:rsidRPr="003C396A">
        <w:rPr>
          <w:szCs w:val="22"/>
        </w:rPr>
        <w:t>.</w:t>
      </w:r>
    </w:p>
  </w:footnote>
  <w:footnote w:id="89">
    <w:p w14:paraId="308B9A01" w14:textId="0474A9DC" w:rsidR="00A867CD" w:rsidRPr="003C396A" w:rsidRDefault="00A867CD" w:rsidP="00A867CD">
      <w:pPr>
        <w:pStyle w:val="Footnotes"/>
        <w:rPr>
          <w:szCs w:val="22"/>
          <w:lang w:val="en-US"/>
        </w:rPr>
      </w:pPr>
      <w:r w:rsidRPr="003C396A">
        <w:rPr>
          <w:rStyle w:val="FootnoteReference"/>
          <w:szCs w:val="22"/>
        </w:rPr>
        <w:footnoteRef/>
      </w:r>
      <w:r w:rsidRPr="003C396A">
        <w:rPr>
          <w:szCs w:val="22"/>
        </w:rPr>
        <w:t xml:space="preserve"> </w:t>
      </w:r>
      <w:bookmarkStart w:id="71" w:name="_Hlk95991877"/>
      <w:r w:rsidR="00BC5540" w:rsidRPr="003C396A">
        <w:rPr>
          <w:szCs w:val="22"/>
        </w:rPr>
        <w:t>Ibid.,</w:t>
      </w:r>
      <w:r w:rsidRPr="003C396A">
        <w:rPr>
          <w:szCs w:val="22"/>
        </w:rPr>
        <w:t xml:space="preserve"> 166–67</w:t>
      </w:r>
      <w:r w:rsidR="00D3362B" w:rsidRPr="003C396A">
        <w:rPr>
          <w:szCs w:val="22"/>
        </w:rPr>
        <w:t xml:space="preserve">; idem, </w:t>
      </w:r>
      <w:bookmarkEnd w:id="71"/>
      <w:r w:rsidR="00D54D7D" w:rsidRPr="003C396A">
        <w:rPr>
          <w:szCs w:val="22"/>
        </w:rPr>
        <w:t>“Imagining Theophany.”</w:t>
      </w:r>
    </w:p>
  </w:footnote>
  <w:footnote w:id="90">
    <w:p w14:paraId="55669C50" w14:textId="257C6858" w:rsidR="002C5F71" w:rsidRPr="003C396A" w:rsidRDefault="002C5F71" w:rsidP="00EE5191">
      <w:pPr>
        <w:pStyle w:val="Footnotes"/>
        <w:rPr>
          <w:szCs w:val="22"/>
          <w:lang w:val="en-US"/>
        </w:rPr>
      </w:pPr>
      <w:r w:rsidRPr="003C396A">
        <w:rPr>
          <w:rStyle w:val="FootnoteReference"/>
          <w:szCs w:val="22"/>
        </w:rPr>
        <w:footnoteRef/>
      </w:r>
      <w:r w:rsidRPr="003C396A">
        <w:rPr>
          <w:szCs w:val="22"/>
        </w:rPr>
        <w:t xml:space="preserve"> </w:t>
      </w:r>
      <w:r w:rsidR="001412E6" w:rsidRPr="003C396A">
        <w:rPr>
          <w:szCs w:val="22"/>
        </w:rPr>
        <w:t xml:space="preserve">Fine, </w:t>
      </w:r>
      <w:r w:rsidR="001412E6" w:rsidRPr="003C396A">
        <w:rPr>
          <w:i/>
          <w:iCs/>
          <w:szCs w:val="22"/>
        </w:rPr>
        <w:t>This Holy Place</w:t>
      </w:r>
      <w:r w:rsidR="00EE5191" w:rsidRPr="003C396A">
        <w:rPr>
          <w:szCs w:val="22"/>
        </w:rPr>
        <w:t>.</w:t>
      </w:r>
    </w:p>
  </w:footnote>
  <w:footnote w:id="91">
    <w:p w14:paraId="1A754A61" w14:textId="4B648D6A" w:rsidR="00920AF7" w:rsidRPr="003C396A" w:rsidRDefault="00920AF7" w:rsidP="00920AF7">
      <w:pPr>
        <w:pStyle w:val="Footnotes"/>
        <w:rPr>
          <w:szCs w:val="22"/>
        </w:rPr>
      </w:pPr>
      <w:r w:rsidRPr="003C396A">
        <w:rPr>
          <w:rStyle w:val="FootnoteReference"/>
          <w:szCs w:val="22"/>
        </w:rPr>
        <w:footnoteRef/>
      </w:r>
      <w:r w:rsidRPr="003C396A">
        <w:rPr>
          <w:szCs w:val="22"/>
        </w:rPr>
        <w:t xml:space="preserve"> Haber, </w:t>
      </w:r>
      <w:r w:rsidRPr="003C396A">
        <w:rPr>
          <w:i/>
          <w:iCs/>
          <w:szCs w:val="22"/>
        </w:rPr>
        <w:t>“They Shall Purify Themselves,”</w:t>
      </w:r>
      <w:r w:rsidRPr="003C396A">
        <w:rPr>
          <w:szCs w:val="22"/>
        </w:rPr>
        <w:t xml:space="preserve"> 177</w:t>
      </w:r>
      <w:r w:rsidR="00D54D7D" w:rsidRPr="003C396A">
        <w:rPr>
          <w:szCs w:val="22"/>
        </w:rPr>
        <w:t>–</w:t>
      </w:r>
      <w:r w:rsidRPr="003C396A">
        <w:rPr>
          <w:szCs w:val="22"/>
        </w:rPr>
        <w:t>78.</w:t>
      </w:r>
    </w:p>
  </w:footnote>
  <w:footnote w:id="92">
    <w:p w14:paraId="5C8784A0" w14:textId="0EFDD2C0" w:rsidR="002C5F71" w:rsidRPr="003C396A" w:rsidRDefault="002C5F71" w:rsidP="002C5F71">
      <w:pPr>
        <w:pStyle w:val="Footnotes"/>
        <w:rPr>
          <w:szCs w:val="22"/>
          <w:lang w:val="en-US"/>
        </w:rPr>
      </w:pPr>
      <w:r w:rsidRPr="003C396A">
        <w:rPr>
          <w:rStyle w:val="FootnoteReference"/>
          <w:szCs w:val="22"/>
        </w:rPr>
        <w:footnoteRef/>
      </w:r>
      <w:r w:rsidRPr="003C396A">
        <w:rPr>
          <w:szCs w:val="22"/>
        </w:rPr>
        <w:t xml:space="preserve"> </w:t>
      </w:r>
      <w:bookmarkStart w:id="72" w:name="_Hlk95152395"/>
      <w:r w:rsidRPr="003C396A">
        <w:rPr>
          <w:szCs w:val="22"/>
        </w:rPr>
        <w:t xml:space="preserve">Goodman, </w:t>
      </w:r>
      <w:r w:rsidRPr="003C396A">
        <w:rPr>
          <w:i/>
          <w:iCs/>
          <w:szCs w:val="22"/>
        </w:rPr>
        <w:t>Judaism in the Roman World</w:t>
      </w:r>
      <w:r w:rsidRPr="003C396A">
        <w:rPr>
          <w:szCs w:val="22"/>
        </w:rPr>
        <w:t>, 69</w:t>
      </w:r>
      <w:bookmarkEnd w:id="72"/>
      <w:r w:rsidRPr="003C396A">
        <w:rPr>
          <w:szCs w:val="22"/>
        </w:rPr>
        <w:t>–77, 220–21</w:t>
      </w:r>
      <w:r w:rsidR="00B93FBB" w:rsidRPr="003C396A">
        <w:rPr>
          <w:szCs w:val="22"/>
        </w:rPr>
        <w:t>;</w:t>
      </w:r>
      <w:r w:rsidRPr="003C396A">
        <w:rPr>
          <w:szCs w:val="22"/>
        </w:rPr>
        <w:t xml:space="preserve"> </w:t>
      </w:r>
      <w:bookmarkStart w:id="73" w:name="_Hlk97050490"/>
      <w:r w:rsidR="00B93FBB" w:rsidRPr="003C396A">
        <w:rPr>
          <w:szCs w:val="22"/>
        </w:rPr>
        <w:t xml:space="preserve">Karel van der </w:t>
      </w:r>
      <w:proofErr w:type="spellStart"/>
      <w:r w:rsidR="00B93FBB" w:rsidRPr="003C396A">
        <w:rPr>
          <w:szCs w:val="22"/>
        </w:rPr>
        <w:t>Toorn</w:t>
      </w:r>
      <w:bookmarkEnd w:id="73"/>
      <w:proofErr w:type="spellEnd"/>
      <w:r w:rsidR="00B93FBB" w:rsidRPr="003C396A">
        <w:rPr>
          <w:szCs w:val="22"/>
        </w:rPr>
        <w:t xml:space="preserve">, “The Iconic Book Analogies between the Babylonian Cult of Images and the Veneration of the Torah,” in </w:t>
      </w:r>
      <w:r w:rsidR="00B93FBB" w:rsidRPr="003C396A">
        <w:rPr>
          <w:i/>
          <w:iCs/>
          <w:szCs w:val="22"/>
        </w:rPr>
        <w:t>The Image and the Book</w:t>
      </w:r>
      <w:r w:rsidR="00501F84" w:rsidRPr="003C396A">
        <w:rPr>
          <w:i/>
          <w:iCs/>
          <w:szCs w:val="22"/>
        </w:rPr>
        <w:t>:</w:t>
      </w:r>
      <w:r w:rsidR="00B93FBB" w:rsidRPr="003C396A">
        <w:rPr>
          <w:i/>
          <w:iCs/>
          <w:szCs w:val="22"/>
        </w:rPr>
        <w:t xml:space="preserve"> Iconic Cults, Aniconism, and the Rise of Book Religion in Israel and the Ancient Near East</w:t>
      </w:r>
      <w:r w:rsidR="00B93FBB" w:rsidRPr="003C396A">
        <w:rPr>
          <w:szCs w:val="22"/>
        </w:rPr>
        <w:t xml:space="preserve">, ed. idem (Leuven: </w:t>
      </w:r>
      <w:proofErr w:type="spellStart"/>
      <w:r w:rsidR="00B93FBB" w:rsidRPr="003C396A">
        <w:rPr>
          <w:szCs w:val="22"/>
        </w:rPr>
        <w:t>Peeters</w:t>
      </w:r>
      <w:proofErr w:type="spellEnd"/>
      <w:r w:rsidR="00B93FBB" w:rsidRPr="003C396A">
        <w:rPr>
          <w:szCs w:val="22"/>
        </w:rPr>
        <w:t>, 1997), 229</w:t>
      </w:r>
      <w:r w:rsidR="00501F84" w:rsidRPr="003C396A">
        <w:rPr>
          <w:szCs w:val="22"/>
        </w:rPr>
        <w:t>–</w:t>
      </w:r>
      <w:r w:rsidR="00B93FBB" w:rsidRPr="003C396A">
        <w:rPr>
          <w:szCs w:val="22"/>
        </w:rPr>
        <w:t>48.</w:t>
      </w:r>
    </w:p>
  </w:footnote>
  <w:footnote w:id="93">
    <w:p w14:paraId="55F7C69D" w14:textId="4985D25D" w:rsidR="002C5F71" w:rsidRPr="003C396A" w:rsidRDefault="002C5F71" w:rsidP="002C5F71">
      <w:pPr>
        <w:pStyle w:val="Footnotes"/>
        <w:rPr>
          <w:szCs w:val="22"/>
          <w:lang w:val="en-US"/>
        </w:rPr>
      </w:pPr>
      <w:r w:rsidRPr="003C396A">
        <w:rPr>
          <w:rStyle w:val="FootnoteReference"/>
          <w:szCs w:val="22"/>
        </w:rPr>
        <w:footnoteRef/>
      </w:r>
      <w:r w:rsidRPr="003C396A">
        <w:rPr>
          <w:szCs w:val="22"/>
        </w:rPr>
        <w:t xml:space="preserve"> </w:t>
      </w:r>
      <w:bookmarkStart w:id="76" w:name="_Hlk95121278"/>
      <w:r w:rsidRPr="003C396A">
        <w:rPr>
          <w:szCs w:val="22"/>
        </w:rPr>
        <w:t xml:space="preserve">Fine, </w:t>
      </w:r>
      <w:r w:rsidRPr="003C396A">
        <w:rPr>
          <w:i/>
          <w:iCs/>
          <w:szCs w:val="22"/>
        </w:rPr>
        <w:t>This Holy Place</w:t>
      </w:r>
      <w:r w:rsidRPr="003C396A">
        <w:rPr>
          <w:szCs w:val="22"/>
        </w:rPr>
        <w:t xml:space="preserve">, 36. See also </w:t>
      </w:r>
      <w:r w:rsidR="00B23FF7" w:rsidRPr="003C396A">
        <w:rPr>
          <w:szCs w:val="22"/>
        </w:rPr>
        <w:t xml:space="preserve">above, note </w:t>
      </w:r>
      <w:r w:rsidR="00B23FF7" w:rsidRPr="003C396A">
        <w:rPr>
          <w:szCs w:val="22"/>
        </w:rPr>
        <w:fldChar w:fldCharType="begin"/>
      </w:r>
      <w:r w:rsidR="00B23FF7" w:rsidRPr="003C396A">
        <w:rPr>
          <w:szCs w:val="22"/>
        </w:rPr>
        <w:instrText xml:space="preserve"> NOTEREF _Ref95821092 \h </w:instrText>
      </w:r>
      <w:r w:rsidR="003C396A" w:rsidRPr="003C396A">
        <w:rPr>
          <w:szCs w:val="22"/>
        </w:rPr>
        <w:instrText xml:space="preserve"> \* MERGEFORMAT </w:instrText>
      </w:r>
      <w:r w:rsidR="00B23FF7" w:rsidRPr="003C396A">
        <w:rPr>
          <w:szCs w:val="22"/>
        </w:rPr>
      </w:r>
      <w:r w:rsidR="00B23FF7" w:rsidRPr="003C396A">
        <w:rPr>
          <w:szCs w:val="22"/>
        </w:rPr>
        <w:fldChar w:fldCharType="separate"/>
      </w:r>
      <w:r w:rsidR="00B23FF7" w:rsidRPr="003C396A">
        <w:rPr>
          <w:szCs w:val="22"/>
        </w:rPr>
        <w:t>21</w:t>
      </w:r>
      <w:r w:rsidR="00B23FF7" w:rsidRPr="003C396A">
        <w:rPr>
          <w:szCs w:val="22"/>
        </w:rPr>
        <w:fldChar w:fldCharType="end"/>
      </w:r>
      <w:r w:rsidRPr="003C396A">
        <w:rPr>
          <w:szCs w:val="22"/>
        </w:rPr>
        <w:t>.</w:t>
      </w:r>
      <w:bookmarkEnd w:id="76"/>
    </w:p>
  </w:footnote>
  <w:footnote w:id="94">
    <w:p w14:paraId="1D8B62BC" w14:textId="77777777" w:rsidR="002C5F71" w:rsidRPr="003C396A" w:rsidRDefault="002C5F71" w:rsidP="002C5F71">
      <w:pPr>
        <w:pStyle w:val="Footnotes"/>
        <w:rPr>
          <w:szCs w:val="22"/>
          <w:lang w:val="en-US"/>
        </w:rPr>
      </w:pPr>
      <w:r w:rsidRPr="003C396A">
        <w:rPr>
          <w:rStyle w:val="FootnoteReference"/>
          <w:szCs w:val="22"/>
        </w:rPr>
        <w:footnoteRef/>
      </w:r>
      <w:r w:rsidRPr="003C396A">
        <w:rPr>
          <w:szCs w:val="22"/>
        </w:rPr>
        <w:t xml:space="preserve"> </w:t>
      </w:r>
      <w:bookmarkStart w:id="77" w:name="_Hlk95149755"/>
      <w:r w:rsidRPr="003C396A">
        <w:rPr>
          <w:szCs w:val="22"/>
          <w:lang w:val="en-US"/>
        </w:rPr>
        <w:t xml:space="preserve">Fine, </w:t>
      </w:r>
      <w:r w:rsidRPr="003C396A">
        <w:rPr>
          <w:i/>
          <w:iCs/>
          <w:szCs w:val="22"/>
          <w:lang w:val="en-US"/>
        </w:rPr>
        <w:t>This Holy Place</w:t>
      </w:r>
      <w:r w:rsidRPr="003C396A">
        <w:rPr>
          <w:szCs w:val="22"/>
          <w:lang w:val="en-US"/>
        </w:rPr>
        <w:t>, 36–37.</w:t>
      </w:r>
      <w:bookmarkEnd w:id="77"/>
    </w:p>
  </w:footnote>
  <w:footnote w:id="95">
    <w:p w14:paraId="075776C7" w14:textId="77777777" w:rsidR="002C5F71" w:rsidRPr="003C396A" w:rsidRDefault="002C5F71" w:rsidP="00EE5191">
      <w:pPr>
        <w:pStyle w:val="Footnotes"/>
        <w:rPr>
          <w:szCs w:val="22"/>
          <w:lang w:val="en-US"/>
        </w:rPr>
      </w:pPr>
      <w:r w:rsidRPr="003C396A">
        <w:rPr>
          <w:rStyle w:val="FootnoteReference"/>
          <w:szCs w:val="22"/>
        </w:rPr>
        <w:footnoteRef/>
      </w:r>
      <w:r w:rsidRPr="003C396A">
        <w:rPr>
          <w:szCs w:val="22"/>
        </w:rPr>
        <w:t xml:space="preserve"> </w:t>
      </w:r>
      <w:r w:rsidRPr="003C396A">
        <w:rPr>
          <w:szCs w:val="22"/>
          <w:lang w:val="en-US"/>
        </w:rPr>
        <w:t xml:space="preserve">Ibid., 149–50. </w:t>
      </w:r>
    </w:p>
  </w:footnote>
  <w:footnote w:id="96">
    <w:p w14:paraId="12C09C29" w14:textId="77777777" w:rsidR="00B23FF7" w:rsidRPr="003C396A" w:rsidRDefault="00B23FF7" w:rsidP="00B23FF7">
      <w:pPr>
        <w:pStyle w:val="Footnotes"/>
        <w:rPr>
          <w:szCs w:val="22"/>
          <w:lang w:val="en-US"/>
        </w:rPr>
      </w:pPr>
      <w:r w:rsidRPr="003C396A">
        <w:rPr>
          <w:rStyle w:val="FootnoteReference"/>
          <w:szCs w:val="22"/>
        </w:rPr>
        <w:footnoteRef/>
      </w:r>
      <w:r w:rsidRPr="003C396A">
        <w:rPr>
          <w:szCs w:val="22"/>
        </w:rPr>
        <w:t xml:space="preserve"> </w:t>
      </w:r>
      <w:r w:rsidRPr="003C396A">
        <w:rPr>
          <w:szCs w:val="22"/>
          <w:lang w:val="en-US"/>
        </w:rPr>
        <w:t xml:space="preserve">Cf. Lightstone, </w:t>
      </w:r>
      <w:bookmarkStart w:id="80" w:name="_Hlk96527745"/>
      <w:r w:rsidRPr="003C396A">
        <w:rPr>
          <w:i/>
          <w:iCs/>
          <w:szCs w:val="22"/>
          <w:lang w:val="en-US"/>
        </w:rPr>
        <w:t>The Commerce of the Sacred</w:t>
      </w:r>
      <w:r w:rsidRPr="003C396A">
        <w:rPr>
          <w:szCs w:val="22"/>
          <w:lang w:val="en-US"/>
        </w:rPr>
        <w:t xml:space="preserve">, </w:t>
      </w:r>
      <w:bookmarkEnd w:id="80"/>
      <w:r w:rsidRPr="003C396A">
        <w:rPr>
          <w:szCs w:val="22"/>
          <w:lang w:val="en-US"/>
        </w:rPr>
        <w:t>64.</w:t>
      </w:r>
    </w:p>
  </w:footnote>
  <w:footnote w:id="97">
    <w:p w14:paraId="152FD91A" w14:textId="77777777" w:rsidR="004F29C2" w:rsidRPr="003C396A" w:rsidRDefault="004F29C2" w:rsidP="004F29C2">
      <w:pPr>
        <w:pStyle w:val="Footnotes"/>
        <w:rPr>
          <w:szCs w:val="22"/>
          <w:lang w:val="en-US"/>
        </w:rPr>
      </w:pPr>
      <w:r w:rsidRPr="003C396A">
        <w:rPr>
          <w:rStyle w:val="FootnoteReference"/>
          <w:szCs w:val="22"/>
        </w:rPr>
        <w:footnoteRef/>
      </w:r>
      <w:r w:rsidRPr="003C396A">
        <w:rPr>
          <w:szCs w:val="22"/>
        </w:rPr>
        <w:t xml:space="preserve"> Rodov, </w:t>
      </w:r>
      <w:r w:rsidRPr="003C396A">
        <w:rPr>
          <w:i/>
          <w:iCs/>
          <w:szCs w:val="22"/>
        </w:rPr>
        <w:t>The Torah Ark in Renaissance Poland</w:t>
      </w:r>
      <w:r w:rsidRPr="003C396A">
        <w:rPr>
          <w:szCs w:val="22"/>
        </w:rPr>
        <w:t xml:space="preserve">, 166–67; idem, </w:t>
      </w:r>
    </w:p>
  </w:footnote>
  <w:footnote w:id="98">
    <w:p w14:paraId="417477C6" w14:textId="0838D526" w:rsidR="002C5F71" w:rsidRPr="003C396A" w:rsidRDefault="002C5F71" w:rsidP="002C5F71">
      <w:pPr>
        <w:pStyle w:val="Footnotes"/>
        <w:rPr>
          <w:szCs w:val="22"/>
          <w:lang w:val="en-US"/>
        </w:rPr>
      </w:pPr>
      <w:r w:rsidRPr="003C396A">
        <w:rPr>
          <w:rStyle w:val="FootnoteReference"/>
          <w:szCs w:val="22"/>
        </w:rPr>
        <w:footnoteRef/>
      </w:r>
      <w:r w:rsidRPr="003C396A">
        <w:rPr>
          <w:szCs w:val="22"/>
        </w:rPr>
        <w:t xml:space="preserve"> </w:t>
      </w:r>
      <w:r w:rsidRPr="003C396A">
        <w:rPr>
          <w:szCs w:val="22"/>
          <w:lang w:val="en-US"/>
        </w:rPr>
        <w:t xml:space="preserve">Ibid., 145. See also Carl Hermann </w:t>
      </w:r>
      <w:proofErr w:type="spellStart"/>
      <w:r w:rsidRPr="003C396A">
        <w:rPr>
          <w:szCs w:val="22"/>
          <w:lang w:val="en-US"/>
        </w:rPr>
        <w:t>Kraeling</w:t>
      </w:r>
      <w:proofErr w:type="spellEnd"/>
      <w:r w:rsidRPr="003C396A">
        <w:rPr>
          <w:szCs w:val="22"/>
          <w:lang w:val="en-US"/>
        </w:rPr>
        <w:t xml:space="preserve"> et al., </w:t>
      </w:r>
      <w:r w:rsidRPr="003C396A">
        <w:rPr>
          <w:i/>
          <w:iCs/>
          <w:szCs w:val="22"/>
          <w:lang w:val="en-US"/>
        </w:rPr>
        <w:t>The Excavations at Dura-Europos: Final Report</w:t>
      </w:r>
      <w:r w:rsidRPr="003C396A">
        <w:rPr>
          <w:szCs w:val="22"/>
          <w:lang w:val="en-US"/>
        </w:rPr>
        <w:t xml:space="preserve"> 8, 1 (New Haven: Yale University Press, 1956), 19.</w:t>
      </w:r>
    </w:p>
  </w:footnote>
  <w:footnote w:id="99">
    <w:p w14:paraId="2C23CBB6" w14:textId="3791E425" w:rsidR="002C5F71" w:rsidRPr="003C396A" w:rsidRDefault="002C5F71" w:rsidP="004D1A9B">
      <w:pPr>
        <w:pStyle w:val="Footnotes"/>
        <w:rPr>
          <w:szCs w:val="22"/>
          <w:lang w:val="en-US"/>
        </w:rPr>
      </w:pPr>
      <w:r w:rsidRPr="003C396A">
        <w:rPr>
          <w:rStyle w:val="FootnoteReference"/>
          <w:szCs w:val="22"/>
        </w:rPr>
        <w:footnoteRef/>
      </w:r>
      <w:r w:rsidRPr="003C396A">
        <w:rPr>
          <w:szCs w:val="22"/>
        </w:rPr>
        <w:t xml:space="preserve"> Fine, </w:t>
      </w:r>
      <w:r w:rsidRPr="003C396A">
        <w:rPr>
          <w:i/>
          <w:iCs/>
          <w:szCs w:val="22"/>
        </w:rPr>
        <w:t>This Holy Place</w:t>
      </w:r>
      <w:r w:rsidRPr="003C396A">
        <w:rPr>
          <w:szCs w:val="22"/>
        </w:rPr>
        <w:t>, 36–37</w:t>
      </w:r>
      <w:r w:rsidR="00E6706D" w:rsidRPr="003C396A">
        <w:rPr>
          <w:szCs w:val="22"/>
        </w:rPr>
        <w:t xml:space="preserve">; Lightstone, </w:t>
      </w:r>
      <w:r w:rsidR="00E6706D" w:rsidRPr="003C396A">
        <w:rPr>
          <w:i/>
          <w:iCs/>
          <w:szCs w:val="22"/>
        </w:rPr>
        <w:t>The Commerce of the Sacred</w:t>
      </w:r>
      <w:r w:rsidR="00E6706D" w:rsidRPr="003C396A">
        <w:rPr>
          <w:szCs w:val="22"/>
        </w:rPr>
        <w:t>, 84</w:t>
      </w:r>
      <w:r w:rsidRPr="003C396A">
        <w:rPr>
          <w:szCs w:val="22"/>
        </w:rPr>
        <w:t xml:space="preserve">. See also </w:t>
      </w:r>
      <w:bookmarkStart w:id="81" w:name="_Hlk97050302"/>
      <w:r w:rsidRPr="003C396A">
        <w:rPr>
          <w:szCs w:val="22"/>
        </w:rPr>
        <w:t xml:space="preserve">Julian </w:t>
      </w:r>
      <w:proofErr w:type="spellStart"/>
      <w:r w:rsidRPr="003C396A">
        <w:rPr>
          <w:szCs w:val="22"/>
        </w:rPr>
        <w:t>Obermann</w:t>
      </w:r>
      <w:bookmarkEnd w:id="81"/>
      <w:proofErr w:type="spellEnd"/>
      <w:r w:rsidRPr="003C396A">
        <w:rPr>
          <w:szCs w:val="22"/>
        </w:rPr>
        <w:t xml:space="preserve">, “The Sepulchre of the Maccabean Martyrs,” </w:t>
      </w:r>
      <w:r w:rsidRPr="003C396A">
        <w:rPr>
          <w:i/>
          <w:iCs/>
          <w:szCs w:val="22"/>
        </w:rPr>
        <w:t>Journal of Biblical Literature</w:t>
      </w:r>
      <w:r w:rsidRPr="003C396A">
        <w:rPr>
          <w:szCs w:val="22"/>
        </w:rPr>
        <w:t xml:space="preserve"> 50, 4 (1931): 250–65.</w:t>
      </w:r>
    </w:p>
  </w:footnote>
  <w:footnote w:id="100">
    <w:p w14:paraId="02163CB5" w14:textId="77777777" w:rsidR="006B15E4" w:rsidRPr="003C396A" w:rsidRDefault="006B15E4" w:rsidP="003330F6">
      <w:pPr>
        <w:pStyle w:val="Footnotes"/>
        <w:rPr>
          <w:szCs w:val="22"/>
          <w:lang w:val="en-US"/>
        </w:rPr>
      </w:pPr>
      <w:r w:rsidRPr="003C396A">
        <w:rPr>
          <w:rStyle w:val="FootnoteReference"/>
          <w:szCs w:val="22"/>
        </w:rPr>
        <w:footnoteRef/>
      </w:r>
      <w:r w:rsidRPr="003C396A">
        <w:rPr>
          <w:szCs w:val="22"/>
        </w:rPr>
        <w:t xml:space="preserve"> Fine, </w:t>
      </w:r>
      <w:r w:rsidRPr="003C396A">
        <w:rPr>
          <w:i/>
          <w:iCs/>
          <w:szCs w:val="22"/>
        </w:rPr>
        <w:t>This Holy Place</w:t>
      </w:r>
      <w:r w:rsidRPr="003C396A">
        <w:rPr>
          <w:szCs w:val="22"/>
        </w:rPr>
        <w:t>, 38–41.</w:t>
      </w:r>
    </w:p>
  </w:footnote>
  <w:footnote w:id="101">
    <w:p w14:paraId="18154C2A" w14:textId="77777777" w:rsidR="00390013" w:rsidRPr="003C396A" w:rsidRDefault="00390013" w:rsidP="00390013">
      <w:pPr>
        <w:pStyle w:val="Footnotes"/>
        <w:rPr>
          <w:szCs w:val="22"/>
          <w:lang w:val="en-US"/>
        </w:rPr>
      </w:pPr>
      <w:r w:rsidRPr="003C396A">
        <w:rPr>
          <w:rStyle w:val="FootnoteReference"/>
          <w:szCs w:val="22"/>
        </w:rPr>
        <w:footnoteRef/>
      </w:r>
      <w:r w:rsidRPr="003C396A">
        <w:rPr>
          <w:szCs w:val="22"/>
        </w:rPr>
        <w:t xml:space="preserve"> Joan R. Branham, “Penetrating the Sacred:  Breaches and Barriers in the Jerusalem Temple,” in </w:t>
      </w:r>
      <w:r w:rsidRPr="003C396A">
        <w:rPr>
          <w:i/>
          <w:iCs/>
          <w:szCs w:val="22"/>
        </w:rPr>
        <w:t>Thresholds of the Sacred:  Architectural, Art Historical, Liturgical, and Theological Perspectives on Religious Screens, East and West</w:t>
      </w:r>
      <w:r w:rsidRPr="003C396A">
        <w:rPr>
          <w:szCs w:val="22"/>
        </w:rPr>
        <w:t xml:space="preserve">, ed. Sharon E. J. Gerstel (Dumbarton Oaks: Harvard University Press, 2006), 6–24; </w:t>
      </w:r>
      <w:bookmarkStart w:id="85" w:name="_Hlk95717447"/>
      <w:r w:rsidRPr="003C396A">
        <w:rPr>
          <w:szCs w:val="22"/>
        </w:rPr>
        <w:t>Branham, “Sacred Space under Erasure.”</w:t>
      </w:r>
    </w:p>
    <w:bookmarkEnd w:id="85"/>
  </w:footnote>
  <w:footnote w:id="102">
    <w:p w14:paraId="5FD4A061" w14:textId="354B0E79" w:rsidR="009801B5" w:rsidRPr="003C396A" w:rsidRDefault="009801B5" w:rsidP="0038386E">
      <w:pPr>
        <w:pStyle w:val="Footnotes"/>
        <w:rPr>
          <w:szCs w:val="22"/>
          <w:lang w:val="en-US"/>
        </w:rPr>
      </w:pPr>
      <w:r w:rsidRPr="003C396A">
        <w:rPr>
          <w:rStyle w:val="FootnoteReference"/>
          <w:szCs w:val="22"/>
        </w:rPr>
        <w:footnoteRef/>
      </w:r>
      <w:r w:rsidRPr="003C396A">
        <w:rPr>
          <w:szCs w:val="22"/>
        </w:rPr>
        <w:t xml:space="preserve"> </w:t>
      </w:r>
      <w:r w:rsidR="00EE5191" w:rsidRPr="003C396A">
        <w:rPr>
          <w:szCs w:val="22"/>
        </w:rPr>
        <w:t>Ibid.</w:t>
      </w:r>
      <w:r w:rsidR="00494C14" w:rsidRPr="003C396A">
        <w:rPr>
          <w:szCs w:val="22"/>
        </w:rPr>
        <w:t>;</w:t>
      </w:r>
      <w:r w:rsidR="00EE5191" w:rsidRPr="003C396A">
        <w:rPr>
          <w:szCs w:val="22"/>
        </w:rPr>
        <w:t xml:space="preserve"> </w:t>
      </w:r>
      <w:proofErr w:type="spellStart"/>
      <w:r w:rsidR="00494C14" w:rsidRPr="003C396A">
        <w:rPr>
          <w:szCs w:val="22"/>
        </w:rPr>
        <w:t>eadem</w:t>
      </w:r>
      <w:proofErr w:type="spellEnd"/>
      <w:r w:rsidR="00EE5191" w:rsidRPr="003C396A">
        <w:rPr>
          <w:szCs w:val="22"/>
        </w:rPr>
        <w:t xml:space="preserve">, </w:t>
      </w:r>
      <w:r w:rsidR="00494C14" w:rsidRPr="003C396A">
        <w:rPr>
          <w:szCs w:val="22"/>
        </w:rPr>
        <w:t xml:space="preserve">“Vicarious </w:t>
      </w:r>
      <w:proofErr w:type="spellStart"/>
      <w:r w:rsidR="00494C14" w:rsidRPr="003C396A">
        <w:rPr>
          <w:szCs w:val="22"/>
        </w:rPr>
        <w:t>Sacrality</w:t>
      </w:r>
      <w:proofErr w:type="spellEnd"/>
      <w:r w:rsidR="0038386E" w:rsidRPr="003C396A">
        <w:rPr>
          <w:szCs w:val="22"/>
        </w:rPr>
        <w:t>.</w:t>
      </w:r>
      <w:r w:rsidR="00494C14" w:rsidRPr="003C396A">
        <w:rPr>
          <w:szCs w:val="22"/>
        </w:rPr>
        <w:t>”</w:t>
      </w:r>
      <w:r w:rsidR="00535E2C" w:rsidRPr="003C396A">
        <w:rPr>
          <w:szCs w:val="22"/>
        </w:rPr>
        <w:t xml:space="preserve"> </w:t>
      </w:r>
    </w:p>
  </w:footnote>
  <w:footnote w:id="103">
    <w:p w14:paraId="40A7D4B4" w14:textId="2C87DA20" w:rsidR="00EE5191" w:rsidRPr="003C396A" w:rsidRDefault="00EE5191" w:rsidP="00535E2C">
      <w:pPr>
        <w:pStyle w:val="Footnotes"/>
        <w:rPr>
          <w:szCs w:val="22"/>
        </w:rPr>
      </w:pPr>
      <w:r w:rsidRPr="003C396A">
        <w:rPr>
          <w:rStyle w:val="FootnoteReference"/>
          <w:szCs w:val="22"/>
        </w:rPr>
        <w:footnoteRef/>
      </w:r>
      <w:r w:rsidRPr="003C396A">
        <w:rPr>
          <w:szCs w:val="22"/>
        </w:rPr>
        <w:t xml:space="preserve"> </w:t>
      </w:r>
      <w:r w:rsidR="009316A7" w:rsidRPr="003C396A">
        <w:rPr>
          <w:szCs w:val="22"/>
        </w:rPr>
        <w:t xml:space="preserve">Fine, </w:t>
      </w:r>
      <w:r w:rsidR="00535E2C" w:rsidRPr="003C396A">
        <w:rPr>
          <w:i/>
          <w:iCs/>
          <w:szCs w:val="22"/>
        </w:rPr>
        <w:t>Art, History and the Historiography</w:t>
      </w:r>
      <w:r w:rsidR="009316A7" w:rsidRPr="003C396A">
        <w:rPr>
          <w:szCs w:val="22"/>
        </w:rPr>
        <w:t xml:space="preserve">, </w:t>
      </w:r>
      <w:r w:rsidR="00535E2C" w:rsidRPr="003C396A">
        <w:rPr>
          <w:szCs w:val="22"/>
        </w:rPr>
        <w:t>139–57.</w:t>
      </w:r>
    </w:p>
  </w:footnote>
  <w:footnote w:id="104">
    <w:p w14:paraId="69A8B995" w14:textId="77777777" w:rsidR="002F6717" w:rsidRPr="003C396A" w:rsidRDefault="002F6717" w:rsidP="002F6717">
      <w:pPr>
        <w:pStyle w:val="Footnotes"/>
        <w:rPr>
          <w:szCs w:val="22"/>
          <w:lang w:val="en-US"/>
        </w:rPr>
      </w:pPr>
      <w:r w:rsidRPr="003C396A">
        <w:rPr>
          <w:rStyle w:val="FootnoteReference"/>
          <w:szCs w:val="22"/>
        </w:rPr>
        <w:footnoteRef/>
      </w:r>
      <w:r w:rsidRPr="003C396A">
        <w:rPr>
          <w:szCs w:val="22"/>
        </w:rPr>
        <w:t xml:space="preserve"> </w:t>
      </w:r>
      <w:r w:rsidRPr="003C396A">
        <w:rPr>
          <w:szCs w:val="22"/>
          <w:lang w:val="en-US"/>
        </w:rPr>
        <w:t xml:space="preserve">Franz Landsberger, “The Sacred Direction in Synagogue and Church,” </w:t>
      </w:r>
      <w:r w:rsidRPr="003C396A">
        <w:rPr>
          <w:i/>
          <w:iCs/>
          <w:szCs w:val="22"/>
          <w:lang w:val="en-US"/>
        </w:rPr>
        <w:t>Hebrew Union College Annual</w:t>
      </w:r>
      <w:r w:rsidRPr="003C396A">
        <w:rPr>
          <w:szCs w:val="22"/>
          <w:lang w:val="en-US"/>
        </w:rPr>
        <w:t xml:space="preserve"> 28 (1957): 181–203.</w:t>
      </w:r>
    </w:p>
  </w:footnote>
  <w:footnote w:id="105">
    <w:p w14:paraId="2C42B5E1" w14:textId="285D7876" w:rsidR="008D3CA5" w:rsidRPr="003C396A" w:rsidRDefault="008D3CA5" w:rsidP="00F4427B">
      <w:pPr>
        <w:pStyle w:val="Footnotes"/>
        <w:rPr>
          <w:szCs w:val="22"/>
          <w:lang w:val="en-US"/>
        </w:rPr>
      </w:pPr>
      <w:r w:rsidRPr="003C396A">
        <w:rPr>
          <w:rStyle w:val="FootnoteReference"/>
          <w:szCs w:val="22"/>
        </w:rPr>
        <w:footnoteRef/>
      </w:r>
      <w:r w:rsidRPr="003C396A">
        <w:rPr>
          <w:szCs w:val="22"/>
        </w:rPr>
        <w:t xml:space="preserve"> Cf. Levine, </w:t>
      </w:r>
      <w:r w:rsidRPr="003C396A">
        <w:rPr>
          <w:i/>
          <w:iCs/>
          <w:szCs w:val="22"/>
        </w:rPr>
        <w:t>The Ancient Synagogue</w:t>
      </w:r>
      <w:r w:rsidRPr="003C396A">
        <w:rPr>
          <w:szCs w:val="22"/>
        </w:rPr>
        <w:t xml:space="preserve">, 326. </w:t>
      </w:r>
    </w:p>
  </w:footnote>
  <w:footnote w:id="106">
    <w:p w14:paraId="34F25963" w14:textId="3AEF93BD" w:rsidR="008D3CA5" w:rsidRPr="003C396A" w:rsidRDefault="008D3CA5" w:rsidP="00F4427B">
      <w:pPr>
        <w:pStyle w:val="Footnotes"/>
        <w:rPr>
          <w:szCs w:val="22"/>
          <w:lang w:val="en-US"/>
        </w:rPr>
      </w:pPr>
      <w:r w:rsidRPr="003C396A">
        <w:rPr>
          <w:rStyle w:val="FootnoteReference"/>
          <w:szCs w:val="22"/>
        </w:rPr>
        <w:footnoteRef/>
      </w:r>
      <w:r w:rsidRPr="003C396A">
        <w:rPr>
          <w:szCs w:val="22"/>
        </w:rPr>
        <w:t xml:space="preserve"> Idem, 326–28; Landsberger, “The Sacred Direction.”</w:t>
      </w:r>
    </w:p>
  </w:footnote>
  <w:footnote w:id="107">
    <w:p w14:paraId="485572CB" w14:textId="335AC0B1" w:rsidR="00CC5701" w:rsidRPr="003C396A" w:rsidRDefault="00CC5701" w:rsidP="00F4427B">
      <w:pPr>
        <w:pStyle w:val="Footnotes"/>
        <w:rPr>
          <w:szCs w:val="22"/>
          <w:lang w:val="en-US"/>
        </w:rPr>
      </w:pPr>
      <w:r w:rsidRPr="003C396A">
        <w:rPr>
          <w:rStyle w:val="FootnoteReference"/>
          <w:szCs w:val="22"/>
        </w:rPr>
        <w:footnoteRef/>
      </w:r>
      <w:r w:rsidRPr="003C396A">
        <w:rPr>
          <w:szCs w:val="22"/>
        </w:rPr>
        <w:t xml:space="preserve"> Levine, </w:t>
      </w:r>
      <w:r w:rsidRPr="003C396A">
        <w:rPr>
          <w:i/>
          <w:iCs/>
          <w:szCs w:val="22"/>
        </w:rPr>
        <w:t>The Ancient Synagogue</w:t>
      </w:r>
      <w:r w:rsidRPr="003C396A">
        <w:rPr>
          <w:szCs w:val="22"/>
        </w:rPr>
        <w:t xml:space="preserve">, 326–28; idem, </w:t>
      </w:r>
      <w:r w:rsidRPr="003C396A">
        <w:rPr>
          <w:i/>
          <w:iCs/>
          <w:szCs w:val="22"/>
        </w:rPr>
        <w:t>Visual Judaism in Late Antiquity</w:t>
      </w:r>
      <w:r w:rsidRPr="003C396A">
        <w:rPr>
          <w:szCs w:val="22"/>
        </w:rPr>
        <w:t>, 358.</w:t>
      </w:r>
    </w:p>
  </w:footnote>
  <w:footnote w:id="108">
    <w:p w14:paraId="171940AD" w14:textId="07865B85" w:rsidR="00057742" w:rsidRPr="003C396A" w:rsidRDefault="00057742" w:rsidP="00F4427B">
      <w:pPr>
        <w:pStyle w:val="Footnotes"/>
        <w:rPr>
          <w:szCs w:val="22"/>
          <w:lang w:val="en-US"/>
        </w:rPr>
      </w:pPr>
      <w:r w:rsidRPr="003C396A">
        <w:rPr>
          <w:rStyle w:val="FootnoteReference"/>
          <w:szCs w:val="22"/>
        </w:rPr>
        <w:footnoteRef/>
      </w:r>
      <w:r w:rsidRPr="003C396A">
        <w:rPr>
          <w:szCs w:val="22"/>
        </w:rPr>
        <w:t xml:space="preserve"> </w:t>
      </w:r>
      <w:r w:rsidR="00F4427B" w:rsidRPr="003C396A">
        <w:rPr>
          <w:szCs w:val="22"/>
        </w:rPr>
        <w:t>Landsberger, “The Sacred Direction,” 203</w:t>
      </w:r>
      <w:r w:rsidR="00987AA9" w:rsidRPr="003C396A">
        <w:rPr>
          <w:szCs w:val="22"/>
        </w:rPr>
        <w:t>. See also</w:t>
      </w:r>
      <w:r w:rsidR="00F4427B" w:rsidRPr="003C396A">
        <w:rPr>
          <w:szCs w:val="22"/>
        </w:rPr>
        <w:t xml:space="preserve"> Ilia Rodov, </w:t>
      </w:r>
      <w:r w:rsidR="0089535B" w:rsidRPr="003C396A">
        <w:rPr>
          <w:szCs w:val="22"/>
        </w:rPr>
        <w:t>“‘</w:t>
      </w:r>
      <w:r w:rsidR="00F4427B" w:rsidRPr="003C396A">
        <w:rPr>
          <w:szCs w:val="22"/>
        </w:rPr>
        <w:t>With Eyes towards Zion</w:t>
      </w:r>
      <w:r w:rsidR="0089535B" w:rsidRPr="003C396A">
        <w:rPr>
          <w:szCs w:val="22"/>
        </w:rPr>
        <w:t>’</w:t>
      </w:r>
      <w:r w:rsidR="00F4427B" w:rsidRPr="003C396A">
        <w:rPr>
          <w:szCs w:val="22"/>
        </w:rPr>
        <w:t xml:space="preserve">: Visions of the Holy Land in Romanian Synagogues,” </w:t>
      </w:r>
      <w:r w:rsidR="00F4427B" w:rsidRPr="003C396A">
        <w:rPr>
          <w:i/>
          <w:iCs/>
          <w:szCs w:val="22"/>
        </w:rPr>
        <w:t>Quest: Issues in Contemporary Jewish History</w:t>
      </w:r>
      <w:r w:rsidR="00F4427B" w:rsidRPr="003C396A">
        <w:rPr>
          <w:szCs w:val="22"/>
        </w:rPr>
        <w:t xml:space="preserve"> 6 (2013), 138–72.</w:t>
      </w:r>
    </w:p>
  </w:footnote>
  <w:footnote w:id="109">
    <w:p w14:paraId="39F46929" w14:textId="77777777" w:rsidR="00E32B4C" w:rsidRPr="003C396A" w:rsidRDefault="004B368C" w:rsidP="004B368C">
      <w:pPr>
        <w:pStyle w:val="Footnotes"/>
        <w:rPr>
          <w:szCs w:val="22"/>
        </w:rPr>
      </w:pPr>
      <w:r w:rsidRPr="003C396A">
        <w:rPr>
          <w:rStyle w:val="FootnoteReference"/>
          <w:szCs w:val="22"/>
        </w:rPr>
        <w:footnoteRef/>
      </w:r>
      <w:r w:rsidRPr="003C396A">
        <w:rPr>
          <w:szCs w:val="22"/>
        </w:rPr>
        <w:t xml:space="preserve"> Rachel </w:t>
      </w:r>
      <w:proofErr w:type="spellStart"/>
      <w:r w:rsidRPr="003C396A">
        <w:rPr>
          <w:szCs w:val="22"/>
        </w:rPr>
        <w:t>Elior</w:t>
      </w:r>
      <w:proofErr w:type="spellEnd"/>
      <w:r w:rsidRPr="003C396A">
        <w:rPr>
          <w:szCs w:val="22"/>
        </w:rPr>
        <w:t xml:space="preserve">, </w:t>
      </w:r>
      <w:r w:rsidRPr="003C396A">
        <w:rPr>
          <w:i/>
          <w:iCs/>
          <w:szCs w:val="22"/>
        </w:rPr>
        <w:t>The Three Temples: On the Emergence of Jewish Mysticism</w:t>
      </w:r>
      <w:r w:rsidRPr="003C396A">
        <w:rPr>
          <w:szCs w:val="22"/>
        </w:rPr>
        <w:t xml:space="preserve"> (Oxford: The Littman library of Jewish Civilization, 2014), 128–29, 245–49.</w:t>
      </w:r>
      <w:r w:rsidR="00E32B4C" w:rsidRPr="003C396A">
        <w:rPr>
          <w:szCs w:val="22"/>
        </w:rPr>
        <w:t xml:space="preserve"> </w:t>
      </w:r>
    </w:p>
    <w:p w14:paraId="150057DB" w14:textId="79BAFBFB" w:rsidR="004B368C" w:rsidRPr="003C396A" w:rsidRDefault="00E32B4C" w:rsidP="004B368C">
      <w:pPr>
        <w:pStyle w:val="Footnotes"/>
        <w:rPr>
          <w:szCs w:val="22"/>
          <w:lang w:val="en-US"/>
        </w:rPr>
      </w:pPr>
      <w:r w:rsidRPr="003C396A">
        <w:rPr>
          <w:szCs w:val="22"/>
        </w:rPr>
        <w:t xml:space="preserve">On the cosmological interpretations of the Ark and Sanctuary in art, see </w:t>
      </w:r>
      <w:proofErr w:type="spellStart"/>
      <w:r w:rsidRPr="003C396A">
        <w:rPr>
          <w:szCs w:val="22"/>
        </w:rPr>
        <w:t>Shulamit</w:t>
      </w:r>
      <w:proofErr w:type="spellEnd"/>
      <w:r w:rsidRPr="003C396A">
        <w:rPr>
          <w:szCs w:val="22"/>
        </w:rPr>
        <w:t xml:space="preserve"> </w:t>
      </w:r>
      <w:proofErr w:type="spellStart"/>
      <w:r w:rsidRPr="003C396A">
        <w:rPr>
          <w:szCs w:val="22"/>
        </w:rPr>
        <w:t>Laderman</w:t>
      </w:r>
      <w:proofErr w:type="spellEnd"/>
      <w:r w:rsidRPr="003C396A">
        <w:rPr>
          <w:szCs w:val="22"/>
        </w:rPr>
        <w:t xml:space="preserve">, </w:t>
      </w:r>
      <w:r w:rsidRPr="003C396A">
        <w:rPr>
          <w:i/>
          <w:iCs/>
          <w:szCs w:val="22"/>
        </w:rPr>
        <w:t>Images of Cosmology in Jewish and Byzantine Art</w:t>
      </w:r>
      <w:r w:rsidRPr="003C396A">
        <w:rPr>
          <w:szCs w:val="22"/>
        </w:rPr>
        <w:t xml:space="preserve"> (Leiden: Brill, 2013); Elisabeth </w:t>
      </w:r>
      <w:r w:rsidRPr="003C396A">
        <w:rPr>
          <w:rFonts w:ascii="Brill-Roman" w:eastAsiaTheme="minorHAnsi" w:cs="Brill-Roman"/>
          <w:szCs w:val="22"/>
          <w:lang w:eastAsia="en-US" w:bidi="he-IL"/>
        </w:rPr>
        <w:t>Revel-</w:t>
      </w:r>
      <w:proofErr w:type="spellStart"/>
      <w:r w:rsidRPr="003C396A">
        <w:rPr>
          <w:rFonts w:ascii="Brill-Roman" w:eastAsiaTheme="minorHAnsi" w:cs="Brill-Roman"/>
          <w:szCs w:val="22"/>
          <w:lang w:eastAsia="en-US" w:bidi="he-IL"/>
        </w:rPr>
        <w:t>Neher</w:t>
      </w:r>
      <w:proofErr w:type="spellEnd"/>
      <w:r w:rsidRPr="003C396A">
        <w:rPr>
          <w:rFonts w:ascii="Brill-Roman" w:eastAsiaTheme="minorHAnsi" w:cs="Brill-Roman"/>
          <w:szCs w:val="22"/>
          <w:lang w:eastAsia="en-US" w:bidi="he-IL"/>
        </w:rPr>
        <w:t xml:space="preserve">, </w:t>
      </w:r>
      <w:r w:rsidRPr="003C396A">
        <w:rPr>
          <w:rFonts w:eastAsiaTheme="minorHAnsi"/>
          <w:i/>
          <w:iCs/>
          <w:szCs w:val="22"/>
          <w:lang w:eastAsia="en-US" w:bidi="he-IL"/>
        </w:rPr>
        <w:t xml:space="preserve">Le </w:t>
      </w:r>
      <w:proofErr w:type="spellStart"/>
      <w:r w:rsidRPr="003C396A">
        <w:rPr>
          <w:rFonts w:eastAsiaTheme="minorHAnsi"/>
          <w:i/>
          <w:iCs/>
          <w:szCs w:val="22"/>
          <w:lang w:eastAsia="en-US" w:bidi="he-IL"/>
        </w:rPr>
        <w:t>signe</w:t>
      </w:r>
      <w:proofErr w:type="spellEnd"/>
      <w:r w:rsidRPr="003C396A">
        <w:rPr>
          <w:rFonts w:eastAsiaTheme="minorHAnsi"/>
          <w:i/>
          <w:iCs/>
          <w:szCs w:val="22"/>
          <w:lang w:eastAsia="en-US" w:bidi="he-IL"/>
        </w:rPr>
        <w:t xml:space="preserve"> de la rencontre: </w:t>
      </w:r>
      <w:proofErr w:type="spellStart"/>
      <w:r w:rsidRPr="003C396A">
        <w:rPr>
          <w:rFonts w:eastAsiaTheme="minorHAnsi"/>
          <w:i/>
          <w:iCs/>
          <w:szCs w:val="22"/>
          <w:lang w:eastAsia="en-US" w:bidi="he-IL"/>
        </w:rPr>
        <w:t>L</w:t>
      </w:r>
      <w:r w:rsidRPr="003C396A">
        <w:rPr>
          <w:rFonts w:eastAsiaTheme="minorHAnsi" w:hint="cs"/>
          <w:i/>
          <w:iCs/>
          <w:szCs w:val="22"/>
          <w:lang w:eastAsia="en-US" w:bidi="he-IL"/>
        </w:rPr>
        <w:t>’</w:t>
      </w:r>
      <w:r w:rsidRPr="003C396A">
        <w:rPr>
          <w:rFonts w:eastAsiaTheme="minorHAnsi"/>
          <w:i/>
          <w:iCs/>
          <w:szCs w:val="22"/>
          <w:lang w:eastAsia="en-US" w:bidi="he-IL"/>
        </w:rPr>
        <w:t>arche</w:t>
      </w:r>
      <w:proofErr w:type="spellEnd"/>
      <w:r w:rsidRPr="003C396A">
        <w:rPr>
          <w:rFonts w:eastAsiaTheme="minorHAnsi"/>
          <w:i/>
          <w:iCs/>
          <w:szCs w:val="22"/>
          <w:lang w:eastAsia="en-US" w:bidi="he-IL"/>
        </w:rPr>
        <w:t xml:space="preserve"> </w:t>
      </w:r>
      <w:proofErr w:type="spellStart"/>
      <w:r w:rsidRPr="003C396A">
        <w:rPr>
          <w:rFonts w:eastAsiaTheme="minorHAnsi"/>
          <w:i/>
          <w:iCs/>
          <w:szCs w:val="22"/>
          <w:lang w:eastAsia="en-US" w:bidi="he-IL"/>
        </w:rPr>
        <w:t>d</w:t>
      </w:r>
      <w:r w:rsidRPr="003C396A">
        <w:rPr>
          <w:rFonts w:eastAsiaTheme="minorHAnsi" w:hint="cs"/>
          <w:i/>
          <w:iCs/>
          <w:szCs w:val="22"/>
          <w:lang w:eastAsia="en-US" w:bidi="he-IL"/>
        </w:rPr>
        <w:t>’</w:t>
      </w:r>
      <w:r w:rsidRPr="003C396A">
        <w:rPr>
          <w:rFonts w:eastAsiaTheme="minorHAnsi"/>
          <w:i/>
          <w:iCs/>
          <w:szCs w:val="22"/>
          <w:lang w:eastAsia="en-US" w:bidi="he-IL"/>
        </w:rPr>
        <w:t>alliance</w:t>
      </w:r>
      <w:proofErr w:type="spellEnd"/>
      <w:r w:rsidRPr="003C396A">
        <w:rPr>
          <w:rFonts w:eastAsiaTheme="minorHAnsi"/>
          <w:i/>
          <w:iCs/>
          <w:szCs w:val="22"/>
          <w:lang w:eastAsia="en-US" w:bidi="he-IL"/>
        </w:rPr>
        <w:t xml:space="preserve"> dans </w:t>
      </w:r>
      <w:proofErr w:type="spellStart"/>
      <w:r w:rsidRPr="003C396A">
        <w:rPr>
          <w:rFonts w:eastAsiaTheme="minorHAnsi"/>
          <w:i/>
          <w:iCs/>
          <w:szCs w:val="22"/>
          <w:lang w:eastAsia="en-US" w:bidi="he-IL"/>
        </w:rPr>
        <w:t>l</w:t>
      </w:r>
      <w:r w:rsidRPr="003C396A">
        <w:rPr>
          <w:rFonts w:eastAsiaTheme="minorHAnsi" w:hint="cs"/>
          <w:i/>
          <w:iCs/>
          <w:szCs w:val="22"/>
          <w:lang w:eastAsia="en-US" w:bidi="he-IL"/>
        </w:rPr>
        <w:t>’</w:t>
      </w:r>
      <w:r w:rsidRPr="003C396A">
        <w:rPr>
          <w:rFonts w:eastAsiaTheme="minorHAnsi"/>
          <w:i/>
          <w:iCs/>
          <w:szCs w:val="22"/>
          <w:lang w:eastAsia="en-US" w:bidi="he-IL"/>
        </w:rPr>
        <w:t>art</w:t>
      </w:r>
      <w:proofErr w:type="spellEnd"/>
      <w:r w:rsidRPr="003C396A">
        <w:rPr>
          <w:rFonts w:eastAsiaTheme="minorHAnsi"/>
          <w:i/>
          <w:iCs/>
          <w:szCs w:val="22"/>
          <w:lang w:eastAsia="en-US" w:bidi="he-IL"/>
        </w:rPr>
        <w:t xml:space="preserve"> </w:t>
      </w:r>
      <w:proofErr w:type="spellStart"/>
      <w:r w:rsidRPr="003C396A">
        <w:rPr>
          <w:rFonts w:eastAsiaTheme="minorHAnsi"/>
          <w:i/>
          <w:iCs/>
          <w:szCs w:val="22"/>
          <w:lang w:eastAsia="en-US" w:bidi="he-IL"/>
        </w:rPr>
        <w:t>juif</w:t>
      </w:r>
      <w:proofErr w:type="spellEnd"/>
      <w:r w:rsidRPr="003C396A">
        <w:rPr>
          <w:rFonts w:eastAsiaTheme="minorHAnsi"/>
          <w:i/>
          <w:iCs/>
          <w:szCs w:val="22"/>
          <w:lang w:eastAsia="en-US" w:bidi="he-IL"/>
        </w:rPr>
        <w:t xml:space="preserve"> et </w:t>
      </w:r>
      <w:proofErr w:type="spellStart"/>
      <w:r w:rsidRPr="003C396A">
        <w:rPr>
          <w:rFonts w:eastAsiaTheme="minorHAnsi"/>
          <w:i/>
          <w:iCs/>
          <w:szCs w:val="22"/>
          <w:lang w:eastAsia="en-US" w:bidi="he-IL"/>
        </w:rPr>
        <w:t>chretien</w:t>
      </w:r>
      <w:proofErr w:type="spellEnd"/>
      <w:r w:rsidRPr="003C396A">
        <w:rPr>
          <w:rFonts w:eastAsiaTheme="minorHAnsi"/>
          <w:i/>
          <w:iCs/>
          <w:szCs w:val="22"/>
          <w:lang w:eastAsia="en-US" w:bidi="he-IL"/>
        </w:rPr>
        <w:t xml:space="preserve"> du second au </w:t>
      </w:r>
      <w:proofErr w:type="spellStart"/>
      <w:r w:rsidRPr="003C396A">
        <w:rPr>
          <w:rFonts w:eastAsiaTheme="minorHAnsi"/>
          <w:i/>
          <w:iCs/>
          <w:szCs w:val="22"/>
          <w:lang w:eastAsia="en-US" w:bidi="he-IL"/>
        </w:rPr>
        <w:t>dixieme</w:t>
      </w:r>
      <w:proofErr w:type="spellEnd"/>
      <w:r w:rsidRPr="003C396A">
        <w:rPr>
          <w:rFonts w:eastAsiaTheme="minorHAnsi"/>
          <w:i/>
          <w:iCs/>
          <w:szCs w:val="22"/>
          <w:lang w:val="en-US" w:eastAsia="en-US" w:bidi="he-IL"/>
        </w:rPr>
        <w:t xml:space="preserve"> </w:t>
      </w:r>
      <w:proofErr w:type="spellStart"/>
      <w:r w:rsidRPr="003C396A">
        <w:rPr>
          <w:rFonts w:ascii="Brill-Italic" w:eastAsiaTheme="minorHAnsi" w:cs="Brill-Italic"/>
          <w:i/>
          <w:iCs/>
          <w:szCs w:val="22"/>
          <w:lang w:eastAsia="en-US" w:bidi="he-IL"/>
        </w:rPr>
        <w:t>siecles</w:t>
      </w:r>
      <w:proofErr w:type="spellEnd"/>
      <w:r w:rsidRPr="003C396A">
        <w:rPr>
          <w:rFonts w:eastAsiaTheme="minorHAnsi"/>
          <w:szCs w:val="22"/>
          <w:lang w:eastAsia="en-US" w:bidi="he-IL"/>
        </w:rPr>
        <w:t xml:space="preserve"> </w:t>
      </w:r>
      <w:r w:rsidRPr="003C396A">
        <w:rPr>
          <w:rFonts w:eastAsiaTheme="minorHAnsi"/>
          <w:szCs w:val="22"/>
          <w:lang w:val="en-US" w:eastAsia="en-US" w:bidi="he-IL"/>
        </w:rPr>
        <w:t>(</w:t>
      </w:r>
      <w:r w:rsidRPr="003C396A">
        <w:rPr>
          <w:rFonts w:eastAsiaTheme="minorHAnsi"/>
          <w:szCs w:val="22"/>
          <w:lang w:eastAsia="en-US" w:bidi="he-IL"/>
        </w:rPr>
        <w:t>Paris</w:t>
      </w:r>
      <w:r w:rsidRPr="003C396A">
        <w:rPr>
          <w:rFonts w:eastAsiaTheme="minorHAnsi"/>
          <w:szCs w:val="22"/>
          <w:lang w:val="en-US" w:eastAsia="en-US" w:bidi="he-IL"/>
        </w:rPr>
        <w:t xml:space="preserve">: </w:t>
      </w:r>
      <w:r w:rsidRPr="003C396A">
        <w:rPr>
          <w:rStyle w:val="itempublisher"/>
          <w:szCs w:val="22"/>
        </w:rPr>
        <w:t xml:space="preserve">Association des </w:t>
      </w:r>
      <w:proofErr w:type="spellStart"/>
      <w:r w:rsidRPr="003C396A">
        <w:rPr>
          <w:rStyle w:val="itempublisher"/>
          <w:szCs w:val="22"/>
        </w:rPr>
        <w:t>amis</w:t>
      </w:r>
      <w:proofErr w:type="spellEnd"/>
      <w:r w:rsidRPr="003C396A">
        <w:rPr>
          <w:rStyle w:val="itempublisher"/>
          <w:szCs w:val="22"/>
        </w:rPr>
        <w:t xml:space="preserve"> des </w:t>
      </w:r>
      <w:proofErr w:type="spellStart"/>
      <w:r w:rsidRPr="003C396A">
        <w:rPr>
          <w:rStyle w:val="itempublisher"/>
          <w:szCs w:val="22"/>
        </w:rPr>
        <w:t>études</w:t>
      </w:r>
      <w:proofErr w:type="spellEnd"/>
      <w:r w:rsidRPr="003C396A">
        <w:rPr>
          <w:rStyle w:val="itempublisher"/>
          <w:szCs w:val="22"/>
        </w:rPr>
        <w:t xml:space="preserve"> </w:t>
      </w:r>
      <w:proofErr w:type="spellStart"/>
      <w:r w:rsidRPr="003C396A">
        <w:rPr>
          <w:rStyle w:val="itempublisher"/>
          <w:szCs w:val="22"/>
        </w:rPr>
        <w:t>archéologiques</w:t>
      </w:r>
      <w:proofErr w:type="spellEnd"/>
      <w:r w:rsidRPr="003C396A">
        <w:rPr>
          <w:rStyle w:val="itempublisher"/>
          <w:szCs w:val="22"/>
        </w:rPr>
        <w:t xml:space="preserve"> </w:t>
      </w:r>
      <w:proofErr w:type="spellStart"/>
      <w:r w:rsidRPr="003C396A">
        <w:rPr>
          <w:rStyle w:val="itempublisher"/>
          <w:szCs w:val="22"/>
        </w:rPr>
        <w:t>byzantino</w:t>
      </w:r>
      <w:proofErr w:type="spellEnd"/>
      <w:r w:rsidRPr="003C396A">
        <w:rPr>
          <w:rStyle w:val="itempublisher"/>
          <w:szCs w:val="22"/>
        </w:rPr>
        <w:t xml:space="preserve">-slaves et du </w:t>
      </w:r>
      <w:proofErr w:type="spellStart"/>
      <w:r w:rsidRPr="003C396A">
        <w:rPr>
          <w:rStyle w:val="itempublisher"/>
          <w:szCs w:val="22"/>
        </w:rPr>
        <w:t>christianisme</w:t>
      </w:r>
      <w:proofErr w:type="spellEnd"/>
      <w:r w:rsidRPr="003C396A">
        <w:rPr>
          <w:rStyle w:val="itempublisher"/>
          <w:szCs w:val="22"/>
        </w:rPr>
        <w:t xml:space="preserve"> oriental,</w:t>
      </w:r>
      <w:r w:rsidRPr="003C396A">
        <w:rPr>
          <w:rFonts w:eastAsiaTheme="minorHAnsi"/>
          <w:szCs w:val="22"/>
          <w:lang w:eastAsia="en-US" w:bidi="he-IL"/>
        </w:rPr>
        <w:t xml:space="preserve"> 1984</w:t>
      </w:r>
      <w:r w:rsidRPr="003C396A">
        <w:rPr>
          <w:rFonts w:eastAsiaTheme="minorHAnsi"/>
          <w:szCs w:val="22"/>
          <w:lang w:val="en-US" w:eastAsia="en-US" w:bidi="he-IL"/>
        </w:rPr>
        <w:t>)</w:t>
      </w:r>
      <w:r w:rsidRPr="003C396A">
        <w:rPr>
          <w:rFonts w:eastAsiaTheme="minorHAnsi"/>
          <w:szCs w:val="22"/>
          <w:lang w:eastAsia="en-US" w:bidi="he-IL"/>
        </w:rPr>
        <w:t>.</w:t>
      </w:r>
    </w:p>
  </w:footnote>
  <w:footnote w:id="110">
    <w:p w14:paraId="024C4607" w14:textId="59D1E051" w:rsidR="00204E4F" w:rsidRPr="003C396A" w:rsidRDefault="00204E4F" w:rsidP="00204E4F">
      <w:pPr>
        <w:pStyle w:val="Footnotes"/>
        <w:rPr>
          <w:szCs w:val="22"/>
          <w:lang w:val="en-US"/>
        </w:rPr>
      </w:pPr>
      <w:r w:rsidRPr="003C396A">
        <w:rPr>
          <w:rStyle w:val="FootnoteReference"/>
          <w:szCs w:val="22"/>
        </w:rPr>
        <w:footnoteRef/>
      </w:r>
      <w:r w:rsidRPr="003C396A">
        <w:rPr>
          <w:szCs w:val="22"/>
        </w:rPr>
        <w:t xml:space="preserve"> </w:t>
      </w:r>
      <w:r w:rsidR="008F7573" w:rsidRPr="003C396A">
        <w:rPr>
          <w:szCs w:val="22"/>
        </w:rPr>
        <w:t xml:space="preserve">These </w:t>
      </w:r>
      <w:r w:rsidR="008F7573" w:rsidRPr="003C396A">
        <w:rPr>
          <w:szCs w:val="22"/>
          <w:lang w:val="en-US"/>
        </w:rPr>
        <w:t xml:space="preserve">recent </w:t>
      </w:r>
      <w:r w:rsidR="008F7573" w:rsidRPr="003C396A">
        <w:rPr>
          <w:szCs w:val="22"/>
        </w:rPr>
        <w:t>s</w:t>
      </w:r>
      <w:r w:rsidR="001C4A0B" w:rsidRPr="003C396A">
        <w:rPr>
          <w:szCs w:val="22"/>
          <w:lang w:val="en-US"/>
        </w:rPr>
        <w:t xml:space="preserve">elected publications </w:t>
      </w:r>
      <w:r w:rsidR="007E6B56" w:rsidRPr="003C396A">
        <w:rPr>
          <w:szCs w:val="22"/>
          <w:lang w:val="en-US"/>
        </w:rPr>
        <w:t>discuss</w:t>
      </w:r>
      <w:r w:rsidR="001C4A0B" w:rsidRPr="003C396A">
        <w:rPr>
          <w:szCs w:val="22"/>
          <w:lang w:val="en-US"/>
        </w:rPr>
        <w:t xml:space="preserve"> sources and </w:t>
      </w:r>
      <w:r w:rsidR="007E6B56" w:rsidRPr="003C396A">
        <w:rPr>
          <w:szCs w:val="22"/>
          <w:lang w:val="en-US"/>
        </w:rPr>
        <w:t xml:space="preserve">offer </w:t>
      </w:r>
      <w:r w:rsidR="001C4A0B" w:rsidRPr="003C396A">
        <w:rPr>
          <w:szCs w:val="22"/>
          <w:lang w:val="en-US"/>
        </w:rPr>
        <w:t xml:space="preserve">more bibliography: </w:t>
      </w:r>
      <w:r w:rsidR="004B368C" w:rsidRPr="003C396A">
        <w:rPr>
          <w:szCs w:val="22"/>
          <w:lang w:val="en-US"/>
        </w:rPr>
        <w:t>ibid.</w:t>
      </w:r>
      <w:r w:rsidR="001C4A0B" w:rsidRPr="003C396A">
        <w:rPr>
          <w:szCs w:val="22"/>
          <w:lang w:val="en-US"/>
        </w:rPr>
        <w:t xml:space="preserve">, </w:t>
      </w:r>
      <w:r w:rsidR="007B354F" w:rsidRPr="003C396A">
        <w:rPr>
          <w:szCs w:val="22"/>
          <w:lang w:val="en-US"/>
        </w:rPr>
        <w:t xml:space="preserve">21 n. 43, </w:t>
      </w:r>
      <w:r w:rsidR="008F7573" w:rsidRPr="003C396A">
        <w:rPr>
          <w:szCs w:val="22"/>
          <w:lang w:val="en-US"/>
        </w:rPr>
        <w:t xml:space="preserve">63–81, </w:t>
      </w:r>
      <w:r w:rsidR="001C4A0B" w:rsidRPr="003C396A">
        <w:rPr>
          <w:szCs w:val="22"/>
          <w:lang w:val="en-US"/>
        </w:rPr>
        <w:t>232–</w:t>
      </w:r>
      <w:r w:rsidR="007B354F" w:rsidRPr="003C396A">
        <w:rPr>
          <w:szCs w:val="22"/>
          <w:lang w:val="en-US"/>
        </w:rPr>
        <w:t>65</w:t>
      </w:r>
      <w:r w:rsidR="00CD1456" w:rsidRPr="003C396A">
        <w:rPr>
          <w:szCs w:val="22"/>
          <w:lang w:val="en-US"/>
        </w:rPr>
        <w:t xml:space="preserve">; </w:t>
      </w:r>
      <w:r w:rsidR="007E6B56" w:rsidRPr="003C396A">
        <w:rPr>
          <w:szCs w:val="22"/>
          <w:lang w:val="en-US"/>
        </w:rPr>
        <w:t xml:space="preserve">Lawrence H. Schiffman, </w:t>
      </w:r>
      <w:r w:rsidR="007E6B56" w:rsidRPr="003C396A">
        <w:rPr>
          <w:i/>
          <w:iCs/>
          <w:szCs w:val="22"/>
          <w:lang w:val="en-US"/>
        </w:rPr>
        <w:t>The Courtyards of the House of the Lord: Studies on the Temple Scroll</w:t>
      </w:r>
      <w:r w:rsidR="007E6B56" w:rsidRPr="003C396A">
        <w:rPr>
          <w:szCs w:val="22"/>
          <w:lang w:val="en-US"/>
        </w:rPr>
        <w:t xml:space="preserve"> (Leiden: Brill, 2008);  </w:t>
      </w:r>
      <w:proofErr w:type="spellStart"/>
      <w:r w:rsidR="00141D48" w:rsidRPr="003C396A">
        <w:rPr>
          <w:szCs w:val="22"/>
          <w:lang w:val="en-US"/>
        </w:rPr>
        <w:t>Raʻanan</w:t>
      </w:r>
      <w:proofErr w:type="spellEnd"/>
      <w:r w:rsidR="00141D48" w:rsidRPr="003C396A">
        <w:rPr>
          <w:szCs w:val="22"/>
          <w:lang w:val="en-US"/>
        </w:rPr>
        <w:t xml:space="preserve"> S. </w:t>
      </w:r>
      <w:proofErr w:type="spellStart"/>
      <w:r w:rsidR="00141D48" w:rsidRPr="003C396A">
        <w:rPr>
          <w:szCs w:val="22"/>
          <w:lang w:val="en-US"/>
        </w:rPr>
        <w:t>Boustan</w:t>
      </w:r>
      <w:proofErr w:type="spellEnd"/>
      <w:r w:rsidR="00141D48" w:rsidRPr="003C396A">
        <w:rPr>
          <w:szCs w:val="22"/>
          <w:lang w:val="en-US"/>
        </w:rPr>
        <w:t xml:space="preserve"> and Annette Yoshiko Reed, “</w:t>
      </w:r>
      <w:r w:rsidR="00141D48" w:rsidRPr="003C396A">
        <w:rPr>
          <w:rFonts w:eastAsiaTheme="minorHAnsi"/>
          <w:szCs w:val="22"/>
          <w:lang w:eastAsia="en-US" w:bidi="he-IL"/>
        </w:rPr>
        <w:t xml:space="preserve">Introduction: </w:t>
      </w:r>
      <w:r w:rsidR="00141D48" w:rsidRPr="003C396A">
        <w:rPr>
          <w:rFonts w:eastAsiaTheme="minorHAnsi"/>
          <w:szCs w:val="22"/>
          <w:lang w:val="en-US" w:eastAsia="en-US" w:bidi="he-IL"/>
        </w:rPr>
        <w:t>‘</w:t>
      </w:r>
      <w:r w:rsidR="00141D48" w:rsidRPr="003C396A">
        <w:rPr>
          <w:rFonts w:eastAsiaTheme="minorHAnsi"/>
          <w:szCs w:val="22"/>
          <w:lang w:eastAsia="en-US" w:bidi="he-IL"/>
        </w:rPr>
        <w:t>In Heaven as It Is on Earth</w:t>
      </w:r>
      <w:r w:rsidR="00141D48" w:rsidRPr="003C396A">
        <w:rPr>
          <w:rFonts w:eastAsiaTheme="minorHAnsi"/>
          <w:szCs w:val="22"/>
          <w:lang w:val="en-US" w:eastAsia="en-US" w:bidi="he-IL"/>
        </w:rPr>
        <w:t xml:space="preserve">’” and </w:t>
      </w:r>
      <w:proofErr w:type="spellStart"/>
      <w:r w:rsidR="00CD1456" w:rsidRPr="003C396A">
        <w:rPr>
          <w:szCs w:val="22"/>
        </w:rPr>
        <w:t>Raʻanan</w:t>
      </w:r>
      <w:proofErr w:type="spellEnd"/>
      <w:r w:rsidR="00CD1456" w:rsidRPr="003C396A">
        <w:rPr>
          <w:szCs w:val="22"/>
        </w:rPr>
        <w:t xml:space="preserve"> S. </w:t>
      </w:r>
      <w:proofErr w:type="spellStart"/>
      <w:r w:rsidR="00CD1456" w:rsidRPr="003C396A">
        <w:rPr>
          <w:szCs w:val="22"/>
        </w:rPr>
        <w:t>Boustan</w:t>
      </w:r>
      <w:proofErr w:type="spellEnd"/>
      <w:r w:rsidR="00CD1456" w:rsidRPr="003C396A">
        <w:rPr>
          <w:szCs w:val="22"/>
        </w:rPr>
        <w:t>,</w:t>
      </w:r>
      <w:r w:rsidR="00CD1456" w:rsidRPr="003C396A">
        <w:rPr>
          <w:szCs w:val="22"/>
          <w:lang w:val="en-US"/>
        </w:rPr>
        <w:t xml:space="preserve"> “Angels in Architecture: Temple Art and the Poetics of Praise in the Song of the Sabbath Sacrifice,” in </w:t>
      </w:r>
      <w:r w:rsidR="00CD1456" w:rsidRPr="003C396A">
        <w:rPr>
          <w:i/>
          <w:iCs/>
          <w:szCs w:val="22"/>
          <w:lang w:val="en-US"/>
        </w:rPr>
        <w:t>Heavenly Realms and Earthly Realities in Late Antique Religions</w:t>
      </w:r>
      <w:r w:rsidR="00CD1456" w:rsidRPr="003C396A">
        <w:rPr>
          <w:szCs w:val="22"/>
          <w:lang w:val="en-US"/>
        </w:rPr>
        <w:t>, ed</w:t>
      </w:r>
      <w:r w:rsidR="00141D48" w:rsidRPr="003C396A">
        <w:rPr>
          <w:szCs w:val="22"/>
          <w:lang w:val="en-US"/>
        </w:rPr>
        <w:t>s</w:t>
      </w:r>
      <w:r w:rsidR="00CD1456" w:rsidRPr="003C396A">
        <w:rPr>
          <w:szCs w:val="22"/>
          <w:lang w:val="en-US"/>
        </w:rPr>
        <w:t xml:space="preserve">. </w:t>
      </w:r>
      <w:bookmarkStart w:id="88" w:name="_Hlk100679216"/>
      <w:proofErr w:type="spellStart"/>
      <w:r w:rsidR="00CD1456" w:rsidRPr="003C396A">
        <w:rPr>
          <w:szCs w:val="22"/>
        </w:rPr>
        <w:t>Raʻanan</w:t>
      </w:r>
      <w:proofErr w:type="spellEnd"/>
      <w:r w:rsidR="00CD1456" w:rsidRPr="003C396A">
        <w:rPr>
          <w:szCs w:val="22"/>
        </w:rPr>
        <w:t xml:space="preserve"> S. </w:t>
      </w:r>
      <w:proofErr w:type="spellStart"/>
      <w:r w:rsidR="00CD1456" w:rsidRPr="003C396A">
        <w:rPr>
          <w:szCs w:val="22"/>
        </w:rPr>
        <w:t>Boustan</w:t>
      </w:r>
      <w:proofErr w:type="spellEnd"/>
      <w:r w:rsidR="00CD1456" w:rsidRPr="003C396A">
        <w:rPr>
          <w:szCs w:val="22"/>
        </w:rPr>
        <w:t xml:space="preserve"> </w:t>
      </w:r>
      <w:r w:rsidR="00CD1456" w:rsidRPr="003C396A">
        <w:rPr>
          <w:szCs w:val="22"/>
          <w:lang w:val="en-US"/>
        </w:rPr>
        <w:t xml:space="preserve">and Annette Yoshiko Reed </w:t>
      </w:r>
      <w:bookmarkEnd w:id="88"/>
      <w:r w:rsidR="00CD1456" w:rsidRPr="003C396A">
        <w:rPr>
          <w:szCs w:val="22"/>
          <w:lang w:val="en-US"/>
        </w:rPr>
        <w:t xml:space="preserve">(Cambridge: Cambridge University Press, 2004), </w:t>
      </w:r>
      <w:r w:rsidR="00141D48" w:rsidRPr="003C396A">
        <w:rPr>
          <w:szCs w:val="22"/>
          <w:lang w:val="en-US"/>
        </w:rPr>
        <w:t xml:space="preserve">1–15 and </w:t>
      </w:r>
      <w:r w:rsidR="00CD1456" w:rsidRPr="003C396A">
        <w:rPr>
          <w:szCs w:val="22"/>
          <w:lang w:val="en-US"/>
        </w:rPr>
        <w:t>195–212</w:t>
      </w:r>
      <w:r w:rsidR="00141D48" w:rsidRPr="003C396A">
        <w:rPr>
          <w:szCs w:val="22"/>
          <w:lang w:val="en-US"/>
        </w:rPr>
        <w:t xml:space="preserve"> (respectively)</w:t>
      </w:r>
      <w:r w:rsidR="00CD1456" w:rsidRPr="003C396A">
        <w:rPr>
          <w:szCs w:val="22"/>
          <w:lang w:val="en-US"/>
        </w:rPr>
        <w:t>.</w:t>
      </w:r>
    </w:p>
  </w:footnote>
  <w:footnote w:id="111">
    <w:p w14:paraId="0AAA75AB" w14:textId="7900BDD8" w:rsidR="00CF6512" w:rsidRPr="003C396A" w:rsidRDefault="00CF6512" w:rsidP="00881B7A">
      <w:pPr>
        <w:pStyle w:val="Footnotes"/>
        <w:rPr>
          <w:szCs w:val="22"/>
          <w:lang w:val="en-US"/>
        </w:rPr>
      </w:pPr>
      <w:r w:rsidRPr="003C396A">
        <w:rPr>
          <w:rStyle w:val="FootnoteReference"/>
          <w:szCs w:val="22"/>
        </w:rPr>
        <w:footnoteRef/>
      </w:r>
      <w:r w:rsidRPr="003C396A">
        <w:rPr>
          <w:szCs w:val="22"/>
        </w:rPr>
        <w:t xml:space="preserve"> Gideon Foerster, “The Zodiac in Ancient Synagogues and Its Place in Jewish Thought and Literature,” </w:t>
      </w:r>
      <w:r w:rsidRPr="003C396A">
        <w:rPr>
          <w:i/>
          <w:iCs/>
          <w:szCs w:val="22"/>
        </w:rPr>
        <w:t>Eretz-Israel: Archaeological, Historical and Geographical Studies</w:t>
      </w:r>
      <w:r w:rsidRPr="003C396A">
        <w:rPr>
          <w:szCs w:val="22"/>
        </w:rPr>
        <w:t xml:space="preserve"> 19 (</w:t>
      </w:r>
      <w:r w:rsidRPr="003C396A">
        <w:rPr>
          <w:szCs w:val="22"/>
          <w:rtl/>
        </w:rPr>
        <w:t>1987</w:t>
      </w:r>
      <w:r w:rsidRPr="003C396A">
        <w:rPr>
          <w:szCs w:val="22"/>
        </w:rPr>
        <w:t>): 227 (Hebrew).</w:t>
      </w:r>
    </w:p>
  </w:footnote>
  <w:footnote w:id="112">
    <w:p w14:paraId="01F281FE" w14:textId="033908EE" w:rsidR="00881B7A" w:rsidRPr="003C396A" w:rsidRDefault="00881B7A" w:rsidP="00881B7A">
      <w:pPr>
        <w:pStyle w:val="Footnotes"/>
        <w:rPr>
          <w:szCs w:val="22"/>
          <w:lang w:val="en-US"/>
        </w:rPr>
      </w:pPr>
      <w:r w:rsidRPr="003C396A">
        <w:rPr>
          <w:rStyle w:val="FootnoteReference"/>
          <w:szCs w:val="22"/>
        </w:rPr>
        <w:footnoteRef/>
      </w:r>
      <w:r w:rsidRPr="003C396A">
        <w:rPr>
          <w:szCs w:val="22"/>
        </w:rPr>
        <w:t xml:space="preserve"> Branham, “Vicarious Sacrality,” 341–42.</w:t>
      </w:r>
    </w:p>
  </w:footnote>
  <w:footnote w:id="113">
    <w:p w14:paraId="3B7C33ED" w14:textId="4CCC87C1" w:rsidR="00560854" w:rsidRPr="003C396A" w:rsidRDefault="00560854" w:rsidP="00560854">
      <w:pPr>
        <w:pStyle w:val="Footnotes"/>
        <w:rPr>
          <w:szCs w:val="22"/>
        </w:rPr>
      </w:pPr>
      <w:r w:rsidRPr="003C396A">
        <w:rPr>
          <w:rStyle w:val="FootnoteReference"/>
          <w:szCs w:val="22"/>
        </w:rPr>
        <w:footnoteRef/>
      </w:r>
      <w:r w:rsidRPr="003C396A">
        <w:rPr>
          <w:szCs w:val="22"/>
        </w:rPr>
        <w:t xml:space="preserve"> Jodi Magness, “Heaven on Earth: Helios and the Zodiac Cycle in Ancient Palestinian Synagogues,” </w:t>
      </w:r>
      <w:r w:rsidRPr="003C396A">
        <w:rPr>
          <w:i/>
          <w:iCs/>
          <w:szCs w:val="22"/>
        </w:rPr>
        <w:t>Dumbarton Oaks Papers</w:t>
      </w:r>
      <w:r w:rsidRPr="003C396A">
        <w:rPr>
          <w:szCs w:val="22"/>
        </w:rPr>
        <w:t xml:space="preserve"> 59 (2005): 1–51.</w:t>
      </w:r>
    </w:p>
  </w:footnote>
  <w:footnote w:id="114">
    <w:p w14:paraId="73F2EC52" w14:textId="3A736A26" w:rsidR="00E44B7D" w:rsidRPr="003C396A" w:rsidRDefault="00E44B7D" w:rsidP="00767AE3">
      <w:pPr>
        <w:pStyle w:val="Footnotes"/>
        <w:rPr>
          <w:szCs w:val="22"/>
          <w:lang w:val="en-US"/>
        </w:rPr>
      </w:pPr>
      <w:r w:rsidRPr="003C396A">
        <w:rPr>
          <w:rStyle w:val="FootnoteReference"/>
          <w:szCs w:val="22"/>
        </w:rPr>
        <w:footnoteRef/>
      </w:r>
      <w:r w:rsidRPr="003C396A">
        <w:rPr>
          <w:szCs w:val="22"/>
        </w:rPr>
        <w:t xml:space="preserve"> Fine, </w:t>
      </w:r>
      <w:r w:rsidRPr="003C396A">
        <w:rPr>
          <w:i/>
          <w:iCs/>
          <w:szCs w:val="22"/>
        </w:rPr>
        <w:t>Art, History and the Historiography</w:t>
      </w:r>
      <w:r w:rsidRPr="003C396A">
        <w:rPr>
          <w:szCs w:val="22"/>
        </w:rPr>
        <w:t>, 139–57.</w:t>
      </w:r>
    </w:p>
  </w:footnote>
  <w:footnote w:id="115">
    <w:p w14:paraId="474094A2" w14:textId="773552F2" w:rsidR="0090516E" w:rsidRPr="003C396A" w:rsidRDefault="0090516E" w:rsidP="00502CF3">
      <w:pPr>
        <w:pStyle w:val="Footnotes"/>
        <w:rPr>
          <w:szCs w:val="22"/>
          <w:lang w:val="en-US"/>
        </w:rPr>
      </w:pPr>
      <w:r w:rsidRPr="003C396A">
        <w:rPr>
          <w:rStyle w:val="FootnoteReference"/>
          <w:szCs w:val="22"/>
        </w:rPr>
        <w:footnoteRef/>
      </w:r>
      <w:r w:rsidRPr="003C396A">
        <w:rPr>
          <w:szCs w:val="22"/>
        </w:rPr>
        <w:t xml:space="preserve"> </w:t>
      </w:r>
      <w:r w:rsidR="00502CF3" w:rsidRPr="003C396A">
        <w:rPr>
          <w:szCs w:val="22"/>
        </w:rPr>
        <w:t xml:space="preserve">Ilia </w:t>
      </w:r>
      <w:proofErr w:type="spellStart"/>
      <w:r w:rsidR="00502CF3" w:rsidRPr="003C396A">
        <w:rPr>
          <w:szCs w:val="22"/>
        </w:rPr>
        <w:t>Rodov</w:t>
      </w:r>
      <w:proofErr w:type="spellEnd"/>
      <w:r w:rsidR="00502CF3" w:rsidRPr="003C396A">
        <w:rPr>
          <w:szCs w:val="22"/>
        </w:rPr>
        <w:t xml:space="preserve">, “The </w:t>
      </w:r>
      <w:proofErr w:type="spellStart"/>
      <w:r w:rsidR="00502CF3" w:rsidRPr="003C396A">
        <w:rPr>
          <w:szCs w:val="22"/>
        </w:rPr>
        <w:t>Marvelous</w:t>
      </w:r>
      <w:proofErr w:type="spellEnd"/>
      <w:r w:rsidR="00502CF3" w:rsidRPr="003C396A">
        <w:rPr>
          <w:szCs w:val="22"/>
        </w:rPr>
        <w:t xml:space="preserve"> Garden: On the Poetics of Vegetal Ornamentation in European Synagogues and Its Origins,” in </w:t>
      </w:r>
      <w:proofErr w:type="spellStart"/>
      <w:r w:rsidR="00502CF3" w:rsidRPr="003C396A">
        <w:rPr>
          <w:i/>
          <w:iCs/>
          <w:szCs w:val="22"/>
        </w:rPr>
        <w:t>Timorah</w:t>
      </w:r>
      <w:proofErr w:type="spellEnd"/>
      <w:r w:rsidR="00502CF3" w:rsidRPr="003C396A">
        <w:rPr>
          <w:i/>
          <w:iCs/>
          <w:szCs w:val="22"/>
        </w:rPr>
        <w:t>: Articles on Jewish Art</w:t>
      </w:r>
      <w:r w:rsidR="00502CF3" w:rsidRPr="003C396A">
        <w:rPr>
          <w:szCs w:val="22"/>
        </w:rPr>
        <w:t xml:space="preserve"> (Ramat Gan, Bar </w:t>
      </w:r>
      <w:proofErr w:type="spellStart"/>
      <w:r w:rsidR="00502CF3" w:rsidRPr="003C396A">
        <w:rPr>
          <w:szCs w:val="22"/>
        </w:rPr>
        <w:t>Ilan</w:t>
      </w:r>
      <w:proofErr w:type="spellEnd"/>
      <w:r w:rsidR="00502CF3" w:rsidRPr="003C396A">
        <w:rPr>
          <w:szCs w:val="22"/>
        </w:rPr>
        <w:t xml:space="preserve"> University, 2006), 111–32 (Hebrew).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18"/>
  </w:num>
  <w:num w:numId="21">
    <w:abstractNumId w:val="21"/>
  </w:num>
  <w:num w:numId="22">
    <w:abstractNumId w:val="22"/>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MTaxMDG1MLc0MjRT0lEKTi0uzszPAykwNKgFAD3d4N0tAAAA"/>
  </w:docVars>
  <w:rsids>
    <w:rsidRoot w:val="00A13877"/>
    <w:rsid w:val="00000B55"/>
    <w:rsid w:val="00000ECB"/>
    <w:rsid w:val="00001731"/>
    <w:rsid w:val="00005DD8"/>
    <w:rsid w:val="00006268"/>
    <w:rsid w:val="00010C76"/>
    <w:rsid w:val="0001224A"/>
    <w:rsid w:val="000144C2"/>
    <w:rsid w:val="000146E9"/>
    <w:rsid w:val="00017567"/>
    <w:rsid w:val="00017A81"/>
    <w:rsid w:val="00017EAC"/>
    <w:rsid w:val="000205D1"/>
    <w:rsid w:val="00021325"/>
    <w:rsid w:val="000219A0"/>
    <w:rsid w:val="000233B9"/>
    <w:rsid w:val="0002360E"/>
    <w:rsid w:val="0002566A"/>
    <w:rsid w:val="000257A4"/>
    <w:rsid w:val="000277B2"/>
    <w:rsid w:val="00033DFA"/>
    <w:rsid w:val="00035086"/>
    <w:rsid w:val="000373F8"/>
    <w:rsid w:val="0003758C"/>
    <w:rsid w:val="000378CD"/>
    <w:rsid w:val="000403A0"/>
    <w:rsid w:val="000414B6"/>
    <w:rsid w:val="000415F6"/>
    <w:rsid w:val="00042E65"/>
    <w:rsid w:val="000432F5"/>
    <w:rsid w:val="0004586D"/>
    <w:rsid w:val="00046F4C"/>
    <w:rsid w:val="00047C3D"/>
    <w:rsid w:val="0005080E"/>
    <w:rsid w:val="000515F6"/>
    <w:rsid w:val="00052072"/>
    <w:rsid w:val="00055ED4"/>
    <w:rsid w:val="00057742"/>
    <w:rsid w:val="000578F2"/>
    <w:rsid w:val="0005795E"/>
    <w:rsid w:val="00063EC0"/>
    <w:rsid w:val="00064DC3"/>
    <w:rsid w:val="00065685"/>
    <w:rsid w:val="0006680C"/>
    <w:rsid w:val="00067DAA"/>
    <w:rsid w:val="00070095"/>
    <w:rsid w:val="000719E3"/>
    <w:rsid w:val="00076350"/>
    <w:rsid w:val="00076956"/>
    <w:rsid w:val="00081CEF"/>
    <w:rsid w:val="00084C58"/>
    <w:rsid w:val="000857EE"/>
    <w:rsid w:val="00091362"/>
    <w:rsid w:val="00092E50"/>
    <w:rsid w:val="00094A14"/>
    <w:rsid w:val="0009641D"/>
    <w:rsid w:val="00097B63"/>
    <w:rsid w:val="000A3519"/>
    <w:rsid w:val="000A45F1"/>
    <w:rsid w:val="000A73D7"/>
    <w:rsid w:val="000B0016"/>
    <w:rsid w:val="000B0157"/>
    <w:rsid w:val="000B0358"/>
    <w:rsid w:val="000B081A"/>
    <w:rsid w:val="000B13ED"/>
    <w:rsid w:val="000B259B"/>
    <w:rsid w:val="000B3225"/>
    <w:rsid w:val="000B4C5D"/>
    <w:rsid w:val="000B6FBF"/>
    <w:rsid w:val="000C33E0"/>
    <w:rsid w:val="000C38B9"/>
    <w:rsid w:val="000C56DC"/>
    <w:rsid w:val="000C5A20"/>
    <w:rsid w:val="000C64ED"/>
    <w:rsid w:val="000C70E7"/>
    <w:rsid w:val="000C7BD0"/>
    <w:rsid w:val="000D0268"/>
    <w:rsid w:val="000D0525"/>
    <w:rsid w:val="000D0A99"/>
    <w:rsid w:val="000D5DB2"/>
    <w:rsid w:val="000E0AF3"/>
    <w:rsid w:val="000E1478"/>
    <w:rsid w:val="000E2DFA"/>
    <w:rsid w:val="000E300C"/>
    <w:rsid w:val="000E3F2E"/>
    <w:rsid w:val="000E5820"/>
    <w:rsid w:val="000F0BD7"/>
    <w:rsid w:val="000F4514"/>
    <w:rsid w:val="000F56AF"/>
    <w:rsid w:val="000F5D90"/>
    <w:rsid w:val="000F65EF"/>
    <w:rsid w:val="0010013B"/>
    <w:rsid w:val="001004EE"/>
    <w:rsid w:val="0010159B"/>
    <w:rsid w:val="00101996"/>
    <w:rsid w:val="00102684"/>
    <w:rsid w:val="001124B5"/>
    <w:rsid w:val="00112BAF"/>
    <w:rsid w:val="00113278"/>
    <w:rsid w:val="001158B9"/>
    <w:rsid w:val="00115A05"/>
    <w:rsid w:val="00120213"/>
    <w:rsid w:val="00121B9F"/>
    <w:rsid w:val="00122C0E"/>
    <w:rsid w:val="001257FE"/>
    <w:rsid w:val="00130943"/>
    <w:rsid w:val="00130965"/>
    <w:rsid w:val="001313D1"/>
    <w:rsid w:val="001334D4"/>
    <w:rsid w:val="0013389C"/>
    <w:rsid w:val="00136B55"/>
    <w:rsid w:val="00137B4A"/>
    <w:rsid w:val="001412E6"/>
    <w:rsid w:val="00141B48"/>
    <w:rsid w:val="00141D48"/>
    <w:rsid w:val="00144BDB"/>
    <w:rsid w:val="001476B1"/>
    <w:rsid w:val="00147CF3"/>
    <w:rsid w:val="0015129D"/>
    <w:rsid w:val="00152B5E"/>
    <w:rsid w:val="00153472"/>
    <w:rsid w:val="00156F2E"/>
    <w:rsid w:val="00157EE7"/>
    <w:rsid w:val="001619F0"/>
    <w:rsid w:val="00162CF7"/>
    <w:rsid w:val="001634A4"/>
    <w:rsid w:val="0016370D"/>
    <w:rsid w:val="00164E78"/>
    <w:rsid w:val="00165305"/>
    <w:rsid w:val="001660B9"/>
    <w:rsid w:val="00170101"/>
    <w:rsid w:val="001722A5"/>
    <w:rsid w:val="00174530"/>
    <w:rsid w:val="00174E15"/>
    <w:rsid w:val="001753DA"/>
    <w:rsid w:val="00176E41"/>
    <w:rsid w:val="001803ED"/>
    <w:rsid w:val="00180510"/>
    <w:rsid w:val="00183E71"/>
    <w:rsid w:val="001856BB"/>
    <w:rsid w:val="001865C6"/>
    <w:rsid w:val="00186C02"/>
    <w:rsid w:val="00186C58"/>
    <w:rsid w:val="00190164"/>
    <w:rsid w:val="001916BC"/>
    <w:rsid w:val="00193F66"/>
    <w:rsid w:val="00195050"/>
    <w:rsid w:val="00195BC8"/>
    <w:rsid w:val="00195CF3"/>
    <w:rsid w:val="001A1360"/>
    <w:rsid w:val="001A1678"/>
    <w:rsid w:val="001A230C"/>
    <w:rsid w:val="001A4406"/>
    <w:rsid w:val="001A528B"/>
    <w:rsid w:val="001A60B6"/>
    <w:rsid w:val="001A6E59"/>
    <w:rsid w:val="001B0A7E"/>
    <w:rsid w:val="001B1AD9"/>
    <w:rsid w:val="001B1F55"/>
    <w:rsid w:val="001B3183"/>
    <w:rsid w:val="001B3971"/>
    <w:rsid w:val="001B3D5C"/>
    <w:rsid w:val="001B407B"/>
    <w:rsid w:val="001B50F6"/>
    <w:rsid w:val="001B6C5F"/>
    <w:rsid w:val="001B7B86"/>
    <w:rsid w:val="001B7FEF"/>
    <w:rsid w:val="001C409A"/>
    <w:rsid w:val="001C4A0B"/>
    <w:rsid w:val="001C4F4E"/>
    <w:rsid w:val="001C54EF"/>
    <w:rsid w:val="001D6A07"/>
    <w:rsid w:val="001E2336"/>
    <w:rsid w:val="001E29A1"/>
    <w:rsid w:val="001E3176"/>
    <w:rsid w:val="001E49C0"/>
    <w:rsid w:val="001F3CB1"/>
    <w:rsid w:val="001F4FCB"/>
    <w:rsid w:val="001F6562"/>
    <w:rsid w:val="001F687C"/>
    <w:rsid w:val="001F6D93"/>
    <w:rsid w:val="001F6F95"/>
    <w:rsid w:val="001F73AE"/>
    <w:rsid w:val="00203483"/>
    <w:rsid w:val="00204477"/>
    <w:rsid w:val="00204E4F"/>
    <w:rsid w:val="00205FA4"/>
    <w:rsid w:val="00210169"/>
    <w:rsid w:val="002115ED"/>
    <w:rsid w:val="00213F41"/>
    <w:rsid w:val="00215878"/>
    <w:rsid w:val="002161A9"/>
    <w:rsid w:val="00216A74"/>
    <w:rsid w:val="00216E03"/>
    <w:rsid w:val="00223958"/>
    <w:rsid w:val="00223B91"/>
    <w:rsid w:val="00223D8F"/>
    <w:rsid w:val="00224DC8"/>
    <w:rsid w:val="002250DF"/>
    <w:rsid w:val="00226157"/>
    <w:rsid w:val="00227E14"/>
    <w:rsid w:val="0023007D"/>
    <w:rsid w:val="00230723"/>
    <w:rsid w:val="002317FC"/>
    <w:rsid w:val="002319C1"/>
    <w:rsid w:val="002323D8"/>
    <w:rsid w:val="00232FE8"/>
    <w:rsid w:val="00234C80"/>
    <w:rsid w:val="002362E3"/>
    <w:rsid w:val="00236705"/>
    <w:rsid w:val="0023678D"/>
    <w:rsid w:val="00236B52"/>
    <w:rsid w:val="00243809"/>
    <w:rsid w:val="00244DF7"/>
    <w:rsid w:val="00246FBF"/>
    <w:rsid w:val="00250599"/>
    <w:rsid w:val="00251687"/>
    <w:rsid w:val="00252220"/>
    <w:rsid w:val="0025609E"/>
    <w:rsid w:val="0025637B"/>
    <w:rsid w:val="00257D4E"/>
    <w:rsid w:val="00262366"/>
    <w:rsid w:val="002627F1"/>
    <w:rsid w:val="0026417A"/>
    <w:rsid w:val="00264358"/>
    <w:rsid w:val="00265AA0"/>
    <w:rsid w:val="00265F97"/>
    <w:rsid w:val="00266F4F"/>
    <w:rsid w:val="002673AA"/>
    <w:rsid w:val="00267B3C"/>
    <w:rsid w:val="0027157A"/>
    <w:rsid w:val="002716F5"/>
    <w:rsid w:val="00272BEB"/>
    <w:rsid w:val="002734C3"/>
    <w:rsid w:val="00274BE7"/>
    <w:rsid w:val="002751CE"/>
    <w:rsid w:val="00275716"/>
    <w:rsid w:val="0027614F"/>
    <w:rsid w:val="00276612"/>
    <w:rsid w:val="00280F68"/>
    <w:rsid w:val="00282D52"/>
    <w:rsid w:val="00283451"/>
    <w:rsid w:val="0028552C"/>
    <w:rsid w:val="00285FEE"/>
    <w:rsid w:val="002862CD"/>
    <w:rsid w:val="00286D78"/>
    <w:rsid w:val="00287377"/>
    <w:rsid w:val="00291FB2"/>
    <w:rsid w:val="0029248F"/>
    <w:rsid w:val="00293F43"/>
    <w:rsid w:val="0029729B"/>
    <w:rsid w:val="002A0B19"/>
    <w:rsid w:val="002A38D8"/>
    <w:rsid w:val="002A4E73"/>
    <w:rsid w:val="002A75FB"/>
    <w:rsid w:val="002A7CBC"/>
    <w:rsid w:val="002B3DB4"/>
    <w:rsid w:val="002B43F5"/>
    <w:rsid w:val="002B4674"/>
    <w:rsid w:val="002B6C89"/>
    <w:rsid w:val="002B7AC0"/>
    <w:rsid w:val="002C03A4"/>
    <w:rsid w:val="002C31D1"/>
    <w:rsid w:val="002C475E"/>
    <w:rsid w:val="002C5F71"/>
    <w:rsid w:val="002C707E"/>
    <w:rsid w:val="002D0665"/>
    <w:rsid w:val="002D0FBD"/>
    <w:rsid w:val="002D1150"/>
    <w:rsid w:val="002D1CE0"/>
    <w:rsid w:val="002D1E4F"/>
    <w:rsid w:val="002D2BC1"/>
    <w:rsid w:val="002D3B24"/>
    <w:rsid w:val="002D41F6"/>
    <w:rsid w:val="002D4EBF"/>
    <w:rsid w:val="002D55A2"/>
    <w:rsid w:val="002D7046"/>
    <w:rsid w:val="002E202F"/>
    <w:rsid w:val="002E2B02"/>
    <w:rsid w:val="002E3698"/>
    <w:rsid w:val="002E467F"/>
    <w:rsid w:val="002E5548"/>
    <w:rsid w:val="002E64FC"/>
    <w:rsid w:val="002E7DA9"/>
    <w:rsid w:val="002F0B0A"/>
    <w:rsid w:val="002F1BE0"/>
    <w:rsid w:val="002F4A55"/>
    <w:rsid w:val="002F517B"/>
    <w:rsid w:val="002F6717"/>
    <w:rsid w:val="002F6B2C"/>
    <w:rsid w:val="002F77FF"/>
    <w:rsid w:val="002F7C19"/>
    <w:rsid w:val="00301FD6"/>
    <w:rsid w:val="00303D80"/>
    <w:rsid w:val="00304329"/>
    <w:rsid w:val="00304959"/>
    <w:rsid w:val="00306667"/>
    <w:rsid w:val="00306AC8"/>
    <w:rsid w:val="00314FD3"/>
    <w:rsid w:val="0031547C"/>
    <w:rsid w:val="00316448"/>
    <w:rsid w:val="003200B7"/>
    <w:rsid w:val="00320A25"/>
    <w:rsid w:val="00321486"/>
    <w:rsid w:val="00323B3F"/>
    <w:rsid w:val="00325027"/>
    <w:rsid w:val="00326687"/>
    <w:rsid w:val="0032702D"/>
    <w:rsid w:val="0033134A"/>
    <w:rsid w:val="00331538"/>
    <w:rsid w:val="00331DB2"/>
    <w:rsid w:val="0033269E"/>
    <w:rsid w:val="00332A69"/>
    <w:rsid w:val="003330F6"/>
    <w:rsid w:val="003342B4"/>
    <w:rsid w:val="00334358"/>
    <w:rsid w:val="00336C89"/>
    <w:rsid w:val="003378AC"/>
    <w:rsid w:val="00341A46"/>
    <w:rsid w:val="003437DD"/>
    <w:rsid w:val="00344F74"/>
    <w:rsid w:val="00347B9C"/>
    <w:rsid w:val="0035302C"/>
    <w:rsid w:val="00354336"/>
    <w:rsid w:val="00354FAD"/>
    <w:rsid w:val="00355B57"/>
    <w:rsid w:val="00362DA3"/>
    <w:rsid w:val="00363C2A"/>
    <w:rsid w:val="00365ADC"/>
    <w:rsid w:val="00366BE6"/>
    <w:rsid w:val="00366DCA"/>
    <w:rsid w:val="00370C17"/>
    <w:rsid w:val="00381A2A"/>
    <w:rsid w:val="0038386E"/>
    <w:rsid w:val="003851E2"/>
    <w:rsid w:val="00386690"/>
    <w:rsid w:val="00386A71"/>
    <w:rsid w:val="00390013"/>
    <w:rsid w:val="00392E07"/>
    <w:rsid w:val="00393E10"/>
    <w:rsid w:val="00393EA7"/>
    <w:rsid w:val="003946AF"/>
    <w:rsid w:val="00394C5F"/>
    <w:rsid w:val="003974B7"/>
    <w:rsid w:val="003A59E4"/>
    <w:rsid w:val="003A6866"/>
    <w:rsid w:val="003A68EF"/>
    <w:rsid w:val="003A7D6D"/>
    <w:rsid w:val="003B1D3B"/>
    <w:rsid w:val="003B58AB"/>
    <w:rsid w:val="003B5E1B"/>
    <w:rsid w:val="003B7BB9"/>
    <w:rsid w:val="003C14A0"/>
    <w:rsid w:val="003C1DBB"/>
    <w:rsid w:val="003C2DAC"/>
    <w:rsid w:val="003C30A5"/>
    <w:rsid w:val="003C3281"/>
    <w:rsid w:val="003C396A"/>
    <w:rsid w:val="003C6207"/>
    <w:rsid w:val="003D065A"/>
    <w:rsid w:val="003D1729"/>
    <w:rsid w:val="003D1D22"/>
    <w:rsid w:val="003D73BC"/>
    <w:rsid w:val="003E7347"/>
    <w:rsid w:val="003E7F77"/>
    <w:rsid w:val="003E7F81"/>
    <w:rsid w:val="003F02BB"/>
    <w:rsid w:val="003F26E6"/>
    <w:rsid w:val="003F2CB1"/>
    <w:rsid w:val="003F3C7A"/>
    <w:rsid w:val="003F46FA"/>
    <w:rsid w:val="003F5854"/>
    <w:rsid w:val="003F650D"/>
    <w:rsid w:val="00401879"/>
    <w:rsid w:val="00401BFB"/>
    <w:rsid w:val="0040487C"/>
    <w:rsid w:val="00407068"/>
    <w:rsid w:val="00407272"/>
    <w:rsid w:val="00407C36"/>
    <w:rsid w:val="00407D95"/>
    <w:rsid w:val="0041021F"/>
    <w:rsid w:val="00412833"/>
    <w:rsid w:val="0041417B"/>
    <w:rsid w:val="00414F97"/>
    <w:rsid w:val="00422E5B"/>
    <w:rsid w:val="0042316A"/>
    <w:rsid w:val="004244E6"/>
    <w:rsid w:val="00427B0C"/>
    <w:rsid w:val="00431090"/>
    <w:rsid w:val="00432BB2"/>
    <w:rsid w:val="00435297"/>
    <w:rsid w:val="0043620B"/>
    <w:rsid w:val="0044006C"/>
    <w:rsid w:val="0044387E"/>
    <w:rsid w:val="00443B98"/>
    <w:rsid w:val="00443D50"/>
    <w:rsid w:val="00444194"/>
    <w:rsid w:val="004444EA"/>
    <w:rsid w:val="0044602B"/>
    <w:rsid w:val="00446B11"/>
    <w:rsid w:val="004506B0"/>
    <w:rsid w:val="0045198E"/>
    <w:rsid w:val="00452E87"/>
    <w:rsid w:val="004545CE"/>
    <w:rsid w:val="00455903"/>
    <w:rsid w:val="00455BF9"/>
    <w:rsid w:val="004575A0"/>
    <w:rsid w:val="00457F3F"/>
    <w:rsid w:val="0046168F"/>
    <w:rsid w:val="00461EAC"/>
    <w:rsid w:val="00461F73"/>
    <w:rsid w:val="00462528"/>
    <w:rsid w:val="00462B18"/>
    <w:rsid w:val="0046303F"/>
    <w:rsid w:val="00466D16"/>
    <w:rsid w:val="00467933"/>
    <w:rsid w:val="00467B78"/>
    <w:rsid w:val="00470B5C"/>
    <w:rsid w:val="00471B5E"/>
    <w:rsid w:val="00472EAC"/>
    <w:rsid w:val="004736EA"/>
    <w:rsid w:val="00474732"/>
    <w:rsid w:val="00475505"/>
    <w:rsid w:val="00475EC4"/>
    <w:rsid w:val="004770E1"/>
    <w:rsid w:val="0048009A"/>
    <w:rsid w:val="00480A9E"/>
    <w:rsid w:val="00481F0E"/>
    <w:rsid w:val="00481F25"/>
    <w:rsid w:val="00483A34"/>
    <w:rsid w:val="00484F07"/>
    <w:rsid w:val="004877CD"/>
    <w:rsid w:val="00487ECC"/>
    <w:rsid w:val="00494C14"/>
    <w:rsid w:val="0049527D"/>
    <w:rsid w:val="00495AEA"/>
    <w:rsid w:val="00496BF7"/>
    <w:rsid w:val="0049717A"/>
    <w:rsid w:val="00497CEC"/>
    <w:rsid w:val="004A05CC"/>
    <w:rsid w:val="004A0888"/>
    <w:rsid w:val="004A10E9"/>
    <w:rsid w:val="004A3DD0"/>
    <w:rsid w:val="004A43B2"/>
    <w:rsid w:val="004A549D"/>
    <w:rsid w:val="004A6F28"/>
    <w:rsid w:val="004A7996"/>
    <w:rsid w:val="004A7E5C"/>
    <w:rsid w:val="004B368C"/>
    <w:rsid w:val="004B5282"/>
    <w:rsid w:val="004B57B4"/>
    <w:rsid w:val="004B5BE7"/>
    <w:rsid w:val="004B6AF3"/>
    <w:rsid w:val="004C266B"/>
    <w:rsid w:val="004C2E33"/>
    <w:rsid w:val="004C3DFD"/>
    <w:rsid w:val="004C48D1"/>
    <w:rsid w:val="004C49BA"/>
    <w:rsid w:val="004C596C"/>
    <w:rsid w:val="004C5F05"/>
    <w:rsid w:val="004D1A9B"/>
    <w:rsid w:val="004D1D5D"/>
    <w:rsid w:val="004D329B"/>
    <w:rsid w:val="004D3872"/>
    <w:rsid w:val="004D3FA1"/>
    <w:rsid w:val="004D45D9"/>
    <w:rsid w:val="004D5B54"/>
    <w:rsid w:val="004E32B1"/>
    <w:rsid w:val="004E505C"/>
    <w:rsid w:val="004E58A0"/>
    <w:rsid w:val="004E5FB2"/>
    <w:rsid w:val="004E62C1"/>
    <w:rsid w:val="004E6951"/>
    <w:rsid w:val="004E6B0B"/>
    <w:rsid w:val="004F29C2"/>
    <w:rsid w:val="004F2AA9"/>
    <w:rsid w:val="004F3273"/>
    <w:rsid w:val="004F66F9"/>
    <w:rsid w:val="004F71E6"/>
    <w:rsid w:val="0050050F"/>
    <w:rsid w:val="00500B00"/>
    <w:rsid w:val="00501F84"/>
    <w:rsid w:val="00502849"/>
    <w:rsid w:val="00502CF3"/>
    <w:rsid w:val="0050308E"/>
    <w:rsid w:val="005035C4"/>
    <w:rsid w:val="00503B16"/>
    <w:rsid w:val="0050588C"/>
    <w:rsid w:val="00510C9F"/>
    <w:rsid w:val="005119AE"/>
    <w:rsid w:val="00512229"/>
    <w:rsid w:val="00512C76"/>
    <w:rsid w:val="00514EA0"/>
    <w:rsid w:val="005172A3"/>
    <w:rsid w:val="005175B9"/>
    <w:rsid w:val="0052023E"/>
    <w:rsid w:val="00521203"/>
    <w:rsid w:val="005216C4"/>
    <w:rsid w:val="00522FC7"/>
    <w:rsid w:val="00523A63"/>
    <w:rsid w:val="00524EAB"/>
    <w:rsid w:val="005250ED"/>
    <w:rsid w:val="005255EA"/>
    <w:rsid w:val="00526C3B"/>
    <w:rsid w:val="0052716C"/>
    <w:rsid w:val="005321D5"/>
    <w:rsid w:val="00534EB4"/>
    <w:rsid w:val="005350E9"/>
    <w:rsid w:val="00535722"/>
    <w:rsid w:val="00535E2C"/>
    <w:rsid w:val="00536020"/>
    <w:rsid w:val="00536206"/>
    <w:rsid w:val="005367C2"/>
    <w:rsid w:val="005377D4"/>
    <w:rsid w:val="005463C4"/>
    <w:rsid w:val="0054798C"/>
    <w:rsid w:val="00550BF0"/>
    <w:rsid w:val="005520F5"/>
    <w:rsid w:val="0055263E"/>
    <w:rsid w:val="00557D6B"/>
    <w:rsid w:val="00560854"/>
    <w:rsid w:val="00563A43"/>
    <w:rsid w:val="005659DB"/>
    <w:rsid w:val="00565F48"/>
    <w:rsid w:val="00567E20"/>
    <w:rsid w:val="00571992"/>
    <w:rsid w:val="0057485E"/>
    <w:rsid w:val="00577549"/>
    <w:rsid w:val="00577CBD"/>
    <w:rsid w:val="005801CE"/>
    <w:rsid w:val="005809CD"/>
    <w:rsid w:val="005818B2"/>
    <w:rsid w:val="00582814"/>
    <w:rsid w:val="005829C6"/>
    <w:rsid w:val="00582CCD"/>
    <w:rsid w:val="00583C42"/>
    <w:rsid w:val="0058493B"/>
    <w:rsid w:val="00586892"/>
    <w:rsid w:val="00593695"/>
    <w:rsid w:val="005938AE"/>
    <w:rsid w:val="00594FE3"/>
    <w:rsid w:val="00595659"/>
    <w:rsid w:val="00596BFE"/>
    <w:rsid w:val="0059793D"/>
    <w:rsid w:val="005A0001"/>
    <w:rsid w:val="005A083B"/>
    <w:rsid w:val="005A0FA8"/>
    <w:rsid w:val="005A1574"/>
    <w:rsid w:val="005A3EA0"/>
    <w:rsid w:val="005A4472"/>
    <w:rsid w:val="005A6495"/>
    <w:rsid w:val="005A756F"/>
    <w:rsid w:val="005A75A6"/>
    <w:rsid w:val="005A7657"/>
    <w:rsid w:val="005A7BF7"/>
    <w:rsid w:val="005B26AE"/>
    <w:rsid w:val="005B5BA3"/>
    <w:rsid w:val="005B72C1"/>
    <w:rsid w:val="005B7495"/>
    <w:rsid w:val="005C0389"/>
    <w:rsid w:val="005C1584"/>
    <w:rsid w:val="005C1D15"/>
    <w:rsid w:val="005C2C8A"/>
    <w:rsid w:val="005C3453"/>
    <w:rsid w:val="005D086E"/>
    <w:rsid w:val="005D17F0"/>
    <w:rsid w:val="005D39E7"/>
    <w:rsid w:val="005D4F83"/>
    <w:rsid w:val="005D67C1"/>
    <w:rsid w:val="005D6E3A"/>
    <w:rsid w:val="005E04AB"/>
    <w:rsid w:val="005E0D94"/>
    <w:rsid w:val="005E2222"/>
    <w:rsid w:val="005E3DDC"/>
    <w:rsid w:val="005E5FA2"/>
    <w:rsid w:val="005F162A"/>
    <w:rsid w:val="005F477B"/>
    <w:rsid w:val="005F4851"/>
    <w:rsid w:val="005F5522"/>
    <w:rsid w:val="005F5F48"/>
    <w:rsid w:val="00600004"/>
    <w:rsid w:val="006003BB"/>
    <w:rsid w:val="00604521"/>
    <w:rsid w:val="00606E18"/>
    <w:rsid w:val="00612A9C"/>
    <w:rsid w:val="0061334A"/>
    <w:rsid w:val="00617AFA"/>
    <w:rsid w:val="006236F4"/>
    <w:rsid w:val="00623C58"/>
    <w:rsid w:val="00623FA5"/>
    <w:rsid w:val="0062403B"/>
    <w:rsid w:val="00624A46"/>
    <w:rsid w:val="00627A6F"/>
    <w:rsid w:val="00627D13"/>
    <w:rsid w:val="00630D3C"/>
    <w:rsid w:val="00630E5E"/>
    <w:rsid w:val="00635AC0"/>
    <w:rsid w:val="006407E4"/>
    <w:rsid w:val="0064152E"/>
    <w:rsid w:val="006432F5"/>
    <w:rsid w:val="006477A5"/>
    <w:rsid w:val="00650353"/>
    <w:rsid w:val="00650F6D"/>
    <w:rsid w:val="00651DAE"/>
    <w:rsid w:val="00652E37"/>
    <w:rsid w:val="006532FB"/>
    <w:rsid w:val="00654697"/>
    <w:rsid w:val="00655B91"/>
    <w:rsid w:val="00655F6F"/>
    <w:rsid w:val="00661310"/>
    <w:rsid w:val="00663F3F"/>
    <w:rsid w:val="00667CB1"/>
    <w:rsid w:val="00671AA1"/>
    <w:rsid w:val="006727DA"/>
    <w:rsid w:val="00675FB4"/>
    <w:rsid w:val="00676D8E"/>
    <w:rsid w:val="006811B7"/>
    <w:rsid w:val="00683ADE"/>
    <w:rsid w:val="00684FD7"/>
    <w:rsid w:val="00685890"/>
    <w:rsid w:val="00691610"/>
    <w:rsid w:val="00693516"/>
    <w:rsid w:val="00693983"/>
    <w:rsid w:val="00695147"/>
    <w:rsid w:val="006963B2"/>
    <w:rsid w:val="006970C6"/>
    <w:rsid w:val="006972D7"/>
    <w:rsid w:val="006A05BD"/>
    <w:rsid w:val="006A0E8B"/>
    <w:rsid w:val="006A60FD"/>
    <w:rsid w:val="006A6C2C"/>
    <w:rsid w:val="006A7E43"/>
    <w:rsid w:val="006B0602"/>
    <w:rsid w:val="006B15E4"/>
    <w:rsid w:val="006B3556"/>
    <w:rsid w:val="006B475E"/>
    <w:rsid w:val="006B581B"/>
    <w:rsid w:val="006B585C"/>
    <w:rsid w:val="006B5936"/>
    <w:rsid w:val="006B5A9B"/>
    <w:rsid w:val="006B7066"/>
    <w:rsid w:val="006B716F"/>
    <w:rsid w:val="006C0178"/>
    <w:rsid w:val="006C08D7"/>
    <w:rsid w:val="006C1720"/>
    <w:rsid w:val="006C6F76"/>
    <w:rsid w:val="006C7331"/>
    <w:rsid w:val="006C74DA"/>
    <w:rsid w:val="006C7D1F"/>
    <w:rsid w:val="006D145C"/>
    <w:rsid w:val="006D2AB8"/>
    <w:rsid w:val="006D2E14"/>
    <w:rsid w:val="006D562D"/>
    <w:rsid w:val="006D5E9E"/>
    <w:rsid w:val="006D668F"/>
    <w:rsid w:val="006D7161"/>
    <w:rsid w:val="006D78ED"/>
    <w:rsid w:val="006E1DBA"/>
    <w:rsid w:val="006E2F89"/>
    <w:rsid w:val="006E3DCA"/>
    <w:rsid w:val="006E6519"/>
    <w:rsid w:val="006E6E2E"/>
    <w:rsid w:val="006E723A"/>
    <w:rsid w:val="006F0AA7"/>
    <w:rsid w:val="006F213B"/>
    <w:rsid w:val="006F3A19"/>
    <w:rsid w:val="006F4940"/>
    <w:rsid w:val="006F790F"/>
    <w:rsid w:val="00700AF3"/>
    <w:rsid w:val="0070233B"/>
    <w:rsid w:val="00703CEC"/>
    <w:rsid w:val="00704AE4"/>
    <w:rsid w:val="007055D9"/>
    <w:rsid w:val="0070595A"/>
    <w:rsid w:val="00710D1E"/>
    <w:rsid w:val="00711746"/>
    <w:rsid w:val="00713929"/>
    <w:rsid w:val="00713C81"/>
    <w:rsid w:val="00713D8D"/>
    <w:rsid w:val="00714256"/>
    <w:rsid w:val="0071457A"/>
    <w:rsid w:val="00714732"/>
    <w:rsid w:val="00715B14"/>
    <w:rsid w:val="00720558"/>
    <w:rsid w:val="007208DD"/>
    <w:rsid w:val="007224CD"/>
    <w:rsid w:val="007228CE"/>
    <w:rsid w:val="00725671"/>
    <w:rsid w:val="00726578"/>
    <w:rsid w:val="007268B1"/>
    <w:rsid w:val="00731F18"/>
    <w:rsid w:val="00732155"/>
    <w:rsid w:val="00732B89"/>
    <w:rsid w:val="0073347C"/>
    <w:rsid w:val="00734AA2"/>
    <w:rsid w:val="00734F85"/>
    <w:rsid w:val="007374AF"/>
    <w:rsid w:val="00744239"/>
    <w:rsid w:val="00746B75"/>
    <w:rsid w:val="00747F5B"/>
    <w:rsid w:val="0075110E"/>
    <w:rsid w:val="00751BCD"/>
    <w:rsid w:val="00751BF7"/>
    <w:rsid w:val="00751F6B"/>
    <w:rsid w:val="00752C13"/>
    <w:rsid w:val="00756942"/>
    <w:rsid w:val="00757023"/>
    <w:rsid w:val="007577BA"/>
    <w:rsid w:val="00760887"/>
    <w:rsid w:val="0076774F"/>
    <w:rsid w:val="00767AE3"/>
    <w:rsid w:val="00770064"/>
    <w:rsid w:val="00770C0A"/>
    <w:rsid w:val="00771608"/>
    <w:rsid w:val="00771679"/>
    <w:rsid w:val="00771724"/>
    <w:rsid w:val="00771E15"/>
    <w:rsid w:val="0077302D"/>
    <w:rsid w:val="00774C31"/>
    <w:rsid w:val="007759D8"/>
    <w:rsid w:val="007765C4"/>
    <w:rsid w:val="00776882"/>
    <w:rsid w:val="00776A2A"/>
    <w:rsid w:val="0077732E"/>
    <w:rsid w:val="00780254"/>
    <w:rsid w:val="007808A8"/>
    <w:rsid w:val="00781A1C"/>
    <w:rsid w:val="007831BD"/>
    <w:rsid w:val="007864B6"/>
    <w:rsid w:val="00787C04"/>
    <w:rsid w:val="00791252"/>
    <w:rsid w:val="00793B84"/>
    <w:rsid w:val="0079461A"/>
    <w:rsid w:val="00795CB9"/>
    <w:rsid w:val="00797049"/>
    <w:rsid w:val="007A2473"/>
    <w:rsid w:val="007A284F"/>
    <w:rsid w:val="007A39C3"/>
    <w:rsid w:val="007A4605"/>
    <w:rsid w:val="007A6451"/>
    <w:rsid w:val="007A69BB"/>
    <w:rsid w:val="007A754B"/>
    <w:rsid w:val="007B1DC1"/>
    <w:rsid w:val="007B2781"/>
    <w:rsid w:val="007B354F"/>
    <w:rsid w:val="007B5E70"/>
    <w:rsid w:val="007B6F1A"/>
    <w:rsid w:val="007C07B6"/>
    <w:rsid w:val="007C4326"/>
    <w:rsid w:val="007C513E"/>
    <w:rsid w:val="007C67EB"/>
    <w:rsid w:val="007D0F48"/>
    <w:rsid w:val="007D1C57"/>
    <w:rsid w:val="007D2D7B"/>
    <w:rsid w:val="007D2EBE"/>
    <w:rsid w:val="007D342E"/>
    <w:rsid w:val="007D3C34"/>
    <w:rsid w:val="007D55F8"/>
    <w:rsid w:val="007D570E"/>
    <w:rsid w:val="007D5D73"/>
    <w:rsid w:val="007D6F23"/>
    <w:rsid w:val="007D72E7"/>
    <w:rsid w:val="007D7581"/>
    <w:rsid w:val="007E074F"/>
    <w:rsid w:val="007E2288"/>
    <w:rsid w:val="007E2779"/>
    <w:rsid w:val="007E3E19"/>
    <w:rsid w:val="007E4E01"/>
    <w:rsid w:val="007E5B3C"/>
    <w:rsid w:val="007E6B56"/>
    <w:rsid w:val="007F0743"/>
    <w:rsid w:val="007F10E8"/>
    <w:rsid w:val="007F406B"/>
    <w:rsid w:val="007F421B"/>
    <w:rsid w:val="007F5CA4"/>
    <w:rsid w:val="007F6B58"/>
    <w:rsid w:val="007F72A5"/>
    <w:rsid w:val="00800808"/>
    <w:rsid w:val="008011A2"/>
    <w:rsid w:val="0080203B"/>
    <w:rsid w:val="008032F6"/>
    <w:rsid w:val="0080330A"/>
    <w:rsid w:val="00803A6A"/>
    <w:rsid w:val="00803C52"/>
    <w:rsid w:val="008049C2"/>
    <w:rsid w:val="00805294"/>
    <w:rsid w:val="008066DE"/>
    <w:rsid w:val="008070AD"/>
    <w:rsid w:val="00811CC5"/>
    <w:rsid w:val="00812212"/>
    <w:rsid w:val="008123AC"/>
    <w:rsid w:val="00812848"/>
    <w:rsid w:val="0081295E"/>
    <w:rsid w:val="008155CD"/>
    <w:rsid w:val="00815F47"/>
    <w:rsid w:val="00817BA9"/>
    <w:rsid w:val="00817D58"/>
    <w:rsid w:val="00821AEE"/>
    <w:rsid w:val="008234DB"/>
    <w:rsid w:val="00824BD2"/>
    <w:rsid w:val="00825194"/>
    <w:rsid w:val="00830BF1"/>
    <w:rsid w:val="00832DBC"/>
    <w:rsid w:val="00834E03"/>
    <w:rsid w:val="00835234"/>
    <w:rsid w:val="00836BF3"/>
    <w:rsid w:val="008373CC"/>
    <w:rsid w:val="00842C08"/>
    <w:rsid w:val="008440EC"/>
    <w:rsid w:val="00845320"/>
    <w:rsid w:val="008453BC"/>
    <w:rsid w:val="00845954"/>
    <w:rsid w:val="00845E93"/>
    <w:rsid w:val="008467EF"/>
    <w:rsid w:val="00847140"/>
    <w:rsid w:val="00847672"/>
    <w:rsid w:val="008513A1"/>
    <w:rsid w:val="00851C60"/>
    <w:rsid w:val="00852D46"/>
    <w:rsid w:val="0085567C"/>
    <w:rsid w:val="00860249"/>
    <w:rsid w:val="00860EE7"/>
    <w:rsid w:val="0086122B"/>
    <w:rsid w:val="00864E00"/>
    <w:rsid w:val="00871642"/>
    <w:rsid w:val="00871801"/>
    <w:rsid w:val="00874B32"/>
    <w:rsid w:val="00874D0F"/>
    <w:rsid w:val="00875D91"/>
    <w:rsid w:val="008764F8"/>
    <w:rsid w:val="00876D65"/>
    <w:rsid w:val="008775E1"/>
    <w:rsid w:val="00880812"/>
    <w:rsid w:val="00880D78"/>
    <w:rsid w:val="00881B7A"/>
    <w:rsid w:val="00881D0A"/>
    <w:rsid w:val="00884ED3"/>
    <w:rsid w:val="00886C2D"/>
    <w:rsid w:val="00886D1C"/>
    <w:rsid w:val="008875C7"/>
    <w:rsid w:val="0089276C"/>
    <w:rsid w:val="00893109"/>
    <w:rsid w:val="00893BA3"/>
    <w:rsid w:val="00894C91"/>
    <w:rsid w:val="0089535B"/>
    <w:rsid w:val="0089582E"/>
    <w:rsid w:val="00896429"/>
    <w:rsid w:val="00896D3D"/>
    <w:rsid w:val="008A048D"/>
    <w:rsid w:val="008A138C"/>
    <w:rsid w:val="008A50EE"/>
    <w:rsid w:val="008B1048"/>
    <w:rsid w:val="008B7155"/>
    <w:rsid w:val="008C113B"/>
    <w:rsid w:val="008C4452"/>
    <w:rsid w:val="008C6239"/>
    <w:rsid w:val="008C7253"/>
    <w:rsid w:val="008D0236"/>
    <w:rsid w:val="008D024D"/>
    <w:rsid w:val="008D2155"/>
    <w:rsid w:val="008D2902"/>
    <w:rsid w:val="008D3CA5"/>
    <w:rsid w:val="008D4165"/>
    <w:rsid w:val="008D4C46"/>
    <w:rsid w:val="008D528D"/>
    <w:rsid w:val="008D6415"/>
    <w:rsid w:val="008D722D"/>
    <w:rsid w:val="008E047C"/>
    <w:rsid w:val="008E0B91"/>
    <w:rsid w:val="008E1A68"/>
    <w:rsid w:val="008E3A12"/>
    <w:rsid w:val="008E3FD1"/>
    <w:rsid w:val="008E4B06"/>
    <w:rsid w:val="008E5399"/>
    <w:rsid w:val="008E5575"/>
    <w:rsid w:val="008E7C09"/>
    <w:rsid w:val="008F0F46"/>
    <w:rsid w:val="008F14BA"/>
    <w:rsid w:val="008F22E5"/>
    <w:rsid w:val="008F2345"/>
    <w:rsid w:val="008F37F2"/>
    <w:rsid w:val="008F3F7B"/>
    <w:rsid w:val="008F4C8A"/>
    <w:rsid w:val="008F6DEE"/>
    <w:rsid w:val="008F6E1C"/>
    <w:rsid w:val="008F7573"/>
    <w:rsid w:val="008F77DB"/>
    <w:rsid w:val="0090267E"/>
    <w:rsid w:val="009048DA"/>
    <w:rsid w:val="0090516E"/>
    <w:rsid w:val="009055E4"/>
    <w:rsid w:val="009145BE"/>
    <w:rsid w:val="0091630B"/>
    <w:rsid w:val="0091767F"/>
    <w:rsid w:val="00917AB3"/>
    <w:rsid w:val="00920AF7"/>
    <w:rsid w:val="00922ECE"/>
    <w:rsid w:val="00923629"/>
    <w:rsid w:val="00924862"/>
    <w:rsid w:val="00925D62"/>
    <w:rsid w:val="0093019B"/>
    <w:rsid w:val="009316A7"/>
    <w:rsid w:val="00931C2E"/>
    <w:rsid w:val="00932A0E"/>
    <w:rsid w:val="009330B6"/>
    <w:rsid w:val="00935E57"/>
    <w:rsid w:val="00936BEC"/>
    <w:rsid w:val="009371BA"/>
    <w:rsid w:val="009371F3"/>
    <w:rsid w:val="009413C6"/>
    <w:rsid w:val="0094326F"/>
    <w:rsid w:val="009449CC"/>
    <w:rsid w:val="00945061"/>
    <w:rsid w:val="009452FD"/>
    <w:rsid w:val="00946589"/>
    <w:rsid w:val="00951564"/>
    <w:rsid w:val="00952C61"/>
    <w:rsid w:val="0095473B"/>
    <w:rsid w:val="0096091E"/>
    <w:rsid w:val="00963658"/>
    <w:rsid w:val="00963B6A"/>
    <w:rsid w:val="00964C42"/>
    <w:rsid w:val="00966643"/>
    <w:rsid w:val="00971E38"/>
    <w:rsid w:val="00972764"/>
    <w:rsid w:val="00973743"/>
    <w:rsid w:val="009741F0"/>
    <w:rsid w:val="00975829"/>
    <w:rsid w:val="00976CC3"/>
    <w:rsid w:val="0097706B"/>
    <w:rsid w:val="009801B5"/>
    <w:rsid w:val="00985EAC"/>
    <w:rsid w:val="00987AA9"/>
    <w:rsid w:val="00991B8D"/>
    <w:rsid w:val="0099348E"/>
    <w:rsid w:val="00994F98"/>
    <w:rsid w:val="00995BA9"/>
    <w:rsid w:val="00996C1F"/>
    <w:rsid w:val="00996DC5"/>
    <w:rsid w:val="00997A46"/>
    <w:rsid w:val="00997B0B"/>
    <w:rsid w:val="009A19D9"/>
    <w:rsid w:val="009A1F92"/>
    <w:rsid w:val="009A22C8"/>
    <w:rsid w:val="009A2C10"/>
    <w:rsid w:val="009A4AF0"/>
    <w:rsid w:val="009A5634"/>
    <w:rsid w:val="009A5E37"/>
    <w:rsid w:val="009A6304"/>
    <w:rsid w:val="009B1F46"/>
    <w:rsid w:val="009B332A"/>
    <w:rsid w:val="009B3AD9"/>
    <w:rsid w:val="009B4020"/>
    <w:rsid w:val="009B4630"/>
    <w:rsid w:val="009B77AC"/>
    <w:rsid w:val="009C26A7"/>
    <w:rsid w:val="009C2853"/>
    <w:rsid w:val="009C2BAB"/>
    <w:rsid w:val="009C57E5"/>
    <w:rsid w:val="009D092D"/>
    <w:rsid w:val="009D2988"/>
    <w:rsid w:val="009D2C64"/>
    <w:rsid w:val="009D3D20"/>
    <w:rsid w:val="009D7422"/>
    <w:rsid w:val="009E1AA7"/>
    <w:rsid w:val="009E2F5A"/>
    <w:rsid w:val="009E5EEB"/>
    <w:rsid w:val="009E7287"/>
    <w:rsid w:val="009E7C0F"/>
    <w:rsid w:val="009E7DC2"/>
    <w:rsid w:val="009F079C"/>
    <w:rsid w:val="009F14B8"/>
    <w:rsid w:val="009F2C4F"/>
    <w:rsid w:val="009F2FB2"/>
    <w:rsid w:val="009F3480"/>
    <w:rsid w:val="009F35F9"/>
    <w:rsid w:val="00A01D75"/>
    <w:rsid w:val="00A03108"/>
    <w:rsid w:val="00A0588B"/>
    <w:rsid w:val="00A05CFB"/>
    <w:rsid w:val="00A06844"/>
    <w:rsid w:val="00A073DB"/>
    <w:rsid w:val="00A07E62"/>
    <w:rsid w:val="00A07F15"/>
    <w:rsid w:val="00A101E0"/>
    <w:rsid w:val="00A10CB0"/>
    <w:rsid w:val="00A119A1"/>
    <w:rsid w:val="00A12C56"/>
    <w:rsid w:val="00A13877"/>
    <w:rsid w:val="00A17021"/>
    <w:rsid w:val="00A20205"/>
    <w:rsid w:val="00A20EF4"/>
    <w:rsid w:val="00A22F2F"/>
    <w:rsid w:val="00A231D9"/>
    <w:rsid w:val="00A3185D"/>
    <w:rsid w:val="00A33E08"/>
    <w:rsid w:val="00A33E1C"/>
    <w:rsid w:val="00A35206"/>
    <w:rsid w:val="00A362A4"/>
    <w:rsid w:val="00A36633"/>
    <w:rsid w:val="00A36708"/>
    <w:rsid w:val="00A378A6"/>
    <w:rsid w:val="00A37C1F"/>
    <w:rsid w:val="00A44855"/>
    <w:rsid w:val="00A44F28"/>
    <w:rsid w:val="00A47F2D"/>
    <w:rsid w:val="00A50893"/>
    <w:rsid w:val="00A5095D"/>
    <w:rsid w:val="00A51104"/>
    <w:rsid w:val="00A516F7"/>
    <w:rsid w:val="00A51BB0"/>
    <w:rsid w:val="00A52897"/>
    <w:rsid w:val="00A534A0"/>
    <w:rsid w:val="00A54052"/>
    <w:rsid w:val="00A54262"/>
    <w:rsid w:val="00A54A3D"/>
    <w:rsid w:val="00A5524B"/>
    <w:rsid w:val="00A55575"/>
    <w:rsid w:val="00A56561"/>
    <w:rsid w:val="00A61F48"/>
    <w:rsid w:val="00A63EEC"/>
    <w:rsid w:val="00A641A3"/>
    <w:rsid w:val="00A669E5"/>
    <w:rsid w:val="00A66A73"/>
    <w:rsid w:val="00A678A4"/>
    <w:rsid w:val="00A7116B"/>
    <w:rsid w:val="00A711F6"/>
    <w:rsid w:val="00A71728"/>
    <w:rsid w:val="00A75E15"/>
    <w:rsid w:val="00A75E20"/>
    <w:rsid w:val="00A80827"/>
    <w:rsid w:val="00A8220C"/>
    <w:rsid w:val="00A82E1B"/>
    <w:rsid w:val="00A845D8"/>
    <w:rsid w:val="00A850C9"/>
    <w:rsid w:val="00A85258"/>
    <w:rsid w:val="00A85435"/>
    <w:rsid w:val="00A857A7"/>
    <w:rsid w:val="00A85A2C"/>
    <w:rsid w:val="00A867CD"/>
    <w:rsid w:val="00A9081C"/>
    <w:rsid w:val="00A91BF9"/>
    <w:rsid w:val="00A93339"/>
    <w:rsid w:val="00A95028"/>
    <w:rsid w:val="00A95331"/>
    <w:rsid w:val="00AA012C"/>
    <w:rsid w:val="00AA0768"/>
    <w:rsid w:val="00AA0D51"/>
    <w:rsid w:val="00AA17EC"/>
    <w:rsid w:val="00AA332B"/>
    <w:rsid w:val="00AA6F7E"/>
    <w:rsid w:val="00AA7F62"/>
    <w:rsid w:val="00AB0F2A"/>
    <w:rsid w:val="00AB1A9B"/>
    <w:rsid w:val="00AB3DB5"/>
    <w:rsid w:val="00AB4295"/>
    <w:rsid w:val="00AB5295"/>
    <w:rsid w:val="00AB58B8"/>
    <w:rsid w:val="00AC1F3B"/>
    <w:rsid w:val="00AC2DA8"/>
    <w:rsid w:val="00AC2F94"/>
    <w:rsid w:val="00AC3710"/>
    <w:rsid w:val="00AC4D01"/>
    <w:rsid w:val="00AD0738"/>
    <w:rsid w:val="00AD19B5"/>
    <w:rsid w:val="00AD1D71"/>
    <w:rsid w:val="00AD60C6"/>
    <w:rsid w:val="00AD6205"/>
    <w:rsid w:val="00AE1DE4"/>
    <w:rsid w:val="00AE387E"/>
    <w:rsid w:val="00AE3D7A"/>
    <w:rsid w:val="00AE701B"/>
    <w:rsid w:val="00AE7ED6"/>
    <w:rsid w:val="00AF3E15"/>
    <w:rsid w:val="00AF41FF"/>
    <w:rsid w:val="00AF7DD8"/>
    <w:rsid w:val="00B0003F"/>
    <w:rsid w:val="00B00956"/>
    <w:rsid w:val="00B01295"/>
    <w:rsid w:val="00B0367F"/>
    <w:rsid w:val="00B07BF5"/>
    <w:rsid w:val="00B10D7C"/>
    <w:rsid w:val="00B1181B"/>
    <w:rsid w:val="00B11F35"/>
    <w:rsid w:val="00B1265B"/>
    <w:rsid w:val="00B126CD"/>
    <w:rsid w:val="00B12CF1"/>
    <w:rsid w:val="00B13477"/>
    <w:rsid w:val="00B1407E"/>
    <w:rsid w:val="00B16324"/>
    <w:rsid w:val="00B16D4A"/>
    <w:rsid w:val="00B16FFB"/>
    <w:rsid w:val="00B17876"/>
    <w:rsid w:val="00B17E55"/>
    <w:rsid w:val="00B22149"/>
    <w:rsid w:val="00B235C8"/>
    <w:rsid w:val="00B23FF7"/>
    <w:rsid w:val="00B24C73"/>
    <w:rsid w:val="00B30F1C"/>
    <w:rsid w:val="00B31270"/>
    <w:rsid w:val="00B31B19"/>
    <w:rsid w:val="00B32BDA"/>
    <w:rsid w:val="00B334AA"/>
    <w:rsid w:val="00B35C4C"/>
    <w:rsid w:val="00B36360"/>
    <w:rsid w:val="00B408CE"/>
    <w:rsid w:val="00B40E7D"/>
    <w:rsid w:val="00B428F7"/>
    <w:rsid w:val="00B440E3"/>
    <w:rsid w:val="00B479F7"/>
    <w:rsid w:val="00B5030B"/>
    <w:rsid w:val="00B50E48"/>
    <w:rsid w:val="00B52AEB"/>
    <w:rsid w:val="00B54426"/>
    <w:rsid w:val="00B54EA1"/>
    <w:rsid w:val="00B5592A"/>
    <w:rsid w:val="00B570D8"/>
    <w:rsid w:val="00B57BDD"/>
    <w:rsid w:val="00B61685"/>
    <w:rsid w:val="00B623C6"/>
    <w:rsid w:val="00B65299"/>
    <w:rsid w:val="00B66884"/>
    <w:rsid w:val="00B717CC"/>
    <w:rsid w:val="00B72D12"/>
    <w:rsid w:val="00B75979"/>
    <w:rsid w:val="00B8201A"/>
    <w:rsid w:val="00B82351"/>
    <w:rsid w:val="00B827EE"/>
    <w:rsid w:val="00B93334"/>
    <w:rsid w:val="00B93FBB"/>
    <w:rsid w:val="00B94233"/>
    <w:rsid w:val="00B94480"/>
    <w:rsid w:val="00BA519F"/>
    <w:rsid w:val="00BA71B7"/>
    <w:rsid w:val="00BB2422"/>
    <w:rsid w:val="00BB2E24"/>
    <w:rsid w:val="00BB31AD"/>
    <w:rsid w:val="00BB3590"/>
    <w:rsid w:val="00BB49EF"/>
    <w:rsid w:val="00BB4EA5"/>
    <w:rsid w:val="00BB60B4"/>
    <w:rsid w:val="00BC2074"/>
    <w:rsid w:val="00BC4305"/>
    <w:rsid w:val="00BC5540"/>
    <w:rsid w:val="00BC7865"/>
    <w:rsid w:val="00BD54FE"/>
    <w:rsid w:val="00BD7D56"/>
    <w:rsid w:val="00BD7D84"/>
    <w:rsid w:val="00BE0E31"/>
    <w:rsid w:val="00BE1339"/>
    <w:rsid w:val="00BE1E59"/>
    <w:rsid w:val="00BE2950"/>
    <w:rsid w:val="00BE313F"/>
    <w:rsid w:val="00BE5223"/>
    <w:rsid w:val="00BE5D48"/>
    <w:rsid w:val="00BE5DAE"/>
    <w:rsid w:val="00BE745C"/>
    <w:rsid w:val="00C00772"/>
    <w:rsid w:val="00C00848"/>
    <w:rsid w:val="00C00875"/>
    <w:rsid w:val="00C01D9D"/>
    <w:rsid w:val="00C039A3"/>
    <w:rsid w:val="00C03AF2"/>
    <w:rsid w:val="00C071D4"/>
    <w:rsid w:val="00C077AE"/>
    <w:rsid w:val="00C1254E"/>
    <w:rsid w:val="00C136DD"/>
    <w:rsid w:val="00C14015"/>
    <w:rsid w:val="00C156FF"/>
    <w:rsid w:val="00C159DE"/>
    <w:rsid w:val="00C167FD"/>
    <w:rsid w:val="00C17EA1"/>
    <w:rsid w:val="00C209CC"/>
    <w:rsid w:val="00C20E0C"/>
    <w:rsid w:val="00C212D7"/>
    <w:rsid w:val="00C21F3F"/>
    <w:rsid w:val="00C240A5"/>
    <w:rsid w:val="00C26F4B"/>
    <w:rsid w:val="00C31B34"/>
    <w:rsid w:val="00C32EE5"/>
    <w:rsid w:val="00C32FF2"/>
    <w:rsid w:val="00C37442"/>
    <w:rsid w:val="00C40290"/>
    <w:rsid w:val="00C409D3"/>
    <w:rsid w:val="00C40EDC"/>
    <w:rsid w:val="00C41199"/>
    <w:rsid w:val="00C42ADD"/>
    <w:rsid w:val="00C42D38"/>
    <w:rsid w:val="00C43606"/>
    <w:rsid w:val="00C43E45"/>
    <w:rsid w:val="00C45AF3"/>
    <w:rsid w:val="00C47471"/>
    <w:rsid w:val="00C47E79"/>
    <w:rsid w:val="00C52172"/>
    <w:rsid w:val="00C52C57"/>
    <w:rsid w:val="00C52FE7"/>
    <w:rsid w:val="00C53144"/>
    <w:rsid w:val="00C54AD7"/>
    <w:rsid w:val="00C62BA2"/>
    <w:rsid w:val="00C643DE"/>
    <w:rsid w:val="00C650FB"/>
    <w:rsid w:val="00C70B91"/>
    <w:rsid w:val="00C76B38"/>
    <w:rsid w:val="00C772E2"/>
    <w:rsid w:val="00C773E6"/>
    <w:rsid w:val="00C80D30"/>
    <w:rsid w:val="00C81458"/>
    <w:rsid w:val="00C8341E"/>
    <w:rsid w:val="00C84488"/>
    <w:rsid w:val="00C845EE"/>
    <w:rsid w:val="00C84909"/>
    <w:rsid w:val="00C84BE0"/>
    <w:rsid w:val="00C9076E"/>
    <w:rsid w:val="00C9108A"/>
    <w:rsid w:val="00C91781"/>
    <w:rsid w:val="00C92F29"/>
    <w:rsid w:val="00C94329"/>
    <w:rsid w:val="00C94626"/>
    <w:rsid w:val="00C9608B"/>
    <w:rsid w:val="00C96E11"/>
    <w:rsid w:val="00C975B8"/>
    <w:rsid w:val="00CA0B9D"/>
    <w:rsid w:val="00CA1743"/>
    <w:rsid w:val="00CA4A4D"/>
    <w:rsid w:val="00CB1DAB"/>
    <w:rsid w:val="00CB1E0E"/>
    <w:rsid w:val="00CB25B7"/>
    <w:rsid w:val="00CB28AE"/>
    <w:rsid w:val="00CB4DF1"/>
    <w:rsid w:val="00CB4EEA"/>
    <w:rsid w:val="00CB5B7C"/>
    <w:rsid w:val="00CC0987"/>
    <w:rsid w:val="00CC0A07"/>
    <w:rsid w:val="00CC16F4"/>
    <w:rsid w:val="00CC4705"/>
    <w:rsid w:val="00CC5210"/>
    <w:rsid w:val="00CC5701"/>
    <w:rsid w:val="00CC71B8"/>
    <w:rsid w:val="00CC7983"/>
    <w:rsid w:val="00CD1456"/>
    <w:rsid w:val="00CD2CAC"/>
    <w:rsid w:val="00CD3DB2"/>
    <w:rsid w:val="00CD6A35"/>
    <w:rsid w:val="00CD77D6"/>
    <w:rsid w:val="00CD790D"/>
    <w:rsid w:val="00CE182C"/>
    <w:rsid w:val="00CE2DDD"/>
    <w:rsid w:val="00CE3FC5"/>
    <w:rsid w:val="00CE475B"/>
    <w:rsid w:val="00CE5986"/>
    <w:rsid w:val="00CE7B7D"/>
    <w:rsid w:val="00CE7E13"/>
    <w:rsid w:val="00CF0FD6"/>
    <w:rsid w:val="00CF26D9"/>
    <w:rsid w:val="00CF5179"/>
    <w:rsid w:val="00CF62AB"/>
    <w:rsid w:val="00CF6512"/>
    <w:rsid w:val="00CF6D4C"/>
    <w:rsid w:val="00CF731D"/>
    <w:rsid w:val="00CF7C17"/>
    <w:rsid w:val="00D00D98"/>
    <w:rsid w:val="00D03AB3"/>
    <w:rsid w:val="00D04802"/>
    <w:rsid w:val="00D06564"/>
    <w:rsid w:val="00D0732B"/>
    <w:rsid w:val="00D100D4"/>
    <w:rsid w:val="00D1139C"/>
    <w:rsid w:val="00D116BE"/>
    <w:rsid w:val="00D11A32"/>
    <w:rsid w:val="00D1221A"/>
    <w:rsid w:val="00D12754"/>
    <w:rsid w:val="00D130C8"/>
    <w:rsid w:val="00D14852"/>
    <w:rsid w:val="00D14DFC"/>
    <w:rsid w:val="00D1583B"/>
    <w:rsid w:val="00D175BE"/>
    <w:rsid w:val="00D179DD"/>
    <w:rsid w:val="00D17DA2"/>
    <w:rsid w:val="00D206BA"/>
    <w:rsid w:val="00D2127D"/>
    <w:rsid w:val="00D2297E"/>
    <w:rsid w:val="00D22B8E"/>
    <w:rsid w:val="00D24E2A"/>
    <w:rsid w:val="00D253E8"/>
    <w:rsid w:val="00D25C3E"/>
    <w:rsid w:val="00D266DE"/>
    <w:rsid w:val="00D27EAE"/>
    <w:rsid w:val="00D32ABF"/>
    <w:rsid w:val="00D3362B"/>
    <w:rsid w:val="00D3760D"/>
    <w:rsid w:val="00D4187A"/>
    <w:rsid w:val="00D422B3"/>
    <w:rsid w:val="00D42D20"/>
    <w:rsid w:val="00D47455"/>
    <w:rsid w:val="00D47D3F"/>
    <w:rsid w:val="00D47DF3"/>
    <w:rsid w:val="00D511F8"/>
    <w:rsid w:val="00D53FFC"/>
    <w:rsid w:val="00D54D7D"/>
    <w:rsid w:val="00D56B8D"/>
    <w:rsid w:val="00D57AD4"/>
    <w:rsid w:val="00D60B26"/>
    <w:rsid w:val="00D60F23"/>
    <w:rsid w:val="00D6179C"/>
    <w:rsid w:val="00D6187F"/>
    <w:rsid w:val="00D6245C"/>
    <w:rsid w:val="00D63B6D"/>
    <w:rsid w:val="00D66B07"/>
    <w:rsid w:val="00D67738"/>
    <w:rsid w:val="00D67BA9"/>
    <w:rsid w:val="00D73EC8"/>
    <w:rsid w:val="00D74179"/>
    <w:rsid w:val="00D744E8"/>
    <w:rsid w:val="00D75006"/>
    <w:rsid w:val="00D76549"/>
    <w:rsid w:val="00D800B3"/>
    <w:rsid w:val="00D81C9D"/>
    <w:rsid w:val="00D81FFB"/>
    <w:rsid w:val="00D82CAF"/>
    <w:rsid w:val="00D83DA0"/>
    <w:rsid w:val="00D850CE"/>
    <w:rsid w:val="00D900A4"/>
    <w:rsid w:val="00D91732"/>
    <w:rsid w:val="00D922A3"/>
    <w:rsid w:val="00D92627"/>
    <w:rsid w:val="00D97E6F"/>
    <w:rsid w:val="00DA04BA"/>
    <w:rsid w:val="00DA2927"/>
    <w:rsid w:val="00DA2B35"/>
    <w:rsid w:val="00DA3AB2"/>
    <w:rsid w:val="00DA54B3"/>
    <w:rsid w:val="00DA5D60"/>
    <w:rsid w:val="00DA6B53"/>
    <w:rsid w:val="00DA798A"/>
    <w:rsid w:val="00DB0CCA"/>
    <w:rsid w:val="00DB0DAF"/>
    <w:rsid w:val="00DB2236"/>
    <w:rsid w:val="00DB59AB"/>
    <w:rsid w:val="00DB6CEF"/>
    <w:rsid w:val="00DC0993"/>
    <w:rsid w:val="00DC1687"/>
    <w:rsid w:val="00DC2E1C"/>
    <w:rsid w:val="00DC358E"/>
    <w:rsid w:val="00DC47B7"/>
    <w:rsid w:val="00DC6374"/>
    <w:rsid w:val="00DC6A6C"/>
    <w:rsid w:val="00DC703B"/>
    <w:rsid w:val="00DD00B3"/>
    <w:rsid w:val="00DD1902"/>
    <w:rsid w:val="00DD3152"/>
    <w:rsid w:val="00DD46D4"/>
    <w:rsid w:val="00DD49D0"/>
    <w:rsid w:val="00DD53F0"/>
    <w:rsid w:val="00DD5F00"/>
    <w:rsid w:val="00DE1185"/>
    <w:rsid w:val="00DE3EF6"/>
    <w:rsid w:val="00DE7C1A"/>
    <w:rsid w:val="00DF0595"/>
    <w:rsid w:val="00DF21DE"/>
    <w:rsid w:val="00DF2726"/>
    <w:rsid w:val="00DF291D"/>
    <w:rsid w:val="00DF40E6"/>
    <w:rsid w:val="00DF54F2"/>
    <w:rsid w:val="00E00516"/>
    <w:rsid w:val="00E00E4B"/>
    <w:rsid w:val="00E01207"/>
    <w:rsid w:val="00E01E9B"/>
    <w:rsid w:val="00E10279"/>
    <w:rsid w:val="00E10FD7"/>
    <w:rsid w:val="00E12672"/>
    <w:rsid w:val="00E131AC"/>
    <w:rsid w:val="00E16127"/>
    <w:rsid w:val="00E172C4"/>
    <w:rsid w:val="00E2234F"/>
    <w:rsid w:val="00E234D2"/>
    <w:rsid w:val="00E26051"/>
    <w:rsid w:val="00E26A32"/>
    <w:rsid w:val="00E27BBE"/>
    <w:rsid w:val="00E323BD"/>
    <w:rsid w:val="00E32B4C"/>
    <w:rsid w:val="00E409E2"/>
    <w:rsid w:val="00E441D4"/>
    <w:rsid w:val="00E44B7D"/>
    <w:rsid w:val="00E44BA9"/>
    <w:rsid w:val="00E45F32"/>
    <w:rsid w:val="00E516BB"/>
    <w:rsid w:val="00E53E77"/>
    <w:rsid w:val="00E54753"/>
    <w:rsid w:val="00E57ABF"/>
    <w:rsid w:val="00E6127E"/>
    <w:rsid w:val="00E637D7"/>
    <w:rsid w:val="00E667D3"/>
    <w:rsid w:val="00E6706D"/>
    <w:rsid w:val="00E72E16"/>
    <w:rsid w:val="00E74D49"/>
    <w:rsid w:val="00E76EE4"/>
    <w:rsid w:val="00E773C4"/>
    <w:rsid w:val="00E82A95"/>
    <w:rsid w:val="00E83EA6"/>
    <w:rsid w:val="00E85793"/>
    <w:rsid w:val="00E8681C"/>
    <w:rsid w:val="00E9258D"/>
    <w:rsid w:val="00E94055"/>
    <w:rsid w:val="00E95C44"/>
    <w:rsid w:val="00E96573"/>
    <w:rsid w:val="00E965AA"/>
    <w:rsid w:val="00E9667A"/>
    <w:rsid w:val="00E969BC"/>
    <w:rsid w:val="00EA153F"/>
    <w:rsid w:val="00EA1D11"/>
    <w:rsid w:val="00EA4944"/>
    <w:rsid w:val="00EA50D6"/>
    <w:rsid w:val="00EA535D"/>
    <w:rsid w:val="00EA7534"/>
    <w:rsid w:val="00EA7FF9"/>
    <w:rsid w:val="00EB5E3E"/>
    <w:rsid w:val="00EB6E99"/>
    <w:rsid w:val="00EB79BC"/>
    <w:rsid w:val="00EB7C98"/>
    <w:rsid w:val="00EC3281"/>
    <w:rsid w:val="00EC53D0"/>
    <w:rsid w:val="00EC5E84"/>
    <w:rsid w:val="00EC6237"/>
    <w:rsid w:val="00EC6295"/>
    <w:rsid w:val="00EC63F1"/>
    <w:rsid w:val="00EC6873"/>
    <w:rsid w:val="00EC73CE"/>
    <w:rsid w:val="00EC7D1A"/>
    <w:rsid w:val="00ED0F9C"/>
    <w:rsid w:val="00ED16B6"/>
    <w:rsid w:val="00ED1926"/>
    <w:rsid w:val="00ED1AC1"/>
    <w:rsid w:val="00ED53D3"/>
    <w:rsid w:val="00ED6B97"/>
    <w:rsid w:val="00ED6CE6"/>
    <w:rsid w:val="00EE0F88"/>
    <w:rsid w:val="00EE27CF"/>
    <w:rsid w:val="00EE3045"/>
    <w:rsid w:val="00EE5191"/>
    <w:rsid w:val="00EE6E2A"/>
    <w:rsid w:val="00EE72D2"/>
    <w:rsid w:val="00EF2C77"/>
    <w:rsid w:val="00EF4553"/>
    <w:rsid w:val="00EF6050"/>
    <w:rsid w:val="00F008C3"/>
    <w:rsid w:val="00F04DB2"/>
    <w:rsid w:val="00F05185"/>
    <w:rsid w:val="00F122F1"/>
    <w:rsid w:val="00F13DC7"/>
    <w:rsid w:val="00F1429C"/>
    <w:rsid w:val="00F1464F"/>
    <w:rsid w:val="00F14873"/>
    <w:rsid w:val="00F15137"/>
    <w:rsid w:val="00F17DFA"/>
    <w:rsid w:val="00F17EA1"/>
    <w:rsid w:val="00F2100A"/>
    <w:rsid w:val="00F21071"/>
    <w:rsid w:val="00F2242D"/>
    <w:rsid w:val="00F22AEB"/>
    <w:rsid w:val="00F23E85"/>
    <w:rsid w:val="00F2445A"/>
    <w:rsid w:val="00F26EF4"/>
    <w:rsid w:val="00F34F74"/>
    <w:rsid w:val="00F378FF"/>
    <w:rsid w:val="00F40193"/>
    <w:rsid w:val="00F42123"/>
    <w:rsid w:val="00F43847"/>
    <w:rsid w:val="00F4427B"/>
    <w:rsid w:val="00F45074"/>
    <w:rsid w:val="00F46FD9"/>
    <w:rsid w:val="00F51085"/>
    <w:rsid w:val="00F5399D"/>
    <w:rsid w:val="00F5592E"/>
    <w:rsid w:val="00F57594"/>
    <w:rsid w:val="00F60CC0"/>
    <w:rsid w:val="00F60D6A"/>
    <w:rsid w:val="00F61422"/>
    <w:rsid w:val="00F6193D"/>
    <w:rsid w:val="00F6463A"/>
    <w:rsid w:val="00F66B1A"/>
    <w:rsid w:val="00F67277"/>
    <w:rsid w:val="00F679B9"/>
    <w:rsid w:val="00F67D11"/>
    <w:rsid w:val="00F720A0"/>
    <w:rsid w:val="00F72735"/>
    <w:rsid w:val="00F74873"/>
    <w:rsid w:val="00F75317"/>
    <w:rsid w:val="00F77326"/>
    <w:rsid w:val="00F81F97"/>
    <w:rsid w:val="00F82541"/>
    <w:rsid w:val="00F8299E"/>
    <w:rsid w:val="00F83DC5"/>
    <w:rsid w:val="00F86C51"/>
    <w:rsid w:val="00F920E5"/>
    <w:rsid w:val="00F92A80"/>
    <w:rsid w:val="00F93535"/>
    <w:rsid w:val="00F93FBA"/>
    <w:rsid w:val="00FA0873"/>
    <w:rsid w:val="00FA3E46"/>
    <w:rsid w:val="00FA540A"/>
    <w:rsid w:val="00FA5F9B"/>
    <w:rsid w:val="00FB45EE"/>
    <w:rsid w:val="00FB794A"/>
    <w:rsid w:val="00FC0B1F"/>
    <w:rsid w:val="00FC215B"/>
    <w:rsid w:val="00FC285F"/>
    <w:rsid w:val="00FC60A4"/>
    <w:rsid w:val="00FD2005"/>
    <w:rsid w:val="00FD3100"/>
    <w:rsid w:val="00FD375C"/>
    <w:rsid w:val="00FD4278"/>
    <w:rsid w:val="00FD5143"/>
    <w:rsid w:val="00FD7316"/>
    <w:rsid w:val="00FD7869"/>
    <w:rsid w:val="00FD7CE7"/>
    <w:rsid w:val="00FE25BF"/>
    <w:rsid w:val="00FE2FE3"/>
    <w:rsid w:val="00FE3B8C"/>
    <w:rsid w:val="00FE3BB7"/>
    <w:rsid w:val="00FE6401"/>
    <w:rsid w:val="00FE657E"/>
    <w:rsid w:val="00FE6F68"/>
    <w:rsid w:val="00FF0196"/>
    <w:rsid w:val="00FF0491"/>
    <w:rsid w:val="00FF0F10"/>
    <w:rsid w:val="00FF1E6B"/>
    <w:rsid w:val="00FF3CBF"/>
    <w:rsid w:val="00FF3E1F"/>
    <w:rsid w:val="00FF4593"/>
    <w:rsid w:val="00FF67D8"/>
    <w:rsid w:val="00FF6A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4EE4"/>
  <w15:docId w15:val="{DD354063-F87B-48B3-BE97-D6BAA5C7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EDC"/>
    <w:pPr>
      <w:spacing w:after="0" w:line="480" w:lineRule="auto"/>
    </w:pPr>
    <w:rPr>
      <w:rFonts w:ascii="Times New Roman" w:eastAsia="Times New Roman" w:hAnsi="Times New Roman" w:cs="Times New Roman"/>
      <w:sz w:val="24"/>
      <w:szCs w:val="24"/>
      <w:lang w:val="en-GB" w:eastAsia="en-GB" w:bidi="ar-SA"/>
    </w:rPr>
  </w:style>
  <w:style w:type="paragraph" w:styleId="Heading1">
    <w:name w:val="heading 1"/>
    <w:basedOn w:val="Normal"/>
    <w:next w:val="Paragraph"/>
    <w:link w:val="Heading1Char"/>
    <w:qFormat/>
    <w:rsid w:val="00C40EDC"/>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C40EDC"/>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C40EDC"/>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C40EDC"/>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0EDC"/>
    <w:rPr>
      <w:rFonts w:ascii="Times New Roman" w:eastAsia="Times New Roman" w:hAnsi="Times New Roman" w:cs="Arial"/>
      <w:b/>
      <w:bCs/>
      <w:kern w:val="32"/>
      <w:sz w:val="24"/>
      <w:szCs w:val="32"/>
      <w:lang w:val="en-GB" w:eastAsia="en-GB" w:bidi="ar-SA"/>
    </w:rPr>
  </w:style>
  <w:style w:type="character" w:customStyle="1" w:styleId="Heading2Char">
    <w:name w:val="Heading 2 Char"/>
    <w:basedOn w:val="DefaultParagraphFont"/>
    <w:link w:val="Heading2"/>
    <w:rsid w:val="00C40EDC"/>
    <w:rPr>
      <w:rFonts w:ascii="Times New Roman" w:eastAsia="Times New Roman" w:hAnsi="Times New Roman" w:cs="Arial"/>
      <w:b/>
      <w:bCs/>
      <w:i/>
      <w:iCs/>
      <w:sz w:val="24"/>
      <w:szCs w:val="28"/>
      <w:lang w:val="en-GB" w:eastAsia="en-GB" w:bidi="ar-SA"/>
    </w:rPr>
  </w:style>
  <w:style w:type="character" w:customStyle="1" w:styleId="Heading3Char">
    <w:name w:val="Heading 3 Char"/>
    <w:basedOn w:val="DefaultParagraphFont"/>
    <w:link w:val="Heading3"/>
    <w:rsid w:val="00C40EDC"/>
    <w:rPr>
      <w:rFonts w:ascii="Times New Roman" w:eastAsia="Times New Roman" w:hAnsi="Times New Roman" w:cs="Arial"/>
      <w:bCs/>
      <w:i/>
      <w:sz w:val="24"/>
      <w:szCs w:val="26"/>
      <w:lang w:val="en-GB" w:eastAsia="en-GB" w:bidi="ar-SA"/>
    </w:rPr>
  </w:style>
  <w:style w:type="character" w:customStyle="1" w:styleId="Heading4Char">
    <w:name w:val="Heading 4 Char"/>
    <w:basedOn w:val="DefaultParagraphFont"/>
    <w:link w:val="Heading4"/>
    <w:rsid w:val="00C40EDC"/>
    <w:rPr>
      <w:rFonts w:ascii="Times New Roman" w:eastAsia="Times New Roman" w:hAnsi="Times New Roman" w:cs="Times New Roman"/>
      <w:bCs/>
      <w:sz w:val="24"/>
      <w:szCs w:val="28"/>
      <w:lang w:val="en-GB" w:eastAsia="en-GB" w:bidi="ar-SA"/>
    </w:rPr>
  </w:style>
  <w:style w:type="paragraph" w:customStyle="1" w:styleId="Articletitle">
    <w:name w:val="Article title"/>
    <w:basedOn w:val="Normal"/>
    <w:next w:val="Normal"/>
    <w:qFormat/>
    <w:rsid w:val="00C40EDC"/>
    <w:pPr>
      <w:spacing w:after="120" w:line="360" w:lineRule="auto"/>
    </w:pPr>
    <w:rPr>
      <w:b/>
      <w:sz w:val="28"/>
    </w:rPr>
  </w:style>
  <w:style w:type="paragraph" w:customStyle="1" w:styleId="Authornames">
    <w:name w:val="Author names"/>
    <w:basedOn w:val="Normal"/>
    <w:next w:val="Normal"/>
    <w:qFormat/>
    <w:rsid w:val="00C40EDC"/>
    <w:pPr>
      <w:spacing w:before="240" w:line="360" w:lineRule="auto"/>
    </w:pPr>
    <w:rPr>
      <w:sz w:val="28"/>
    </w:rPr>
  </w:style>
  <w:style w:type="paragraph" w:customStyle="1" w:styleId="Affiliation">
    <w:name w:val="Affiliation"/>
    <w:basedOn w:val="Normal"/>
    <w:qFormat/>
    <w:rsid w:val="00C40EDC"/>
    <w:pPr>
      <w:spacing w:before="240" w:line="360" w:lineRule="auto"/>
    </w:pPr>
    <w:rPr>
      <w:i/>
    </w:rPr>
  </w:style>
  <w:style w:type="paragraph" w:customStyle="1" w:styleId="Receiveddates">
    <w:name w:val="Received dates"/>
    <w:basedOn w:val="Affiliation"/>
    <w:next w:val="Normal"/>
    <w:qFormat/>
    <w:rsid w:val="00C40EDC"/>
  </w:style>
  <w:style w:type="paragraph" w:customStyle="1" w:styleId="Abstract">
    <w:name w:val="Abstract"/>
    <w:basedOn w:val="Normal"/>
    <w:next w:val="Keywords"/>
    <w:qFormat/>
    <w:rsid w:val="00C40EDC"/>
    <w:pPr>
      <w:spacing w:before="360" w:after="300" w:line="360" w:lineRule="auto"/>
      <w:ind w:left="720" w:right="567"/>
    </w:pPr>
    <w:rPr>
      <w:sz w:val="22"/>
    </w:rPr>
  </w:style>
  <w:style w:type="paragraph" w:customStyle="1" w:styleId="Keywords">
    <w:name w:val="Keywords"/>
    <w:basedOn w:val="Normal"/>
    <w:next w:val="Paragraph"/>
    <w:qFormat/>
    <w:rsid w:val="00C40EDC"/>
    <w:pPr>
      <w:spacing w:before="240" w:after="240" w:line="360" w:lineRule="auto"/>
      <w:ind w:left="720" w:right="567"/>
    </w:pPr>
    <w:rPr>
      <w:sz w:val="22"/>
    </w:rPr>
  </w:style>
  <w:style w:type="paragraph" w:customStyle="1" w:styleId="Correspondencedetails">
    <w:name w:val="Correspondence details"/>
    <w:basedOn w:val="Normal"/>
    <w:qFormat/>
    <w:rsid w:val="00C40EDC"/>
    <w:pPr>
      <w:spacing w:before="240" w:line="360" w:lineRule="auto"/>
    </w:pPr>
  </w:style>
  <w:style w:type="paragraph" w:customStyle="1" w:styleId="Displayedquotation">
    <w:name w:val="Displayed quotation"/>
    <w:basedOn w:val="Normal"/>
    <w:qFormat/>
    <w:rsid w:val="00C40EDC"/>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C40EDC"/>
    <w:pPr>
      <w:widowControl/>
      <w:numPr>
        <w:numId w:val="13"/>
      </w:numPr>
      <w:spacing w:after="240"/>
      <w:contextualSpacing/>
    </w:pPr>
  </w:style>
  <w:style w:type="paragraph" w:customStyle="1" w:styleId="Displayedequation">
    <w:name w:val="Displayed equation"/>
    <w:basedOn w:val="Normal"/>
    <w:next w:val="Paragraph"/>
    <w:qFormat/>
    <w:rsid w:val="00C40EDC"/>
    <w:pPr>
      <w:tabs>
        <w:tab w:val="center" w:pos="4253"/>
        <w:tab w:val="right" w:pos="8222"/>
      </w:tabs>
      <w:spacing w:before="240" w:after="240"/>
      <w:jc w:val="center"/>
    </w:pPr>
  </w:style>
  <w:style w:type="paragraph" w:customStyle="1" w:styleId="Acknowledgements">
    <w:name w:val="Acknowledgements"/>
    <w:basedOn w:val="Normal"/>
    <w:next w:val="Normal"/>
    <w:qFormat/>
    <w:rsid w:val="00C40EDC"/>
    <w:pPr>
      <w:spacing w:before="120" w:line="360" w:lineRule="auto"/>
    </w:pPr>
    <w:rPr>
      <w:sz w:val="22"/>
    </w:rPr>
  </w:style>
  <w:style w:type="paragraph" w:customStyle="1" w:styleId="Tabletitle">
    <w:name w:val="Table title"/>
    <w:basedOn w:val="Normal"/>
    <w:next w:val="Normal"/>
    <w:qFormat/>
    <w:rsid w:val="00C40EDC"/>
    <w:pPr>
      <w:spacing w:before="240" w:line="360" w:lineRule="auto"/>
    </w:pPr>
  </w:style>
  <w:style w:type="paragraph" w:customStyle="1" w:styleId="Figurecaption">
    <w:name w:val="Figure caption"/>
    <w:basedOn w:val="Normal"/>
    <w:next w:val="Normal"/>
    <w:qFormat/>
    <w:rsid w:val="00C40EDC"/>
    <w:pPr>
      <w:spacing w:before="240" w:line="360" w:lineRule="auto"/>
    </w:pPr>
  </w:style>
  <w:style w:type="paragraph" w:customStyle="1" w:styleId="Footnotes">
    <w:name w:val="Footnotes"/>
    <w:basedOn w:val="Normal"/>
    <w:qFormat/>
    <w:rsid w:val="00C40EDC"/>
    <w:pPr>
      <w:spacing w:before="120" w:line="360" w:lineRule="auto"/>
      <w:ind w:left="482" w:hanging="482"/>
      <w:contextualSpacing/>
    </w:pPr>
    <w:rPr>
      <w:sz w:val="22"/>
    </w:rPr>
  </w:style>
  <w:style w:type="paragraph" w:customStyle="1" w:styleId="Notesoncontributors">
    <w:name w:val="Notes on contributors"/>
    <w:basedOn w:val="Normal"/>
    <w:qFormat/>
    <w:rsid w:val="00C40EDC"/>
    <w:pPr>
      <w:spacing w:before="240" w:line="360" w:lineRule="auto"/>
    </w:pPr>
    <w:rPr>
      <w:sz w:val="22"/>
    </w:rPr>
  </w:style>
  <w:style w:type="paragraph" w:customStyle="1" w:styleId="Normalparagraphstyle">
    <w:name w:val="Normal paragraph style"/>
    <w:basedOn w:val="Normal"/>
    <w:next w:val="Normal"/>
    <w:rsid w:val="00C40EDC"/>
  </w:style>
  <w:style w:type="paragraph" w:customStyle="1" w:styleId="Paragraph">
    <w:name w:val="Paragraph"/>
    <w:basedOn w:val="Normal"/>
    <w:next w:val="Newparagraph"/>
    <w:qFormat/>
    <w:rsid w:val="00C40EDC"/>
    <w:pPr>
      <w:widowControl w:val="0"/>
      <w:spacing w:before="240"/>
    </w:pPr>
  </w:style>
  <w:style w:type="paragraph" w:customStyle="1" w:styleId="Newparagraph">
    <w:name w:val="New paragraph"/>
    <w:basedOn w:val="Normal"/>
    <w:qFormat/>
    <w:rsid w:val="00C40EDC"/>
    <w:pPr>
      <w:ind w:firstLine="720"/>
    </w:pPr>
  </w:style>
  <w:style w:type="paragraph" w:styleId="NormalIndent">
    <w:name w:val="Normal Indent"/>
    <w:basedOn w:val="Normal"/>
    <w:rsid w:val="00C40EDC"/>
    <w:pPr>
      <w:ind w:left="720"/>
    </w:pPr>
  </w:style>
  <w:style w:type="paragraph" w:customStyle="1" w:styleId="References">
    <w:name w:val="References"/>
    <w:basedOn w:val="Normal"/>
    <w:qFormat/>
    <w:rsid w:val="00C40EDC"/>
    <w:pPr>
      <w:spacing w:before="120" w:line="360" w:lineRule="auto"/>
      <w:ind w:left="720" w:hanging="720"/>
      <w:contextualSpacing/>
    </w:pPr>
  </w:style>
  <w:style w:type="paragraph" w:customStyle="1" w:styleId="Subjectcodes">
    <w:name w:val="Subject codes"/>
    <w:basedOn w:val="Keywords"/>
    <w:next w:val="Paragraph"/>
    <w:qFormat/>
    <w:rsid w:val="00C40EDC"/>
  </w:style>
  <w:style w:type="paragraph" w:customStyle="1" w:styleId="Bulletedlist">
    <w:name w:val="Bulleted list"/>
    <w:basedOn w:val="Paragraph"/>
    <w:next w:val="Paragraph"/>
    <w:qFormat/>
    <w:rsid w:val="00C40EDC"/>
    <w:pPr>
      <w:widowControl/>
      <w:numPr>
        <w:numId w:val="14"/>
      </w:numPr>
      <w:spacing w:after="240"/>
      <w:contextualSpacing/>
    </w:pPr>
  </w:style>
  <w:style w:type="paragraph" w:styleId="FootnoteText">
    <w:name w:val="footnote text"/>
    <w:basedOn w:val="Normal"/>
    <w:link w:val="FootnoteTextChar"/>
    <w:autoRedefine/>
    <w:rsid w:val="00C40EDC"/>
    <w:pPr>
      <w:ind w:left="284" w:hanging="284"/>
    </w:pPr>
    <w:rPr>
      <w:sz w:val="22"/>
      <w:szCs w:val="20"/>
    </w:rPr>
  </w:style>
  <w:style w:type="character" w:customStyle="1" w:styleId="FootnoteTextChar">
    <w:name w:val="Footnote Text Char"/>
    <w:basedOn w:val="DefaultParagraphFont"/>
    <w:link w:val="FootnoteText"/>
    <w:rsid w:val="00C40EDC"/>
    <w:rPr>
      <w:rFonts w:ascii="Times New Roman" w:eastAsia="Times New Roman" w:hAnsi="Times New Roman" w:cs="Times New Roman"/>
      <w:szCs w:val="20"/>
      <w:lang w:val="en-GB" w:eastAsia="en-GB" w:bidi="ar-SA"/>
    </w:rPr>
  </w:style>
  <w:style w:type="character" w:styleId="FootnoteReference">
    <w:name w:val="footnote reference"/>
    <w:basedOn w:val="DefaultParagraphFont"/>
    <w:rsid w:val="00C40EDC"/>
    <w:rPr>
      <w:vertAlign w:val="superscript"/>
    </w:rPr>
  </w:style>
  <w:style w:type="paragraph" w:styleId="EndnoteText">
    <w:name w:val="endnote text"/>
    <w:basedOn w:val="Normal"/>
    <w:link w:val="EndnoteTextChar"/>
    <w:autoRedefine/>
    <w:rsid w:val="00C40EDC"/>
    <w:pPr>
      <w:ind w:left="284" w:hanging="284"/>
    </w:pPr>
    <w:rPr>
      <w:sz w:val="22"/>
      <w:szCs w:val="20"/>
    </w:rPr>
  </w:style>
  <w:style w:type="character" w:customStyle="1" w:styleId="EndnoteTextChar">
    <w:name w:val="Endnote Text Char"/>
    <w:basedOn w:val="DefaultParagraphFont"/>
    <w:link w:val="EndnoteText"/>
    <w:rsid w:val="00C40EDC"/>
    <w:rPr>
      <w:rFonts w:ascii="Times New Roman" w:eastAsia="Times New Roman" w:hAnsi="Times New Roman" w:cs="Times New Roman"/>
      <w:szCs w:val="20"/>
      <w:lang w:val="en-GB" w:eastAsia="en-GB" w:bidi="ar-SA"/>
    </w:rPr>
  </w:style>
  <w:style w:type="character" w:styleId="EndnoteReference">
    <w:name w:val="endnote reference"/>
    <w:basedOn w:val="DefaultParagraphFont"/>
    <w:rsid w:val="00C40EDC"/>
    <w:rPr>
      <w:vertAlign w:val="superscript"/>
    </w:rPr>
  </w:style>
  <w:style w:type="paragraph" w:styleId="Header">
    <w:name w:val="header"/>
    <w:basedOn w:val="Normal"/>
    <w:link w:val="HeaderChar"/>
    <w:rsid w:val="00C40EDC"/>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C40EDC"/>
    <w:rPr>
      <w:rFonts w:ascii="Times New Roman" w:eastAsia="Times New Roman" w:hAnsi="Times New Roman" w:cs="Times New Roman"/>
      <w:sz w:val="24"/>
      <w:szCs w:val="24"/>
      <w:lang w:val="en-GB" w:eastAsia="en-GB" w:bidi="ar-SA"/>
    </w:rPr>
  </w:style>
  <w:style w:type="paragraph" w:styleId="Footer">
    <w:name w:val="footer"/>
    <w:basedOn w:val="Normal"/>
    <w:link w:val="FooterChar"/>
    <w:rsid w:val="00C40EDC"/>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C40EDC"/>
    <w:rPr>
      <w:rFonts w:ascii="Times New Roman" w:eastAsia="Times New Roman" w:hAnsi="Times New Roman" w:cs="Times New Roman"/>
      <w:sz w:val="24"/>
      <w:szCs w:val="24"/>
      <w:lang w:val="en-GB" w:eastAsia="en-GB" w:bidi="ar-SA"/>
    </w:rPr>
  </w:style>
  <w:style w:type="paragraph" w:customStyle="1" w:styleId="Heading4Paragraph">
    <w:name w:val="Heading 4 + Paragraph"/>
    <w:basedOn w:val="Paragraph"/>
    <w:next w:val="Newparagraph"/>
    <w:qFormat/>
    <w:rsid w:val="00C40EDC"/>
    <w:pPr>
      <w:widowControl/>
      <w:spacing w:before="360"/>
    </w:pPr>
  </w:style>
  <w:style w:type="paragraph" w:customStyle="1" w:styleId="Heading1Articletitle">
    <w:name w:val="Heading 1 Article title"/>
    <w:basedOn w:val="Normal"/>
    <w:next w:val="Normal"/>
    <w:qFormat/>
    <w:rsid w:val="00C40EDC"/>
    <w:pPr>
      <w:spacing w:after="120" w:line="360" w:lineRule="auto"/>
    </w:pPr>
    <w:rPr>
      <w:b/>
      <w:sz w:val="28"/>
    </w:rPr>
  </w:style>
  <w:style w:type="character" w:customStyle="1" w:styleId="FootnoteTextChar1">
    <w:name w:val="Footnote Text Char1"/>
    <w:aliases w:val="Texto de nota al pie Char1,Footnote Text Char Char"/>
    <w:locked/>
    <w:rsid w:val="00E131AC"/>
    <w:rPr>
      <w:rFonts w:ascii="Times New Roman" w:hAnsi="Times New Roman" w:cs="Times New Roman"/>
      <w:caps w:val="0"/>
      <w:smallCaps w:val="0"/>
      <w:strike w:val="0"/>
      <w:dstrike w:val="0"/>
      <w:vanish w:val="0"/>
      <w:szCs w:val="20"/>
      <w:vertAlign w:val="superscript"/>
      <w:lang w:val="en-GB" w:eastAsia="en-GB" w:bidi="ar-SA"/>
    </w:rPr>
  </w:style>
  <w:style w:type="character" w:styleId="Emphasis">
    <w:name w:val="Emphasis"/>
    <w:uiPriority w:val="20"/>
    <w:qFormat/>
    <w:rsid w:val="00E131AC"/>
    <w:rPr>
      <w:rFonts w:cs="Times New Roman"/>
      <w:i/>
    </w:rPr>
  </w:style>
  <w:style w:type="character" w:customStyle="1" w:styleId="submitted-by">
    <w:name w:val="submitted-by"/>
    <w:rsid w:val="00E131AC"/>
  </w:style>
  <w:style w:type="paragraph" w:customStyle="1" w:styleId="Default">
    <w:name w:val="Default"/>
    <w:rsid w:val="007E3E19"/>
    <w:pPr>
      <w:autoSpaceDE w:val="0"/>
      <w:autoSpaceDN w:val="0"/>
      <w:adjustRightInd w:val="0"/>
      <w:spacing w:after="0" w:line="240" w:lineRule="auto"/>
    </w:pPr>
    <w:rPr>
      <w:rFonts w:ascii="Code" w:hAnsi="Code" w:cs="Code"/>
      <w:color w:val="000000"/>
      <w:sz w:val="24"/>
      <w:szCs w:val="24"/>
    </w:rPr>
  </w:style>
  <w:style w:type="character" w:styleId="Hyperlink">
    <w:name w:val="Hyperlink"/>
    <w:basedOn w:val="DefaultParagraphFont"/>
    <w:uiPriority w:val="99"/>
    <w:unhideWhenUsed/>
    <w:rsid w:val="00F122F1"/>
    <w:rPr>
      <w:color w:val="0000FF"/>
      <w:u w:val="single"/>
    </w:rPr>
  </w:style>
  <w:style w:type="character" w:styleId="UnresolvedMention">
    <w:name w:val="Unresolved Mention"/>
    <w:basedOn w:val="DefaultParagraphFont"/>
    <w:uiPriority w:val="99"/>
    <w:semiHidden/>
    <w:unhideWhenUsed/>
    <w:rsid w:val="00496BF7"/>
    <w:rPr>
      <w:color w:val="605E5C"/>
      <w:shd w:val="clear" w:color="auto" w:fill="E1DFDD"/>
    </w:rPr>
  </w:style>
  <w:style w:type="character" w:styleId="SubtleEmphasis">
    <w:name w:val="Subtle Emphasis"/>
    <w:basedOn w:val="DefaultParagraphFont"/>
    <w:uiPriority w:val="19"/>
    <w:qFormat/>
    <w:rsid w:val="006532FB"/>
    <w:rPr>
      <w:i/>
      <w:iCs/>
      <w:color w:val="404040" w:themeColor="text1" w:themeTint="BF"/>
    </w:rPr>
  </w:style>
  <w:style w:type="paragraph" w:styleId="NormalWeb">
    <w:name w:val="Normal (Web)"/>
    <w:basedOn w:val="Normal"/>
    <w:uiPriority w:val="99"/>
    <w:semiHidden/>
    <w:unhideWhenUsed/>
    <w:rsid w:val="006C08D7"/>
    <w:pPr>
      <w:spacing w:before="100" w:beforeAutospacing="1" w:after="100" w:afterAutospacing="1" w:line="240" w:lineRule="auto"/>
    </w:pPr>
    <w:rPr>
      <w:lang w:bidi="he-IL"/>
    </w:rPr>
  </w:style>
  <w:style w:type="character" w:customStyle="1" w:styleId="highlight">
    <w:name w:val="highlight"/>
    <w:basedOn w:val="DefaultParagraphFont"/>
    <w:rsid w:val="00064DC3"/>
  </w:style>
  <w:style w:type="character" w:styleId="HTMLCite">
    <w:name w:val="HTML Cite"/>
    <w:uiPriority w:val="99"/>
    <w:unhideWhenUsed/>
    <w:rsid w:val="00BB3590"/>
    <w:rPr>
      <w:i/>
      <w:iCs/>
    </w:rPr>
  </w:style>
  <w:style w:type="character" w:customStyle="1" w:styleId="itempublisher">
    <w:name w:val="itempublisher"/>
    <w:basedOn w:val="DefaultParagraphFont"/>
    <w:rsid w:val="00204E4F"/>
  </w:style>
  <w:style w:type="character" w:styleId="CommentReference">
    <w:name w:val="annotation reference"/>
    <w:basedOn w:val="DefaultParagraphFont"/>
    <w:uiPriority w:val="99"/>
    <w:semiHidden/>
    <w:unhideWhenUsed/>
    <w:rsid w:val="007D6F23"/>
    <w:rPr>
      <w:sz w:val="16"/>
      <w:szCs w:val="16"/>
    </w:rPr>
  </w:style>
  <w:style w:type="paragraph" w:styleId="CommentText">
    <w:name w:val="annotation text"/>
    <w:basedOn w:val="Normal"/>
    <w:link w:val="CommentTextChar"/>
    <w:uiPriority w:val="99"/>
    <w:semiHidden/>
    <w:unhideWhenUsed/>
    <w:rsid w:val="007D6F23"/>
    <w:pPr>
      <w:spacing w:line="240" w:lineRule="auto"/>
    </w:pPr>
    <w:rPr>
      <w:sz w:val="20"/>
      <w:szCs w:val="20"/>
    </w:rPr>
  </w:style>
  <w:style w:type="character" w:customStyle="1" w:styleId="CommentTextChar">
    <w:name w:val="Comment Text Char"/>
    <w:basedOn w:val="DefaultParagraphFont"/>
    <w:link w:val="CommentText"/>
    <w:uiPriority w:val="99"/>
    <w:semiHidden/>
    <w:rsid w:val="007D6F23"/>
    <w:rPr>
      <w:rFonts w:ascii="Times New Roman" w:eastAsia="Times New Roman" w:hAnsi="Times New Roman" w:cs="Times New Roman"/>
      <w:sz w:val="20"/>
      <w:szCs w:val="20"/>
      <w:lang w:val="en-GB" w:eastAsia="en-GB" w:bidi="ar-SA"/>
    </w:rPr>
  </w:style>
  <w:style w:type="paragraph" w:styleId="CommentSubject">
    <w:name w:val="annotation subject"/>
    <w:basedOn w:val="CommentText"/>
    <w:next w:val="CommentText"/>
    <w:link w:val="CommentSubjectChar"/>
    <w:uiPriority w:val="99"/>
    <w:semiHidden/>
    <w:unhideWhenUsed/>
    <w:rsid w:val="007D6F23"/>
    <w:rPr>
      <w:b/>
      <w:bCs/>
    </w:rPr>
  </w:style>
  <w:style w:type="character" w:customStyle="1" w:styleId="CommentSubjectChar">
    <w:name w:val="Comment Subject Char"/>
    <w:basedOn w:val="CommentTextChar"/>
    <w:link w:val="CommentSubject"/>
    <w:uiPriority w:val="99"/>
    <w:semiHidden/>
    <w:rsid w:val="007D6F23"/>
    <w:rPr>
      <w:rFonts w:ascii="Times New Roman" w:eastAsia="Times New Roman" w:hAnsi="Times New Roman" w:cs="Times New Roman"/>
      <w:b/>
      <w:bCs/>
      <w:sz w:val="20"/>
      <w:szCs w:val="20"/>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9969">
      <w:bodyDiv w:val="1"/>
      <w:marLeft w:val="0"/>
      <w:marRight w:val="0"/>
      <w:marTop w:val="0"/>
      <w:marBottom w:val="0"/>
      <w:divBdr>
        <w:top w:val="none" w:sz="0" w:space="0" w:color="auto"/>
        <w:left w:val="none" w:sz="0" w:space="0" w:color="auto"/>
        <w:bottom w:val="none" w:sz="0" w:space="0" w:color="auto"/>
        <w:right w:val="none" w:sz="0" w:space="0" w:color="auto"/>
      </w:divBdr>
      <w:divsChild>
        <w:div w:id="763111146">
          <w:marLeft w:val="0"/>
          <w:marRight w:val="0"/>
          <w:marTop w:val="0"/>
          <w:marBottom w:val="0"/>
          <w:divBdr>
            <w:top w:val="none" w:sz="0" w:space="0" w:color="auto"/>
            <w:left w:val="none" w:sz="0" w:space="0" w:color="auto"/>
            <w:bottom w:val="none" w:sz="0" w:space="0" w:color="auto"/>
            <w:right w:val="none" w:sz="0" w:space="0" w:color="auto"/>
          </w:divBdr>
          <w:divsChild>
            <w:div w:id="19823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5993">
      <w:bodyDiv w:val="1"/>
      <w:marLeft w:val="0"/>
      <w:marRight w:val="0"/>
      <w:marTop w:val="0"/>
      <w:marBottom w:val="0"/>
      <w:divBdr>
        <w:top w:val="none" w:sz="0" w:space="0" w:color="auto"/>
        <w:left w:val="none" w:sz="0" w:space="0" w:color="auto"/>
        <w:bottom w:val="none" w:sz="0" w:space="0" w:color="auto"/>
        <w:right w:val="none" w:sz="0" w:space="0" w:color="auto"/>
      </w:divBdr>
    </w:div>
    <w:div w:id="169636519">
      <w:bodyDiv w:val="1"/>
      <w:marLeft w:val="0"/>
      <w:marRight w:val="0"/>
      <w:marTop w:val="0"/>
      <w:marBottom w:val="0"/>
      <w:divBdr>
        <w:top w:val="none" w:sz="0" w:space="0" w:color="auto"/>
        <w:left w:val="none" w:sz="0" w:space="0" w:color="auto"/>
        <w:bottom w:val="none" w:sz="0" w:space="0" w:color="auto"/>
        <w:right w:val="none" w:sz="0" w:space="0" w:color="auto"/>
      </w:divBdr>
    </w:div>
    <w:div w:id="311063894">
      <w:bodyDiv w:val="1"/>
      <w:marLeft w:val="0"/>
      <w:marRight w:val="0"/>
      <w:marTop w:val="0"/>
      <w:marBottom w:val="0"/>
      <w:divBdr>
        <w:top w:val="none" w:sz="0" w:space="0" w:color="auto"/>
        <w:left w:val="none" w:sz="0" w:space="0" w:color="auto"/>
        <w:bottom w:val="none" w:sz="0" w:space="0" w:color="auto"/>
        <w:right w:val="none" w:sz="0" w:space="0" w:color="auto"/>
      </w:divBdr>
      <w:divsChild>
        <w:div w:id="1345743463">
          <w:marLeft w:val="0"/>
          <w:marRight w:val="0"/>
          <w:marTop w:val="0"/>
          <w:marBottom w:val="0"/>
          <w:divBdr>
            <w:top w:val="none" w:sz="0" w:space="0" w:color="auto"/>
            <w:left w:val="none" w:sz="0" w:space="0" w:color="auto"/>
            <w:bottom w:val="none" w:sz="0" w:space="0" w:color="auto"/>
            <w:right w:val="none" w:sz="0" w:space="0" w:color="auto"/>
          </w:divBdr>
          <w:divsChild>
            <w:div w:id="816190894">
              <w:marLeft w:val="0"/>
              <w:marRight w:val="0"/>
              <w:marTop w:val="0"/>
              <w:marBottom w:val="0"/>
              <w:divBdr>
                <w:top w:val="none" w:sz="0" w:space="0" w:color="auto"/>
                <w:left w:val="none" w:sz="0" w:space="0" w:color="auto"/>
                <w:bottom w:val="none" w:sz="0" w:space="0" w:color="auto"/>
                <w:right w:val="none" w:sz="0" w:space="0" w:color="auto"/>
              </w:divBdr>
              <w:divsChild>
                <w:div w:id="20175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22410">
      <w:bodyDiv w:val="1"/>
      <w:marLeft w:val="0"/>
      <w:marRight w:val="0"/>
      <w:marTop w:val="0"/>
      <w:marBottom w:val="0"/>
      <w:divBdr>
        <w:top w:val="none" w:sz="0" w:space="0" w:color="auto"/>
        <w:left w:val="none" w:sz="0" w:space="0" w:color="auto"/>
        <w:bottom w:val="none" w:sz="0" w:space="0" w:color="auto"/>
        <w:right w:val="none" w:sz="0" w:space="0" w:color="auto"/>
      </w:divBdr>
    </w:div>
    <w:div w:id="339892743">
      <w:bodyDiv w:val="1"/>
      <w:marLeft w:val="0"/>
      <w:marRight w:val="0"/>
      <w:marTop w:val="0"/>
      <w:marBottom w:val="0"/>
      <w:divBdr>
        <w:top w:val="none" w:sz="0" w:space="0" w:color="auto"/>
        <w:left w:val="none" w:sz="0" w:space="0" w:color="auto"/>
        <w:bottom w:val="none" w:sz="0" w:space="0" w:color="auto"/>
        <w:right w:val="none" w:sz="0" w:space="0" w:color="auto"/>
      </w:divBdr>
      <w:divsChild>
        <w:div w:id="1938446633">
          <w:marLeft w:val="0"/>
          <w:marRight w:val="0"/>
          <w:marTop w:val="0"/>
          <w:marBottom w:val="0"/>
          <w:divBdr>
            <w:top w:val="none" w:sz="0" w:space="0" w:color="auto"/>
            <w:left w:val="none" w:sz="0" w:space="0" w:color="auto"/>
            <w:bottom w:val="none" w:sz="0" w:space="0" w:color="auto"/>
            <w:right w:val="none" w:sz="0" w:space="0" w:color="auto"/>
          </w:divBdr>
          <w:divsChild>
            <w:div w:id="1224178806">
              <w:marLeft w:val="0"/>
              <w:marRight w:val="0"/>
              <w:marTop w:val="0"/>
              <w:marBottom w:val="0"/>
              <w:divBdr>
                <w:top w:val="none" w:sz="0" w:space="0" w:color="auto"/>
                <w:left w:val="none" w:sz="0" w:space="0" w:color="auto"/>
                <w:bottom w:val="none" w:sz="0" w:space="0" w:color="auto"/>
                <w:right w:val="none" w:sz="0" w:space="0" w:color="auto"/>
              </w:divBdr>
              <w:divsChild>
                <w:div w:id="10448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0911">
      <w:bodyDiv w:val="1"/>
      <w:marLeft w:val="0"/>
      <w:marRight w:val="0"/>
      <w:marTop w:val="0"/>
      <w:marBottom w:val="0"/>
      <w:divBdr>
        <w:top w:val="none" w:sz="0" w:space="0" w:color="auto"/>
        <w:left w:val="none" w:sz="0" w:space="0" w:color="auto"/>
        <w:bottom w:val="none" w:sz="0" w:space="0" w:color="auto"/>
        <w:right w:val="none" w:sz="0" w:space="0" w:color="auto"/>
      </w:divBdr>
    </w:div>
    <w:div w:id="677855611">
      <w:bodyDiv w:val="1"/>
      <w:marLeft w:val="0"/>
      <w:marRight w:val="0"/>
      <w:marTop w:val="0"/>
      <w:marBottom w:val="0"/>
      <w:divBdr>
        <w:top w:val="none" w:sz="0" w:space="0" w:color="auto"/>
        <w:left w:val="none" w:sz="0" w:space="0" w:color="auto"/>
        <w:bottom w:val="none" w:sz="0" w:space="0" w:color="auto"/>
        <w:right w:val="none" w:sz="0" w:space="0" w:color="auto"/>
      </w:divBdr>
    </w:div>
    <w:div w:id="681707212">
      <w:bodyDiv w:val="1"/>
      <w:marLeft w:val="0"/>
      <w:marRight w:val="0"/>
      <w:marTop w:val="0"/>
      <w:marBottom w:val="0"/>
      <w:divBdr>
        <w:top w:val="none" w:sz="0" w:space="0" w:color="auto"/>
        <w:left w:val="none" w:sz="0" w:space="0" w:color="auto"/>
        <w:bottom w:val="none" w:sz="0" w:space="0" w:color="auto"/>
        <w:right w:val="none" w:sz="0" w:space="0" w:color="auto"/>
      </w:divBdr>
    </w:div>
    <w:div w:id="890920173">
      <w:bodyDiv w:val="1"/>
      <w:marLeft w:val="0"/>
      <w:marRight w:val="0"/>
      <w:marTop w:val="0"/>
      <w:marBottom w:val="0"/>
      <w:divBdr>
        <w:top w:val="none" w:sz="0" w:space="0" w:color="auto"/>
        <w:left w:val="none" w:sz="0" w:space="0" w:color="auto"/>
        <w:bottom w:val="none" w:sz="0" w:space="0" w:color="auto"/>
        <w:right w:val="none" w:sz="0" w:space="0" w:color="auto"/>
      </w:divBdr>
    </w:div>
    <w:div w:id="1047685300">
      <w:bodyDiv w:val="1"/>
      <w:marLeft w:val="0"/>
      <w:marRight w:val="0"/>
      <w:marTop w:val="0"/>
      <w:marBottom w:val="0"/>
      <w:divBdr>
        <w:top w:val="none" w:sz="0" w:space="0" w:color="auto"/>
        <w:left w:val="none" w:sz="0" w:space="0" w:color="auto"/>
        <w:bottom w:val="none" w:sz="0" w:space="0" w:color="auto"/>
        <w:right w:val="none" w:sz="0" w:space="0" w:color="auto"/>
      </w:divBdr>
    </w:div>
    <w:div w:id="1221986178">
      <w:bodyDiv w:val="1"/>
      <w:marLeft w:val="0"/>
      <w:marRight w:val="0"/>
      <w:marTop w:val="0"/>
      <w:marBottom w:val="0"/>
      <w:divBdr>
        <w:top w:val="none" w:sz="0" w:space="0" w:color="auto"/>
        <w:left w:val="none" w:sz="0" w:space="0" w:color="auto"/>
        <w:bottom w:val="none" w:sz="0" w:space="0" w:color="auto"/>
        <w:right w:val="none" w:sz="0" w:space="0" w:color="auto"/>
      </w:divBdr>
    </w:div>
    <w:div w:id="1278023410">
      <w:bodyDiv w:val="1"/>
      <w:marLeft w:val="0"/>
      <w:marRight w:val="0"/>
      <w:marTop w:val="0"/>
      <w:marBottom w:val="0"/>
      <w:divBdr>
        <w:top w:val="none" w:sz="0" w:space="0" w:color="auto"/>
        <w:left w:val="none" w:sz="0" w:space="0" w:color="auto"/>
        <w:bottom w:val="none" w:sz="0" w:space="0" w:color="auto"/>
        <w:right w:val="none" w:sz="0" w:space="0" w:color="auto"/>
      </w:divBdr>
    </w:div>
    <w:div w:id="1287079675">
      <w:bodyDiv w:val="1"/>
      <w:marLeft w:val="0"/>
      <w:marRight w:val="0"/>
      <w:marTop w:val="0"/>
      <w:marBottom w:val="0"/>
      <w:divBdr>
        <w:top w:val="none" w:sz="0" w:space="0" w:color="auto"/>
        <w:left w:val="none" w:sz="0" w:space="0" w:color="auto"/>
        <w:bottom w:val="none" w:sz="0" w:space="0" w:color="auto"/>
        <w:right w:val="none" w:sz="0" w:space="0" w:color="auto"/>
      </w:divBdr>
    </w:div>
    <w:div w:id="1669940660">
      <w:bodyDiv w:val="1"/>
      <w:marLeft w:val="0"/>
      <w:marRight w:val="0"/>
      <w:marTop w:val="0"/>
      <w:marBottom w:val="0"/>
      <w:divBdr>
        <w:top w:val="none" w:sz="0" w:space="0" w:color="auto"/>
        <w:left w:val="none" w:sz="0" w:space="0" w:color="auto"/>
        <w:bottom w:val="none" w:sz="0" w:space="0" w:color="auto"/>
        <w:right w:val="none" w:sz="0" w:space="0" w:color="auto"/>
      </w:divBdr>
      <w:divsChild>
        <w:div w:id="111285406">
          <w:marLeft w:val="0"/>
          <w:marRight w:val="0"/>
          <w:marTop w:val="0"/>
          <w:marBottom w:val="0"/>
          <w:divBdr>
            <w:top w:val="none" w:sz="0" w:space="0" w:color="auto"/>
            <w:left w:val="none" w:sz="0" w:space="0" w:color="auto"/>
            <w:bottom w:val="none" w:sz="0" w:space="0" w:color="auto"/>
            <w:right w:val="none" w:sz="0" w:space="0" w:color="auto"/>
          </w:divBdr>
        </w:div>
        <w:div w:id="1848979168">
          <w:marLeft w:val="0"/>
          <w:marRight w:val="0"/>
          <w:marTop w:val="0"/>
          <w:marBottom w:val="0"/>
          <w:divBdr>
            <w:top w:val="none" w:sz="0" w:space="0" w:color="auto"/>
            <w:left w:val="none" w:sz="0" w:space="0" w:color="auto"/>
            <w:bottom w:val="none" w:sz="0" w:space="0" w:color="auto"/>
            <w:right w:val="none" w:sz="0" w:space="0" w:color="auto"/>
          </w:divBdr>
        </w:div>
      </w:divsChild>
    </w:div>
    <w:div w:id="1739551070">
      <w:bodyDiv w:val="1"/>
      <w:marLeft w:val="0"/>
      <w:marRight w:val="0"/>
      <w:marTop w:val="0"/>
      <w:marBottom w:val="0"/>
      <w:divBdr>
        <w:top w:val="none" w:sz="0" w:space="0" w:color="auto"/>
        <w:left w:val="none" w:sz="0" w:space="0" w:color="auto"/>
        <w:bottom w:val="none" w:sz="0" w:space="0" w:color="auto"/>
        <w:right w:val="none" w:sz="0" w:space="0" w:color="auto"/>
      </w:divBdr>
    </w:div>
    <w:div w:id="1837958662">
      <w:bodyDiv w:val="1"/>
      <w:marLeft w:val="0"/>
      <w:marRight w:val="0"/>
      <w:marTop w:val="0"/>
      <w:marBottom w:val="0"/>
      <w:divBdr>
        <w:top w:val="none" w:sz="0" w:space="0" w:color="auto"/>
        <w:left w:val="none" w:sz="0" w:space="0" w:color="auto"/>
        <w:bottom w:val="none" w:sz="0" w:space="0" w:color="auto"/>
        <w:right w:val="none" w:sz="0" w:space="0" w:color="auto"/>
      </w:divBdr>
      <w:divsChild>
        <w:div w:id="1666007501">
          <w:marLeft w:val="0"/>
          <w:marRight w:val="0"/>
          <w:marTop w:val="0"/>
          <w:marBottom w:val="0"/>
          <w:divBdr>
            <w:top w:val="none" w:sz="0" w:space="0" w:color="auto"/>
            <w:left w:val="none" w:sz="0" w:space="0" w:color="auto"/>
            <w:bottom w:val="none" w:sz="0" w:space="0" w:color="auto"/>
            <w:right w:val="none" w:sz="0" w:space="0" w:color="auto"/>
          </w:divBdr>
          <w:divsChild>
            <w:div w:id="979728645">
              <w:marLeft w:val="0"/>
              <w:marRight w:val="0"/>
              <w:marTop w:val="0"/>
              <w:marBottom w:val="0"/>
              <w:divBdr>
                <w:top w:val="none" w:sz="0" w:space="0" w:color="auto"/>
                <w:left w:val="none" w:sz="0" w:space="0" w:color="auto"/>
                <w:bottom w:val="none" w:sz="0" w:space="0" w:color="auto"/>
                <w:right w:val="none" w:sz="0" w:space="0" w:color="auto"/>
              </w:divBdr>
            </w:div>
            <w:div w:id="18529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512">
      <w:bodyDiv w:val="1"/>
      <w:marLeft w:val="0"/>
      <w:marRight w:val="0"/>
      <w:marTop w:val="0"/>
      <w:marBottom w:val="0"/>
      <w:divBdr>
        <w:top w:val="none" w:sz="0" w:space="0" w:color="auto"/>
        <w:left w:val="none" w:sz="0" w:space="0" w:color="auto"/>
        <w:bottom w:val="none" w:sz="0" w:space="0" w:color="auto"/>
        <w:right w:val="none" w:sz="0" w:space="0" w:color="auto"/>
      </w:divBdr>
      <w:divsChild>
        <w:div w:id="313996661">
          <w:marLeft w:val="0"/>
          <w:marRight w:val="0"/>
          <w:marTop w:val="0"/>
          <w:marBottom w:val="0"/>
          <w:divBdr>
            <w:top w:val="none" w:sz="0" w:space="0" w:color="auto"/>
            <w:left w:val="none" w:sz="0" w:space="0" w:color="auto"/>
            <w:bottom w:val="none" w:sz="0" w:space="0" w:color="auto"/>
            <w:right w:val="none" w:sz="0" w:space="0" w:color="auto"/>
          </w:divBdr>
        </w:div>
      </w:divsChild>
    </w:div>
    <w:div w:id="1903445269">
      <w:bodyDiv w:val="1"/>
      <w:marLeft w:val="0"/>
      <w:marRight w:val="0"/>
      <w:marTop w:val="0"/>
      <w:marBottom w:val="0"/>
      <w:divBdr>
        <w:top w:val="none" w:sz="0" w:space="0" w:color="auto"/>
        <w:left w:val="none" w:sz="0" w:space="0" w:color="auto"/>
        <w:bottom w:val="none" w:sz="0" w:space="0" w:color="auto"/>
        <w:right w:val="none" w:sz="0" w:space="0" w:color="auto"/>
      </w:divBdr>
    </w:div>
    <w:div w:id="2035618278">
      <w:bodyDiv w:val="1"/>
      <w:marLeft w:val="0"/>
      <w:marRight w:val="0"/>
      <w:marTop w:val="0"/>
      <w:marBottom w:val="0"/>
      <w:divBdr>
        <w:top w:val="none" w:sz="0" w:space="0" w:color="auto"/>
        <w:left w:val="none" w:sz="0" w:space="0" w:color="auto"/>
        <w:bottom w:val="none" w:sz="0" w:space="0" w:color="auto"/>
        <w:right w:val="none" w:sz="0" w:space="0" w:color="auto"/>
      </w:divBdr>
    </w:div>
    <w:div w:id="2142452731">
      <w:bodyDiv w:val="1"/>
      <w:marLeft w:val="0"/>
      <w:marRight w:val="0"/>
      <w:marTop w:val="0"/>
      <w:marBottom w:val="0"/>
      <w:divBdr>
        <w:top w:val="none" w:sz="0" w:space="0" w:color="auto"/>
        <w:left w:val="none" w:sz="0" w:space="0" w:color="auto"/>
        <w:bottom w:val="none" w:sz="0" w:space="0" w:color="auto"/>
        <w:right w:val="none" w:sz="0" w:space="0" w:color="auto"/>
      </w:divBdr>
      <w:divsChild>
        <w:div w:id="20751581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5B429-F6A6-437C-8CA5-E3A373F3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0</TotalTime>
  <Pages>35</Pages>
  <Words>6068</Words>
  <Characters>30222</Characters>
  <Application>Microsoft Office Word</Application>
  <DocSecurity>0</DocSecurity>
  <Lines>419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2</cp:revision>
  <dcterms:created xsi:type="dcterms:W3CDTF">2022-04-24T17:25:00Z</dcterms:created>
  <dcterms:modified xsi:type="dcterms:W3CDTF">2022-04-24T17:25:00Z</dcterms:modified>
</cp:coreProperties>
</file>