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A78AF" w14:textId="1B9A7F78" w:rsidR="00346DF8" w:rsidRDefault="00346DF8" w:rsidP="0015461A">
      <w:pPr>
        <w:bidi w:val="0"/>
        <w:spacing w:after="0" w:line="480" w:lineRule="auto"/>
      </w:pPr>
      <w:r>
        <w:t xml:space="preserve">The discourse about pornography’s legal status in Israel called for a reference to comparative law as early as in its first few years: the need to imbue the laconic wording of Article 214 with actual content made the court turn to English </w:t>
      </w:r>
      <w:r w:rsidR="00EF0014">
        <w:t>judicial precedent</w:t>
      </w:r>
      <w:r>
        <w:t xml:space="preserve"> – at first according to the provisions of Article 46 of the </w:t>
      </w:r>
      <w:r w:rsidR="00EF0014">
        <w:t xml:space="preserve">King’s </w:t>
      </w:r>
      <w:r w:rsidRPr="00346DF8">
        <w:t>Palestine Order-in-Council</w:t>
      </w:r>
      <w:r>
        <w:t xml:space="preserve">, </w:t>
      </w:r>
      <w:r w:rsidR="00EF0014">
        <w:t>but even after the two legal systems ceased to be linked in terms of interpretation</w:t>
      </w:r>
      <w:r w:rsidR="0015461A">
        <w:rPr>
          <w:rStyle w:val="FootnoteReference"/>
          <w:rtl/>
        </w:rPr>
        <w:footnoteReference w:id="1"/>
      </w:r>
      <w:r w:rsidR="00EF0014">
        <w:t xml:space="preserve">, English law continued to be a significant factor in this discourse, due to the historical ties between English and Israeli common law and </w:t>
      </w:r>
      <w:r w:rsidR="00AB3C93">
        <w:t xml:space="preserve">a general sense of identification with the common law “family”. </w:t>
      </w:r>
      <w:r w:rsidR="00EA1BA1">
        <w:t>American law’s presence in this discourse is pa</w:t>
      </w:r>
      <w:r w:rsidR="00B90106">
        <w:t>rt of a general trend of</w:t>
      </w:r>
      <w:r w:rsidR="00EA1BA1">
        <w:t xml:space="preserve"> Israeli law </w:t>
      </w:r>
      <w:r w:rsidR="00C2647B">
        <w:t xml:space="preserve">becoming more like it in the last few decades, but also appropriate due to the </w:t>
      </w:r>
      <w:r w:rsidR="002D6884">
        <w:t>central role of freedom of speech in legal discussions</w:t>
      </w:r>
      <w:r w:rsidR="0015461A">
        <w:rPr>
          <w:rStyle w:val="FootnoteReference"/>
          <w:rtl/>
        </w:rPr>
        <w:footnoteReference w:id="2"/>
      </w:r>
      <w:r w:rsidR="002D6884">
        <w:t xml:space="preserve">. </w:t>
      </w:r>
      <w:r w:rsidR="00B90106">
        <w:t xml:space="preserve">Apart from the interpretational tie between the </w:t>
      </w:r>
      <w:r w:rsidR="00D83C34">
        <w:t>legal systems, one can point</w:t>
      </w:r>
      <w:r w:rsidR="00B90106">
        <w:t xml:space="preserve">, as was described in the previous chapter and will be detailed later on, </w:t>
      </w:r>
      <w:r w:rsidR="00D83C34">
        <w:t xml:space="preserve">to </w:t>
      </w:r>
      <w:r w:rsidR="00B90106">
        <w:t xml:space="preserve">Israeli law’s inclination to “fall in line” with </w:t>
      </w:r>
      <w:r w:rsidR="00E76D71">
        <w:t>the developments in parallel legal systems.</w:t>
      </w:r>
    </w:p>
    <w:p w14:paraId="3D39FBAA" w14:textId="001C5515" w:rsidR="00113402" w:rsidRDefault="00113402" w:rsidP="0015461A">
      <w:pPr>
        <w:bidi w:val="0"/>
        <w:spacing w:after="0" w:line="480" w:lineRule="auto"/>
        <w:rPr>
          <w:sz w:val="26"/>
          <w:szCs w:val="26"/>
          <w:rtl/>
        </w:rPr>
      </w:pPr>
    </w:p>
    <w:p w14:paraId="564AD17A" w14:textId="1DD35FED" w:rsidR="00FC250A" w:rsidRPr="00D83C34" w:rsidRDefault="00B84576" w:rsidP="00506D4B">
      <w:pPr>
        <w:bidi w:val="0"/>
        <w:spacing w:after="0" w:line="48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prohibition of publishing or showcasing lewd materials in English law </w:t>
      </w:r>
      <w:r w:rsidR="00FE6628">
        <w:rPr>
          <w:rFonts w:asciiTheme="majorBidi" w:hAnsiTheme="majorBidi" w:cstheme="majorBidi"/>
        </w:rPr>
        <w:t>originated with the Obscene Publications Act</w:t>
      </w:r>
      <w:r w:rsidR="0015461A">
        <w:rPr>
          <w:rStyle w:val="FootnoteReference"/>
          <w:rtl/>
        </w:rPr>
        <w:footnoteReference w:id="3"/>
      </w:r>
      <w:r w:rsidR="00FE6628">
        <w:rPr>
          <w:rFonts w:asciiTheme="majorBidi" w:hAnsiTheme="majorBidi" w:cstheme="majorBidi"/>
        </w:rPr>
        <w:t xml:space="preserve">, an 1857 law </w:t>
      </w:r>
      <w:r w:rsidR="00634911">
        <w:rPr>
          <w:rFonts w:asciiTheme="majorBidi" w:hAnsiTheme="majorBidi" w:cstheme="majorBidi"/>
        </w:rPr>
        <w:t xml:space="preserve">that prohibited </w:t>
      </w:r>
      <w:r w:rsidR="00EC66E6">
        <w:rPr>
          <w:rFonts w:asciiTheme="majorBidi" w:hAnsiTheme="majorBidi" w:cstheme="majorBidi"/>
        </w:rPr>
        <w:t xml:space="preserve">the possession of obscene materials </w:t>
      </w:r>
      <w:r w:rsidR="00A7592B">
        <w:rPr>
          <w:rFonts w:asciiTheme="majorBidi" w:hAnsiTheme="majorBidi" w:cstheme="majorBidi"/>
        </w:rPr>
        <w:t xml:space="preserve">for sale or distribution purposes. </w:t>
      </w:r>
      <w:r w:rsidR="005A3C24">
        <w:rPr>
          <w:rFonts w:asciiTheme="majorBidi" w:hAnsiTheme="majorBidi" w:cstheme="majorBidi"/>
        </w:rPr>
        <w:t xml:space="preserve">The term </w:t>
      </w:r>
      <w:r w:rsidR="00520BFD">
        <w:rPr>
          <w:rFonts w:asciiTheme="majorBidi" w:hAnsiTheme="majorBidi" w:cstheme="majorBidi"/>
        </w:rPr>
        <w:t>“obscene” was not interpreted by</w:t>
      </w:r>
      <w:r w:rsidR="005A3C24">
        <w:rPr>
          <w:rFonts w:asciiTheme="majorBidi" w:hAnsiTheme="majorBidi" w:cstheme="majorBidi"/>
        </w:rPr>
        <w:t xml:space="preserve"> the law and only received a concrete definition about a decade later, in the </w:t>
      </w:r>
      <w:r w:rsidR="00506D4B">
        <w:rPr>
          <w:rFonts w:asciiTheme="majorBidi" w:hAnsiTheme="majorBidi" w:cstheme="majorBidi"/>
        </w:rPr>
        <w:t>legal case</w:t>
      </w:r>
      <w:r w:rsidR="005A3C24">
        <w:rPr>
          <w:rFonts w:asciiTheme="majorBidi" w:hAnsiTheme="majorBidi" w:cstheme="majorBidi"/>
        </w:rPr>
        <w:t xml:space="preserve"> known as R. v. Hicklin</w:t>
      </w:r>
      <w:r w:rsidR="0015461A" w:rsidRPr="005A0D08">
        <w:rPr>
          <w:rStyle w:val="FootnoteReference"/>
          <w:rtl/>
        </w:rPr>
        <w:footnoteReference w:id="4"/>
      </w:r>
      <w:r w:rsidR="005A3C24">
        <w:rPr>
          <w:rFonts w:asciiTheme="majorBidi" w:hAnsiTheme="majorBidi" w:cstheme="majorBidi"/>
        </w:rPr>
        <w:t xml:space="preserve">. The case </w:t>
      </w:r>
      <w:r w:rsidR="002D2C7C">
        <w:rPr>
          <w:rFonts w:asciiTheme="majorBidi" w:hAnsiTheme="majorBidi" w:cstheme="majorBidi"/>
        </w:rPr>
        <w:t>was about a man named Henry Scott, who distribute</w:t>
      </w:r>
      <w:r w:rsidR="00341B70">
        <w:rPr>
          <w:rFonts w:asciiTheme="majorBidi" w:hAnsiTheme="majorBidi" w:cstheme="majorBidi"/>
        </w:rPr>
        <w:t xml:space="preserve">d pamphlets </w:t>
      </w:r>
      <w:r w:rsidR="0054154B">
        <w:rPr>
          <w:rFonts w:asciiTheme="majorBidi" w:hAnsiTheme="majorBidi" w:cstheme="majorBidi"/>
        </w:rPr>
        <w:t xml:space="preserve">containing harsh criticism of the Catholic church. </w:t>
      </w:r>
      <w:r w:rsidR="004270DE">
        <w:rPr>
          <w:rFonts w:asciiTheme="majorBidi" w:hAnsiTheme="majorBidi" w:cstheme="majorBidi"/>
        </w:rPr>
        <w:t>Th</w:t>
      </w:r>
      <w:r w:rsidR="00506D4B">
        <w:rPr>
          <w:rFonts w:asciiTheme="majorBidi" w:hAnsiTheme="majorBidi" w:cstheme="majorBidi"/>
        </w:rPr>
        <w:t>e</w:t>
      </w:r>
      <w:r w:rsidR="004270DE">
        <w:rPr>
          <w:rFonts w:asciiTheme="majorBidi" w:hAnsiTheme="majorBidi" w:cstheme="majorBidi"/>
        </w:rPr>
        <w:t xml:space="preserve">se pamphlets included, among other things, a detailed description of the acts that led people to confess </w:t>
      </w:r>
      <w:r w:rsidR="004270DE">
        <w:rPr>
          <w:rFonts w:asciiTheme="majorBidi" w:hAnsiTheme="majorBidi" w:cstheme="majorBidi"/>
        </w:rPr>
        <w:lastRenderedPageBreak/>
        <w:t xml:space="preserve">before a priest, </w:t>
      </w:r>
      <w:r w:rsidR="00A42A7A">
        <w:rPr>
          <w:rFonts w:asciiTheme="majorBidi" w:hAnsiTheme="majorBidi" w:cstheme="majorBidi"/>
        </w:rPr>
        <w:t xml:space="preserve">which led to the classification of the pamphlets as an obscene material and </w:t>
      </w:r>
      <w:r w:rsidR="00E619B4">
        <w:rPr>
          <w:rFonts w:asciiTheme="majorBidi" w:hAnsiTheme="majorBidi" w:cstheme="majorBidi"/>
        </w:rPr>
        <w:t>the ordering of their confiscation by the polic</w:t>
      </w:r>
      <w:bookmarkStart w:id="0" w:name="_GoBack"/>
      <w:bookmarkEnd w:id="0"/>
      <w:r w:rsidR="00E619B4">
        <w:rPr>
          <w:rFonts w:asciiTheme="majorBidi" w:hAnsiTheme="majorBidi" w:cstheme="majorBidi"/>
        </w:rPr>
        <w:t>e.</w:t>
      </w:r>
      <w:r w:rsidR="002D2C7C">
        <w:rPr>
          <w:rFonts w:asciiTheme="majorBidi" w:hAnsiTheme="majorBidi" w:cstheme="majorBidi"/>
        </w:rPr>
        <w:t xml:space="preserve"> </w:t>
      </w:r>
    </w:p>
    <w:sectPr w:rsidR="00FC250A" w:rsidRPr="00D83C3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6AF2E" w14:textId="77777777" w:rsidR="00036668" w:rsidRDefault="00036668" w:rsidP="006A3BB3">
      <w:pPr>
        <w:spacing w:after="0" w:line="240" w:lineRule="auto"/>
      </w:pPr>
      <w:r>
        <w:separator/>
      </w:r>
    </w:p>
  </w:endnote>
  <w:endnote w:type="continuationSeparator" w:id="0">
    <w:p w14:paraId="2E855ECE" w14:textId="77777777" w:rsidR="00036668" w:rsidRDefault="00036668" w:rsidP="006A3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D271C" w14:textId="77777777" w:rsidR="00036668" w:rsidRDefault="00036668" w:rsidP="006A3BB3">
      <w:pPr>
        <w:spacing w:after="0" w:line="240" w:lineRule="auto"/>
      </w:pPr>
      <w:r>
        <w:separator/>
      </w:r>
    </w:p>
  </w:footnote>
  <w:footnote w:type="continuationSeparator" w:id="0">
    <w:p w14:paraId="1ED3B413" w14:textId="77777777" w:rsidR="00036668" w:rsidRDefault="00036668" w:rsidP="006A3BB3">
      <w:pPr>
        <w:spacing w:after="0" w:line="240" w:lineRule="auto"/>
      </w:pPr>
      <w:r>
        <w:continuationSeparator/>
      </w:r>
    </w:p>
  </w:footnote>
  <w:footnote w:id="1">
    <w:p w14:paraId="5B548494" w14:textId="38B89152" w:rsidR="0015461A" w:rsidRPr="00414A75" w:rsidRDefault="0015461A" w:rsidP="0015461A">
      <w:pPr>
        <w:pStyle w:val="FootnoteText"/>
        <w:bidi w:val="0"/>
        <w:jc w:val="both"/>
        <w:rPr>
          <w:color w:val="FF0000"/>
          <w:rtl/>
          <w:lang w:val="en-U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414A75">
        <w:rPr>
          <w:rFonts w:asciiTheme="majorBidi" w:hAnsiTheme="majorBidi" w:cstheme="majorBidi"/>
          <w:lang w:val="en-US"/>
        </w:rPr>
        <w:t>Legal Foundations Law</w:t>
      </w:r>
      <w:r>
        <w:rPr>
          <w:rFonts w:asciiTheme="majorBidi" w:hAnsiTheme="majorBidi" w:cstheme="majorBidi"/>
          <w:lang w:val="en-US"/>
        </w:rPr>
        <w:t xml:space="preserve"> </w:t>
      </w:r>
      <w:r w:rsidR="00520BFD">
        <w:rPr>
          <w:rFonts w:asciiTheme="majorBidi" w:hAnsiTheme="majorBidi" w:cstheme="majorBidi"/>
          <w:lang w:val="en-US"/>
        </w:rPr>
        <w:t>(Ho</w:t>
      </w:r>
      <w:r w:rsidRPr="00414A75">
        <w:rPr>
          <w:rFonts w:asciiTheme="majorBidi" w:hAnsiTheme="majorBidi" w:cstheme="majorBidi"/>
          <w:lang w:val="en-US"/>
        </w:rPr>
        <w:t xml:space="preserve">c </w:t>
      </w:r>
      <w:proofErr w:type="spellStart"/>
      <w:r w:rsidRPr="00414A75">
        <w:rPr>
          <w:rFonts w:asciiTheme="majorBidi" w:hAnsiTheme="majorBidi" w:cstheme="majorBidi"/>
          <w:lang w:val="en-US"/>
        </w:rPr>
        <w:t>Yesodot</w:t>
      </w:r>
      <w:proofErr w:type="spellEnd"/>
      <w:r w:rsidRPr="00414A75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414A75">
        <w:rPr>
          <w:rFonts w:asciiTheme="majorBidi" w:hAnsiTheme="majorBidi" w:cstheme="majorBidi"/>
          <w:lang w:val="en-US"/>
        </w:rPr>
        <w:t>Hamishpat</w:t>
      </w:r>
      <w:proofErr w:type="spellEnd"/>
      <w:r w:rsidRPr="00414A75">
        <w:rPr>
          <w:rFonts w:asciiTheme="majorBidi" w:hAnsiTheme="majorBidi" w:cstheme="majorBidi"/>
          <w:lang w:val="en-US"/>
        </w:rPr>
        <w:t xml:space="preserve">), 1980, </w:t>
      </w:r>
      <w:r>
        <w:rPr>
          <w:rFonts w:asciiTheme="majorBidi" w:hAnsiTheme="majorBidi" w:cstheme="majorBidi"/>
          <w:lang w:val="en-US"/>
        </w:rPr>
        <w:t xml:space="preserve">New </w:t>
      </w:r>
      <w:r w:rsidRPr="00414A75">
        <w:rPr>
          <w:rFonts w:asciiTheme="majorBidi" w:hAnsiTheme="majorBidi" w:cstheme="majorBidi"/>
          <w:lang w:val="en-US"/>
        </w:rPr>
        <w:t xml:space="preserve">Article 978, 163 </w:t>
      </w:r>
      <w:r>
        <w:rPr>
          <w:rFonts w:asciiTheme="majorBidi" w:hAnsiTheme="majorBidi" w:cstheme="majorBidi"/>
          <w:lang w:val="en-US"/>
        </w:rPr>
        <w:t xml:space="preserve"> </w:t>
      </w:r>
    </w:p>
  </w:footnote>
  <w:footnote w:id="2">
    <w:p w14:paraId="5C458682" w14:textId="05071CCC" w:rsidR="0015461A" w:rsidRPr="00414A75" w:rsidRDefault="0015461A" w:rsidP="0015461A">
      <w:pPr>
        <w:pStyle w:val="FootnoteText"/>
        <w:bidi w:val="0"/>
        <w:jc w:val="both"/>
        <w:rPr>
          <w:rFonts w:asciiTheme="majorBidi" w:hAnsiTheme="majorBidi" w:cstheme="majorBidi"/>
          <w:rtl/>
          <w:lang w:val="en-U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asciiTheme="majorBidi" w:hAnsiTheme="majorBidi" w:cstheme="majorBidi"/>
          <w:lang w:val="en-US"/>
        </w:rPr>
        <w:t>In fact, the prominent presence of freedom of speech in this discourse is an American influence, which will be elaborated on hereunder.</w:t>
      </w:r>
    </w:p>
  </w:footnote>
  <w:footnote w:id="3">
    <w:p w14:paraId="2E85A3C0" w14:textId="77777777" w:rsidR="0015461A" w:rsidRPr="00080630" w:rsidRDefault="0015461A" w:rsidP="0015461A">
      <w:pPr>
        <w:pStyle w:val="FootnoteText"/>
        <w:bidi w:val="0"/>
        <w:jc w:val="both"/>
        <w:rPr>
          <w:rtl/>
        </w:rPr>
      </w:pPr>
      <w:r w:rsidRPr="00021CCD">
        <w:rPr>
          <w:rStyle w:val="FootnoteReference"/>
        </w:rPr>
        <w:footnoteRef/>
      </w:r>
      <w:r w:rsidRPr="00021CCD">
        <w:rPr>
          <w:rtl/>
        </w:rPr>
        <w:t xml:space="preserve"> </w:t>
      </w:r>
      <w:r w:rsidRPr="0015461A">
        <w:rPr>
          <w:rFonts w:asciiTheme="majorBidi" w:hAnsiTheme="majorBidi" w:cstheme="majorBidi"/>
        </w:rPr>
        <w:t xml:space="preserve">20 &amp; 21 </w:t>
      </w:r>
      <w:proofErr w:type="spellStart"/>
      <w:r w:rsidRPr="0015461A">
        <w:rPr>
          <w:rFonts w:asciiTheme="majorBidi" w:hAnsiTheme="majorBidi" w:cstheme="majorBidi"/>
        </w:rPr>
        <w:t>Vict</w:t>
      </w:r>
      <w:proofErr w:type="spellEnd"/>
      <w:r w:rsidRPr="0015461A">
        <w:rPr>
          <w:rFonts w:asciiTheme="majorBidi" w:hAnsiTheme="majorBidi" w:cstheme="majorBidi"/>
        </w:rPr>
        <w:t>., c.83 (1857) (Eng.)</w:t>
      </w:r>
    </w:p>
  </w:footnote>
  <w:footnote w:id="4">
    <w:p w14:paraId="21E28CC8" w14:textId="52F8E1D8" w:rsidR="0015461A" w:rsidRPr="00080630" w:rsidRDefault="0015461A" w:rsidP="0015461A">
      <w:pPr>
        <w:pStyle w:val="FootnoteText"/>
        <w:bidi w:val="0"/>
        <w:jc w:val="both"/>
        <w:rPr>
          <w:rtl/>
        </w:rPr>
      </w:pPr>
      <w:r w:rsidRPr="00021CCD">
        <w:rPr>
          <w:rStyle w:val="FootnoteReference"/>
        </w:rPr>
        <w:footnoteRef/>
      </w:r>
      <w:r>
        <w:rPr>
          <w:lang w:val="en-US"/>
        </w:rPr>
        <w:t xml:space="preserve"> </w:t>
      </w:r>
      <w:r w:rsidR="00520BFD">
        <w:rPr>
          <w:rFonts w:asciiTheme="majorBidi" w:hAnsiTheme="majorBidi" w:cstheme="majorBidi"/>
          <w:lang w:val="en-US"/>
        </w:rPr>
        <w:t>See footnote 14 below</w:t>
      </w:r>
      <w:r w:rsidRPr="0015461A">
        <w:rPr>
          <w:rFonts w:asciiTheme="majorBidi" w:hAnsiTheme="majorBidi" w:cstheme="majorBidi"/>
          <w:lang w:val="en-US"/>
        </w:rPr>
        <w:t>.</w:t>
      </w:r>
      <w:r w:rsidRPr="00080630">
        <w:rPr>
          <w:rFonts w:hint="cs"/>
          <w:rtl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436"/>
    <w:rsid w:val="00036668"/>
    <w:rsid w:val="00057A1B"/>
    <w:rsid w:val="00113402"/>
    <w:rsid w:val="0015461A"/>
    <w:rsid w:val="001F7E7E"/>
    <w:rsid w:val="00274025"/>
    <w:rsid w:val="002D2C7C"/>
    <w:rsid w:val="002D6884"/>
    <w:rsid w:val="00341B70"/>
    <w:rsid w:val="00346DF8"/>
    <w:rsid w:val="00414A75"/>
    <w:rsid w:val="004270DE"/>
    <w:rsid w:val="00506D4B"/>
    <w:rsid w:val="00520BFD"/>
    <w:rsid w:val="00530436"/>
    <w:rsid w:val="0054154B"/>
    <w:rsid w:val="005A3C24"/>
    <w:rsid w:val="006005C2"/>
    <w:rsid w:val="00634911"/>
    <w:rsid w:val="006A3BB3"/>
    <w:rsid w:val="007C793B"/>
    <w:rsid w:val="0084180F"/>
    <w:rsid w:val="00891C4B"/>
    <w:rsid w:val="008F0D1A"/>
    <w:rsid w:val="00992B87"/>
    <w:rsid w:val="009F4EFE"/>
    <w:rsid w:val="00A40BAE"/>
    <w:rsid w:val="00A42A7A"/>
    <w:rsid w:val="00A7592B"/>
    <w:rsid w:val="00AB3C93"/>
    <w:rsid w:val="00B51704"/>
    <w:rsid w:val="00B84576"/>
    <w:rsid w:val="00B90106"/>
    <w:rsid w:val="00C2647B"/>
    <w:rsid w:val="00D83C34"/>
    <w:rsid w:val="00E619B4"/>
    <w:rsid w:val="00E76D71"/>
    <w:rsid w:val="00EA1BA1"/>
    <w:rsid w:val="00EC66E6"/>
    <w:rsid w:val="00EF0014"/>
    <w:rsid w:val="00FC250A"/>
    <w:rsid w:val="00FE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9E6E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David"/>
        <w:sz w:val="24"/>
        <w:szCs w:val="24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3BB3"/>
    <w:pPr>
      <w:bidi/>
    </w:pPr>
    <w:rPr>
      <w:rFonts w:ascii="Times New Roman" w:eastAsia="Calibri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6A3BB3"/>
    <w:pPr>
      <w:spacing w:after="0" w:line="240" w:lineRule="auto"/>
    </w:pPr>
    <w:rPr>
      <w:rFonts w:ascii="Calibri" w:hAnsi="Calibri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A3BB3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FootnoteReference">
    <w:name w:val="footnote reference"/>
    <w:semiHidden/>
    <w:unhideWhenUsed/>
    <w:rsid w:val="006A3B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418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80F"/>
    <w:rPr>
      <w:rFonts w:ascii="Times New Roman" w:eastAsia="Calibri" w:hAnsi="Times New Roman"/>
    </w:rPr>
  </w:style>
  <w:style w:type="paragraph" w:styleId="Footer">
    <w:name w:val="footer"/>
    <w:basedOn w:val="Normal"/>
    <w:link w:val="FooterChar"/>
    <w:uiPriority w:val="99"/>
    <w:unhideWhenUsed/>
    <w:rsid w:val="008418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80F"/>
    <w:rPr>
      <w:rFonts w:ascii="Times New Roman" w:eastAsia="Calibr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8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התאמה אישית 2">
      <a:dk1>
        <a:srgbClr val="FF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2018-06-25T11:55:00Z</dcterms:created>
  <dcterms:modified xsi:type="dcterms:W3CDTF">2018-06-25T11:55:00Z</dcterms:modified>
</cp:coreProperties>
</file>