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209" w:rsidRPr="00375095" w:rsidRDefault="006E6A66" w:rsidP="00FF443D">
      <w:pPr>
        <w:bidi w:val="0"/>
        <w:spacing w:line="360" w:lineRule="auto"/>
        <w:jc w:val="center"/>
        <w:rPr>
          <w:color w:val="000000"/>
        </w:rPr>
      </w:pPr>
      <w:r w:rsidRPr="00375095">
        <w:rPr>
          <w:color w:val="000000"/>
        </w:rPr>
        <w:t>Chapter Five</w:t>
      </w:r>
    </w:p>
    <w:p w:rsidR="006E6A66" w:rsidRPr="00375095" w:rsidRDefault="00C702D0" w:rsidP="00FF443D">
      <w:pPr>
        <w:bidi w:val="0"/>
        <w:spacing w:line="360" w:lineRule="auto"/>
        <w:jc w:val="center"/>
        <w:rPr>
          <w:b/>
          <w:bCs/>
          <w:color w:val="000000"/>
        </w:rPr>
      </w:pPr>
      <w:r w:rsidRPr="00375095">
        <w:rPr>
          <w:b/>
          <w:bCs/>
          <w:color w:val="000000"/>
        </w:rPr>
        <w:t>The N</w:t>
      </w:r>
      <w:bookmarkStart w:id="0" w:name="_GoBack"/>
      <w:bookmarkEnd w:id="0"/>
      <w:r w:rsidRPr="00375095">
        <w:rPr>
          <w:b/>
          <w:bCs/>
          <w:color w:val="000000"/>
        </w:rPr>
        <w:t>arrative and its Reading: A Dialogical Reading</w:t>
      </w:r>
    </w:p>
    <w:p w:rsidR="00C702D0" w:rsidRPr="00375095" w:rsidRDefault="00C702D0" w:rsidP="00FF443D">
      <w:pPr>
        <w:bidi w:val="0"/>
        <w:spacing w:line="360" w:lineRule="auto"/>
        <w:jc w:val="center"/>
        <w:rPr>
          <w:b/>
          <w:bCs/>
          <w:color w:val="000000"/>
        </w:rPr>
      </w:pPr>
    </w:p>
    <w:p w:rsidR="00C702D0" w:rsidRPr="00375095" w:rsidRDefault="002E5A4C" w:rsidP="00FF443D">
      <w:pPr>
        <w:bidi w:val="0"/>
        <w:spacing w:line="360" w:lineRule="auto"/>
        <w:rPr>
          <w:color w:val="000000"/>
        </w:rPr>
      </w:pPr>
      <w:r w:rsidRPr="00375095">
        <w:rPr>
          <w:color w:val="000000"/>
        </w:rPr>
        <w:t>To speak of the meaning of the work is to tell a story of reading (J. Culler).</w:t>
      </w:r>
      <w:r w:rsidRPr="00375095">
        <w:rPr>
          <w:rStyle w:val="FootnoteReference"/>
          <w:color w:val="000000"/>
        </w:rPr>
        <w:footnoteReference w:id="1"/>
      </w:r>
      <w:r w:rsidRPr="00375095">
        <w:rPr>
          <w:color w:val="000000"/>
        </w:rPr>
        <w:t xml:space="preserve"> </w:t>
      </w:r>
    </w:p>
    <w:p w:rsidR="0070395E" w:rsidRPr="00375095" w:rsidRDefault="0070395E" w:rsidP="00FF443D">
      <w:pPr>
        <w:bidi w:val="0"/>
        <w:spacing w:line="360" w:lineRule="auto"/>
        <w:rPr>
          <w:color w:val="000000"/>
        </w:rPr>
      </w:pPr>
      <w:r w:rsidRPr="00375095">
        <w:rPr>
          <w:color w:val="000000"/>
        </w:rPr>
        <w:t>Each reading of a book, each re-reading, each memory of that re-reading, reinvents the text (J. L. Borges).</w:t>
      </w:r>
      <w:r w:rsidRPr="00375095">
        <w:rPr>
          <w:rStyle w:val="FootnoteReference"/>
          <w:color w:val="000000"/>
        </w:rPr>
        <w:footnoteReference w:id="2"/>
      </w:r>
    </w:p>
    <w:p w:rsidR="00FF443D" w:rsidRPr="00375095" w:rsidRDefault="00FF443D" w:rsidP="00FF443D">
      <w:pPr>
        <w:bidi w:val="0"/>
        <w:spacing w:line="360" w:lineRule="auto"/>
        <w:rPr>
          <w:color w:val="000000"/>
        </w:rPr>
      </w:pPr>
    </w:p>
    <w:p w:rsidR="00FF443D" w:rsidRPr="00375095" w:rsidRDefault="00B45D89" w:rsidP="00103833">
      <w:pPr>
        <w:bidi w:val="0"/>
        <w:spacing w:line="360" w:lineRule="auto"/>
        <w:ind w:firstLine="720"/>
        <w:rPr>
          <w:color w:val="000000"/>
        </w:rPr>
      </w:pPr>
      <w:r w:rsidRPr="00375095">
        <w:rPr>
          <w:color w:val="000000"/>
        </w:rPr>
        <w:t>From the very first chapter of this book, I have stressed</w:t>
      </w:r>
      <w:r w:rsidR="00DF78D4" w:rsidRPr="00375095">
        <w:rPr>
          <w:color w:val="000000"/>
        </w:rPr>
        <w:t xml:space="preserve"> </w:t>
      </w:r>
      <w:r w:rsidR="00864D6C" w:rsidRPr="00375095">
        <w:rPr>
          <w:color w:val="000000"/>
        </w:rPr>
        <w:t xml:space="preserve">that the </w:t>
      </w:r>
      <w:r w:rsidR="0081256A" w:rsidRPr="00375095">
        <w:rPr>
          <w:color w:val="000000"/>
        </w:rPr>
        <w:t>homiletical</w:t>
      </w:r>
      <w:r w:rsidR="00864D6C" w:rsidRPr="00375095">
        <w:rPr>
          <w:color w:val="000000"/>
        </w:rPr>
        <w:t xml:space="preserve"> </w:t>
      </w:r>
      <w:r w:rsidR="00A37BF5" w:rsidRPr="00375095">
        <w:rPr>
          <w:color w:val="000000"/>
        </w:rPr>
        <w:t xml:space="preserve">narrative is </w:t>
      </w:r>
      <w:r w:rsidR="0081256A" w:rsidRPr="00375095">
        <w:rPr>
          <w:color w:val="000000"/>
        </w:rPr>
        <w:t xml:space="preserve">a reading of </w:t>
      </w:r>
      <w:r w:rsidR="001E6FF1" w:rsidRPr="00375095">
        <w:rPr>
          <w:color w:val="000000"/>
        </w:rPr>
        <w:t>the biblical story</w:t>
      </w:r>
      <w:r w:rsidR="00AA6DA2" w:rsidRPr="00375095">
        <w:rPr>
          <w:color w:val="000000"/>
        </w:rPr>
        <w:t xml:space="preserve">, </w:t>
      </w:r>
      <w:r w:rsidR="009C0BD3" w:rsidRPr="00375095">
        <w:rPr>
          <w:color w:val="000000"/>
        </w:rPr>
        <w:t>blend</w:t>
      </w:r>
      <w:r w:rsidR="00AA6DA2" w:rsidRPr="00375095">
        <w:rPr>
          <w:color w:val="000000"/>
        </w:rPr>
        <w:t>ing</w:t>
      </w:r>
      <w:r w:rsidR="00F25F4D" w:rsidRPr="00375095">
        <w:rPr>
          <w:color w:val="000000"/>
        </w:rPr>
        <w:t xml:space="preserve"> </w:t>
      </w:r>
      <w:r w:rsidR="00445DFE" w:rsidRPr="00375095">
        <w:rPr>
          <w:color w:val="000000"/>
        </w:rPr>
        <w:t>narrative</w:t>
      </w:r>
      <w:r w:rsidR="004922CB" w:rsidRPr="00375095">
        <w:rPr>
          <w:color w:val="000000"/>
        </w:rPr>
        <w:t xml:space="preserve"> </w:t>
      </w:r>
      <w:r w:rsidR="000F7708" w:rsidRPr="00375095">
        <w:rPr>
          <w:color w:val="000000"/>
        </w:rPr>
        <w:t>and</w:t>
      </w:r>
      <w:r w:rsidRPr="00375095">
        <w:rPr>
          <w:color w:val="000000"/>
        </w:rPr>
        <w:t xml:space="preserve"> interpretation</w:t>
      </w:r>
      <w:r w:rsidR="004922CB" w:rsidRPr="00375095">
        <w:rPr>
          <w:color w:val="000000"/>
        </w:rPr>
        <w:t xml:space="preserve">. I have attempted to </w:t>
      </w:r>
      <w:r w:rsidR="00364B74" w:rsidRPr="00375095">
        <w:rPr>
          <w:color w:val="000000"/>
        </w:rPr>
        <w:t>uncover</w:t>
      </w:r>
      <w:r w:rsidR="004922CB" w:rsidRPr="00375095">
        <w:rPr>
          <w:color w:val="000000"/>
        </w:rPr>
        <w:t xml:space="preserve"> the </w:t>
      </w:r>
      <w:r w:rsidR="00222FF2" w:rsidRPr="00375095">
        <w:rPr>
          <w:color w:val="000000"/>
        </w:rPr>
        <w:t xml:space="preserve">diverse </w:t>
      </w:r>
      <w:r w:rsidR="00B435DF" w:rsidRPr="00375095">
        <w:rPr>
          <w:color w:val="000000"/>
        </w:rPr>
        <w:t xml:space="preserve">implications </w:t>
      </w:r>
      <w:r w:rsidR="00222FF2" w:rsidRPr="00375095">
        <w:rPr>
          <w:color w:val="000000"/>
        </w:rPr>
        <w:t xml:space="preserve">of </w:t>
      </w:r>
      <w:r w:rsidR="0068398B" w:rsidRPr="00375095">
        <w:rPr>
          <w:color w:val="000000"/>
        </w:rPr>
        <w:t>this dichotomy</w:t>
      </w:r>
      <w:r w:rsidR="006A572D" w:rsidRPr="00375095">
        <w:rPr>
          <w:color w:val="000000"/>
        </w:rPr>
        <w:t xml:space="preserve"> in the</w:t>
      </w:r>
      <w:r w:rsidR="0068398B" w:rsidRPr="00375095">
        <w:rPr>
          <w:color w:val="000000"/>
        </w:rPr>
        <w:t xml:space="preserve"> </w:t>
      </w:r>
      <w:r w:rsidR="00391850" w:rsidRPr="00375095">
        <w:rPr>
          <w:color w:val="000000"/>
        </w:rPr>
        <w:t xml:space="preserve">various </w:t>
      </w:r>
      <w:r w:rsidR="0061605E" w:rsidRPr="00375095">
        <w:rPr>
          <w:color w:val="000000"/>
        </w:rPr>
        <w:t>strata</w:t>
      </w:r>
      <w:r w:rsidR="006A572D" w:rsidRPr="00375095">
        <w:rPr>
          <w:color w:val="000000"/>
        </w:rPr>
        <w:t xml:space="preserve"> of this</w:t>
      </w:r>
      <w:r w:rsidR="0068398B" w:rsidRPr="00375095">
        <w:rPr>
          <w:color w:val="000000"/>
        </w:rPr>
        <w:t xml:space="preserve"> genre</w:t>
      </w:r>
      <w:r w:rsidR="006A572D" w:rsidRPr="00375095">
        <w:rPr>
          <w:color w:val="000000"/>
        </w:rPr>
        <w:t xml:space="preserve">. </w:t>
      </w:r>
      <w:r w:rsidR="00A13A64" w:rsidRPr="00375095">
        <w:rPr>
          <w:color w:val="000000"/>
        </w:rPr>
        <w:t xml:space="preserve">I have not yet touched on the </w:t>
      </w:r>
      <w:r w:rsidR="0041470B" w:rsidRPr="00375095">
        <w:rPr>
          <w:color w:val="000000"/>
        </w:rPr>
        <w:t>critical</w:t>
      </w:r>
      <w:r w:rsidR="00A13A64" w:rsidRPr="00375095">
        <w:rPr>
          <w:color w:val="000000"/>
        </w:rPr>
        <w:t xml:space="preserve"> link between </w:t>
      </w:r>
      <w:r w:rsidR="00476B50" w:rsidRPr="00375095">
        <w:rPr>
          <w:color w:val="000000"/>
        </w:rPr>
        <w:t xml:space="preserve">narrative </w:t>
      </w:r>
      <w:r w:rsidR="00AA6DA2" w:rsidRPr="00375095">
        <w:rPr>
          <w:color w:val="000000"/>
        </w:rPr>
        <w:t>and</w:t>
      </w:r>
      <w:r w:rsidR="000F5EDE" w:rsidRPr="00375095">
        <w:rPr>
          <w:color w:val="000000"/>
        </w:rPr>
        <w:t xml:space="preserve"> </w:t>
      </w:r>
      <w:r w:rsidR="00733AD7" w:rsidRPr="00375095">
        <w:rPr>
          <w:color w:val="000000"/>
        </w:rPr>
        <w:t>interpretatio</w:t>
      </w:r>
      <w:r w:rsidR="00BF33D2" w:rsidRPr="00375095">
        <w:rPr>
          <w:color w:val="000000"/>
        </w:rPr>
        <w:t xml:space="preserve">n </w:t>
      </w:r>
      <w:r w:rsidR="00733AD7" w:rsidRPr="00375095">
        <w:rPr>
          <w:color w:val="000000"/>
        </w:rPr>
        <w:t xml:space="preserve">– namely the reader. </w:t>
      </w:r>
      <w:r w:rsidR="008F4FF2" w:rsidRPr="00375095">
        <w:rPr>
          <w:color w:val="000000"/>
        </w:rPr>
        <w:t xml:space="preserve">In the preceding chapter, </w:t>
      </w:r>
      <w:r w:rsidR="005106E4" w:rsidRPr="00375095">
        <w:rPr>
          <w:color w:val="000000"/>
        </w:rPr>
        <w:t>while</w:t>
      </w:r>
      <w:r w:rsidR="00C02860" w:rsidRPr="00375095">
        <w:rPr>
          <w:color w:val="000000"/>
        </w:rPr>
        <w:t xml:space="preserve"> </w:t>
      </w:r>
      <w:r w:rsidR="008F4FF2" w:rsidRPr="00375095">
        <w:rPr>
          <w:color w:val="000000"/>
        </w:rPr>
        <w:t xml:space="preserve">attempting to </w:t>
      </w:r>
      <w:r w:rsidR="005106E4" w:rsidRPr="00375095">
        <w:rPr>
          <w:color w:val="000000"/>
        </w:rPr>
        <w:t>characterize the</w:t>
      </w:r>
      <w:r w:rsidR="00733AD7" w:rsidRPr="00375095">
        <w:rPr>
          <w:color w:val="000000"/>
        </w:rPr>
        <w:t xml:space="preserve"> </w:t>
      </w:r>
      <w:r w:rsidR="00990FCC" w:rsidRPr="00375095">
        <w:rPr>
          <w:color w:val="000000"/>
        </w:rPr>
        <w:t xml:space="preserve">narrator </w:t>
      </w:r>
      <w:r w:rsidR="009440D7" w:rsidRPr="00375095">
        <w:rPr>
          <w:color w:val="000000"/>
        </w:rPr>
        <w:t>of</w:t>
      </w:r>
      <w:r w:rsidR="00990FCC" w:rsidRPr="00375095">
        <w:rPr>
          <w:color w:val="000000"/>
        </w:rPr>
        <w:t xml:space="preserve"> </w:t>
      </w:r>
      <w:r w:rsidR="00922A9C" w:rsidRPr="00375095">
        <w:rPr>
          <w:color w:val="000000"/>
        </w:rPr>
        <w:t xml:space="preserve">homiletical narratives, </w:t>
      </w:r>
      <w:r w:rsidR="00D047D2" w:rsidRPr="00375095">
        <w:rPr>
          <w:color w:val="000000"/>
        </w:rPr>
        <w:t xml:space="preserve">we saw that it was impossible to deal with the narrator without </w:t>
      </w:r>
      <w:r w:rsidR="00E16BBF" w:rsidRPr="00375095">
        <w:rPr>
          <w:color w:val="000000"/>
        </w:rPr>
        <w:t xml:space="preserve">repeatedly </w:t>
      </w:r>
      <w:r w:rsidR="00D50095" w:rsidRPr="00375095">
        <w:rPr>
          <w:color w:val="000000"/>
        </w:rPr>
        <w:t>referring to</w:t>
      </w:r>
      <w:r w:rsidR="009E5027" w:rsidRPr="00375095">
        <w:rPr>
          <w:color w:val="000000"/>
        </w:rPr>
        <w:t xml:space="preserve"> </w:t>
      </w:r>
      <w:r w:rsidR="00B6294E" w:rsidRPr="00375095">
        <w:rPr>
          <w:color w:val="000000"/>
        </w:rPr>
        <w:t xml:space="preserve">his </w:t>
      </w:r>
      <w:r w:rsidR="00CB214A" w:rsidRPr="00375095">
        <w:rPr>
          <w:color w:val="000000"/>
        </w:rPr>
        <w:t>mirror image</w:t>
      </w:r>
      <w:r w:rsidR="00D16FBF" w:rsidRPr="00375095">
        <w:rPr>
          <w:color w:val="000000"/>
        </w:rPr>
        <w:t xml:space="preserve"> </w:t>
      </w:r>
      <w:r w:rsidR="0069506F" w:rsidRPr="00375095">
        <w:rPr>
          <w:color w:val="000000"/>
        </w:rPr>
        <w:t xml:space="preserve">– his </w:t>
      </w:r>
      <w:r w:rsidR="00E60393" w:rsidRPr="00375095">
        <w:rPr>
          <w:color w:val="000000"/>
        </w:rPr>
        <w:t>fictional</w:t>
      </w:r>
      <w:r w:rsidR="0069506F" w:rsidRPr="00375095">
        <w:rPr>
          <w:color w:val="000000"/>
        </w:rPr>
        <w:t xml:space="preserve"> </w:t>
      </w:r>
      <w:r w:rsidR="000939E7" w:rsidRPr="00375095">
        <w:rPr>
          <w:color w:val="000000"/>
        </w:rPr>
        <w:t>addressee</w:t>
      </w:r>
      <w:r w:rsidR="004568D1" w:rsidRPr="00375095">
        <w:rPr>
          <w:color w:val="000000"/>
        </w:rPr>
        <w:t xml:space="preserve"> </w:t>
      </w:r>
      <w:r w:rsidR="000939E7" w:rsidRPr="00375095">
        <w:rPr>
          <w:color w:val="000000"/>
        </w:rPr>
        <w:t>who</w:t>
      </w:r>
      <w:r w:rsidR="004568D1" w:rsidRPr="00375095">
        <w:rPr>
          <w:color w:val="000000"/>
        </w:rPr>
        <w:t xml:space="preserve"> </w:t>
      </w:r>
      <w:r w:rsidR="00D43A4E" w:rsidRPr="00375095">
        <w:rPr>
          <w:color w:val="000000"/>
        </w:rPr>
        <w:t>tends to</w:t>
      </w:r>
      <w:r w:rsidR="00F81CB0" w:rsidRPr="00375095">
        <w:rPr>
          <w:color w:val="000000"/>
        </w:rPr>
        <w:t xml:space="preserve"> </w:t>
      </w:r>
      <w:r w:rsidR="00BA71BB" w:rsidRPr="00375095">
        <w:rPr>
          <w:color w:val="000000"/>
        </w:rPr>
        <w:t>coincide</w:t>
      </w:r>
      <w:r w:rsidR="00D43A4E" w:rsidRPr="00375095">
        <w:rPr>
          <w:color w:val="000000"/>
        </w:rPr>
        <w:t xml:space="preserve"> </w:t>
      </w:r>
      <w:r w:rsidR="00F81CB0" w:rsidRPr="00375095">
        <w:rPr>
          <w:color w:val="000000"/>
        </w:rPr>
        <w:t xml:space="preserve">with </w:t>
      </w:r>
      <w:r w:rsidR="008247F0" w:rsidRPr="00375095">
        <w:rPr>
          <w:color w:val="000000"/>
        </w:rPr>
        <w:t>the</w:t>
      </w:r>
      <w:r w:rsidR="0069506F" w:rsidRPr="00375095">
        <w:rPr>
          <w:color w:val="000000"/>
        </w:rPr>
        <w:t xml:space="preserve"> </w:t>
      </w:r>
      <w:r w:rsidR="00D5579D" w:rsidRPr="00375095">
        <w:rPr>
          <w:color w:val="000000"/>
        </w:rPr>
        <w:t>implied reader</w:t>
      </w:r>
      <w:r w:rsidR="004568D1" w:rsidRPr="00375095">
        <w:rPr>
          <w:color w:val="000000"/>
        </w:rPr>
        <w:t xml:space="preserve">. </w:t>
      </w:r>
      <w:r w:rsidR="00DA2A2E" w:rsidRPr="00375095">
        <w:rPr>
          <w:color w:val="000000"/>
        </w:rPr>
        <w:t>One of our</w:t>
      </w:r>
      <w:r w:rsidR="007F25AA" w:rsidRPr="00375095">
        <w:rPr>
          <w:color w:val="000000"/>
        </w:rPr>
        <w:t xml:space="preserve"> surprising </w:t>
      </w:r>
      <w:r w:rsidR="000D2FE0" w:rsidRPr="00375095">
        <w:rPr>
          <w:color w:val="000000"/>
        </w:rPr>
        <w:t>discoveries</w:t>
      </w:r>
      <w:r w:rsidR="00DA2A2E" w:rsidRPr="00375095">
        <w:rPr>
          <w:color w:val="000000"/>
        </w:rPr>
        <w:t xml:space="preserve"> </w:t>
      </w:r>
      <w:r w:rsidR="000D2FE0" w:rsidRPr="00375095">
        <w:rPr>
          <w:color w:val="000000"/>
        </w:rPr>
        <w:t>was</w:t>
      </w:r>
      <w:r w:rsidR="00C55CDF" w:rsidRPr="00375095">
        <w:rPr>
          <w:color w:val="000000"/>
        </w:rPr>
        <w:t xml:space="preserve"> the dominant role of </w:t>
      </w:r>
      <w:r w:rsidR="00EB4160" w:rsidRPr="00375095">
        <w:rPr>
          <w:color w:val="000000"/>
        </w:rPr>
        <w:t xml:space="preserve">this </w:t>
      </w:r>
      <w:r w:rsidR="008A4CA9" w:rsidRPr="00375095">
        <w:rPr>
          <w:color w:val="000000"/>
        </w:rPr>
        <w:t xml:space="preserve">addressee </w:t>
      </w:r>
      <w:r w:rsidR="008E74DA" w:rsidRPr="00375095">
        <w:rPr>
          <w:color w:val="000000"/>
        </w:rPr>
        <w:t>with</w:t>
      </w:r>
      <w:r w:rsidR="00BB5E16" w:rsidRPr="00375095">
        <w:rPr>
          <w:color w:val="000000"/>
        </w:rPr>
        <w:t>in</w:t>
      </w:r>
      <w:r w:rsidR="00555188" w:rsidRPr="00375095">
        <w:rPr>
          <w:color w:val="000000"/>
        </w:rPr>
        <w:t xml:space="preserve"> </w:t>
      </w:r>
      <w:r w:rsidR="00DA2A2E" w:rsidRPr="00375095">
        <w:rPr>
          <w:color w:val="000000"/>
        </w:rPr>
        <w:t xml:space="preserve">the </w:t>
      </w:r>
      <w:r w:rsidR="00555188" w:rsidRPr="00375095">
        <w:rPr>
          <w:color w:val="000000"/>
        </w:rPr>
        <w:t xml:space="preserve">various </w:t>
      </w:r>
      <w:r w:rsidR="00DA2A2E" w:rsidRPr="00375095">
        <w:rPr>
          <w:color w:val="000000"/>
        </w:rPr>
        <w:t>strata</w:t>
      </w:r>
      <w:r w:rsidR="00555188" w:rsidRPr="00375095">
        <w:rPr>
          <w:color w:val="000000"/>
        </w:rPr>
        <w:t xml:space="preserve"> of </w:t>
      </w:r>
      <w:r w:rsidR="006F7091" w:rsidRPr="00375095">
        <w:rPr>
          <w:color w:val="000000"/>
        </w:rPr>
        <w:t xml:space="preserve">actualizing the </w:t>
      </w:r>
      <w:r w:rsidR="0071626F" w:rsidRPr="00375095">
        <w:rPr>
          <w:color w:val="000000"/>
        </w:rPr>
        <w:t>implications</w:t>
      </w:r>
      <w:r w:rsidR="006F7091" w:rsidRPr="00375095">
        <w:rPr>
          <w:color w:val="000000"/>
        </w:rPr>
        <w:t xml:space="preserve"> </w:t>
      </w:r>
      <w:r w:rsidR="000D6EC7" w:rsidRPr="00375095">
        <w:rPr>
          <w:color w:val="000000"/>
        </w:rPr>
        <w:t xml:space="preserve">of the text, and in creating an alliance </w:t>
      </w:r>
      <w:r w:rsidR="0071626F" w:rsidRPr="00375095">
        <w:rPr>
          <w:color w:val="000000"/>
        </w:rPr>
        <w:t xml:space="preserve">between the narrator and the reader </w:t>
      </w:r>
      <w:r w:rsidR="009270F7" w:rsidRPr="00375095">
        <w:rPr>
          <w:color w:val="000000"/>
        </w:rPr>
        <w:t xml:space="preserve">with respect to the </w:t>
      </w:r>
      <w:r w:rsidR="000D6EC7" w:rsidRPr="00375095">
        <w:rPr>
          <w:color w:val="000000"/>
        </w:rPr>
        <w:t xml:space="preserve">characters. When we say that the narrator </w:t>
      </w:r>
      <w:r w:rsidR="00D63039" w:rsidRPr="00375095">
        <w:rPr>
          <w:color w:val="000000"/>
        </w:rPr>
        <w:t>seeks to create</w:t>
      </w:r>
      <w:r w:rsidR="00E40D42" w:rsidRPr="00375095">
        <w:rPr>
          <w:color w:val="000000"/>
        </w:rPr>
        <w:t xml:space="preserve"> </w:t>
      </w:r>
      <w:r w:rsidR="00B44F3E" w:rsidRPr="00375095">
        <w:rPr>
          <w:color w:val="000000"/>
        </w:rPr>
        <w:t>a hermeneutic partnership</w:t>
      </w:r>
      <w:r w:rsidR="006B1595" w:rsidRPr="00375095">
        <w:rPr>
          <w:color w:val="000000"/>
        </w:rPr>
        <w:t xml:space="preserve">, </w:t>
      </w:r>
      <w:r w:rsidR="00C57F1C" w:rsidRPr="00375095">
        <w:rPr>
          <w:color w:val="000000"/>
        </w:rPr>
        <w:t xml:space="preserve">we mean that </w:t>
      </w:r>
      <w:r w:rsidR="00705FBE" w:rsidRPr="00375095">
        <w:rPr>
          <w:color w:val="000000"/>
        </w:rPr>
        <w:t xml:space="preserve">this partnership is </w:t>
      </w:r>
      <w:r w:rsidR="00D63039" w:rsidRPr="00375095">
        <w:rPr>
          <w:color w:val="000000"/>
        </w:rPr>
        <w:t>formed</w:t>
      </w:r>
      <w:r w:rsidR="00705FBE" w:rsidRPr="00375095">
        <w:rPr>
          <w:color w:val="000000"/>
        </w:rPr>
        <w:t xml:space="preserve"> with the </w:t>
      </w:r>
      <w:r w:rsidR="00D5579D" w:rsidRPr="00375095">
        <w:rPr>
          <w:color w:val="000000"/>
        </w:rPr>
        <w:t>implied reader</w:t>
      </w:r>
      <w:r w:rsidR="00705FBE" w:rsidRPr="00375095">
        <w:rPr>
          <w:color w:val="000000"/>
        </w:rPr>
        <w:t xml:space="preserve">. </w:t>
      </w:r>
      <w:r w:rsidR="008F1E9E" w:rsidRPr="00375095">
        <w:rPr>
          <w:color w:val="000000"/>
        </w:rPr>
        <w:t xml:space="preserve">The narrator’s positions, both stated and </w:t>
      </w:r>
      <w:r w:rsidR="00EE6968" w:rsidRPr="00375095">
        <w:rPr>
          <w:color w:val="000000"/>
        </w:rPr>
        <w:t>concealed</w:t>
      </w:r>
      <w:r w:rsidR="005F6852" w:rsidRPr="00375095">
        <w:rPr>
          <w:color w:val="000000"/>
        </w:rPr>
        <w:t xml:space="preserve">, invite the reader to adopt </w:t>
      </w:r>
      <w:r w:rsidR="0070726D" w:rsidRPr="00375095">
        <w:rPr>
          <w:color w:val="000000"/>
        </w:rPr>
        <w:t xml:space="preserve">these positions and to view the </w:t>
      </w:r>
      <w:r w:rsidR="00B36985" w:rsidRPr="00375095">
        <w:rPr>
          <w:color w:val="000000"/>
        </w:rPr>
        <w:t xml:space="preserve">presented </w:t>
      </w:r>
      <w:r w:rsidR="0070726D" w:rsidRPr="00375095">
        <w:rPr>
          <w:color w:val="000000"/>
        </w:rPr>
        <w:t xml:space="preserve">world together with him. </w:t>
      </w:r>
      <w:r w:rsidR="005E1149" w:rsidRPr="00375095">
        <w:rPr>
          <w:color w:val="000000"/>
        </w:rPr>
        <w:t>The reader fared</w:t>
      </w:r>
      <w:r w:rsidR="00A27445" w:rsidRPr="00375095">
        <w:rPr>
          <w:color w:val="000000"/>
        </w:rPr>
        <w:t xml:space="preserve"> no better than the narrator</w:t>
      </w:r>
      <w:r w:rsidR="00997296" w:rsidRPr="00375095">
        <w:rPr>
          <w:color w:val="000000"/>
        </w:rPr>
        <w:t xml:space="preserve"> in</w:t>
      </w:r>
      <w:r w:rsidR="00A27445" w:rsidRPr="00375095">
        <w:rPr>
          <w:color w:val="000000"/>
        </w:rPr>
        <w:t xml:space="preserve"> </w:t>
      </w:r>
      <w:r w:rsidR="003E31B3" w:rsidRPr="00375095">
        <w:rPr>
          <w:rStyle w:val="Emphasis"/>
          <w:i w:val="0"/>
          <w:iCs w:val="0"/>
          <w:color w:val="000000"/>
        </w:rPr>
        <w:t>midrashic scholarship</w:t>
      </w:r>
      <w:r w:rsidR="00647FCB" w:rsidRPr="00375095">
        <w:rPr>
          <w:color w:val="000000"/>
        </w:rPr>
        <w:t xml:space="preserve">. While the </w:t>
      </w:r>
      <w:r w:rsidR="00D45270" w:rsidRPr="00375095">
        <w:rPr>
          <w:color w:val="000000"/>
        </w:rPr>
        <w:t xml:space="preserve">literary approaches to </w:t>
      </w:r>
      <w:r w:rsidR="0099598F" w:rsidRPr="00375095">
        <w:rPr>
          <w:color w:val="000000"/>
        </w:rPr>
        <w:t xml:space="preserve">Aggadic literature </w:t>
      </w:r>
      <w:r w:rsidR="00BF1DFC" w:rsidRPr="00375095">
        <w:rPr>
          <w:color w:val="000000"/>
        </w:rPr>
        <w:t xml:space="preserve">generally </w:t>
      </w:r>
      <w:r w:rsidR="001E4259" w:rsidRPr="00375095">
        <w:rPr>
          <w:color w:val="000000"/>
        </w:rPr>
        <w:t>neglected</w:t>
      </w:r>
      <w:r w:rsidR="00BF1DFC" w:rsidRPr="00375095">
        <w:rPr>
          <w:color w:val="000000"/>
        </w:rPr>
        <w:t xml:space="preserve"> the narrator as </w:t>
      </w:r>
      <w:r w:rsidR="00347D74" w:rsidRPr="00375095">
        <w:rPr>
          <w:color w:val="000000"/>
        </w:rPr>
        <w:t xml:space="preserve">a </w:t>
      </w:r>
      <w:r w:rsidR="0079492E" w:rsidRPr="00375095">
        <w:rPr>
          <w:color w:val="000000"/>
        </w:rPr>
        <w:t xml:space="preserve">significant </w:t>
      </w:r>
      <w:r w:rsidR="001E4259" w:rsidRPr="00375095">
        <w:rPr>
          <w:color w:val="000000"/>
        </w:rPr>
        <w:t xml:space="preserve">authority, they almost completely ignored the reader and his roles in </w:t>
      </w:r>
      <w:r w:rsidR="005C48E7" w:rsidRPr="00375095">
        <w:rPr>
          <w:color w:val="000000"/>
        </w:rPr>
        <w:t>forming the connotation of the texts.</w:t>
      </w:r>
      <w:r w:rsidR="005C48E7" w:rsidRPr="00375095">
        <w:rPr>
          <w:rStyle w:val="FootnoteReference"/>
          <w:color w:val="000000"/>
        </w:rPr>
        <w:footnoteReference w:id="3"/>
      </w:r>
      <w:r w:rsidR="008B6C30" w:rsidRPr="00375095">
        <w:rPr>
          <w:color w:val="000000"/>
        </w:rPr>
        <w:t xml:space="preserve"> In this chapter, I will </w:t>
      </w:r>
      <w:r w:rsidR="00CB1D70" w:rsidRPr="00375095">
        <w:rPr>
          <w:color w:val="000000"/>
        </w:rPr>
        <w:t>endeavor</w:t>
      </w:r>
      <w:r w:rsidR="008B6C30" w:rsidRPr="00375095">
        <w:rPr>
          <w:color w:val="000000"/>
        </w:rPr>
        <w:t xml:space="preserve"> to begin to </w:t>
      </w:r>
      <w:r w:rsidR="00050C51" w:rsidRPr="00375095">
        <w:rPr>
          <w:color w:val="000000"/>
        </w:rPr>
        <w:t xml:space="preserve">fill in this </w:t>
      </w:r>
      <w:r w:rsidR="001030BB" w:rsidRPr="00375095">
        <w:rPr>
          <w:color w:val="000000"/>
        </w:rPr>
        <w:t>lacuna</w:t>
      </w:r>
      <w:r w:rsidR="00050C51" w:rsidRPr="00375095">
        <w:rPr>
          <w:color w:val="000000"/>
        </w:rPr>
        <w:t>.</w:t>
      </w:r>
      <w:r w:rsidR="001030BB" w:rsidRPr="00375095">
        <w:rPr>
          <w:color w:val="000000"/>
        </w:rPr>
        <w:t xml:space="preserve"> </w:t>
      </w:r>
      <w:r w:rsidR="00050C51" w:rsidRPr="00375095">
        <w:rPr>
          <w:color w:val="000000"/>
        </w:rPr>
        <w:t xml:space="preserve"> </w:t>
      </w:r>
    </w:p>
    <w:p w:rsidR="00FF443D" w:rsidRPr="00375095" w:rsidRDefault="00050C51" w:rsidP="007A5022">
      <w:pPr>
        <w:bidi w:val="0"/>
        <w:spacing w:line="360" w:lineRule="auto"/>
        <w:rPr>
          <w:color w:val="000000"/>
        </w:rPr>
      </w:pPr>
      <w:r w:rsidRPr="00375095">
        <w:rPr>
          <w:color w:val="000000"/>
        </w:rPr>
        <w:lastRenderedPageBreak/>
        <w:tab/>
      </w:r>
      <w:r w:rsidR="00044EB2" w:rsidRPr="00375095">
        <w:rPr>
          <w:color w:val="000000"/>
        </w:rPr>
        <w:t xml:space="preserve">“To speak </w:t>
      </w:r>
      <w:r w:rsidR="00B95C2C" w:rsidRPr="00375095">
        <w:rPr>
          <w:color w:val="000000"/>
        </w:rPr>
        <w:t>of</w:t>
      </w:r>
      <w:r w:rsidR="009F5978" w:rsidRPr="00375095">
        <w:rPr>
          <w:color w:val="000000"/>
        </w:rPr>
        <w:t xml:space="preserve"> the me</w:t>
      </w:r>
      <w:r w:rsidR="00B95C2C" w:rsidRPr="00375095">
        <w:rPr>
          <w:color w:val="000000"/>
        </w:rPr>
        <w:t>aning of the work is to tell a story of</w:t>
      </w:r>
      <w:r w:rsidR="009F5978" w:rsidRPr="00375095">
        <w:rPr>
          <w:color w:val="000000"/>
        </w:rPr>
        <w:t xml:space="preserve"> reading</w:t>
      </w:r>
      <w:r w:rsidR="00377BE9" w:rsidRPr="00375095">
        <w:rPr>
          <w:color w:val="000000"/>
        </w:rPr>
        <w:t>.</w:t>
      </w:r>
      <w:r w:rsidR="009F5978" w:rsidRPr="00375095">
        <w:rPr>
          <w:color w:val="000000"/>
        </w:rPr>
        <w:t>”</w:t>
      </w:r>
      <w:r w:rsidR="00377BE9" w:rsidRPr="00375095">
        <w:rPr>
          <w:rStyle w:val="FootnoteReference"/>
          <w:color w:val="000000"/>
        </w:rPr>
        <w:footnoteReference w:id="4"/>
      </w:r>
      <w:r w:rsidR="003C276A" w:rsidRPr="00375095">
        <w:rPr>
          <w:color w:val="000000"/>
        </w:rPr>
        <w:t xml:space="preserve"> </w:t>
      </w:r>
      <w:r w:rsidR="00AE1601" w:rsidRPr="00375095">
        <w:rPr>
          <w:color w:val="000000"/>
        </w:rPr>
        <w:t>Culler</w:t>
      </w:r>
      <w:r w:rsidR="003C276A" w:rsidRPr="00375095">
        <w:rPr>
          <w:color w:val="000000"/>
        </w:rPr>
        <w:t xml:space="preserve">’s statement </w:t>
      </w:r>
      <w:r w:rsidR="00A232C5" w:rsidRPr="00375095">
        <w:rPr>
          <w:color w:val="000000"/>
        </w:rPr>
        <w:t xml:space="preserve">is </w:t>
      </w:r>
      <w:r w:rsidR="00D232E8" w:rsidRPr="00375095">
        <w:rPr>
          <w:color w:val="000000"/>
        </w:rPr>
        <w:t xml:space="preserve">especially true with respect to the homiletical narrative, as it is </w:t>
      </w:r>
      <w:r w:rsidR="00250C63" w:rsidRPr="00375095">
        <w:rPr>
          <w:color w:val="000000"/>
        </w:rPr>
        <w:t xml:space="preserve">itself </w:t>
      </w:r>
      <w:r w:rsidR="00D232E8" w:rsidRPr="00375095">
        <w:rPr>
          <w:color w:val="000000"/>
        </w:rPr>
        <w:t>an interpretive reading of th</w:t>
      </w:r>
      <w:r w:rsidR="008A40CE" w:rsidRPr="00375095">
        <w:rPr>
          <w:color w:val="000000"/>
        </w:rPr>
        <w:t xml:space="preserve">e biblical narrative. </w:t>
      </w:r>
      <w:r w:rsidR="004D3A0A" w:rsidRPr="00375095">
        <w:rPr>
          <w:color w:val="000000"/>
        </w:rPr>
        <w:t xml:space="preserve">It is hard to describe the interaction between the reader and the </w:t>
      </w:r>
      <w:r w:rsidR="00CB2361" w:rsidRPr="00375095">
        <w:rPr>
          <w:color w:val="000000"/>
        </w:rPr>
        <w:t xml:space="preserve">text. </w:t>
      </w:r>
      <w:r w:rsidR="00E51B5F" w:rsidRPr="00375095">
        <w:rPr>
          <w:color w:val="000000"/>
        </w:rPr>
        <w:t>To begin with</w:t>
      </w:r>
      <w:r w:rsidR="00CB2361" w:rsidRPr="00375095">
        <w:rPr>
          <w:color w:val="000000"/>
        </w:rPr>
        <w:t xml:space="preserve">, which reader are we talking about? </w:t>
      </w:r>
      <w:r w:rsidR="00233E63" w:rsidRPr="00375095">
        <w:rPr>
          <w:color w:val="000000"/>
        </w:rPr>
        <w:t>According to</w:t>
      </w:r>
      <w:r w:rsidR="00CB2361" w:rsidRPr="00375095">
        <w:rPr>
          <w:color w:val="000000"/>
        </w:rPr>
        <w:t xml:space="preserve"> the </w:t>
      </w:r>
      <w:r w:rsidR="00524BFC" w:rsidRPr="00375095">
        <w:rPr>
          <w:color w:val="000000"/>
        </w:rPr>
        <w:t xml:space="preserve">literary theories </w:t>
      </w:r>
      <w:r w:rsidR="00233E63" w:rsidRPr="00375095">
        <w:rPr>
          <w:color w:val="000000"/>
        </w:rPr>
        <w:t>of the</w:t>
      </w:r>
      <w:r w:rsidR="00524BFC" w:rsidRPr="00375095">
        <w:rPr>
          <w:color w:val="000000"/>
        </w:rPr>
        <w:t xml:space="preserve"> </w:t>
      </w:r>
      <w:r w:rsidR="00233E63" w:rsidRPr="00375095">
        <w:rPr>
          <w:color w:val="000000"/>
        </w:rPr>
        <w:t xml:space="preserve">‘reader-response’ school, </w:t>
      </w:r>
      <w:r w:rsidR="007A5022" w:rsidRPr="00375095">
        <w:rPr>
          <w:color w:val="000000"/>
        </w:rPr>
        <w:t xml:space="preserve">there is a plethora of readers and </w:t>
      </w:r>
      <w:r w:rsidR="008A4CA9" w:rsidRPr="00375095">
        <w:rPr>
          <w:color w:val="000000"/>
        </w:rPr>
        <w:t>addressees</w:t>
      </w:r>
      <w:r w:rsidR="007A5022" w:rsidRPr="00375095">
        <w:rPr>
          <w:color w:val="000000"/>
        </w:rPr>
        <w:t xml:space="preserve">. </w:t>
      </w:r>
      <w:r w:rsidR="006B412C" w:rsidRPr="00375095">
        <w:rPr>
          <w:color w:val="000000"/>
        </w:rPr>
        <w:t xml:space="preserve">I am not referring to </w:t>
      </w:r>
      <w:r w:rsidR="00B87163" w:rsidRPr="00375095">
        <w:rPr>
          <w:color w:val="000000"/>
        </w:rPr>
        <w:t xml:space="preserve">a </w:t>
      </w:r>
      <w:r w:rsidR="0008213F" w:rsidRPr="00375095">
        <w:rPr>
          <w:color w:val="000000"/>
        </w:rPr>
        <w:t>specific</w:t>
      </w:r>
      <w:r w:rsidR="006B412C" w:rsidRPr="00375095">
        <w:rPr>
          <w:color w:val="000000"/>
        </w:rPr>
        <w:t xml:space="preserve"> </w:t>
      </w:r>
      <w:r w:rsidR="00330960" w:rsidRPr="00375095">
        <w:rPr>
          <w:color w:val="000000"/>
        </w:rPr>
        <w:t>concrete</w:t>
      </w:r>
      <w:r w:rsidR="006B412C" w:rsidRPr="00375095">
        <w:rPr>
          <w:color w:val="000000"/>
        </w:rPr>
        <w:t xml:space="preserve"> reader,</w:t>
      </w:r>
      <w:r w:rsidR="006B412C" w:rsidRPr="00375095">
        <w:rPr>
          <w:rStyle w:val="FootnoteReference"/>
          <w:color w:val="000000"/>
        </w:rPr>
        <w:footnoteReference w:id="5"/>
      </w:r>
      <w:r w:rsidR="006B412C" w:rsidRPr="00375095">
        <w:rPr>
          <w:color w:val="000000"/>
        </w:rPr>
        <w:t xml:space="preserve"> </w:t>
      </w:r>
      <w:r w:rsidR="00630F62" w:rsidRPr="00375095">
        <w:rPr>
          <w:color w:val="000000"/>
        </w:rPr>
        <w:t xml:space="preserve">but rather to the </w:t>
      </w:r>
      <w:r w:rsidR="00D5579D" w:rsidRPr="00375095">
        <w:rPr>
          <w:color w:val="000000"/>
        </w:rPr>
        <w:t>implied reader</w:t>
      </w:r>
      <w:r w:rsidR="00630F62" w:rsidRPr="00375095">
        <w:rPr>
          <w:color w:val="000000"/>
        </w:rPr>
        <w:t xml:space="preserve">. </w:t>
      </w:r>
      <w:r w:rsidR="005B0715" w:rsidRPr="00375095">
        <w:rPr>
          <w:color w:val="000000"/>
        </w:rPr>
        <w:t xml:space="preserve">Every </w:t>
      </w:r>
      <w:r w:rsidR="00BE45B7" w:rsidRPr="00375095">
        <w:rPr>
          <w:color w:val="000000"/>
        </w:rPr>
        <w:t xml:space="preserve">author imagines a </w:t>
      </w:r>
      <w:proofErr w:type="gramStart"/>
      <w:r w:rsidR="00BA1952" w:rsidRPr="00375095">
        <w:rPr>
          <w:color w:val="000000"/>
        </w:rPr>
        <w:t>particular</w:t>
      </w:r>
      <w:r w:rsidR="00BE45B7" w:rsidRPr="00375095">
        <w:rPr>
          <w:color w:val="000000"/>
        </w:rPr>
        <w:t xml:space="preserve"> reader</w:t>
      </w:r>
      <w:proofErr w:type="gramEnd"/>
      <w:r w:rsidR="00BE45B7" w:rsidRPr="00375095">
        <w:rPr>
          <w:color w:val="000000"/>
        </w:rPr>
        <w:t xml:space="preserve">, ‘a </w:t>
      </w:r>
      <w:r w:rsidR="00566C68" w:rsidRPr="00375095">
        <w:rPr>
          <w:color w:val="000000"/>
        </w:rPr>
        <w:t>model</w:t>
      </w:r>
      <w:r w:rsidR="00BE45B7" w:rsidRPr="00375095">
        <w:rPr>
          <w:color w:val="000000"/>
        </w:rPr>
        <w:t xml:space="preserve"> reader</w:t>
      </w:r>
      <w:r w:rsidR="007106DD" w:rsidRPr="00375095">
        <w:rPr>
          <w:color w:val="000000"/>
        </w:rPr>
        <w:t>,</w:t>
      </w:r>
      <w:r w:rsidR="00BE45B7" w:rsidRPr="00375095">
        <w:rPr>
          <w:color w:val="000000"/>
        </w:rPr>
        <w:t>’</w:t>
      </w:r>
      <w:r w:rsidR="007106DD" w:rsidRPr="00375095">
        <w:rPr>
          <w:color w:val="000000"/>
        </w:rPr>
        <w:t xml:space="preserve"> </w:t>
      </w:r>
      <w:r w:rsidR="00991F7C" w:rsidRPr="00375095">
        <w:rPr>
          <w:color w:val="000000"/>
        </w:rPr>
        <w:t xml:space="preserve">capable of </w:t>
      </w:r>
      <w:r w:rsidR="00DD7894" w:rsidRPr="00375095">
        <w:rPr>
          <w:color w:val="000000"/>
        </w:rPr>
        <w:t>realizing</w:t>
      </w:r>
      <w:r w:rsidR="00FA622C" w:rsidRPr="00375095">
        <w:rPr>
          <w:color w:val="000000"/>
        </w:rPr>
        <w:t xml:space="preserve"> the semantic </w:t>
      </w:r>
      <w:r w:rsidR="00AF3947" w:rsidRPr="00375095">
        <w:rPr>
          <w:color w:val="000000"/>
        </w:rPr>
        <w:t xml:space="preserve">schemata </w:t>
      </w:r>
      <w:r w:rsidR="00CB0A30" w:rsidRPr="00375095">
        <w:rPr>
          <w:color w:val="000000"/>
        </w:rPr>
        <w:t xml:space="preserve">of the text. </w:t>
      </w:r>
      <w:r w:rsidR="00556482" w:rsidRPr="00375095">
        <w:rPr>
          <w:color w:val="000000"/>
        </w:rPr>
        <w:t xml:space="preserve">He is </w:t>
      </w:r>
      <w:r w:rsidR="003A77ED" w:rsidRPr="00375095">
        <w:rPr>
          <w:color w:val="000000"/>
        </w:rPr>
        <w:t xml:space="preserve">encoded </w:t>
      </w:r>
      <w:r w:rsidR="00E46AD5" w:rsidRPr="00375095">
        <w:rPr>
          <w:color w:val="000000"/>
        </w:rPr>
        <w:t>with</w:t>
      </w:r>
      <w:r w:rsidR="003A77ED" w:rsidRPr="00375095">
        <w:rPr>
          <w:color w:val="000000"/>
        </w:rPr>
        <w:t xml:space="preserve">in the text by means of the </w:t>
      </w:r>
      <w:r w:rsidR="00FC633C" w:rsidRPr="00375095">
        <w:rPr>
          <w:color w:val="000000"/>
        </w:rPr>
        <w:t xml:space="preserve">very rhetoric </w:t>
      </w:r>
      <w:r w:rsidR="00807A2A" w:rsidRPr="00375095">
        <w:rPr>
          <w:color w:val="000000"/>
        </w:rPr>
        <w:t xml:space="preserve">which </w:t>
      </w:r>
      <w:r w:rsidR="00765A14" w:rsidRPr="00375095">
        <w:rPr>
          <w:color w:val="000000"/>
        </w:rPr>
        <w:t xml:space="preserve">he </w:t>
      </w:r>
      <w:r w:rsidR="009B199A" w:rsidRPr="00375095">
        <w:rPr>
          <w:color w:val="000000"/>
        </w:rPr>
        <w:t xml:space="preserve">is </w:t>
      </w:r>
      <w:r w:rsidR="009E0F34" w:rsidRPr="00375095">
        <w:rPr>
          <w:color w:val="000000"/>
        </w:rPr>
        <w:t xml:space="preserve">called upon </w:t>
      </w:r>
      <w:r w:rsidR="00545EC0" w:rsidRPr="00375095">
        <w:rPr>
          <w:color w:val="000000"/>
        </w:rPr>
        <w:t>to utilize in constructing its</w:t>
      </w:r>
      <w:r w:rsidR="00807A2A" w:rsidRPr="00375095">
        <w:rPr>
          <w:color w:val="000000"/>
        </w:rPr>
        <w:t xml:space="preserve"> </w:t>
      </w:r>
      <w:r w:rsidR="00545EC0" w:rsidRPr="00375095">
        <w:rPr>
          <w:color w:val="000000"/>
        </w:rPr>
        <w:t xml:space="preserve">fictional </w:t>
      </w:r>
      <w:r w:rsidR="00807A2A" w:rsidRPr="00375095">
        <w:rPr>
          <w:color w:val="000000"/>
        </w:rPr>
        <w:t>world</w:t>
      </w:r>
      <w:r w:rsidR="00DC7C83" w:rsidRPr="00375095">
        <w:rPr>
          <w:color w:val="000000"/>
        </w:rPr>
        <w:t>.</w:t>
      </w:r>
      <w:r w:rsidR="00DC7C83" w:rsidRPr="00375095">
        <w:rPr>
          <w:rStyle w:val="FootnoteReference"/>
          <w:color w:val="000000"/>
        </w:rPr>
        <w:footnoteReference w:id="6"/>
      </w:r>
      <w:r w:rsidR="00F97340" w:rsidRPr="00375095">
        <w:rPr>
          <w:color w:val="000000"/>
        </w:rPr>
        <w:t xml:space="preserve"> As the </w:t>
      </w:r>
      <w:r w:rsidR="007F20A4" w:rsidRPr="00375095">
        <w:rPr>
          <w:color w:val="000000"/>
        </w:rPr>
        <w:t xml:space="preserve">one </w:t>
      </w:r>
      <w:r w:rsidR="00C14239" w:rsidRPr="00375095">
        <w:rPr>
          <w:color w:val="000000"/>
        </w:rPr>
        <w:t>responding to</w:t>
      </w:r>
      <w:r w:rsidR="007F20A4" w:rsidRPr="00375095">
        <w:rPr>
          <w:color w:val="000000"/>
        </w:rPr>
        <w:t xml:space="preserve"> the rhetorical </w:t>
      </w:r>
      <w:r w:rsidR="0009116F" w:rsidRPr="00375095">
        <w:rPr>
          <w:color w:val="000000"/>
        </w:rPr>
        <w:t xml:space="preserve">structures which invite reconstruction, </w:t>
      </w:r>
      <w:r w:rsidR="00B811A7" w:rsidRPr="00375095">
        <w:rPr>
          <w:color w:val="000000"/>
        </w:rPr>
        <w:t xml:space="preserve">the implied reader builds </w:t>
      </w:r>
      <w:r w:rsidR="003309CF" w:rsidRPr="00375095">
        <w:rPr>
          <w:color w:val="000000"/>
        </w:rPr>
        <w:t xml:space="preserve">frameworks within which the text </w:t>
      </w:r>
      <w:r w:rsidR="00306213" w:rsidRPr="00375095">
        <w:rPr>
          <w:color w:val="000000"/>
        </w:rPr>
        <w:t xml:space="preserve">acquires </w:t>
      </w:r>
      <w:r w:rsidR="005B2C51" w:rsidRPr="00375095">
        <w:rPr>
          <w:color w:val="000000"/>
        </w:rPr>
        <w:t xml:space="preserve">elucidation, </w:t>
      </w:r>
      <w:r w:rsidR="001B1E5B" w:rsidRPr="00375095">
        <w:rPr>
          <w:color w:val="000000"/>
        </w:rPr>
        <w:t>coherence and meaning</w:t>
      </w:r>
      <w:r w:rsidR="005B2C51" w:rsidRPr="00375095">
        <w:rPr>
          <w:color w:val="000000"/>
        </w:rPr>
        <w:t>. As Rimon-</w:t>
      </w:r>
      <w:proofErr w:type="spellStart"/>
      <w:r w:rsidR="005B2C51" w:rsidRPr="00375095">
        <w:rPr>
          <w:color w:val="000000"/>
        </w:rPr>
        <w:t>Kinan</w:t>
      </w:r>
      <w:proofErr w:type="spellEnd"/>
      <w:r w:rsidR="005B2C51" w:rsidRPr="00375095">
        <w:rPr>
          <w:color w:val="000000"/>
        </w:rPr>
        <w:t xml:space="preserve"> points out, the advantage of this </w:t>
      </w:r>
      <w:r w:rsidR="00AE3452" w:rsidRPr="00375095">
        <w:rPr>
          <w:color w:val="000000"/>
        </w:rPr>
        <w:t>perspective</w:t>
      </w:r>
      <w:r w:rsidR="005B2C51" w:rsidRPr="00375095">
        <w:rPr>
          <w:color w:val="000000"/>
        </w:rPr>
        <w:t xml:space="preserve"> is that “</w:t>
      </w:r>
      <w:r w:rsidR="005602DF" w:rsidRPr="00375095">
        <w:rPr>
          <w:color w:val="000000"/>
        </w:rPr>
        <w:t xml:space="preserve">it implies </w:t>
      </w:r>
      <w:r w:rsidR="00C03566" w:rsidRPr="00375095">
        <w:rPr>
          <w:color w:val="000000"/>
        </w:rPr>
        <w:t xml:space="preserve">viewing the text as a system made up of structures </w:t>
      </w:r>
      <w:r w:rsidR="00102291" w:rsidRPr="00375095">
        <w:rPr>
          <w:color w:val="000000"/>
        </w:rPr>
        <w:t>inviting reconstruction</w:t>
      </w:r>
      <w:r w:rsidR="005B11C4" w:rsidRPr="00375095">
        <w:rPr>
          <w:color w:val="000000"/>
        </w:rPr>
        <w:t xml:space="preserve">, rather than as </w:t>
      </w:r>
      <w:r w:rsidR="00257F35" w:rsidRPr="00375095">
        <w:rPr>
          <w:color w:val="000000"/>
        </w:rPr>
        <w:t xml:space="preserve">an </w:t>
      </w:r>
      <w:r w:rsidR="006B3EB9" w:rsidRPr="00375095">
        <w:rPr>
          <w:color w:val="000000"/>
        </w:rPr>
        <w:t xml:space="preserve">autonomous </w:t>
      </w:r>
      <w:r w:rsidR="00515B95" w:rsidRPr="00375095">
        <w:rPr>
          <w:color w:val="000000"/>
        </w:rPr>
        <w:t>object.”</w:t>
      </w:r>
      <w:r w:rsidR="00515B95" w:rsidRPr="00375095">
        <w:rPr>
          <w:rStyle w:val="FootnoteReference"/>
          <w:color w:val="000000"/>
        </w:rPr>
        <w:footnoteReference w:id="7"/>
      </w:r>
      <w:r w:rsidR="00515B95" w:rsidRPr="00375095">
        <w:rPr>
          <w:color w:val="000000"/>
        </w:rPr>
        <w:t xml:space="preserve"> </w:t>
      </w:r>
      <w:r w:rsidR="00395B4A" w:rsidRPr="00375095">
        <w:rPr>
          <w:color w:val="000000"/>
        </w:rPr>
        <w:t xml:space="preserve">However, the implied reader does not merely reconstruct the </w:t>
      </w:r>
      <w:r w:rsidR="00AA4A2A" w:rsidRPr="00375095">
        <w:rPr>
          <w:color w:val="000000"/>
        </w:rPr>
        <w:t>models of</w:t>
      </w:r>
      <w:r w:rsidR="00515B95" w:rsidRPr="00375095">
        <w:rPr>
          <w:color w:val="000000"/>
        </w:rPr>
        <w:t xml:space="preserve"> </w:t>
      </w:r>
      <w:r w:rsidR="00AA4A2A" w:rsidRPr="00375095">
        <w:rPr>
          <w:color w:val="000000"/>
        </w:rPr>
        <w:t xml:space="preserve">reality </w:t>
      </w:r>
      <w:r w:rsidR="005E6B94" w:rsidRPr="00375095">
        <w:rPr>
          <w:color w:val="000000"/>
        </w:rPr>
        <w:t xml:space="preserve">in the text. </w:t>
      </w:r>
      <w:r w:rsidR="000728F7" w:rsidRPr="00375095">
        <w:rPr>
          <w:color w:val="000000"/>
        </w:rPr>
        <w:t xml:space="preserve">Each </w:t>
      </w:r>
      <w:r w:rsidR="00F72FCF" w:rsidRPr="00375095">
        <w:rPr>
          <w:color w:val="000000"/>
        </w:rPr>
        <w:t>discourse</w:t>
      </w:r>
      <w:r w:rsidR="000728F7" w:rsidRPr="00375095">
        <w:rPr>
          <w:color w:val="000000"/>
        </w:rPr>
        <w:t xml:space="preserve"> </w:t>
      </w:r>
      <w:r w:rsidR="00FD48D4" w:rsidRPr="00375095">
        <w:rPr>
          <w:color w:val="000000"/>
        </w:rPr>
        <w:t xml:space="preserve">presents </w:t>
      </w:r>
      <w:r w:rsidR="00007716" w:rsidRPr="00375095">
        <w:rPr>
          <w:color w:val="000000"/>
        </w:rPr>
        <w:t xml:space="preserve">not only a </w:t>
      </w:r>
      <w:r w:rsidR="00EC1A59" w:rsidRPr="00375095">
        <w:rPr>
          <w:color w:val="000000"/>
        </w:rPr>
        <w:t xml:space="preserve">network </w:t>
      </w:r>
      <w:r w:rsidR="00FD48D4" w:rsidRPr="00375095">
        <w:rPr>
          <w:color w:val="000000"/>
        </w:rPr>
        <w:t xml:space="preserve">of characters and events; but, also, </w:t>
      </w:r>
      <w:r w:rsidR="00EC1A59" w:rsidRPr="00375095">
        <w:rPr>
          <w:color w:val="000000"/>
        </w:rPr>
        <w:t xml:space="preserve">a network of </w:t>
      </w:r>
      <w:r w:rsidR="008550EC" w:rsidRPr="00375095">
        <w:rPr>
          <w:color w:val="000000"/>
        </w:rPr>
        <w:t>positions, norms and values</w:t>
      </w:r>
      <w:r w:rsidR="00B56D2B" w:rsidRPr="00375095">
        <w:rPr>
          <w:color w:val="000000"/>
        </w:rPr>
        <w:t xml:space="preserve">. The reader is invited to adopt a </w:t>
      </w:r>
      <w:r w:rsidR="006E0253" w:rsidRPr="00375095">
        <w:rPr>
          <w:color w:val="000000"/>
        </w:rPr>
        <w:t>specific</w:t>
      </w:r>
      <w:r w:rsidR="00B56D2B" w:rsidRPr="00375095">
        <w:rPr>
          <w:color w:val="000000"/>
        </w:rPr>
        <w:t xml:space="preserve"> position with respect to these networks. </w:t>
      </w:r>
    </w:p>
    <w:p w:rsidR="00D16C00" w:rsidRPr="00375095" w:rsidRDefault="00B56D2B" w:rsidP="00D5566C">
      <w:pPr>
        <w:bidi w:val="0"/>
        <w:spacing w:line="360" w:lineRule="auto"/>
        <w:rPr>
          <w:color w:val="000000"/>
        </w:rPr>
      </w:pPr>
      <w:r w:rsidRPr="00375095">
        <w:rPr>
          <w:color w:val="000000"/>
        </w:rPr>
        <w:tab/>
        <w:t xml:space="preserve">While most scholars </w:t>
      </w:r>
      <w:r w:rsidR="003B31B9" w:rsidRPr="00375095">
        <w:rPr>
          <w:color w:val="000000"/>
        </w:rPr>
        <w:t>dealing</w:t>
      </w:r>
      <w:r w:rsidRPr="00375095">
        <w:rPr>
          <w:color w:val="000000"/>
        </w:rPr>
        <w:t xml:space="preserve"> with </w:t>
      </w:r>
      <w:r w:rsidR="007B1FF7" w:rsidRPr="00375095">
        <w:rPr>
          <w:color w:val="000000"/>
        </w:rPr>
        <w:t xml:space="preserve">the </w:t>
      </w:r>
      <w:r w:rsidR="00151BE7" w:rsidRPr="00375095">
        <w:rPr>
          <w:color w:val="000000"/>
        </w:rPr>
        <w:t xml:space="preserve">dynamics of reading stressed </w:t>
      </w:r>
      <w:r w:rsidR="0083200D" w:rsidRPr="00375095">
        <w:rPr>
          <w:color w:val="000000"/>
        </w:rPr>
        <w:t xml:space="preserve">the </w:t>
      </w:r>
      <w:r w:rsidR="00223561" w:rsidRPr="00375095">
        <w:rPr>
          <w:color w:val="000000"/>
        </w:rPr>
        <w:t xml:space="preserve">reader’s </w:t>
      </w:r>
      <w:r w:rsidR="00F07EE3" w:rsidRPr="00375095">
        <w:rPr>
          <w:color w:val="000000"/>
        </w:rPr>
        <w:t>creation of</w:t>
      </w:r>
      <w:r w:rsidR="007B6E73" w:rsidRPr="00375095">
        <w:rPr>
          <w:color w:val="000000"/>
        </w:rPr>
        <w:t xml:space="preserve"> the </w:t>
      </w:r>
      <w:r w:rsidR="00F07EE3" w:rsidRPr="00375095">
        <w:rPr>
          <w:color w:val="000000"/>
        </w:rPr>
        <w:t xml:space="preserve">text’s </w:t>
      </w:r>
      <w:r w:rsidR="007B6E73" w:rsidRPr="00375095">
        <w:rPr>
          <w:color w:val="000000"/>
        </w:rPr>
        <w:t>meaning</w:t>
      </w:r>
      <w:r w:rsidR="009D372E" w:rsidRPr="00375095">
        <w:rPr>
          <w:color w:val="000000"/>
        </w:rPr>
        <w:t xml:space="preserve"> </w:t>
      </w:r>
      <w:r w:rsidR="00F254E6" w:rsidRPr="00375095">
        <w:rPr>
          <w:color w:val="000000"/>
        </w:rPr>
        <w:t>–</w:t>
      </w:r>
      <w:r w:rsidR="009D372E" w:rsidRPr="00375095">
        <w:rPr>
          <w:color w:val="000000"/>
        </w:rPr>
        <w:t xml:space="preserve"> </w:t>
      </w:r>
      <w:r w:rsidR="00F254E6" w:rsidRPr="00375095">
        <w:rPr>
          <w:color w:val="000000"/>
        </w:rPr>
        <w:t>with whatever degree of autonomy</w:t>
      </w:r>
      <w:r w:rsidR="007B6E73" w:rsidRPr="00375095">
        <w:rPr>
          <w:color w:val="000000"/>
        </w:rPr>
        <w:t xml:space="preserve">, they </w:t>
      </w:r>
      <w:r w:rsidR="00944567" w:rsidRPr="00375095">
        <w:rPr>
          <w:color w:val="000000"/>
        </w:rPr>
        <w:t xml:space="preserve">failed to </w:t>
      </w:r>
      <w:r w:rsidR="007B6E73" w:rsidRPr="00375095">
        <w:rPr>
          <w:color w:val="000000"/>
        </w:rPr>
        <w:t xml:space="preserve">emphasize the </w:t>
      </w:r>
      <w:r w:rsidR="00F07EE3" w:rsidRPr="00375095">
        <w:rPr>
          <w:color w:val="000000"/>
        </w:rPr>
        <w:t xml:space="preserve">text’s creation of </w:t>
      </w:r>
      <w:r w:rsidR="00BC2DC1" w:rsidRPr="00375095">
        <w:rPr>
          <w:color w:val="000000"/>
        </w:rPr>
        <w:t xml:space="preserve">the </w:t>
      </w:r>
      <w:r w:rsidR="007B6E73" w:rsidRPr="00375095">
        <w:rPr>
          <w:color w:val="000000"/>
        </w:rPr>
        <w:t xml:space="preserve">one who reads it. Every author </w:t>
      </w:r>
      <w:r w:rsidR="00872B79" w:rsidRPr="00375095">
        <w:rPr>
          <w:color w:val="000000"/>
        </w:rPr>
        <w:t xml:space="preserve">fashions his narrative to suit a </w:t>
      </w:r>
      <w:proofErr w:type="gramStart"/>
      <w:r w:rsidR="00872B79" w:rsidRPr="00375095">
        <w:rPr>
          <w:color w:val="000000"/>
        </w:rPr>
        <w:t>particular implied</w:t>
      </w:r>
      <w:proofErr w:type="gramEnd"/>
      <w:r w:rsidR="00872B79" w:rsidRPr="00375095">
        <w:rPr>
          <w:color w:val="000000"/>
        </w:rPr>
        <w:t xml:space="preserve"> reader. </w:t>
      </w:r>
      <w:r w:rsidR="008A634B" w:rsidRPr="00375095">
        <w:rPr>
          <w:color w:val="000000"/>
        </w:rPr>
        <w:t xml:space="preserve">On the most basic level, he cannot begin </w:t>
      </w:r>
      <w:r w:rsidR="00F753D7" w:rsidRPr="00375095">
        <w:rPr>
          <w:color w:val="000000"/>
        </w:rPr>
        <w:t>writing without</w:t>
      </w:r>
      <w:r w:rsidR="00975D87" w:rsidRPr="00375095">
        <w:rPr>
          <w:color w:val="000000"/>
        </w:rPr>
        <w:t xml:space="preserve"> making </w:t>
      </w:r>
      <w:r w:rsidR="00F254E6" w:rsidRPr="00375095">
        <w:rPr>
          <w:color w:val="000000"/>
        </w:rPr>
        <w:t>numerous</w:t>
      </w:r>
      <w:r w:rsidR="00975D87" w:rsidRPr="00375095">
        <w:rPr>
          <w:color w:val="000000"/>
        </w:rPr>
        <w:t xml:space="preserve"> assumptions </w:t>
      </w:r>
      <w:r w:rsidR="002B14BC" w:rsidRPr="00375095">
        <w:rPr>
          <w:color w:val="000000"/>
        </w:rPr>
        <w:t xml:space="preserve">about the reader, his positions, viewpoints and expectations; along the lines of </w:t>
      </w:r>
      <w:r w:rsidR="00961834" w:rsidRPr="00375095">
        <w:rPr>
          <w:color w:val="000000"/>
        </w:rPr>
        <w:t>“</w:t>
      </w:r>
      <w:proofErr w:type="gramStart"/>
      <w:r w:rsidR="00961834" w:rsidRPr="00375095">
        <w:rPr>
          <w:color w:val="000000"/>
        </w:rPr>
        <w:t>each and every</w:t>
      </w:r>
      <w:proofErr w:type="gramEnd"/>
      <w:r w:rsidR="00961834" w:rsidRPr="00375095">
        <w:rPr>
          <w:color w:val="000000"/>
        </w:rPr>
        <w:t xml:space="preserve"> </w:t>
      </w:r>
      <w:r w:rsidR="00FF56D9" w:rsidRPr="00375095">
        <w:rPr>
          <w:color w:val="000000"/>
        </w:rPr>
        <w:t>person</w:t>
      </w:r>
      <w:r w:rsidR="00961834" w:rsidRPr="00375095">
        <w:rPr>
          <w:color w:val="000000"/>
        </w:rPr>
        <w:t xml:space="preserve"> </w:t>
      </w:r>
      <w:r w:rsidR="00555D4A" w:rsidRPr="00375095">
        <w:rPr>
          <w:color w:val="000000"/>
        </w:rPr>
        <w:t xml:space="preserve">understood according to </w:t>
      </w:r>
      <w:r w:rsidR="00F254E6" w:rsidRPr="00375095">
        <w:rPr>
          <w:color w:val="000000"/>
        </w:rPr>
        <w:t>his</w:t>
      </w:r>
      <w:r w:rsidR="00555D4A" w:rsidRPr="00375095">
        <w:rPr>
          <w:color w:val="000000"/>
        </w:rPr>
        <w:t xml:space="preserve"> </w:t>
      </w:r>
      <w:r w:rsidR="00210CC3" w:rsidRPr="00375095">
        <w:rPr>
          <w:color w:val="000000"/>
        </w:rPr>
        <w:t xml:space="preserve">capabilities” </w:t>
      </w:r>
      <w:r w:rsidR="00B66894" w:rsidRPr="00375095">
        <w:rPr>
          <w:color w:val="000000"/>
        </w:rPr>
        <w:t>(</w:t>
      </w:r>
      <w:proofErr w:type="spellStart"/>
      <w:r w:rsidR="00B66894" w:rsidRPr="00375095">
        <w:rPr>
          <w:color w:val="000000"/>
        </w:rPr>
        <w:t>Ta</w:t>
      </w:r>
      <w:bookmarkStart w:id="2" w:name="here"/>
      <w:bookmarkEnd w:id="2"/>
      <w:r w:rsidR="00B66894" w:rsidRPr="00375095">
        <w:rPr>
          <w:color w:val="000000"/>
        </w:rPr>
        <w:t>nhuma</w:t>
      </w:r>
      <w:proofErr w:type="spellEnd"/>
      <w:r w:rsidR="00B66894" w:rsidRPr="00375095">
        <w:rPr>
          <w:color w:val="000000"/>
        </w:rPr>
        <w:t>, ed. Buber, Exodus 22).</w:t>
      </w:r>
      <w:r w:rsidR="00B66894" w:rsidRPr="00375095">
        <w:rPr>
          <w:rStyle w:val="FootnoteReference"/>
          <w:color w:val="000000"/>
        </w:rPr>
        <w:footnoteReference w:id="8"/>
      </w:r>
      <w:r w:rsidR="00961834" w:rsidRPr="00375095">
        <w:rPr>
          <w:color w:val="000000"/>
        </w:rPr>
        <w:t xml:space="preserve"> </w:t>
      </w:r>
      <w:r w:rsidR="009304F7" w:rsidRPr="00375095">
        <w:rPr>
          <w:color w:val="000000"/>
        </w:rPr>
        <w:t xml:space="preserve">The encounter between the text and its reader is always </w:t>
      </w:r>
      <w:r w:rsidR="00C17F15" w:rsidRPr="00375095">
        <w:rPr>
          <w:color w:val="000000"/>
        </w:rPr>
        <w:t xml:space="preserve">conditional and intertextual. According to </w:t>
      </w:r>
      <w:r w:rsidR="00337029" w:rsidRPr="00375095">
        <w:rPr>
          <w:color w:val="000000"/>
        </w:rPr>
        <w:t>Bennett</w:t>
      </w:r>
      <w:r w:rsidR="00C17F15" w:rsidRPr="00375095">
        <w:rPr>
          <w:color w:val="000000"/>
        </w:rPr>
        <w:t>’s approach, mentioned above in chapter one,</w:t>
      </w:r>
      <w:r w:rsidR="004372CD" w:rsidRPr="00375095">
        <w:rPr>
          <w:color w:val="000000"/>
        </w:rPr>
        <w:t xml:space="preserve"> </w:t>
      </w:r>
      <w:r w:rsidR="00DB1272" w:rsidRPr="00375095">
        <w:rPr>
          <w:color w:val="000000"/>
        </w:rPr>
        <w:t>d</w:t>
      </w:r>
      <w:r w:rsidR="004372CD" w:rsidRPr="00375095">
        <w:rPr>
          <w:color w:val="000000"/>
        </w:rPr>
        <w:t xml:space="preserve">ifferent reading </w:t>
      </w:r>
      <w:r w:rsidR="00E35A38" w:rsidRPr="00375095">
        <w:rPr>
          <w:color w:val="000000"/>
        </w:rPr>
        <w:t>formations</w:t>
      </w:r>
      <w:r w:rsidR="00DB1272" w:rsidRPr="00375095">
        <w:rPr>
          <w:color w:val="000000"/>
        </w:rPr>
        <w:t xml:space="preserve"> </w:t>
      </w:r>
      <w:r w:rsidR="000158A6" w:rsidRPr="00375095">
        <w:rPr>
          <w:color w:val="000000"/>
        </w:rPr>
        <w:lastRenderedPageBreak/>
        <w:t>fashion</w:t>
      </w:r>
      <w:r w:rsidR="009D3137" w:rsidRPr="00375095">
        <w:rPr>
          <w:color w:val="000000"/>
        </w:rPr>
        <w:t xml:space="preserve"> the texts, </w:t>
      </w:r>
      <w:r w:rsidR="00F30AAE" w:rsidRPr="00375095">
        <w:rPr>
          <w:color w:val="000000"/>
        </w:rPr>
        <w:t>the readers and the modes of encounter between them</w:t>
      </w:r>
      <w:r w:rsidR="00687C86" w:rsidRPr="00375095">
        <w:rPr>
          <w:color w:val="000000"/>
        </w:rPr>
        <w:t>.</w:t>
      </w:r>
      <w:r w:rsidR="00687C86" w:rsidRPr="00375095">
        <w:rPr>
          <w:rStyle w:val="FootnoteReference"/>
          <w:color w:val="000000"/>
        </w:rPr>
        <w:footnoteReference w:id="9"/>
      </w:r>
      <w:r w:rsidR="00A6771F" w:rsidRPr="00375095">
        <w:rPr>
          <w:color w:val="000000"/>
        </w:rPr>
        <w:t xml:space="preserve"> </w:t>
      </w:r>
      <w:r w:rsidR="0036236F" w:rsidRPr="00375095">
        <w:rPr>
          <w:color w:val="000000"/>
        </w:rPr>
        <w:t xml:space="preserve">Until now, the </w:t>
      </w:r>
      <w:r w:rsidR="005A0328" w:rsidRPr="00375095">
        <w:rPr>
          <w:color w:val="000000"/>
        </w:rPr>
        <w:t xml:space="preserve">textual aspect of </w:t>
      </w:r>
      <w:r w:rsidR="00F72FCF" w:rsidRPr="00375095">
        <w:rPr>
          <w:color w:val="000000"/>
        </w:rPr>
        <w:t xml:space="preserve">reading formations </w:t>
      </w:r>
      <w:r w:rsidR="005A0328" w:rsidRPr="00375095">
        <w:rPr>
          <w:color w:val="000000"/>
        </w:rPr>
        <w:t xml:space="preserve">has been emphasized, </w:t>
      </w:r>
    </w:p>
    <w:sectPr w:rsidR="00D16C00" w:rsidRPr="00375095" w:rsidSect="00463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31F" w:rsidRDefault="002A531F" w:rsidP="002E5A4C">
      <w:pPr>
        <w:spacing w:after="0" w:line="240" w:lineRule="auto"/>
      </w:pPr>
      <w:r>
        <w:separator/>
      </w:r>
    </w:p>
  </w:endnote>
  <w:endnote w:type="continuationSeparator" w:id="0">
    <w:p w:rsidR="002A531F" w:rsidRDefault="002A531F" w:rsidP="002E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31F" w:rsidRDefault="002A531F" w:rsidP="002E5A4C">
      <w:pPr>
        <w:spacing w:after="0" w:line="240" w:lineRule="auto"/>
      </w:pPr>
      <w:r>
        <w:separator/>
      </w:r>
    </w:p>
  </w:footnote>
  <w:footnote w:type="continuationSeparator" w:id="0">
    <w:p w:rsidR="002A531F" w:rsidRDefault="002A531F" w:rsidP="002E5A4C">
      <w:pPr>
        <w:spacing w:after="0" w:line="240" w:lineRule="auto"/>
      </w:pPr>
      <w:r>
        <w:continuationSeparator/>
      </w:r>
    </w:p>
  </w:footnote>
  <w:footnote w:id="1">
    <w:p w:rsidR="002E5A4C" w:rsidRPr="00375095" w:rsidRDefault="002E5A4C" w:rsidP="00377BE9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="009E57A0" w:rsidRPr="00375095">
        <w:rPr>
          <w:color w:val="000000"/>
        </w:rPr>
        <w:t xml:space="preserve"> </w:t>
      </w:r>
      <w:r w:rsidR="00B95C2C" w:rsidRPr="00375095">
        <w:rPr>
          <w:color w:val="000000"/>
        </w:rPr>
        <w:t>Culler</w:t>
      </w:r>
      <w:r w:rsidR="000418FF" w:rsidRPr="00375095">
        <w:rPr>
          <w:color w:val="000000"/>
        </w:rPr>
        <w:t>,</w:t>
      </w:r>
      <w:r w:rsidR="00BA469A" w:rsidRPr="00375095">
        <w:rPr>
          <w:color w:val="000000"/>
        </w:rPr>
        <w:t xml:space="preserve"> </w:t>
      </w:r>
      <w:proofErr w:type="spellStart"/>
      <w:r w:rsidR="008838B1" w:rsidRPr="00375095">
        <w:rPr>
          <w:i/>
          <w:iCs/>
          <w:color w:val="000000"/>
        </w:rPr>
        <w:t>Decostru</w:t>
      </w:r>
      <w:r w:rsidR="007F4C11" w:rsidRPr="00375095">
        <w:rPr>
          <w:i/>
          <w:iCs/>
          <w:color w:val="000000"/>
        </w:rPr>
        <w:t>tzia</w:t>
      </w:r>
      <w:proofErr w:type="spellEnd"/>
      <w:r w:rsidR="007F4C11" w:rsidRPr="00375095">
        <w:rPr>
          <w:color w:val="000000"/>
        </w:rPr>
        <w:t>, 35.</w:t>
      </w:r>
    </w:p>
  </w:footnote>
  <w:footnote w:id="2">
    <w:p w:rsidR="0070395E" w:rsidRPr="00375095" w:rsidRDefault="0070395E" w:rsidP="00377BE9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Pr="00375095">
        <w:rPr>
          <w:color w:val="000000"/>
          <w:rtl/>
        </w:rPr>
        <w:t xml:space="preserve"> </w:t>
      </w:r>
      <w:r w:rsidR="000B4952" w:rsidRPr="00375095">
        <w:rPr>
          <w:color w:val="000000"/>
        </w:rPr>
        <w:t xml:space="preserve">J. L. Borges, </w:t>
      </w:r>
      <w:r w:rsidR="00A82D91" w:rsidRPr="00375095">
        <w:rPr>
          <w:i/>
          <w:iCs/>
          <w:color w:val="000000"/>
        </w:rPr>
        <w:t>Seven Nights</w:t>
      </w:r>
      <w:r w:rsidR="007F4C11" w:rsidRPr="00375095">
        <w:rPr>
          <w:color w:val="000000"/>
        </w:rPr>
        <w:t xml:space="preserve">, </w:t>
      </w:r>
      <w:r w:rsidR="007F4C11" w:rsidRPr="00375095">
        <w:rPr>
          <w:color w:val="000000"/>
        </w:rPr>
        <w:t>trans. E. Weinberger</w:t>
      </w:r>
      <w:r w:rsidR="007F4C11" w:rsidRPr="00375095">
        <w:rPr>
          <w:color w:val="000000"/>
        </w:rPr>
        <w:t xml:space="preserve"> (</w:t>
      </w:r>
      <w:r w:rsidR="00A82D91" w:rsidRPr="00375095">
        <w:rPr>
          <w:color w:val="000000"/>
        </w:rPr>
        <w:t>New York</w:t>
      </w:r>
      <w:r w:rsidR="007F4C11" w:rsidRPr="00375095">
        <w:rPr>
          <w:color w:val="000000"/>
        </w:rPr>
        <w:t>,</w:t>
      </w:r>
      <w:r w:rsidR="00A82D91" w:rsidRPr="00375095">
        <w:rPr>
          <w:color w:val="000000"/>
        </w:rPr>
        <w:t xml:space="preserve"> 1980</w:t>
      </w:r>
      <w:r w:rsidR="007F4C11" w:rsidRPr="00375095">
        <w:rPr>
          <w:color w:val="000000"/>
        </w:rPr>
        <w:t>),</w:t>
      </w:r>
      <w:r w:rsidR="00A82D91" w:rsidRPr="00375095">
        <w:rPr>
          <w:color w:val="000000"/>
        </w:rPr>
        <w:t xml:space="preserve"> 76. </w:t>
      </w:r>
    </w:p>
  </w:footnote>
  <w:footnote w:id="3">
    <w:p w:rsidR="00797885" w:rsidRPr="00375095" w:rsidRDefault="005C48E7" w:rsidP="00CB1573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Pr="00375095">
        <w:rPr>
          <w:color w:val="000000"/>
          <w:rtl/>
        </w:rPr>
        <w:t xml:space="preserve"> </w:t>
      </w:r>
      <w:r w:rsidR="008850E3" w:rsidRPr="00375095">
        <w:rPr>
          <w:color w:val="000000"/>
        </w:rPr>
        <w:t xml:space="preserve">This oversight </w:t>
      </w:r>
      <w:r w:rsidR="000F6217" w:rsidRPr="00375095">
        <w:rPr>
          <w:color w:val="000000"/>
        </w:rPr>
        <w:t xml:space="preserve">is understandable </w:t>
      </w:r>
      <w:proofErr w:type="gramStart"/>
      <w:r w:rsidR="000F6217" w:rsidRPr="00375095">
        <w:rPr>
          <w:color w:val="000000"/>
        </w:rPr>
        <w:t>in light of</w:t>
      </w:r>
      <w:proofErr w:type="gramEnd"/>
      <w:r w:rsidR="000F6217" w:rsidRPr="00375095">
        <w:rPr>
          <w:color w:val="000000"/>
        </w:rPr>
        <w:t xml:space="preserve"> </w:t>
      </w:r>
      <w:r w:rsidR="00F61245" w:rsidRPr="00375095">
        <w:rPr>
          <w:color w:val="000000"/>
        </w:rPr>
        <w:t>the historical development of the</w:t>
      </w:r>
      <w:r w:rsidR="0036228E" w:rsidRPr="00375095">
        <w:rPr>
          <w:color w:val="000000"/>
        </w:rPr>
        <w:t xml:space="preserve"> </w:t>
      </w:r>
      <w:r w:rsidR="000C1D92" w:rsidRPr="00375095">
        <w:rPr>
          <w:color w:val="000000"/>
        </w:rPr>
        <w:t>literary school</w:t>
      </w:r>
      <w:r w:rsidR="00797885" w:rsidRPr="00375095">
        <w:rPr>
          <w:color w:val="000000"/>
        </w:rPr>
        <w:t xml:space="preserve">. </w:t>
      </w:r>
      <w:r w:rsidR="00AA7B20" w:rsidRPr="00375095">
        <w:rPr>
          <w:color w:val="000000"/>
        </w:rPr>
        <w:t>Its</w:t>
      </w:r>
      <w:r w:rsidR="00F65F78" w:rsidRPr="00375095">
        <w:rPr>
          <w:color w:val="000000"/>
        </w:rPr>
        <w:t xml:space="preserve"> earliest members</w:t>
      </w:r>
      <w:r w:rsidR="00AA7B20" w:rsidRPr="00375095">
        <w:rPr>
          <w:color w:val="000000"/>
        </w:rPr>
        <w:t xml:space="preserve"> </w:t>
      </w:r>
      <w:r w:rsidR="005108F4" w:rsidRPr="00375095">
        <w:rPr>
          <w:color w:val="000000"/>
        </w:rPr>
        <w:t>operated</w:t>
      </w:r>
      <w:r w:rsidR="00F65F78" w:rsidRPr="00375095">
        <w:rPr>
          <w:color w:val="000000"/>
        </w:rPr>
        <w:t xml:space="preserve"> </w:t>
      </w:r>
      <w:r w:rsidR="00AA7B20" w:rsidRPr="00375095">
        <w:rPr>
          <w:color w:val="000000"/>
        </w:rPr>
        <w:t xml:space="preserve">from within the theoretical framework of the new criticism. As is well known, this school buried the </w:t>
      </w:r>
      <w:r w:rsidR="00797885" w:rsidRPr="00375095">
        <w:rPr>
          <w:color w:val="000000"/>
        </w:rPr>
        <w:t xml:space="preserve">reader under the tombstone of </w:t>
      </w:r>
      <w:bookmarkStart w:id="1" w:name="_Hlk491605102"/>
      <w:r w:rsidR="00797885" w:rsidRPr="00375095">
        <w:rPr>
          <w:color w:val="000000"/>
        </w:rPr>
        <w:t>"</w:t>
      </w:r>
      <w:r w:rsidR="00DF6828" w:rsidRPr="00375095">
        <w:rPr>
          <w:rFonts w:cs="David" w:hint="cs"/>
          <w:color w:val="000000"/>
        </w:rPr>
        <w:t>A</w:t>
      </w:r>
      <w:r w:rsidR="00DF6828" w:rsidRPr="00375095">
        <w:rPr>
          <w:rFonts w:cs="David"/>
          <w:color w:val="000000"/>
        </w:rPr>
        <w:t>ffective Fallacy</w:t>
      </w:r>
      <w:r w:rsidR="00CB1573" w:rsidRPr="00375095">
        <w:rPr>
          <w:color w:val="000000"/>
        </w:rPr>
        <w:t>,</w:t>
      </w:r>
      <w:r w:rsidR="00BE2C3D" w:rsidRPr="00375095">
        <w:rPr>
          <w:color w:val="000000"/>
        </w:rPr>
        <w:t>”</w:t>
      </w:r>
      <w:r w:rsidR="00CB1573" w:rsidRPr="00375095">
        <w:rPr>
          <w:color w:val="000000"/>
        </w:rPr>
        <w:t xml:space="preserve"> </w:t>
      </w:r>
      <w:bookmarkEnd w:id="1"/>
      <w:r w:rsidR="00CB1573" w:rsidRPr="00375095">
        <w:rPr>
          <w:color w:val="000000"/>
        </w:rPr>
        <w:t>nothing further need be said</w:t>
      </w:r>
      <w:r w:rsidR="00471035" w:rsidRPr="00375095">
        <w:rPr>
          <w:color w:val="000000"/>
        </w:rPr>
        <w:t xml:space="preserve"> about this. For a preliminary, but significant </w:t>
      </w:r>
      <w:r w:rsidR="00D9598F" w:rsidRPr="00375095">
        <w:rPr>
          <w:color w:val="000000"/>
        </w:rPr>
        <w:t>work, see</w:t>
      </w:r>
      <w:r w:rsidR="00471035" w:rsidRPr="00375095">
        <w:rPr>
          <w:color w:val="000000"/>
        </w:rPr>
        <w:t xml:space="preserve"> Stern, </w:t>
      </w:r>
      <w:proofErr w:type="spellStart"/>
      <w:r w:rsidR="00337029" w:rsidRPr="00375095">
        <w:rPr>
          <w:i/>
          <w:iCs/>
          <w:color w:val="000000"/>
        </w:rPr>
        <w:t>Hamashal</w:t>
      </w:r>
      <w:proofErr w:type="spellEnd"/>
      <w:r w:rsidR="00337029" w:rsidRPr="00375095">
        <w:rPr>
          <w:color w:val="000000"/>
        </w:rPr>
        <w:t xml:space="preserve">, 88-93. See further </w:t>
      </w:r>
    </w:p>
    <w:p w:rsidR="00A6616D" w:rsidRPr="00375095" w:rsidRDefault="00A6616D" w:rsidP="00A6616D">
      <w:pPr>
        <w:pStyle w:val="FootnoteText"/>
        <w:bidi w:val="0"/>
        <w:rPr>
          <w:color w:val="000000"/>
        </w:rPr>
      </w:pPr>
      <w:r w:rsidRPr="00375095">
        <w:rPr>
          <w:color w:val="000000"/>
        </w:rPr>
        <w:t xml:space="preserve">D. Kraemer, </w:t>
      </w:r>
      <w:r w:rsidR="00717023" w:rsidRPr="00375095">
        <w:rPr>
          <w:color w:val="000000"/>
        </w:rPr>
        <w:t>“</w:t>
      </w:r>
      <w:r w:rsidRPr="00375095">
        <w:rPr>
          <w:color w:val="000000"/>
        </w:rPr>
        <w:t>The Intended Reader as a Key to Interpreting the Bavli</w:t>
      </w:r>
      <w:r w:rsidR="00717023" w:rsidRPr="00375095">
        <w:rPr>
          <w:color w:val="000000"/>
        </w:rPr>
        <w:t xml:space="preserve">,” </w:t>
      </w:r>
      <w:r w:rsidRPr="00375095">
        <w:rPr>
          <w:i/>
          <w:iCs/>
          <w:color w:val="000000"/>
        </w:rPr>
        <w:t>Prooftexts</w:t>
      </w:r>
      <w:r w:rsidRPr="00375095">
        <w:rPr>
          <w:color w:val="000000"/>
        </w:rPr>
        <w:t xml:space="preserve"> 13 (1993), 125-140.</w:t>
      </w:r>
    </w:p>
  </w:footnote>
  <w:footnote w:id="4">
    <w:p w:rsidR="00377BE9" w:rsidRPr="00375095" w:rsidRDefault="00377BE9" w:rsidP="003B39E6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Pr="00375095">
        <w:rPr>
          <w:color w:val="000000"/>
          <w:rtl/>
        </w:rPr>
        <w:t xml:space="preserve"> </w:t>
      </w:r>
      <w:r w:rsidR="00D34ABF" w:rsidRPr="00375095">
        <w:rPr>
          <w:color w:val="000000"/>
        </w:rPr>
        <w:t>Culler</w:t>
      </w:r>
      <w:r w:rsidR="003B39E6" w:rsidRPr="00375095">
        <w:rPr>
          <w:color w:val="000000"/>
        </w:rPr>
        <w:t xml:space="preserve">, </w:t>
      </w:r>
      <w:proofErr w:type="spellStart"/>
      <w:r w:rsidR="003B39E6" w:rsidRPr="00375095">
        <w:rPr>
          <w:i/>
          <w:iCs/>
          <w:color w:val="000000"/>
        </w:rPr>
        <w:t>Decostrutzia</w:t>
      </w:r>
      <w:proofErr w:type="spellEnd"/>
      <w:r w:rsidR="003B39E6" w:rsidRPr="00375095">
        <w:rPr>
          <w:color w:val="000000"/>
        </w:rPr>
        <w:t>, 35.</w:t>
      </w:r>
      <w:r w:rsidR="00BA70A9" w:rsidRPr="00375095">
        <w:rPr>
          <w:color w:val="000000"/>
          <w:rtl/>
        </w:rPr>
        <w:t xml:space="preserve"> </w:t>
      </w:r>
    </w:p>
  </w:footnote>
  <w:footnote w:id="5">
    <w:p w:rsidR="006B412C" w:rsidRPr="00375095" w:rsidRDefault="006B412C" w:rsidP="006B412C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Pr="00375095">
        <w:rPr>
          <w:color w:val="000000"/>
          <w:rtl/>
        </w:rPr>
        <w:t xml:space="preserve"> </w:t>
      </w:r>
      <w:r w:rsidR="00CF6664" w:rsidRPr="00375095">
        <w:rPr>
          <w:color w:val="000000"/>
        </w:rPr>
        <w:t xml:space="preserve">The attempt to characterize different communities of readers </w:t>
      </w:r>
      <w:r w:rsidR="00B054A8" w:rsidRPr="00375095">
        <w:rPr>
          <w:color w:val="000000"/>
        </w:rPr>
        <w:t>belongs to a different branch of the school. There is no question tha</w:t>
      </w:r>
      <w:r w:rsidR="00803543" w:rsidRPr="00375095">
        <w:rPr>
          <w:color w:val="000000"/>
        </w:rPr>
        <w:t xml:space="preserve">t despite </w:t>
      </w:r>
      <w:proofErr w:type="gramStart"/>
      <w:r w:rsidR="00803543" w:rsidRPr="00375095">
        <w:rPr>
          <w:color w:val="000000"/>
        </w:rPr>
        <w:t>all of</w:t>
      </w:r>
      <w:proofErr w:type="gramEnd"/>
      <w:r w:rsidR="00803543" w:rsidRPr="00375095">
        <w:rPr>
          <w:color w:val="000000"/>
        </w:rPr>
        <w:t xml:space="preserve"> the difficulties that t</w:t>
      </w:r>
      <w:r w:rsidR="00E84296" w:rsidRPr="00375095">
        <w:rPr>
          <w:color w:val="000000"/>
        </w:rPr>
        <w:t xml:space="preserve">his approach </w:t>
      </w:r>
      <w:r w:rsidR="00F6201D" w:rsidRPr="00375095">
        <w:rPr>
          <w:color w:val="000000"/>
        </w:rPr>
        <w:t>entails</w:t>
      </w:r>
      <w:r w:rsidR="006F3C90" w:rsidRPr="00375095">
        <w:rPr>
          <w:color w:val="000000"/>
        </w:rPr>
        <w:t>;</w:t>
      </w:r>
      <w:r w:rsidR="00E84296" w:rsidRPr="00375095">
        <w:rPr>
          <w:color w:val="000000"/>
        </w:rPr>
        <w:t xml:space="preserve"> it, too, can yield important conclusions </w:t>
      </w:r>
      <w:r w:rsidR="006F3C90" w:rsidRPr="00375095">
        <w:rPr>
          <w:color w:val="000000"/>
        </w:rPr>
        <w:t xml:space="preserve">which </w:t>
      </w:r>
      <w:r w:rsidR="00F6201D" w:rsidRPr="00375095">
        <w:rPr>
          <w:color w:val="000000"/>
        </w:rPr>
        <w:t>concern</w:t>
      </w:r>
      <w:r w:rsidR="006F3C90" w:rsidRPr="00375095">
        <w:rPr>
          <w:color w:val="000000"/>
        </w:rPr>
        <w:t xml:space="preserve"> </w:t>
      </w:r>
      <w:r w:rsidR="006F3C90" w:rsidRPr="00375095">
        <w:rPr>
          <w:rStyle w:val="Emphasis"/>
          <w:i w:val="0"/>
          <w:iCs w:val="0"/>
          <w:color w:val="000000"/>
        </w:rPr>
        <w:t>midrashic scholarship</w:t>
      </w:r>
      <w:r w:rsidR="000B435D" w:rsidRPr="00375095">
        <w:rPr>
          <w:color w:val="000000"/>
        </w:rPr>
        <w:t>.</w:t>
      </w:r>
    </w:p>
  </w:footnote>
  <w:footnote w:id="6">
    <w:p w:rsidR="00DC7C83" w:rsidRPr="00375095" w:rsidRDefault="00DC7C83" w:rsidP="004021A7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Pr="00375095">
        <w:rPr>
          <w:color w:val="000000"/>
          <w:rtl/>
        </w:rPr>
        <w:t xml:space="preserve"> </w:t>
      </w:r>
      <w:r w:rsidR="00160958" w:rsidRPr="00375095">
        <w:rPr>
          <w:color w:val="000000"/>
        </w:rPr>
        <w:t xml:space="preserve">See </w:t>
      </w:r>
      <w:proofErr w:type="spellStart"/>
      <w:r w:rsidR="00840C83" w:rsidRPr="00375095">
        <w:rPr>
          <w:color w:val="000000"/>
        </w:rPr>
        <w:t>Eiser</w:t>
      </w:r>
      <w:proofErr w:type="spellEnd"/>
      <w:r w:rsidR="00840C83" w:rsidRPr="00375095">
        <w:rPr>
          <w:color w:val="000000"/>
        </w:rPr>
        <w:t xml:space="preserve">, </w:t>
      </w:r>
      <w:proofErr w:type="spellStart"/>
      <w:r w:rsidR="00840C83" w:rsidRPr="00375095">
        <w:rPr>
          <w:i/>
          <w:iCs/>
          <w:color w:val="000000"/>
        </w:rPr>
        <w:t>Kriyah</w:t>
      </w:r>
      <w:proofErr w:type="spellEnd"/>
      <w:r w:rsidR="00840C83" w:rsidRPr="00375095">
        <w:rPr>
          <w:color w:val="000000"/>
        </w:rPr>
        <w:t>, 34.</w:t>
      </w:r>
    </w:p>
  </w:footnote>
  <w:footnote w:id="7">
    <w:p w:rsidR="00515B95" w:rsidRPr="00375095" w:rsidRDefault="00515B95" w:rsidP="00515B95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Pr="00375095">
        <w:rPr>
          <w:color w:val="000000"/>
          <w:rtl/>
        </w:rPr>
        <w:t xml:space="preserve"> </w:t>
      </w:r>
      <w:r w:rsidR="00840C83" w:rsidRPr="00375095">
        <w:rPr>
          <w:color w:val="000000"/>
        </w:rPr>
        <w:t>Ramon-</w:t>
      </w:r>
      <w:proofErr w:type="spellStart"/>
      <w:r w:rsidR="00840C83" w:rsidRPr="00375095">
        <w:rPr>
          <w:color w:val="000000"/>
        </w:rPr>
        <w:t>Keinan</w:t>
      </w:r>
      <w:proofErr w:type="spellEnd"/>
      <w:r w:rsidR="00840C83" w:rsidRPr="00375095">
        <w:rPr>
          <w:color w:val="000000"/>
        </w:rPr>
        <w:t xml:space="preserve">, </w:t>
      </w:r>
      <w:proofErr w:type="spellStart"/>
      <w:r w:rsidR="00840C83" w:rsidRPr="00375095">
        <w:rPr>
          <w:i/>
          <w:iCs/>
          <w:color w:val="000000"/>
        </w:rPr>
        <w:t>Poetica</w:t>
      </w:r>
      <w:proofErr w:type="spellEnd"/>
      <w:r w:rsidR="00840C83" w:rsidRPr="00375095">
        <w:rPr>
          <w:color w:val="000000"/>
        </w:rPr>
        <w:t>, 113-114.</w:t>
      </w:r>
    </w:p>
  </w:footnote>
  <w:footnote w:id="8">
    <w:p w:rsidR="00B66894" w:rsidRPr="00375095" w:rsidRDefault="00B66894" w:rsidP="00B66894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Pr="00375095">
        <w:rPr>
          <w:color w:val="000000"/>
          <w:rtl/>
        </w:rPr>
        <w:t xml:space="preserve"> </w:t>
      </w:r>
      <w:r w:rsidR="00FE159D" w:rsidRPr="00375095">
        <w:rPr>
          <w:color w:val="000000"/>
        </w:rPr>
        <w:t xml:space="preserve">See Rabinovitch, </w:t>
      </w:r>
      <w:proofErr w:type="spellStart"/>
      <w:r w:rsidR="00FE159D" w:rsidRPr="00375095">
        <w:rPr>
          <w:i/>
          <w:iCs/>
          <w:color w:val="000000"/>
        </w:rPr>
        <w:t>Lifnei</w:t>
      </w:r>
      <w:proofErr w:type="spellEnd"/>
      <w:r w:rsidR="00FE159D" w:rsidRPr="00375095">
        <w:rPr>
          <w:i/>
          <w:iCs/>
          <w:color w:val="000000"/>
        </w:rPr>
        <w:t xml:space="preserve"> </w:t>
      </w:r>
      <w:proofErr w:type="spellStart"/>
      <w:r w:rsidR="00FE159D" w:rsidRPr="00375095">
        <w:rPr>
          <w:i/>
          <w:iCs/>
          <w:color w:val="000000"/>
        </w:rPr>
        <w:t>Kriyah</w:t>
      </w:r>
      <w:proofErr w:type="spellEnd"/>
      <w:r w:rsidR="00FE159D" w:rsidRPr="00375095">
        <w:rPr>
          <w:color w:val="000000"/>
        </w:rPr>
        <w:t>, 22.</w:t>
      </w:r>
    </w:p>
  </w:footnote>
  <w:footnote w:id="9">
    <w:p w:rsidR="00687C86" w:rsidRPr="00375095" w:rsidRDefault="00687C86" w:rsidP="00687C86">
      <w:pPr>
        <w:pStyle w:val="FootnoteText"/>
        <w:bidi w:val="0"/>
        <w:rPr>
          <w:color w:val="000000"/>
        </w:rPr>
      </w:pPr>
      <w:r w:rsidRPr="00375095">
        <w:rPr>
          <w:rStyle w:val="FootnoteReference"/>
          <w:color w:val="000000"/>
        </w:rPr>
        <w:footnoteRef/>
      </w:r>
      <w:r w:rsidRPr="00375095">
        <w:rPr>
          <w:color w:val="000000"/>
          <w:rtl/>
        </w:rPr>
        <w:t xml:space="preserve"> </w:t>
      </w:r>
      <w:r w:rsidR="00BF4FCE" w:rsidRPr="00375095">
        <w:rPr>
          <w:color w:val="000000"/>
        </w:rPr>
        <w:t xml:space="preserve">Bennett, </w:t>
      </w:r>
      <w:proofErr w:type="spellStart"/>
      <w:r w:rsidR="00FE159D" w:rsidRPr="00375095">
        <w:rPr>
          <w:i/>
          <w:iCs/>
          <w:color w:val="000000"/>
        </w:rPr>
        <w:t>Textim</w:t>
      </w:r>
      <w:proofErr w:type="spellEnd"/>
      <w:r w:rsidR="00FE159D" w:rsidRPr="00375095">
        <w:rPr>
          <w:color w:val="000000"/>
        </w:rPr>
        <w:t xml:space="preserve">, </w:t>
      </w:r>
      <w:r w:rsidR="009E775A" w:rsidRPr="00375095">
        <w:rPr>
          <w:color w:val="000000"/>
        </w:rPr>
        <w:t xml:space="preserve">70-75; </w:t>
      </w:r>
      <w:r w:rsidR="009E775A" w:rsidRPr="00375095">
        <w:rPr>
          <w:color w:val="000000"/>
          <w:lang w:bidi="en-US"/>
        </w:rPr>
        <w:t xml:space="preserve">T. Bennett, </w:t>
      </w:r>
      <w:r w:rsidR="00B6483D" w:rsidRPr="00375095">
        <w:rPr>
          <w:color w:val="000000"/>
          <w:lang w:bidi="en-US"/>
        </w:rPr>
        <w:t>“Text</w:t>
      </w:r>
      <w:r w:rsidR="009E775A" w:rsidRPr="00375095">
        <w:rPr>
          <w:color w:val="000000"/>
          <w:lang w:bidi="en-US"/>
        </w:rPr>
        <w:t>, Readers, Reading Formations</w:t>
      </w:r>
      <w:r w:rsidR="00B02149" w:rsidRPr="00375095">
        <w:rPr>
          <w:color w:val="000000"/>
          <w:lang w:bidi="en-US"/>
        </w:rPr>
        <w:t>,</w:t>
      </w:r>
      <w:r w:rsidR="00B6483D" w:rsidRPr="00375095">
        <w:rPr>
          <w:color w:val="000000"/>
          <w:lang w:bidi="en-US"/>
        </w:rPr>
        <w:t>”</w:t>
      </w:r>
      <w:r w:rsidR="009E775A" w:rsidRPr="00375095">
        <w:rPr>
          <w:color w:val="000000"/>
          <w:lang w:bidi="en-US"/>
        </w:rPr>
        <w:t xml:space="preserve"> </w:t>
      </w:r>
      <w:r w:rsidR="009E775A" w:rsidRPr="00375095">
        <w:rPr>
          <w:rStyle w:val="Bodytext38pt"/>
          <w:rFonts w:ascii="Times New Roman" w:hAnsi="Times New Roman" w:cs="Times New Roman"/>
          <w:sz w:val="20"/>
          <w:szCs w:val="20"/>
        </w:rPr>
        <w:t>Literature</w:t>
      </w:r>
      <w:r w:rsidR="009E775A" w:rsidRPr="00375095">
        <w:rPr>
          <w:rStyle w:val="Bodytext38pt"/>
          <w:rFonts w:ascii="Times New Roman" w:hAnsi="Times New Roman" w:cs="Times New Roman"/>
          <w:sz w:val="20"/>
          <w:szCs w:val="20"/>
          <w:rtl/>
          <w:lang w:val="he-IL" w:eastAsia="he-IL"/>
        </w:rPr>
        <w:t xml:space="preserve"> </w:t>
      </w:r>
      <w:r w:rsidR="00B02149" w:rsidRPr="00375095">
        <w:rPr>
          <w:rStyle w:val="Bodytext38pt"/>
          <w:rFonts w:ascii="Times New Roman" w:hAnsi="Times New Roman" w:cs="Times New Roman"/>
          <w:sz w:val="20"/>
          <w:szCs w:val="20"/>
        </w:rPr>
        <w:t>and History</w:t>
      </w:r>
      <w:r w:rsidR="00B02149" w:rsidRPr="00375095">
        <w:rPr>
          <w:color w:val="000000"/>
          <w:lang w:bidi="en-US"/>
        </w:rPr>
        <w:t xml:space="preserve"> 9</w:t>
      </w:r>
      <w:r w:rsidR="009E775A" w:rsidRPr="00375095">
        <w:rPr>
          <w:color w:val="000000"/>
          <w:lang w:bidi="en-US"/>
        </w:rPr>
        <w:t xml:space="preserve"> (1983</w:t>
      </w:r>
      <w:r w:rsidR="00B02149" w:rsidRPr="00375095">
        <w:rPr>
          <w:color w:val="000000"/>
          <w:lang w:bidi="en-US"/>
        </w:rPr>
        <w:t>), 218</w:t>
      </w:r>
      <w:r w:rsidR="00B02149" w:rsidRPr="00375095">
        <w:rPr>
          <w:color w:val="000000"/>
        </w:rPr>
        <w:t xml:space="preserve">. It is only recently that scholars have begun to </w:t>
      </w:r>
      <w:r w:rsidR="00893AB8" w:rsidRPr="00375095">
        <w:rPr>
          <w:color w:val="000000"/>
        </w:rPr>
        <w:t>pay attention to this</w:t>
      </w:r>
      <w:r w:rsidR="00B6483D" w:rsidRPr="00375095">
        <w:rPr>
          <w:color w:val="000000"/>
        </w:rPr>
        <w:t>.</w:t>
      </w:r>
      <w:r w:rsidR="00893AB8" w:rsidRPr="00375095">
        <w:rPr>
          <w:color w:val="000000"/>
        </w:rPr>
        <w:t xml:space="preserve"> </w:t>
      </w:r>
      <w:r w:rsidR="00B6483D" w:rsidRPr="00375095">
        <w:rPr>
          <w:color w:val="000000"/>
        </w:rPr>
        <w:t>S</w:t>
      </w:r>
      <w:r w:rsidR="00893AB8" w:rsidRPr="00375095">
        <w:rPr>
          <w:color w:val="000000"/>
        </w:rPr>
        <w:t xml:space="preserve">ee </w:t>
      </w:r>
      <w:r w:rsidR="00893AB8" w:rsidRPr="00375095">
        <w:rPr>
          <w:color w:val="000000"/>
          <w:lang w:bidi="en-US"/>
        </w:rPr>
        <w:t xml:space="preserve">J. L. </w:t>
      </w:r>
      <w:proofErr w:type="spellStart"/>
      <w:r w:rsidR="00893AB8" w:rsidRPr="00375095">
        <w:rPr>
          <w:color w:val="000000"/>
          <w:lang w:bidi="en-US"/>
        </w:rPr>
        <w:t>Machor</w:t>
      </w:r>
      <w:proofErr w:type="spellEnd"/>
      <w:r w:rsidR="00893AB8" w:rsidRPr="00375095">
        <w:rPr>
          <w:color w:val="000000"/>
          <w:lang w:bidi="en-US"/>
        </w:rPr>
        <w:t xml:space="preserve">, </w:t>
      </w:r>
      <w:r w:rsidR="00893AB8" w:rsidRPr="00375095">
        <w:rPr>
          <w:rStyle w:val="Bodytext38pt"/>
          <w:rFonts w:ascii="Times New Roman" w:hAnsi="Times New Roman" w:cs="Times New Roman"/>
          <w:sz w:val="20"/>
          <w:szCs w:val="20"/>
        </w:rPr>
        <w:t>Readers in History,</w:t>
      </w:r>
      <w:r w:rsidR="00893AB8" w:rsidRPr="00375095">
        <w:rPr>
          <w:color w:val="000000"/>
          <w:lang w:bidi="en-US"/>
        </w:rPr>
        <w:t xml:space="preserve"> </w:t>
      </w:r>
      <w:r w:rsidR="00B6483D" w:rsidRPr="00375095">
        <w:rPr>
          <w:color w:val="000000"/>
          <w:lang w:bidi="en-US"/>
        </w:rPr>
        <w:t>(</w:t>
      </w:r>
      <w:r w:rsidR="00893AB8" w:rsidRPr="00375095">
        <w:rPr>
          <w:color w:val="000000"/>
          <w:lang w:bidi="en-US"/>
        </w:rPr>
        <w:t>Baltimore</w:t>
      </w:r>
      <w:r w:rsidR="00B6483D" w:rsidRPr="00375095">
        <w:rPr>
          <w:color w:val="000000"/>
          <w:lang w:bidi="en-US"/>
        </w:rPr>
        <w:t>,</w:t>
      </w:r>
      <w:r w:rsidR="00893AB8" w:rsidRPr="00375095">
        <w:rPr>
          <w:color w:val="000000"/>
          <w:lang w:bidi="en-US"/>
        </w:rPr>
        <w:t xml:space="preserve"> 1993</w:t>
      </w:r>
      <w:r w:rsidR="00B6483D" w:rsidRPr="00375095">
        <w:rPr>
          <w:color w:val="000000"/>
          <w:lang w:bidi="en-US"/>
        </w:rPr>
        <w:t>)</w:t>
      </w:r>
      <w:r w:rsidR="00893AB8" w:rsidRPr="00375095">
        <w:rPr>
          <w:color w:val="000000"/>
          <w:lang w:bidi="en-US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5450A51-0273-458D-9B68-43EBEC3F6C44}"/>
    <w:docVar w:name="dgnword-eventsink" w:val="451646744"/>
  </w:docVars>
  <w:rsids>
    <w:rsidRoot w:val="00606F99"/>
    <w:rsid w:val="00007716"/>
    <w:rsid w:val="00014842"/>
    <w:rsid w:val="000158A6"/>
    <w:rsid w:val="000330B3"/>
    <w:rsid w:val="000418FF"/>
    <w:rsid w:val="000446D4"/>
    <w:rsid w:val="00044EB2"/>
    <w:rsid w:val="00050C51"/>
    <w:rsid w:val="000522BA"/>
    <w:rsid w:val="0005424E"/>
    <w:rsid w:val="00061157"/>
    <w:rsid w:val="0006608E"/>
    <w:rsid w:val="000728F7"/>
    <w:rsid w:val="0008213F"/>
    <w:rsid w:val="00090A4A"/>
    <w:rsid w:val="0009116F"/>
    <w:rsid w:val="000939E7"/>
    <w:rsid w:val="000A63F4"/>
    <w:rsid w:val="000A78BB"/>
    <w:rsid w:val="000B3DAD"/>
    <w:rsid w:val="000B435D"/>
    <w:rsid w:val="000B4952"/>
    <w:rsid w:val="000C1D92"/>
    <w:rsid w:val="000C65A0"/>
    <w:rsid w:val="000C71A8"/>
    <w:rsid w:val="000D2FE0"/>
    <w:rsid w:val="000D313B"/>
    <w:rsid w:val="000D5960"/>
    <w:rsid w:val="000D6EC7"/>
    <w:rsid w:val="000F5EDE"/>
    <w:rsid w:val="000F6217"/>
    <w:rsid w:val="000F7708"/>
    <w:rsid w:val="00100944"/>
    <w:rsid w:val="00102291"/>
    <w:rsid w:val="001030BB"/>
    <w:rsid w:val="00103833"/>
    <w:rsid w:val="00111D1B"/>
    <w:rsid w:val="00114352"/>
    <w:rsid w:val="001257AA"/>
    <w:rsid w:val="00151BE7"/>
    <w:rsid w:val="00160958"/>
    <w:rsid w:val="0017508C"/>
    <w:rsid w:val="001B1E5B"/>
    <w:rsid w:val="001E4259"/>
    <w:rsid w:val="001E6FF1"/>
    <w:rsid w:val="001E7C97"/>
    <w:rsid w:val="00202474"/>
    <w:rsid w:val="00206A1E"/>
    <w:rsid w:val="00210BB1"/>
    <w:rsid w:val="00210CC3"/>
    <w:rsid w:val="00222FF2"/>
    <w:rsid w:val="00223561"/>
    <w:rsid w:val="00233E63"/>
    <w:rsid w:val="00250C63"/>
    <w:rsid w:val="00255F9C"/>
    <w:rsid w:val="00257F35"/>
    <w:rsid w:val="00272C1C"/>
    <w:rsid w:val="00274461"/>
    <w:rsid w:val="00274CA7"/>
    <w:rsid w:val="00275E75"/>
    <w:rsid w:val="00292768"/>
    <w:rsid w:val="002A531F"/>
    <w:rsid w:val="002B14BC"/>
    <w:rsid w:val="002B2FC0"/>
    <w:rsid w:val="002E5A4C"/>
    <w:rsid w:val="002F79AA"/>
    <w:rsid w:val="003012F0"/>
    <w:rsid w:val="00303B11"/>
    <w:rsid w:val="00306213"/>
    <w:rsid w:val="003155C5"/>
    <w:rsid w:val="00324B66"/>
    <w:rsid w:val="00327F90"/>
    <w:rsid w:val="00330960"/>
    <w:rsid w:val="003309CF"/>
    <w:rsid w:val="00337029"/>
    <w:rsid w:val="00337A15"/>
    <w:rsid w:val="00342CEB"/>
    <w:rsid w:val="00347D74"/>
    <w:rsid w:val="0036228E"/>
    <w:rsid w:val="0036236F"/>
    <w:rsid w:val="00364B74"/>
    <w:rsid w:val="00375095"/>
    <w:rsid w:val="003757A9"/>
    <w:rsid w:val="00377BE9"/>
    <w:rsid w:val="00391850"/>
    <w:rsid w:val="00395B4A"/>
    <w:rsid w:val="003A1AF3"/>
    <w:rsid w:val="003A407B"/>
    <w:rsid w:val="003A5FC2"/>
    <w:rsid w:val="003A77ED"/>
    <w:rsid w:val="003B31B9"/>
    <w:rsid w:val="003B39E6"/>
    <w:rsid w:val="003B3B63"/>
    <w:rsid w:val="003C276A"/>
    <w:rsid w:val="003E0CFF"/>
    <w:rsid w:val="003E31B3"/>
    <w:rsid w:val="003F17B7"/>
    <w:rsid w:val="003F63AC"/>
    <w:rsid w:val="00400CE3"/>
    <w:rsid w:val="004012DB"/>
    <w:rsid w:val="004021A7"/>
    <w:rsid w:val="0041470B"/>
    <w:rsid w:val="004336AA"/>
    <w:rsid w:val="004372CD"/>
    <w:rsid w:val="00445DFE"/>
    <w:rsid w:val="004568D1"/>
    <w:rsid w:val="00461897"/>
    <w:rsid w:val="00463209"/>
    <w:rsid w:val="00471035"/>
    <w:rsid w:val="00476B50"/>
    <w:rsid w:val="004922CB"/>
    <w:rsid w:val="004A5436"/>
    <w:rsid w:val="004B79F7"/>
    <w:rsid w:val="004D3A0A"/>
    <w:rsid w:val="004E4F47"/>
    <w:rsid w:val="004F6F06"/>
    <w:rsid w:val="00501311"/>
    <w:rsid w:val="00503496"/>
    <w:rsid w:val="005060B3"/>
    <w:rsid w:val="005106E4"/>
    <w:rsid w:val="005108F4"/>
    <w:rsid w:val="00515B95"/>
    <w:rsid w:val="005200AF"/>
    <w:rsid w:val="00524BFC"/>
    <w:rsid w:val="00545EC0"/>
    <w:rsid w:val="00555188"/>
    <w:rsid w:val="00555C8B"/>
    <w:rsid w:val="00555D4A"/>
    <w:rsid w:val="00556482"/>
    <w:rsid w:val="005602DF"/>
    <w:rsid w:val="00566C68"/>
    <w:rsid w:val="00581180"/>
    <w:rsid w:val="00583407"/>
    <w:rsid w:val="005A0328"/>
    <w:rsid w:val="005B0715"/>
    <w:rsid w:val="005B11C4"/>
    <w:rsid w:val="005B2C51"/>
    <w:rsid w:val="005C48E7"/>
    <w:rsid w:val="005D0EEB"/>
    <w:rsid w:val="005E1149"/>
    <w:rsid w:val="005E6B94"/>
    <w:rsid w:val="005F6852"/>
    <w:rsid w:val="00604CF1"/>
    <w:rsid w:val="00606F99"/>
    <w:rsid w:val="00610691"/>
    <w:rsid w:val="0061133E"/>
    <w:rsid w:val="0061605E"/>
    <w:rsid w:val="00627D1F"/>
    <w:rsid w:val="00630F62"/>
    <w:rsid w:val="00641D72"/>
    <w:rsid w:val="00642D9E"/>
    <w:rsid w:val="00646CC7"/>
    <w:rsid w:val="00647FCB"/>
    <w:rsid w:val="006565F7"/>
    <w:rsid w:val="0066164F"/>
    <w:rsid w:val="00666F82"/>
    <w:rsid w:val="0068398B"/>
    <w:rsid w:val="00686734"/>
    <w:rsid w:val="00687B13"/>
    <w:rsid w:val="00687C86"/>
    <w:rsid w:val="0069250C"/>
    <w:rsid w:val="0069506F"/>
    <w:rsid w:val="006A572D"/>
    <w:rsid w:val="006B1595"/>
    <w:rsid w:val="006B2838"/>
    <w:rsid w:val="006B3EB9"/>
    <w:rsid w:val="006B412C"/>
    <w:rsid w:val="006B5EA5"/>
    <w:rsid w:val="006B78B8"/>
    <w:rsid w:val="006C3A90"/>
    <w:rsid w:val="006C3DF7"/>
    <w:rsid w:val="006E0253"/>
    <w:rsid w:val="006E1804"/>
    <w:rsid w:val="006E1BE3"/>
    <w:rsid w:val="006E6A66"/>
    <w:rsid w:val="006F3C90"/>
    <w:rsid w:val="006F7091"/>
    <w:rsid w:val="00700C40"/>
    <w:rsid w:val="0070395E"/>
    <w:rsid w:val="00705FBE"/>
    <w:rsid w:val="0070726D"/>
    <w:rsid w:val="007106DD"/>
    <w:rsid w:val="0071626F"/>
    <w:rsid w:val="00717023"/>
    <w:rsid w:val="007243E4"/>
    <w:rsid w:val="0072585D"/>
    <w:rsid w:val="00733AD7"/>
    <w:rsid w:val="00733F8D"/>
    <w:rsid w:val="00740A3B"/>
    <w:rsid w:val="00746CF6"/>
    <w:rsid w:val="00765A14"/>
    <w:rsid w:val="00766B53"/>
    <w:rsid w:val="007700D3"/>
    <w:rsid w:val="007709A3"/>
    <w:rsid w:val="0079492E"/>
    <w:rsid w:val="00797885"/>
    <w:rsid w:val="007A5022"/>
    <w:rsid w:val="007B03A4"/>
    <w:rsid w:val="007B1277"/>
    <w:rsid w:val="007B1FF7"/>
    <w:rsid w:val="007B32B6"/>
    <w:rsid w:val="007B6E73"/>
    <w:rsid w:val="007D1CD2"/>
    <w:rsid w:val="007D2129"/>
    <w:rsid w:val="007D36B5"/>
    <w:rsid w:val="007D565F"/>
    <w:rsid w:val="007D74BE"/>
    <w:rsid w:val="007E25AF"/>
    <w:rsid w:val="007F07A9"/>
    <w:rsid w:val="007F20A4"/>
    <w:rsid w:val="007F25AA"/>
    <w:rsid w:val="007F2B7D"/>
    <w:rsid w:val="007F4C11"/>
    <w:rsid w:val="007F734C"/>
    <w:rsid w:val="00802A96"/>
    <w:rsid w:val="00803543"/>
    <w:rsid w:val="00807A2A"/>
    <w:rsid w:val="0081256A"/>
    <w:rsid w:val="00823B1A"/>
    <w:rsid w:val="00823F0F"/>
    <w:rsid w:val="008247F0"/>
    <w:rsid w:val="00825513"/>
    <w:rsid w:val="0083200D"/>
    <w:rsid w:val="00840C83"/>
    <w:rsid w:val="00843236"/>
    <w:rsid w:val="00847F53"/>
    <w:rsid w:val="00847F7C"/>
    <w:rsid w:val="008550EC"/>
    <w:rsid w:val="00864D6C"/>
    <w:rsid w:val="0087054B"/>
    <w:rsid w:val="00872B79"/>
    <w:rsid w:val="008838B1"/>
    <w:rsid w:val="008850E3"/>
    <w:rsid w:val="00891EA0"/>
    <w:rsid w:val="0089212A"/>
    <w:rsid w:val="00892136"/>
    <w:rsid w:val="00893AB8"/>
    <w:rsid w:val="008A40CE"/>
    <w:rsid w:val="008A4CA9"/>
    <w:rsid w:val="008A634B"/>
    <w:rsid w:val="008B2299"/>
    <w:rsid w:val="008B6C30"/>
    <w:rsid w:val="008D758A"/>
    <w:rsid w:val="008E30D2"/>
    <w:rsid w:val="008E602F"/>
    <w:rsid w:val="008E74DA"/>
    <w:rsid w:val="008F1E9E"/>
    <w:rsid w:val="008F4FF2"/>
    <w:rsid w:val="00922A9C"/>
    <w:rsid w:val="009270F7"/>
    <w:rsid w:val="009304F7"/>
    <w:rsid w:val="009336B7"/>
    <w:rsid w:val="009358A6"/>
    <w:rsid w:val="009440D7"/>
    <w:rsid w:val="00944567"/>
    <w:rsid w:val="00961834"/>
    <w:rsid w:val="0096246A"/>
    <w:rsid w:val="00965226"/>
    <w:rsid w:val="00965541"/>
    <w:rsid w:val="009671B4"/>
    <w:rsid w:val="00975D87"/>
    <w:rsid w:val="00977D10"/>
    <w:rsid w:val="00986517"/>
    <w:rsid w:val="00990FCC"/>
    <w:rsid w:val="00991C0A"/>
    <w:rsid w:val="00991F7C"/>
    <w:rsid w:val="00994FFB"/>
    <w:rsid w:val="0099598F"/>
    <w:rsid w:val="00996197"/>
    <w:rsid w:val="00997296"/>
    <w:rsid w:val="009A0A40"/>
    <w:rsid w:val="009A76C6"/>
    <w:rsid w:val="009B199A"/>
    <w:rsid w:val="009C0BD3"/>
    <w:rsid w:val="009C4DC6"/>
    <w:rsid w:val="009C6A49"/>
    <w:rsid w:val="009D2DE9"/>
    <w:rsid w:val="009D3137"/>
    <w:rsid w:val="009D372E"/>
    <w:rsid w:val="009D3F6D"/>
    <w:rsid w:val="009E0F34"/>
    <w:rsid w:val="009E3124"/>
    <w:rsid w:val="009E5027"/>
    <w:rsid w:val="009E57A0"/>
    <w:rsid w:val="009E775A"/>
    <w:rsid w:val="009F4394"/>
    <w:rsid w:val="009F5978"/>
    <w:rsid w:val="00A13A64"/>
    <w:rsid w:val="00A232C5"/>
    <w:rsid w:val="00A23820"/>
    <w:rsid w:val="00A23C2D"/>
    <w:rsid w:val="00A27445"/>
    <w:rsid w:val="00A30875"/>
    <w:rsid w:val="00A31BA4"/>
    <w:rsid w:val="00A37BF5"/>
    <w:rsid w:val="00A41DA1"/>
    <w:rsid w:val="00A6616D"/>
    <w:rsid w:val="00A6771F"/>
    <w:rsid w:val="00A754AC"/>
    <w:rsid w:val="00A7693C"/>
    <w:rsid w:val="00A82D91"/>
    <w:rsid w:val="00A83085"/>
    <w:rsid w:val="00AA4A2A"/>
    <w:rsid w:val="00AA6DA2"/>
    <w:rsid w:val="00AA7B20"/>
    <w:rsid w:val="00AB007C"/>
    <w:rsid w:val="00AB3F8A"/>
    <w:rsid w:val="00AB65F1"/>
    <w:rsid w:val="00AC2EEE"/>
    <w:rsid w:val="00AC38EB"/>
    <w:rsid w:val="00AC41A8"/>
    <w:rsid w:val="00AD4CAA"/>
    <w:rsid w:val="00AE1601"/>
    <w:rsid w:val="00AE3452"/>
    <w:rsid w:val="00AE7A62"/>
    <w:rsid w:val="00AF3947"/>
    <w:rsid w:val="00B02149"/>
    <w:rsid w:val="00B054A8"/>
    <w:rsid w:val="00B14C1C"/>
    <w:rsid w:val="00B36985"/>
    <w:rsid w:val="00B41099"/>
    <w:rsid w:val="00B435DF"/>
    <w:rsid w:val="00B43C83"/>
    <w:rsid w:val="00B44F3E"/>
    <w:rsid w:val="00B45D89"/>
    <w:rsid w:val="00B500DC"/>
    <w:rsid w:val="00B50FE9"/>
    <w:rsid w:val="00B56D2B"/>
    <w:rsid w:val="00B6294E"/>
    <w:rsid w:val="00B6483D"/>
    <w:rsid w:val="00B66894"/>
    <w:rsid w:val="00B733CC"/>
    <w:rsid w:val="00B74BE7"/>
    <w:rsid w:val="00B811A7"/>
    <w:rsid w:val="00B87163"/>
    <w:rsid w:val="00B95C2C"/>
    <w:rsid w:val="00BA1952"/>
    <w:rsid w:val="00BA469A"/>
    <w:rsid w:val="00BA4E4E"/>
    <w:rsid w:val="00BA70A9"/>
    <w:rsid w:val="00BA71BB"/>
    <w:rsid w:val="00BB152B"/>
    <w:rsid w:val="00BB3E1C"/>
    <w:rsid w:val="00BB5E16"/>
    <w:rsid w:val="00BC2DC1"/>
    <w:rsid w:val="00BE2C3D"/>
    <w:rsid w:val="00BE45B7"/>
    <w:rsid w:val="00BF1DFC"/>
    <w:rsid w:val="00BF33D2"/>
    <w:rsid w:val="00BF4FCE"/>
    <w:rsid w:val="00C02860"/>
    <w:rsid w:val="00C03566"/>
    <w:rsid w:val="00C14239"/>
    <w:rsid w:val="00C17F15"/>
    <w:rsid w:val="00C3454E"/>
    <w:rsid w:val="00C3548B"/>
    <w:rsid w:val="00C45079"/>
    <w:rsid w:val="00C55CDF"/>
    <w:rsid w:val="00C57F1C"/>
    <w:rsid w:val="00C702D0"/>
    <w:rsid w:val="00C778E6"/>
    <w:rsid w:val="00C96DFF"/>
    <w:rsid w:val="00CA48A4"/>
    <w:rsid w:val="00CB0A30"/>
    <w:rsid w:val="00CB1573"/>
    <w:rsid w:val="00CB1D70"/>
    <w:rsid w:val="00CB214A"/>
    <w:rsid w:val="00CB2361"/>
    <w:rsid w:val="00CC19B7"/>
    <w:rsid w:val="00CE1774"/>
    <w:rsid w:val="00CF6664"/>
    <w:rsid w:val="00D047D2"/>
    <w:rsid w:val="00D16C00"/>
    <w:rsid w:val="00D16FBF"/>
    <w:rsid w:val="00D232E8"/>
    <w:rsid w:val="00D34ABF"/>
    <w:rsid w:val="00D43A4E"/>
    <w:rsid w:val="00D45270"/>
    <w:rsid w:val="00D479B2"/>
    <w:rsid w:val="00D50095"/>
    <w:rsid w:val="00D5566C"/>
    <w:rsid w:val="00D5579D"/>
    <w:rsid w:val="00D63039"/>
    <w:rsid w:val="00D73C0C"/>
    <w:rsid w:val="00D90522"/>
    <w:rsid w:val="00D91384"/>
    <w:rsid w:val="00D9598F"/>
    <w:rsid w:val="00DA2A2E"/>
    <w:rsid w:val="00DB1272"/>
    <w:rsid w:val="00DC2FEC"/>
    <w:rsid w:val="00DC3D0F"/>
    <w:rsid w:val="00DC7C83"/>
    <w:rsid w:val="00DD401C"/>
    <w:rsid w:val="00DD7894"/>
    <w:rsid w:val="00DE0854"/>
    <w:rsid w:val="00DE1B48"/>
    <w:rsid w:val="00DF2602"/>
    <w:rsid w:val="00DF6828"/>
    <w:rsid w:val="00DF78D4"/>
    <w:rsid w:val="00E033F8"/>
    <w:rsid w:val="00E16BBF"/>
    <w:rsid w:val="00E16C36"/>
    <w:rsid w:val="00E250D1"/>
    <w:rsid w:val="00E35A38"/>
    <w:rsid w:val="00E40D42"/>
    <w:rsid w:val="00E46AD5"/>
    <w:rsid w:val="00E51B5F"/>
    <w:rsid w:val="00E60393"/>
    <w:rsid w:val="00E84296"/>
    <w:rsid w:val="00EA089E"/>
    <w:rsid w:val="00EA6766"/>
    <w:rsid w:val="00EB1474"/>
    <w:rsid w:val="00EB4160"/>
    <w:rsid w:val="00EC0743"/>
    <w:rsid w:val="00EC1A59"/>
    <w:rsid w:val="00ED3B31"/>
    <w:rsid w:val="00ED7E8E"/>
    <w:rsid w:val="00EE077C"/>
    <w:rsid w:val="00EE6968"/>
    <w:rsid w:val="00EF28C4"/>
    <w:rsid w:val="00EF7F10"/>
    <w:rsid w:val="00F0089D"/>
    <w:rsid w:val="00F071EC"/>
    <w:rsid w:val="00F07A06"/>
    <w:rsid w:val="00F07EE3"/>
    <w:rsid w:val="00F141D5"/>
    <w:rsid w:val="00F1634A"/>
    <w:rsid w:val="00F254E6"/>
    <w:rsid w:val="00F25F4D"/>
    <w:rsid w:val="00F30AAE"/>
    <w:rsid w:val="00F30EA0"/>
    <w:rsid w:val="00F569C5"/>
    <w:rsid w:val="00F61245"/>
    <w:rsid w:val="00F6201D"/>
    <w:rsid w:val="00F65F78"/>
    <w:rsid w:val="00F674E0"/>
    <w:rsid w:val="00F70375"/>
    <w:rsid w:val="00F72FCF"/>
    <w:rsid w:val="00F753D7"/>
    <w:rsid w:val="00F76705"/>
    <w:rsid w:val="00F81CB0"/>
    <w:rsid w:val="00F97340"/>
    <w:rsid w:val="00FA42E8"/>
    <w:rsid w:val="00FA622C"/>
    <w:rsid w:val="00FB5ACD"/>
    <w:rsid w:val="00FC633C"/>
    <w:rsid w:val="00FC6D99"/>
    <w:rsid w:val="00FD48D4"/>
    <w:rsid w:val="00FE159D"/>
    <w:rsid w:val="00FE280A"/>
    <w:rsid w:val="00FF026E"/>
    <w:rsid w:val="00FF443D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DAEA"/>
  <w15:chartTrackingRefBased/>
  <w15:docId w15:val="{B3DE00C9-3796-4469-98EE-9CEDB92B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E5A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5A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A4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E31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14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4BC"/>
    <w:rPr>
      <w:color w:val="954F72" w:themeColor="followedHyperlink"/>
      <w:u w:val="single"/>
    </w:rPr>
  </w:style>
  <w:style w:type="character" w:customStyle="1" w:styleId="Bodytext38pt">
    <w:name w:val="Body text (3) + 8 pt"/>
    <w:aliases w:val="Italic"/>
    <w:basedOn w:val="DefaultParagraphFont"/>
    <w:rsid w:val="009E775A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3</Pages>
  <Words>689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Yitzchak Twersky</dc:creator>
  <cp:keywords/>
  <dc:description/>
  <cp:lastModifiedBy>Yitzchak Twersky</cp:lastModifiedBy>
  <cp:revision>185</cp:revision>
  <dcterms:created xsi:type="dcterms:W3CDTF">2017-08-22T17:12:00Z</dcterms:created>
  <dcterms:modified xsi:type="dcterms:W3CDTF">2017-08-29T18:24:00Z</dcterms:modified>
</cp:coreProperties>
</file>