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CA36" w14:textId="77777777" w:rsidR="003941CC" w:rsidRDefault="003941CC" w:rsidP="003941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0"/>
      <w:r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נשא יד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val="en"/>
        </w:rPr>
        <w:t xml:space="preserve"> </w:t>
      </w:r>
      <w:commentRangeEnd w:id="0"/>
      <w:r w:rsidR="001909A2">
        <w:rPr>
          <w:rStyle w:val="CommentReference"/>
        </w:rPr>
        <w:commentReference w:id="0"/>
      </w:r>
    </w:p>
    <w:p w14:paraId="10135269" w14:textId="65399616" w:rsidR="003941CC" w:rsidRDefault="003941CC" w:rsidP="003941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The biblical verb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נשא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when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used in conjunction with the word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יד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refers to lifting one’s hands up high. This movement generally represents a gesture directed to another person, and, in the Bible, is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he-IL"/>
        </w:rPr>
        <w:t>ascribed to the hands of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men, </w:t>
      </w:r>
      <w:commentRangeStart w:id="1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people in general</w:t>
      </w:r>
      <w:commentRangeEnd w:id="1"/>
      <w:r>
        <w:rPr>
          <w:rStyle w:val="CommentReference"/>
        </w:rPr>
        <w:commentReference w:id="1"/>
      </w:r>
      <w:bookmarkStart w:id="2" w:name="_GoBack"/>
      <w:bookmarkEnd w:id="2"/>
      <w:r w:rsidR="00140D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and God.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</w:t>
      </w:r>
      <w:r w:rsidR="009735DD">
        <w:rPr>
          <w:rFonts w:ascii="Times New Roman" w:hAnsi="Times New Roman" w:cs="Times New Roman"/>
          <w:color w:val="000000"/>
          <w:sz w:val="24"/>
          <w:szCs w:val="24"/>
          <w:lang w:val="en"/>
        </w:rPr>
        <w:t>character and nature</w:t>
      </w:r>
      <w:r w:rsidR="00140D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of the gesture changes based 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context, 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40DFE">
        <w:rPr>
          <w:rFonts w:ascii="Times New Roman" w:hAnsi="Times New Roman" w:cs="Times New Roman"/>
          <w:color w:val="000000"/>
          <w:sz w:val="24"/>
          <w:szCs w:val="24"/>
          <w:lang w:val="en"/>
        </w:rPr>
        <w:t>can thus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40DFE">
        <w:rPr>
          <w:rFonts w:ascii="Times New Roman" w:hAnsi="Times New Roman" w:cs="Times New Roman"/>
          <w:color w:val="000000"/>
          <w:sz w:val="24"/>
          <w:szCs w:val="24"/>
          <w:lang w:val="en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40D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used in a variety of ways. </w:t>
      </w:r>
    </w:p>
    <w:p w14:paraId="504D42FC" w14:textId="2127F0E7" w:rsidR="003941CC" w:rsidRDefault="009735DD" w:rsidP="003941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Hand-lifting is most commonly used in the Bible to make an oath; generally, it is God who does so.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When it comes to humans, only men – never women – ar</w:t>
      </w:r>
      <w:r w:rsidR="00B53A4D">
        <w:rPr>
          <w:rFonts w:ascii="Times New Roman" w:hAnsi="Times New Roman" w:cs="Times New Roman"/>
          <w:color w:val="000000"/>
          <w:sz w:val="24"/>
          <w:szCs w:val="24"/>
          <w:lang w:val="en"/>
        </w:rPr>
        <w:t>e described lifting their hands. T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>here are five instances of this in the Bible, tak</w:t>
      </w:r>
      <w:r w:rsidR="008B30A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ing place in varying contexts. In Leviticus, 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Aaron raises his hands before the people, his gesture functioning as a physical expression of blessing (Lev 9:22). The passage in question does not specify whether the blessing had a verbal element as well, and it may be that the very act of lifting hands </w:t>
      </w:r>
      <w:r w:rsidR="003941CC" w:rsidRPr="006121F7"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was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 blessing, no words being spoken. By contrast, Moses and the hymnist of Psalms 28 address God. M</w:t>
      </w:r>
      <w:proofErr w:type="spellStart"/>
      <w:r w:rsidR="003941CC">
        <w:rPr>
          <w:rFonts w:ascii="Times New Roman" w:hAnsi="Times New Roman" w:cs="Times New Roman"/>
          <w:color w:val="000000"/>
          <w:sz w:val="24"/>
          <w:szCs w:val="24"/>
          <w:lang w:val="en-US" w:bidi="he-IL"/>
        </w:rPr>
        <w:t>oses’</w:t>
      </w:r>
      <w:proofErr w:type="spellEnd"/>
      <w:r w:rsidR="003941CC">
        <w:rPr>
          <w:rFonts w:ascii="Times New Roman" w:hAnsi="Times New Roman" w:cs="Times New Roman"/>
          <w:color w:val="000000"/>
          <w:sz w:val="24"/>
          <w:szCs w:val="24"/>
          <w:lang w:val="en-US" w:bidi="he-IL"/>
        </w:rPr>
        <w:t xml:space="preserve"> hand-lifting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is a </w:t>
      </w:r>
      <w:commentRangeStart w:id="3"/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symbolic gesture of taking an oath </w:t>
      </w:r>
      <w:commentRangeEnd w:id="3"/>
      <w:r w:rsidR="003941CC">
        <w:rPr>
          <w:rStyle w:val="CommentReference"/>
        </w:rPr>
        <w:commentReference w:id="3"/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>(</w:t>
      </w:r>
      <w:proofErr w:type="spellStart"/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>Deut</w:t>
      </w:r>
      <w:proofErr w:type="spellEnd"/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32:40) and the hymnist in Psalms 28 lifts his hands in an act of benediction and prayer (</w:t>
      </w:r>
      <w:r w:rsidR="00795385">
        <w:rPr>
          <w:rFonts w:ascii="Times New Roman" w:hAnsi="Times New Roman" w:cs="Times New Roman"/>
          <w:color w:val="000000"/>
          <w:sz w:val="24"/>
          <w:szCs w:val="24"/>
          <w:lang w:val="en-US"/>
        </w:rPr>
        <w:t>Ps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28:2). </w:t>
      </w:r>
    </w:p>
    <w:p w14:paraId="3F0FAA45" w14:textId="56DD9524" w:rsidR="003941CC" w:rsidRDefault="005718A8" w:rsidP="003941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Besides these </w:t>
      </w:r>
      <w:r w:rsidR="0027224C">
        <w:rPr>
          <w:rFonts w:ascii="Times New Roman" w:hAnsi="Times New Roman" w:cs="Times New Roman"/>
          <w:color w:val="000000"/>
          <w:sz w:val="24"/>
          <w:szCs w:val="24"/>
          <w:lang w:val="en"/>
        </w:rPr>
        <w:t>uses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the gesture </w:t>
      </w:r>
      <w:r w:rsidR="0027224C">
        <w:rPr>
          <w:rFonts w:ascii="Times New Roman" w:hAnsi="Times New Roman" w:cs="Times New Roman"/>
          <w:color w:val="000000"/>
          <w:sz w:val="24"/>
          <w:szCs w:val="24"/>
          <w:lang w:val="en"/>
        </w:rPr>
        <w:t>may have a person as its object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(in the form -</w:t>
      </w:r>
      <w:r w:rsidR="003941CC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נשא ידו ב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>)</w:t>
      </w:r>
      <w:r w:rsidR="0027224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In such </w:t>
      </w:r>
      <w:r w:rsidR="002221A9">
        <w:rPr>
          <w:rFonts w:ascii="Times New Roman" w:hAnsi="Times New Roman" w:cs="Times New Roman"/>
          <w:color w:val="000000"/>
          <w:sz w:val="24"/>
          <w:szCs w:val="24"/>
          <w:lang w:val="en"/>
        </w:rPr>
        <w:t>cases</w:t>
      </w:r>
      <w:r w:rsidR="0027224C">
        <w:rPr>
          <w:rFonts w:ascii="Times New Roman" w:hAnsi="Times New Roman" w:cs="Times New Roman"/>
          <w:color w:val="000000"/>
          <w:sz w:val="24"/>
          <w:szCs w:val="24"/>
          <w:lang w:val="en"/>
        </w:rPr>
        <w:t>,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 phrase functions idiomatical</w:t>
      </w:r>
      <w:r w:rsidR="002221A9">
        <w:rPr>
          <w:rFonts w:ascii="Times New Roman" w:hAnsi="Times New Roman" w:cs="Times New Roman"/>
          <w:color w:val="000000"/>
          <w:sz w:val="24"/>
          <w:szCs w:val="24"/>
          <w:lang w:val="en"/>
        </w:rPr>
        <w:t>ly as a reference to betrayal. Thus</w:t>
      </w:r>
      <w:r w:rsidR="002D2E88">
        <w:rPr>
          <w:rFonts w:ascii="Times New Roman" w:hAnsi="Times New Roman" w:cs="Times New Roman"/>
          <w:color w:val="000000"/>
          <w:sz w:val="24"/>
          <w:szCs w:val="24"/>
          <w:lang w:val="en"/>
        </w:rPr>
        <w:t>,</w:t>
      </w:r>
      <w:r w:rsidR="002221A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 leaders of revolts against David, </w:t>
      </w:r>
      <w:r w:rsidR="003941CC">
        <w:rPr>
          <w:rFonts w:ascii="Times New Roman" w:hAnsi="Times New Roman" w:cs="Times New Roman"/>
          <w:color w:val="000000"/>
          <w:sz w:val="24"/>
          <w:szCs w:val="24"/>
          <w:lang w:val="en"/>
        </w:rPr>
        <w:t>Absalom and his army (2 Sam 18:28) and Sheb</w:t>
      </w:r>
      <w:r w:rsidR="002221A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 son of </w:t>
      </w:r>
      <w:proofErr w:type="spellStart"/>
      <w:r w:rsidR="002221A9">
        <w:rPr>
          <w:rFonts w:ascii="Times New Roman" w:hAnsi="Times New Roman" w:cs="Times New Roman"/>
          <w:color w:val="000000"/>
          <w:sz w:val="24"/>
          <w:szCs w:val="24"/>
          <w:lang w:val="en"/>
        </w:rPr>
        <w:t>Bichri</w:t>
      </w:r>
      <w:proofErr w:type="spellEnd"/>
      <w:r w:rsidR="002221A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(2 Sam 20:21), are described as having lifted their hands “against him.” </w:t>
      </w:r>
    </w:p>
    <w:p w14:paraId="5703E20C" w14:textId="77777777" w:rsidR="003941CC" w:rsidRDefault="003941CC" w:rsidP="003941CC"/>
    <w:p w14:paraId="698FFF00" w14:textId="77777777" w:rsidR="00B17E42" w:rsidRDefault="00B17E42"/>
    <w:sectPr w:rsidR="00B17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EF4BD4B" w14:textId="61688085" w:rsidR="001909A2" w:rsidRDefault="001909A2">
      <w:pPr>
        <w:pStyle w:val="CommentText"/>
      </w:pPr>
      <w:r>
        <w:rPr>
          <w:rStyle w:val="CommentReference"/>
        </w:rPr>
        <w:annotationRef/>
      </w:r>
      <w:r>
        <w:t xml:space="preserve">When referring to biblical verbs in English, I believe the accepted practice is to use the third person singular and not the infinitive. </w:t>
      </w:r>
    </w:p>
  </w:comment>
  <w:comment w:id="1" w:author="Author" w:initials="A">
    <w:p w14:paraId="4B03BD0D" w14:textId="77777777" w:rsidR="003941CC" w:rsidRDefault="003941CC" w:rsidP="003941CC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proofErr w:type="spellStart"/>
      <w:r>
        <w:rPr>
          <w:rtl/>
          <w:lang w:bidi="he-IL"/>
        </w:rPr>
        <w:t>ידים</w:t>
      </w:r>
      <w:proofErr w:type="spellEnd"/>
      <w:r>
        <w:rPr>
          <w:rtl/>
          <w:lang w:bidi="he-IL"/>
        </w:rPr>
        <w:t xml:space="preserve"> כלליות?</w:t>
      </w:r>
    </w:p>
  </w:comment>
  <w:comment w:id="3" w:author="Author" w:initials="A">
    <w:p w14:paraId="69787BA1" w14:textId="2AC3AFED" w:rsidR="003941CC" w:rsidRDefault="003941CC" w:rsidP="003941CC">
      <w:pPr>
        <w:pStyle w:val="CommentText"/>
        <w:bidi/>
        <w:rPr>
          <w:rtl/>
          <w:lang w:bidi="he-IL"/>
        </w:rPr>
      </w:pPr>
      <w:r>
        <w:rPr>
          <w:rStyle w:val="CommentReference"/>
        </w:rPr>
        <w:annotationRef/>
      </w:r>
      <w:r w:rsidR="00634A0D">
        <w:rPr>
          <w:rFonts w:hint="cs"/>
          <w:rtl/>
          <w:lang w:bidi="he-IL"/>
        </w:rPr>
        <w:t>אולי אני טועה</w:t>
      </w:r>
      <w:r w:rsidR="00390D0E">
        <w:rPr>
          <w:rFonts w:hint="cs"/>
          <w:rtl/>
          <w:lang w:bidi="he-IL"/>
        </w:rPr>
        <w:t xml:space="preserve"> אבל נראה לי</w:t>
      </w:r>
      <w:r>
        <w:rPr>
          <w:rtl/>
          <w:lang w:bidi="he-IL"/>
        </w:rPr>
        <w:t xml:space="preserve"> </w:t>
      </w:r>
      <w:r w:rsidR="00390D0E">
        <w:rPr>
          <w:rFonts w:hint="cs"/>
          <w:rtl/>
          <w:lang w:bidi="he-IL"/>
        </w:rPr>
        <w:t>ש</w:t>
      </w:r>
      <w:r>
        <w:rPr>
          <w:rtl/>
          <w:lang w:bidi="he-IL"/>
        </w:rPr>
        <w:t>משה מצטט אלוהים בהקשר זה</w:t>
      </w:r>
      <w:r>
        <w:rPr>
          <w:rFonts w:hint="cs"/>
          <w:lang w:bidi="he-IL"/>
        </w:rPr>
        <w:t xml:space="preserve"> </w:t>
      </w:r>
      <w:r>
        <w:rPr>
          <w:rtl/>
          <w:lang w:bidi="he-IL"/>
        </w:rPr>
        <w:t xml:space="preserve">ולכן הדובר הוא אלוהים ולא משה עצמו. </w:t>
      </w:r>
      <w:r w:rsidR="00634A0D">
        <w:rPr>
          <w:rFonts w:hint="cs"/>
          <w:rtl/>
          <w:lang w:bidi="he-IL"/>
        </w:rPr>
        <w:t>רואים את זה</w:t>
      </w:r>
      <w:r>
        <w:rPr>
          <w:rtl/>
          <w:lang w:bidi="he-IL"/>
        </w:rPr>
        <w:t xml:space="preserve"> בפסוק הקודם שם אלוהים עצמו מדבר בגוף ראשון: </w:t>
      </w:r>
      <w:r>
        <w:rPr>
          <w:rFonts w:cs="Arial"/>
          <w:rtl/>
          <w:lang w:bidi="he-IL"/>
        </w:rPr>
        <w:t xml:space="preserve">רְאוּ עַתָּה, כִּי אֲנִי </w:t>
      </w:r>
      <w:proofErr w:type="spellStart"/>
      <w:r>
        <w:rPr>
          <w:rFonts w:cs="Arial"/>
          <w:rtl/>
          <w:lang w:bidi="he-IL"/>
        </w:rPr>
        <w:t>אֲנִי</w:t>
      </w:r>
      <w:proofErr w:type="spellEnd"/>
      <w:r>
        <w:rPr>
          <w:rFonts w:cs="Arial"/>
          <w:rtl/>
          <w:lang w:bidi="he-IL"/>
        </w:rPr>
        <w:t xml:space="preserve"> הוּא וְאֵין </w:t>
      </w:r>
      <w:proofErr w:type="spellStart"/>
      <w:r>
        <w:rPr>
          <w:rFonts w:cs="Arial"/>
          <w:rtl/>
          <w:lang w:bidi="he-IL"/>
        </w:rPr>
        <w:t>אֱלֹהִים</w:t>
      </w:r>
      <w:proofErr w:type="spellEnd"/>
      <w:r>
        <w:rPr>
          <w:rFonts w:cs="Arial"/>
          <w:rtl/>
          <w:lang w:bidi="he-IL"/>
        </w:rPr>
        <w:t>, עִמָּדִי</w:t>
      </w:r>
      <w:r w:rsidR="00634A0D">
        <w:rPr>
          <w:rtl/>
          <w:lang w:bidi="he-I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F4BD4B" w15:done="0"/>
  <w15:commentEx w15:paraId="4B03BD0D" w15:done="0"/>
  <w15:commentEx w15:paraId="69787B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F4BD4B" w16cid:durableId="1F9D66F9"/>
  <w16cid:commentId w16cid:paraId="4B03BD0D" w16cid:durableId="1F9D6422"/>
  <w16cid:commentId w16cid:paraId="69787BA1" w16cid:durableId="1F9D64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73BE" w14:textId="77777777" w:rsidR="00C55CB1" w:rsidRDefault="00C55CB1" w:rsidP="00FE75FF">
      <w:pPr>
        <w:spacing w:after="0" w:line="240" w:lineRule="auto"/>
      </w:pPr>
      <w:r>
        <w:separator/>
      </w:r>
    </w:p>
  </w:endnote>
  <w:endnote w:type="continuationSeparator" w:id="0">
    <w:p w14:paraId="2CCA2508" w14:textId="77777777" w:rsidR="00C55CB1" w:rsidRDefault="00C55CB1" w:rsidP="00FE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9A99D" w14:textId="77777777" w:rsidR="00C55CB1" w:rsidRDefault="00C55CB1" w:rsidP="00FE75FF">
      <w:pPr>
        <w:spacing w:after="0" w:line="240" w:lineRule="auto"/>
      </w:pPr>
      <w:r>
        <w:separator/>
      </w:r>
    </w:p>
  </w:footnote>
  <w:footnote w:type="continuationSeparator" w:id="0">
    <w:p w14:paraId="64DB62F9" w14:textId="77777777" w:rsidR="00C55CB1" w:rsidRDefault="00C55CB1" w:rsidP="00FE7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30"/>
    <w:rsid w:val="00140DFE"/>
    <w:rsid w:val="001909A2"/>
    <w:rsid w:val="002221A9"/>
    <w:rsid w:val="00257D15"/>
    <w:rsid w:val="0027224C"/>
    <w:rsid w:val="002D2E88"/>
    <w:rsid w:val="00354C30"/>
    <w:rsid w:val="00390D0E"/>
    <w:rsid w:val="003941CC"/>
    <w:rsid w:val="00523632"/>
    <w:rsid w:val="005718A8"/>
    <w:rsid w:val="006121F7"/>
    <w:rsid w:val="00631BC0"/>
    <w:rsid w:val="00634A0D"/>
    <w:rsid w:val="00795385"/>
    <w:rsid w:val="008B30A6"/>
    <w:rsid w:val="008E189A"/>
    <w:rsid w:val="009735DD"/>
    <w:rsid w:val="00A916D7"/>
    <w:rsid w:val="00AA6E3A"/>
    <w:rsid w:val="00B17E42"/>
    <w:rsid w:val="00B53A4D"/>
    <w:rsid w:val="00C55CB1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A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1CC"/>
    <w:pPr>
      <w:spacing w:line="256" w:lineRule="auto"/>
    </w:pPr>
    <w:rPr>
      <w:rFonts w:eastAsiaTheme="minorEastAsia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9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1CC"/>
    <w:rPr>
      <w:rFonts w:eastAsiaTheme="minorEastAsia"/>
      <w:sz w:val="20"/>
      <w:szCs w:val="20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941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CC"/>
    <w:rPr>
      <w:rFonts w:ascii="Segoe UI" w:eastAsiaTheme="minorEastAsia" w:hAnsi="Segoe UI" w:cs="Segoe UI"/>
      <w:sz w:val="18"/>
      <w:szCs w:val="18"/>
      <w:lang w:val="en-AU"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9A2"/>
    <w:rPr>
      <w:rFonts w:eastAsiaTheme="minorEastAsia"/>
      <w:b/>
      <w:bCs/>
      <w:sz w:val="20"/>
      <w:szCs w:val="20"/>
      <w:lang w:val="en-AU"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FE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FF"/>
    <w:rPr>
      <w:rFonts w:eastAsiaTheme="minorEastAsia"/>
      <w:lang w:val="en-AU"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FE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FF"/>
    <w:rPr>
      <w:rFonts w:eastAsiaTheme="minorEastAsia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2018-11-20T11:54:00Z</dcterms:created>
  <dcterms:modified xsi:type="dcterms:W3CDTF">2018-11-20T11:54:00Z</dcterms:modified>
</cp:coreProperties>
</file>