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EEF68" w14:textId="0A1921F4" w:rsidR="00CA72AD" w:rsidRDefault="00CA72AD" w:rsidP="00CA72AD">
      <w:pPr>
        <w:jc w:val="both"/>
        <w:rPr>
          <w:rFonts w:ascii="Times New Roman" w:eastAsia="Calibri" w:hAnsi="Times New Roman" w:cs="David"/>
          <w:sz w:val="24"/>
          <w:szCs w:val="24"/>
          <w:lang w:bidi="he-IL"/>
        </w:rPr>
      </w:pPr>
      <w:r>
        <w:rPr>
          <w:rFonts w:ascii="Times New Roman" w:eastAsia="Calibri" w:hAnsi="Times New Roman" w:cs="David"/>
          <w:sz w:val="24"/>
          <w:szCs w:val="24"/>
          <w:lang w:bidi="he-IL"/>
        </w:rPr>
        <w:t xml:space="preserve">From 1987 to 2001, three </w:t>
      </w:r>
      <w:commentRangeStart w:id="0"/>
      <w:r>
        <w:rPr>
          <w:rFonts w:ascii="Times New Roman" w:eastAsia="Calibri" w:hAnsi="Times New Roman" w:cs="David"/>
          <w:sz w:val="24"/>
          <w:szCs w:val="24"/>
          <w:lang w:bidi="he-IL"/>
        </w:rPr>
        <w:t xml:space="preserve">documents </w:t>
      </w:r>
      <w:commentRangeEnd w:id="0"/>
      <w:r>
        <w:rPr>
          <w:rStyle w:val="CommentReference"/>
        </w:rPr>
        <w:commentReference w:id="0"/>
      </w:r>
      <w:r>
        <w:rPr>
          <w:rFonts w:ascii="Times New Roman" w:eastAsia="Calibri" w:hAnsi="Times New Roman" w:cs="David"/>
          <w:sz w:val="24"/>
          <w:szCs w:val="24"/>
          <w:lang w:bidi="he-IL"/>
        </w:rPr>
        <w:t>from Mari were published</w:t>
      </w:r>
      <w:commentRangeStart w:id="1"/>
      <w:r>
        <w:rPr>
          <w:rFonts w:ascii="Times New Roman" w:eastAsia="Calibri" w:hAnsi="Times New Roman" w:cs="David"/>
          <w:sz w:val="24"/>
          <w:szCs w:val="24"/>
          <w:lang w:bidi="he-IL"/>
        </w:rPr>
        <w:t xml:space="preserve"> and reinterpreted</w:t>
      </w:r>
      <w:commentRangeEnd w:id="1"/>
      <w:r>
        <w:rPr>
          <w:rStyle w:val="CommentReference"/>
        </w:rPr>
        <w:commentReference w:id="1"/>
      </w:r>
      <w:r>
        <w:rPr>
          <w:rFonts w:ascii="Times New Roman" w:eastAsia="Calibri" w:hAnsi="Times New Roman" w:cs="David"/>
          <w:sz w:val="24"/>
          <w:szCs w:val="24"/>
          <w:lang w:bidi="he-IL"/>
        </w:rPr>
        <w:t xml:space="preserve">, attesting to the notion of </w:t>
      </w:r>
      <w:proofErr w:type="spellStart"/>
      <w:r>
        <w:rPr>
          <w:rFonts w:ascii="Times New Roman" w:eastAsia="Calibri" w:hAnsi="Times New Roman" w:cs="David"/>
          <w:sz w:val="24"/>
          <w:szCs w:val="24"/>
          <w:lang w:bidi="he-IL"/>
        </w:rPr>
        <w:t>Dumuzi</w:t>
      </w:r>
      <w:proofErr w:type="spellEnd"/>
      <w:r>
        <w:rPr>
          <w:rFonts w:ascii="Times New Roman" w:eastAsia="Calibri" w:hAnsi="Times New Roman" w:cs="David"/>
          <w:sz w:val="24"/>
          <w:szCs w:val="24"/>
          <w:lang w:bidi="he-IL"/>
        </w:rPr>
        <w:t xml:space="preserve"> as a dying and rising god. </w:t>
      </w:r>
      <w:r w:rsidRPr="005A2AA5">
        <w:rPr>
          <w:rFonts w:ascii="Times New Roman" w:eastAsia="Calibri" w:hAnsi="Times New Roman" w:cs="David"/>
          <w:sz w:val="24"/>
          <w:szCs w:val="24"/>
          <w:lang w:val="en-GB" w:bidi="he-IL"/>
        </w:rPr>
        <w:t xml:space="preserve">One of the documents is a letter </w:t>
      </w:r>
      <w:r>
        <w:rPr>
          <w:rFonts w:ascii="Times New Roman" w:eastAsia="Calibri" w:hAnsi="Times New Roman" w:cs="David"/>
          <w:sz w:val="24"/>
          <w:szCs w:val="24"/>
          <w:lang w:val="en-GB" w:bidi="he-IL"/>
        </w:rPr>
        <w:t>dated to</w:t>
      </w:r>
      <w:r w:rsidRPr="005A2AA5">
        <w:rPr>
          <w:rFonts w:ascii="Times New Roman" w:eastAsia="Calibri" w:hAnsi="Times New Roman" w:cs="David"/>
          <w:sz w:val="24"/>
          <w:szCs w:val="24"/>
          <w:lang w:val="en-GB" w:bidi="he-IL"/>
        </w:rPr>
        <w:t xml:space="preserve"> </w:t>
      </w:r>
      <w:r w:rsidR="00CC54E7">
        <w:rPr>
          <w:rFonts w:ascii="Times New Roman" w:eastAsia="Calibri" w:hAnsi="Times New Roman" w:cs="David"/>
          <w:sz w:val="24"/>
          <w:szCs w:val="24"/>
          <w:lang w:val="en-GB" w:bidi="he-IL"/>
        </w:rPr>
        <w:t xml:space="preserve">the </w:t>
      </w:r>
      <w:r>
        <w:rPr>
          <w:rFonts w:ascii="Times New Roman" w:eastAsia="Calibri" w:hAnsi="Times New Roman" w:cs="David"/>
          <w:sz w:val="24"/>
          <w:szCs w:val="24"/>
          <w:lang w:val="en-GB" w:bidi="he-IL"/>
        </w:rPr>
        <w:t>twelfth</w:t>
      </w:r>
      <w:r w:rsidRPr="005A2AA5">
        <w:rPr>
          <w:rFonts w:ascii="Times New Roman" w:eastAsia="Calibri" w:hAnsi="Times New Roman" w:cs="David"/>
          <w:sz w:val="24"/>
          <w:szCs w:val="24"/>
          <w:lang w:val="en-GB" w:bidi="he-IL"/>
        </w:rPr>
        <w:t xml:space="preserve"> year of the reign of </w:t>
      </w:r>
      <w:proofErr w:type="spellStart"/>
      <w:r w:rsidRPr="005A2AA5">
        <w:rPr>
          <w:rFonts w:ascii="Times New Roman" w:eastAsia="Calibri" w:hAnsi="Times New Roman" w:cs="David"/>
          <w:sz w:val="24"/>
          <w:szCs w:val="24"/>
          <w:lang w:val="en-GB" w:bidi="he-IL"/>
        </w:rPr>
        <w:t>Zimri-līm</w:t>
      </w:r>
      <w:proofErr w:type="spellEnd"/>
      <w:r w:rsidRPr="005A2AA5">
        <w:rPr>
          <w:rFonts w:ascii="Times New Roman" w:eastAsia="Calibri" w:hAnsi="Times New Roman" w:cs="David"/>
          <w:sz w:val="24"/>
          <w:szCs w:val="24"/>
          <w:lang w:val="en-GB" w:bidi="he-IL"/>
        </w:rPr>
        <w:t xml:space="preserve"> (first half of the eighteenth-century BCE), </w:t>
      </w:r>
      <w:r>
        <w:rPr>
          <w:rFonts w:ascii="Times New Roman" w:eastAsia="Calibri" w:hAnsi="Times New Roman" w:cs="David"/>
          <w:sz w:val="24"/>
          <w:szCs w:val="24"/>
          <w:lang w:val="en-GB" w:bidi="he-IL"/>
        </w:rPr>
        <w:t>composed</w:t>
      </w:r>
      <w:r w:rsidRPr="005A2AA5">
        <w:rPr>
          <w:rFonts w:ascii="Times New Roman" w:eastAsia="Calibri" w:hAnsi="Times New Roman" w:cs="David"/>
          <w:sz w:val="24"/>
          <w:szCs w:val="24"/>
          <w:lang w:val="en-GB" w:bidi="he-IL"/>
        </w:rPr>
        <w:t xml:space="preserve"> by the </w:t>
      </w:r>
      <w:commentRangeStart w:id="2"/>
      <w:r>
        <w:rPr>
          <w:rFonts w:ascii="Times New Roman" w:eastAsia="Calibri" w:hAnsi="Times New Roman" w:cs="David"/>
          <w:sz w:val="24"/>
          <w:szCs w:val="24"/>
          <w:lang w:val="en-GB" w:bidi="he-IL"/>
        </w:rPr>
        <w:t>chieftain</w:t>
      </w:r>
      <w:r w:rsidRPr="005A2AA5">
        <w:rPr>
          <w:rFonts w:ascii="Times New Roman" w:eastAsia="Calibri" w:hAnsi="Times New Roman" w:cs="David"/>
          <w:sz w:val="24"/>
          <w:szCs w:val="24"/>
          <w:lang w:val="en-GB" w:bidi="he-IL"/>
        </w:rPr>
        <w:t xml:space="preserve"> </w:t>
      </w:r>
      <w:commentRangeEnd w:id="2"/>
      <w:r>
        <w:rPr>
          <w:rStyle w:val="CommentReference"/>
        </w:rPr>
        <w:commentReference w:id="2"/>
      </w:r>
      <w:r w:rsidRPr="005A2AA5">
        <w:rPr>
          <w:rFonts w:ascii="Times New Roman" w:eastAsia="Calibri" w:hAnsi="Times New Roman" w:cs="David"/>
          <w:sz w:val="24"/>
          <w:szCs w:val="24"/>
          <w:lang w:val="en-GB" w:bidi="he-IL"/>
        </w:rPr>
        <w:t xml:space="preserve">of </w:t>
      </w:r>
      <w:r>
        <w:rPr>
          <w:rFonts w:ascii="Times New Roman" w:eastAsia="Calibri" w:hAnsi="Times New Roman" w:cs="David"/>
          <w:sz w:val="24"/>
          <w:szCs w:val="24"/>
          <w:lang w:val="en-GB" w:bidi="he-IL"/>
        </w:rPr>
        <w:t>a semi-nomadic Amorite tribe; it</w:t>
      </w:r>
      <w:r w:rsidRPr="005A2AA5">
        <w:rPr>
          <w:rFonts w:ascii="Times New Roman" w:eastAsia="Calibri" w:hAnsi="Times New Roman" w:cs="David"/>
          <w:sz w:val="24"/>
          <w:szCs w:val="24"/>
          <w:lang w:val="en-GB" w:bidi="he-IL"/>
        </w:rPr>
        <w:t xml:space="preserve"> mentions the death and </w:t>
      </w:r>
      <w:commentRangeStart w:id="3"/>
      <w:r>
        <w:rPr>
          <w:rFonts w:ascii="Times New Roman" w:eastAsia="Calibri" w:hAnsi="Times New Roman" w:cs="David"/>
          <w:sz w:val="24"/>
          <w:szCs w:val="24"/>
          <w:lang w:val="en-GB" w:bidi="he-IL"/>
        </w:rPr>
        <w:t>resurrection</w:t>
      </w:r>
      <w:r w:rsidRPr="005A2AA5">
        <w:rPr>
          <w:rFonts w:ascii="Times New Roman" w:eastAsia="Calibri" w:hAnsi="Times New Roman" w:cs="David"/>
          <w:sz w:val="24"/>
          <w:szCs w:val="24"/>
          <w:lang w:val="en-GB" w:bidi="he-IL"/>
        </w:rPr>
        <w:t xml:space="preserve"> </w:t>
      </w:r>
      <w:commentRangeEnd w:id="3"/>
      <w:r>
        <w:rPr>
          <w:rStyle w:val="CommentReference"/>
        </w:rPr>
        <w:commentReference w:id="3"/>
      </w:r>
      <w:r w:rsidRPr="005A2AA5">
        <w:rPr>
          <w:rFonts w:ascii="Times New Roman" w:eastAsia="Calibri" w:hAnsi="Times New Roman" w:cs="David"/>
          <w:sz w:val="24"/>
          <w:szCs w:val="24"/>
          <w:lang w:val="en-GB" w:bidi="he-IL"/>
        </w:rPr>
        <w:t xml:space="preserve">of </w:t>
      </w:r>
      <w:proofErr w:type="spellStart"/>
      <w:r w:rsidRPr="005A2AA5">
        <w:rPr>
          <w:rFonts w:ascii="Times New Roman" w:eastAsia="Calibri" w:hAnsi="Times New Roman" w:cs="David"/>
          <w:sz w:val="24"/>
          <w:szCs w:val="24"/>
          <w:lang w:val="en-GB" w:bidi="he-IL"/>
        </w:rPr>
        <w:t>Dumuzi</w:t>
      </w:r>
      <w:proofErr w:type="spellEnd"/>
      <w:r>
        <w:rPr>
          <w:rFonts w:ascii="Times New Roman" w:eastAsia="Calibri" w:hAnsi="Times New Roman" w:cs="David"/>
          <w:sz w:val="24"/>
          <w:szCs w:val="24"/>
          <w:lang w:val="en-GB" w:bidi="he-IL"/>
        </w:rPr>
        <w:t xml:space="preserve"> in passing.</w:t>
      </w:r>
      <w:r w:rsidRPr="005A2AA5">
        <w:rPr>
          <w:rFonts w:ascii="Times New Roman" w:eastAsia="Calibri" w:hAnsi="Times New Roman" w:cs="David"/>
          <w:sz w:val="24"/>
          <w:szCs w:val="24"/>
          <w:lang w:val="en-GB" w:bidi="he-IL"/>
        </w:rPr>
        <w:t xml:space="preserve"> </w:t>
      </w:r>
      <w:r>
        <w:rPr>
          <w:rFonts w:ascii="Times New Roman" w:eastAsia="Calibri" w:hAnsi="Times New Roman" w:cs="David"/>
          <w:sz w:val="24"/>
          <w:szCs w:val="24"/>
          <w:lang w:val="en-GB" w:bidi="he-IL"/>
        </w:rPr>
        <w:t>The other two records are economic in nature:</w:t>
      </w:r>
      <w:r w:rsidRPr="005A2AA5">
        <w:rPr>
          <w:rFonts w:ascii="Times New Roman" w:eastAsia="Calibri" w:hAnsi="Times New Roman" w:cs="David"/>
          <w:sz w:val="24"/>
          <w:szCs w:val="24"/>
          <w:lang w:val="en-GB" w:bidi="he-IL"/>
        </w:rPr>
        <w:t xml:space="preserve"> </w:t>
      </w:r>
      <w:commentRangeStart w:id="4"/>
      <w:r>
        <w:rPr>
          <w:rFonts w:ascii="Times New Roman" w:eastAsia="Calibri" w:hAnsi="Times New Roman" w:cs="David"/>
          <w:sz w:val="24"/>
          <w:szCs w:val="24"/>
          <w:lang w:val="en-GB" w:bidi="he-IL"/>
        </w:rPr>
        <w:t xml:space="preserve">one refers to the day of </w:t>
      </w:r>
      <w:commentRangeEnd w:id="4"/>
      <w:r>
        <w:rPr>
          <w:rStyle w:val="CommentReference"/>
        </w:rPr>
        <w:commentReference w:id="4"/>
      </w:r>
      <w:proofErr w:type="spellStart"/>
      <w:r>
        <w:rPr>
          <w:rFonts w:ascii="Times New Roman" w:eastAsia="Calibri" w:hAnsi="Times New Roman" w:cs="David"/>
          <w:sz w:val="24"/>
          <w:szCs w:val="24"/>
          <w:lang w:val="en-GB" w:bidi="he-IL"/>
        </w:rPr>
        <w:t>Dumuzi’s</w:t>
      </w:r>
      <w:proofErr w:type="spellEnd"/>
      <w:r>
        <w:rPr>
          <w:rFonts w:ascii="Times New Roman" w:eastAsia="Calibri" w:hAnsi="Times New Roman" w:cs="David"/>
          <w:sz w:val="24"/>
          <w:szCs w:val="24"/>
          <w:lang w:val="en-GB" w:bidi="he-IL"/>
        </w:rPr>
        <w:t xml:space="preserve"> burial in the fourth year of </w:t>
      </w:r>
      <w:proofErr w:type="spellStart"/>
      <w:r>
        <w:rPr>
          <w:rFonts w:ascii="Times New Roman" w:eastAsia="Calibri" w:hAnsi="Times New Roman" w:cs="David"/>
          <w:sz w:val="24"/>
          <w:szCs w:val="24"/>
          <w:lang w:val="en-GB" w:bidi="he-IL"/>
        </w:rPr>
        <w:t>Zimri</w:t>
      </w:r>
      <w:proofErr w:type="spellEnd"/>
      <w:r>
        <w:rPr>
          <w:rFonts w:ascii="Times New Roman" w:eastAsia="Calibri" w:hAnsi="Times New Roman" w:cs="David"/>
          <w:sz w:val="24"/>
          <w:szCs w:val="24"/>
          <w:lang w:val="en-GB" w:bidi="he-IL"/>
        </w:rPr>
        <w:t xml:space="preserve"> </w:t>
      </w:r>
      <w:proofErr w:type="spellStart"/>
      <w:r w:rsidRPr="00D44F59">
        <w:rPr>
          <w:rFonts w:ascii="Times New Roman" w:eastAsia="Calibri" w:hAnsi="Times New Roman" w:cs="David"/>
          <w:sz w:val="24"/>
          <w:szCs w:val="24"/>
          <w:lang w:bidi="he-IL"/>
        </w:rPr>
        <w:t>l</w:t>
      </w:r>
      <w:r w:rsidRPr="00D44F59">
        <w:rPr>
          <w:rFonts w:ascii="Times New Roman" w:eastAsia="Calibri" w:hAnsi="Times New Roman" w:cs="Times New Roman"/>
          <w:sz w:val="24"/>
          <w:szCs w:val="24"/>
          <w:lang w:bidi="he-IL"/>
        </w:rPr>
        <w:t>ī</w:t>
      </w:r>
      <w:r w:rsidRPr="00D44F59">
        <w:rPr>
          <w:rFonts w:ascii="Times New Roman" w:eastAsia="Calibri" w:hAnsi="Times New Roman" w:cs="David"/>
          <w:sz w:val="24"/>
          <w:szCs w:val="24"/>
          <w:lang w:bidi="he-IL"/>
        </w:rPr>
        <w:t>m</w:t>
      </w:r>
      <w:proofErr w:type="spellEnd"/>
      <w:r>
        <w:rPr>
          <w:rFonts w:ascii="Times New Roman" w:eastAsia="Calibri" w:hAnsi="Times New Roman" w:cs="David"/>
          <w:sz w:val="24"/>
          <w:szCs w:val="24"/>
          <w:lang w:val="en-GB" w:bidi="he-IL"/>
        </w:rPr>
        <w:t xml:space="preserve">; the other to the day of his </w:t>
      </w:r>
      <w:commentRangeStart w:id="5"/>
      <w:r>
        <w:rPr>
          <w:rFonts w:ascii="Times New Roman" w:eastAsia="Calibri" w:hAnsi="Times New Roman" w:cs="David"/>
          <w:sz w:val="24"/>
          <w:szCs w:val="24"/>
          <w:lang w:val="en-GB" w:bidi="he-IL"/>
        </w:rPr>
        <w:t>return</w:t>
      </w:r>
      <w:commentRangeEnd w:id="5"/>
      <w:r>
        <w:rPr>
          <w:rStyle w:val="CommentReference"/>
        </w:rPr>
        <w:commentReference w:id="5"/>
      </w:r>
      <w:r>
        <w:rPr>
          <w:rFonts w:ascii="Times New Roman" w:eastAsia="Calibri" w:hAnsi="Times New Roman" w:cs="David"/>
          <w:sz w:val="24"/>
          <w:szCs w:val="24"/>
          <w:lang w:val="en-GB" w:bidi="he-IL"/>
        </w:rPr>
        <w:t xml:space="preserve">. </w:t>
      </w:r>
      <w:r>
        <w:rPr>
          <w:rFonts w:ascii="Times New Roman" w:eastAsia="Calibri" w:hAnsi="Times New Roman" w:cs="David"/>
          <w:sz w:val="24"/>
          <w:szCs w:val="24"/>
          <w:lang w:bidi="he-IL"/>
        </w:rPr>
        <w:t xml:space="preserve">Prior to the publication of these records, only a single cuneiform account of </w:t>
      </w:r>
      <w:proofErr w:type="spellStart"/>
      <w:r>
        <w:rPr>
          <w:rFonts w:ascii="Times New Roman" w:eastAsia="Calibri" w:hAnsi="Times New Roman" w:cs="David"/>
          <w:sz w:val="24"/>
          <w:szCs w:val="24"/>
          <w:lang w:bidi="he-IL"/>
        </w:rPr>
        <w:t>Dumuzi’s</w:t>
      </w:r>
      <w:proofErr w:type="spellEnd"/>
      <w:r>
        <w:rPr>
          <w:rFonts w:ascii="Times New Roman" w:eastAsia="Calibri" w:hAnsi="Times New Roman" w:cs="David"/>
          <w:sz w:val="24"/>
          <w:szCs w:val="24"/>
          <w:lang w:bidi="he-IL"/>
        </w:rPr>
        <w:t xml:space="preserve"> return from the </w:t>
      </w:r>
      <w:commentRangeStart w:id="6"/>
      <w:r>
        <w:rPr>
          <w:rFonts w:ascii="Times New Roman" w:eastAsia="Calibri" w:hAnsi="Times New Roman" w:cs="David"/>
          <w:sz w:val="24"/>
          <w:szCs w:val="24"/>
          <w:lang w:bidi="he-IL"/>
        </w:rPr>
        <w:t xml:space="preserve">underworld </w:t>
      </w:r>
      <w:commentRangeEnd w:id="6"/>
      <w:r>
        <w:rPr>
          <w:rStyle w:val="CommentReference"/>
        </w:rPr>
        <w:commentReference w:id="6"/>
      </w:r>
      <w:r>
        <w:rPr>
          <w:rFonts w:ascii="Times New Roman" w:eastAsia="Calibri" w:hAnsi="Times New Roman" w:cs="David"/>
          <w:sz w:val="24"/>
          <w:szCs w:val="24"/>
          <w:lang w:bidi="he-IL"/>
        </w:rPr>
        <w:t xml:space="preserve">was extant – standing in stark contrast to the innumerable accounts of his death. The accounts from Mari can thus shed important light both on the specific Mesopotamian mythologem of </w:t>
      </w:r>
      <w:proofErr w:type="spellStart"/>
      <w:r>
        <w:rPr>
          <w:rFonts w:ascii="Times New Roman" w:eastAsia="Calibri" w:hAnsi="Times New Roman" w:cs="David"/>
          <w:sz w:val="24"/>
          <w:szCs w:val="24"/>
          <w:lang w:bidi="he-IL"/>
        </w:rPr>
        <w:t>Dumuzi</w:t>
      </w:r>
      <w:proofErr w:type="spellEnd"/>
      <w:r>
        <w:rPr>
          <w:rFonts w:ascii="Times New Roman" w:eastAsia="Calibri" w:hAnsi="Times New Roman" w:cs="David"/>
          <w:sz w:val="24"/>
          <w:szCs w:val="24"/>
          <w:lang w:bidi="he-IL"/>
        </w:rPr>
        <w:t xml:space="preserve"> </w:t>
      </w:r>
      <w:r w:rsidR="006C6E3D">
        <w:rPr>
          <w:rFonts w:ascii="Times New Roman" w:eastAsia="Calibri" w:hAnsi="Times New Roman" w:cs="David"/>
          <w:sz w:val="24"/>
          <w:szCs w:val="24"/>
          <w:lang w:bidi="he-IL"/>
        </w:rPr>
        <w:t>and on</w:t>
      </w:r>
      <w:r>
        <w:rPr>
          <w:rFonts w:ascii="Times New Roman" w:eastAsia="Calibri" w:hAnsi="Times New Roman" w:cs="David"/>
          <w:sz w:val="24"/>
          <w:szCs w:val="24"/>
          <w:lang w:bidi="he-IL"/>
        </w:rPr>
        <w:t xml:space="preserve"> the general theme of dying and rising gods in Western Asia. </w:t>
      </w:r>
      <w:bookmarkStart w:id="7" w:name="_Hlk57195473"/>
    </w:p>
    <w:p w14:paraId="55DC51B9" w14:textId="52A16C4A" w:rsidR="00CA72AD" w:rsidRDefault="00CA72AD" w:rsidP="00CA72AD">
      <w:pPr>
        <w:jc w:val="both"/>
        <w:rPr>
          <w:rFonts w:ascii="Times New Roman" w:eastAsia="Calibri" w:hAnsi="Times New Roman" w:cs="David"/>
          <w:sz w:val="24"/>
          <w:szCs w:val="24"/>
          <w:lang w:bidi="he-IL"/>
        </w:rPr>
      </w:pPr>
      <w:r>
        <w:rPr>
          <w:rFonts w:ascii="Times New Roman" w:eastAsia="Calibri" w:hAnsi="Times New Roman" w:cs="David"/>
          <w:sz w:val="24"/>
          <w:szCs w:val="24"/>
          <w:lang w:bidi="he-IL"/>
        </w:rPr>
        <w:t>That traces of this mythologem were found in Mari, of all places, and the fact that the most decisive piece of evidence was written by an Amorite chieftain (and not, for instance</w:t>
      </w:r>
      <w:r w:rsidR="00A12B0B">
        <w:rPr>
          <w:rFonts w:ascii="Times New Roman" w:eastAsia="Calibri" w:hAnsi="Times New Roman" w:cs="David"/>
          <w:sz w:val="24"/>
          <w:szCs w:val="24"/>
          <w:lang w:bidi="he-IL"/>
        </w:rPr>
        <w:t>,</w:t>
      </w:r>
      <w:r w:rsidR="00C22B80">
        <w:rPr>
          <w:rFonts w:ascii="Times New Roman" w:eastAsia="Calibri" w:hAnsi="Times New Roman" w:cs="David"/>
          <w:sz w:val="24"/>
          <w:szCs w:val="24"/>
          <w:lang w:bidi="he-IL"/>
        </w:rPr>
        <w:t xml:space="preserve"> by</w:t>
      </w:r>
      <w:r>
        <w:rPr>
          <w:rFonts w:ascii="Times New Roman" w:eastAsia="Calibri" w:hAnsi="Times New Roman" w:cs="David"/>
          <w:sz w:val="24"/>
          <w:szCs w:val="24"/>
          <w:lang w:bidi="he-IL"/>
        </w:rPr>
        <w:t xml:space="preserve"> a state ambassador or a priest) naturally raises questions about the mythologem’s origins in Mari. Does the </w:t>
      </w:r>
      <w:r w:rsidR="003D3913">
        <w:rPr>
          <w:rFonts w:ascii="Times New Roman" w:eastAsia="Calibri" w:hAnsi="Times New Roman" w:cs="David"/>
          <w:sz w:val="24"/>
          <w:szCs w:val="24"/>
          <w:lang w:bidi="he-IL"/>
        </w:rPr>
        <w:t>basic</w:t>
      </w:r>
      <w:r>
        <w:rPr>
          <w:rFonts w:ascii="Times New Roman" w:eastAsia="Calibri" w:hAnsi="Times New Roman" w:cs="David"/>
          <w:sz w:val="24"/>
          <w:szCs w:val="24"/>
          <w:lang w:bidi="he-IL"/>
        </w:rPr>
        <w:t xml:space="preserve"> fact that the Mesopotamian name “</w:t>
      </w:r>
      <w:proofErr w:type="spellStart"/>
      <w:r>
        <w:rPr>
          <w:rFonts w:ascii="Times New Roman" w:eastAsia="Calibri" w:hAnsi="Times New Roman" w:cs="David"/>
          <w:sz w:val="24"/>
          <w:szCs w:val="24"/>
          <w:lang w:bidi="he-IL"/>
        </w:rPr>
        <w:t>Dumuzi</w:t>
      </w:r>
      <w:proofErr w:type="spellEnd"/>
      <w:r>
        <w:rPr>
          <w:rFonts w:ascii="Times New Roman" w:eastAsia="Calibri" w:hAnsi="Times New Roman" w:cs="David"/>
          <w:sz w:val="24"/>
          <w:szCs w:val="24"/>
          <w:lang w:bidi="he-IL"/>
        </w:rPr>
        <w:t>” is employed point to origins in the region lying to the east of Mari – Mesopotamia</w:t>
      </w:r>
      <w:r w:rsidR="00C47B47">
        <w:rPr>
          <w:rFonts w:ascii="Times New Roman" w:eastAsia="Calibri" w:hAnsi="Times New Roman" w:cs="David"/>
          <w:sz w:val="24"/>
          <w:szCs w:val="24"/>
          <w:lang w:bidi="he-IL"/>
        </w:rPr>
        <w:t>?</w:t>
      </w:r>
      <w:r>
        <w:rPr>
          <w:rFonts w:ascii="Times New Roman" w:eastAsia="Calibri" w:hAnsi="Times New Roman" w:cs="David"/>
          <w:sz w:val="24"/>
          <w:szCs w:val="24"/>
          <w:lang w:bidi="he-IL"/>
        </w:rPr>
        <w:t xml:space="preserve"> Or perhaps </w:t>
      </w:r>
      <w:r w:rsidR="00831AF6">
        <w:rPr>
          <w:rFonts w:ascii="Times New Roman" w:eastAsia="Calibri" w:hAnsi="Times New Roman" w:cs="David"/>
          <w:sz w:val="24"/>
          <w:szCs w:val="24"/>
          <w:lang w:bidi="he-IL"/>
        </w:rPr>
        <w:t>this</w:t>
      </w:r>
      <w:r>
        <w:rPr>
          <w:rFonts w:ascii="Times New Roman" w:eastAsia="Calibri" w:hAnsi="Times New Roman" w:cs="David"/>
          <w:sz w:val="24"/>
          <w:szCs w:val="24"/>
          <w:lang w:bidi="he-IL"/>
        </w:rPr>
        <w:t xml:space="preserve"> notion of </w:t>
      </w:r>
      <w:proofErr w:type="spellStart"/>
      <w:r>
        <w:rPr>
          <w:rFonts w:ascii="Times New Roman" w:eastAsia="Calibri" w:hAnsi="Times New Roman" w:cs="David"/>
          <w:sz w:val="24"/>
          <w:szCs w:val="24"/>
          <w:lang w:bidi="he-IL"/>
        </w:rPr>
        <w:t>Dumuzi’s</w:t>
      </w:r>
      <w:proofErr w:type="spellEnd"/>
      <w:r>
        <w:rPr>
          <w:rFonts w:ascii="Times New Roman" w:eastAsia="Calibri" w:hAnsi="Times New Roman" w:cs="David"/>
          <w:sz w:val="24"/>
          <w:szCs w:val="24"/>
          <w:lang w:bidi="he-IL"/>
        </w:rPr>
        <w:t xml:space="preserve"> resurrection originated in the culture of Amorite tribes who immigrated from the Levant to Mari towards the end of the third millennium? After all, scholars have long noted the Western-Semitic characteristics of Mari’s Amorite culture, </w:t>
      </w:r>
      <w:r w:rsidR="00C22B80">
        <w:rPr>
          <w:rFonts w:ascii="Times New Roman" w:eastAsia="Calibri" w:hAnsi="Times New Roman" w:cs="David"/>
          <w:sz w:val="24"/>
          <w:szCs w:val="24"/>
          <w:lang w:bidi="he-IL"/>
        </w:rPr>
        <w:t>which hailed</w:t>
      </w:r>
      <w:r>
        <w:rPr>
          <w:rFonts w:ascii="Times New Roman" w:eastAsia="Calibri" w:hAnsi="Times New Roman" w:cs="David"/>
          <w:sz w:val="24"/>
          <w:szCs w:val="24"/>
          <w:lang w:bidi="he-IL"/>
        </w:rPr>
        <w:t xml:space="preserve"> </w:t>
      </w:r>
      <w:r w:rsidR="00C22B80">
        <w:rPr>
          <w:rFonts w:ascii="Times New Roman" w:eastAsia="Calibri" w:hAnsi="Times New Roman" w:cs="David"/>
          <w:sz w:val="24"/>
          <w:szCs w:val="24"/>
          <w:lang w:bidi="he-IL"/>
        </w:rPr>
        <w:t>from the</w:t>
      </w:r>
      <w:r>
        <w:rPr>
          <w:rFonts w:ascii="Times New Roman" w:eastAsia="Calibri" w:hAnsi="Times New Roman" w:cs="David"/>
          <w:sz w:val="24"/>
          <w:szCs w:val="24"/>
          <w:lang w:bidi="he-IL"/>
        </w:rPr>
        <w:t xml:space="preserve"> neighboring regions of Syria and the Levant</w:t>
      </w:r>
      <w:r w:rsidR="00664599">
        <w:rPr>
          <w:rFonts w:ascii="Times New Roman" w:eastAsia="Calibri" w:hAnsi="Times New Roman" w:cs="David"/>
          <w:sz w:val="24"/>
          <w:szCs w:val="24"/>
          <w:lang w:bidi="he-IL"/>
        </w:rPr>
        <w:t>; p</w:t>
      </w:r>
      <w:r>
        <w:rPr>
          <w:rFonts w:ascii="Times New Roman" w:eastAsia="Calibri" w:hAnsi="Times New Roman" w:cs="David"/>
          <w:sz w:val="24"/>
          <w:szCs w:val="24"/>
          <w:lang w:bidi="he-IL"/>
        </w:rPr>
        <w:t xml:space="preserve">erhaps, accounts of </w:t>
      </w:r>
      <w:proofErr w:type="spellStart"/>
      <w:r>
        <w:rPr>
          <w:rFonts w:ascii="Times New Roman" w:eastAsia="Calibri" w:hAnsi="Times New Roman" w:cs="David"/>
          <w:sz w:val="24"/>
          <w:szCs w:val="24"/>
          <w:lang w:bidi="he-IL"/>
        </w:rPr>
        <w:t>Dumuzi’s</w:t>
      </w:r>
      <w:proofErr w:type="spellEnd"/>
      <w:r>
        <w:rPr>
          <w:rFonts w:ascii="Times New Roman" w:eastAsia="Calibri" w:hAnsi="Times New Roman" w:cs="David"/>
          <w:sz w:val="24"/>
          <w:szCs w:val="24"/>
          <w:lang w:bidi="he-IL"/>
        </w:rPr>
        <w:t xml:space="preserve"> death and rebirth represent yet another </w:t>
      </w:r>
      <w:r w:rsidR="009A60CA">
        <w:rPr>
          <w:rFonts w:ascii="Times New Roman" w:eastAsia="Calibri" w:hAnsi="Times New Roman" w:cs="David"/>
          <w:sz w:val="24"/>
          <w:szCs w:val="24"/>
          <w:lang w:bidi="he-IL"/>
        </w:rPr>
        <w:t>one of</w:t>
      </w:r>
      <w:r>
        <w:rPr>
          <w:rFonts w:ascii="Times New Roman" w:eastAsia="Calibri" w:hAnsi="Times New Roman" w:cs="David"/>
          <w:sz w:val="24"/>
          <w:szCs w:val="24"/>
          <w:lang w:bidi="he-IL"/>
        </w:rPr>
        <w:t xml:space="preserve"> these characteristics? </w:t>
      </w:r>
      <w:bookmarkEnd w:id="7"/>
    </w:p>
    <w:p w14:paraId="4F19A35A" w14:textId="5DCFB7B1" w:rsidR="00220E4F" w:rsidRDefault="00CA72AD" w:rsidP="00CA72AD">
      <w:pPr>
        <w:jc w:val="both"/>
        <w:rPr>
          <w:lang w:bidi="he-IL"/>
        </w:rPr>
      </w:pPr>
      <w:r>
        <w:rPr>
          <w:rFonts w:ascii="Times New Roman" w:eastAsia="Calibri" w:hAnsi="Times New Roman" w:cs="David"/>
          <w:sz w:val="24"/>
          <w:szCs w:val="24"/>
          <w:lang w:bidi="he-IL"/>
        </w:rPr>
        <w:t xml:space="preserve">In order to broach this question, I propose to briefly review the extant accounts of dying and rising gods </w:t>
      </w:r>
      <w:r w:rsidR="00826803">
        <w:rPr>
          <w:rFonts w:ascii="Times New Roman" w:eastAsia="Calibri" w:hAnsi="Times New Roman" w:cs="David"/>
          <w:sz w:val="24"/>
          <w:szCs w:val="24"/>
          <w:lang w:bidi="he-IL"/>
        </w:rPr>
        <w:t>from</w:t>
      </w:r>
      <w:r>
        <w:rPr>
          <w:rFonts w:ascii="Times New Roman" w:eastAsia="Calibri" w:hAnsi="Times New Roman" w:cs="David"/>
          <w:sz w:val="24"/>
          <w:szCs w:val="24"/>
          <w:lang w:bidi="he-IL"/>
        </w:rPr>
        <w:t xml:space="preserve"> Mari and </w:t>
      </w:r>
      <w:r w:rsidR="00464CA8">
        <w:rPr>
          <w:rFonts w:ascii="Times New Roman" w:eastAsia="Calibri" w:hAnsi="Times New Roman" w:cs="David"/>
          <w:sz w:val="24"/>
          <w:szCs w:val="24"/>
          <w:lang w:bidi="he-IL"/>
        </w:rPr>
        <w:t>neighboring cultures</w:t>
      </w:r>
      <w:r>
        <w:rPr>
          <w:rFonts w:ascii="Times New Roman" w:eastAsia="Calibri" w:hAnsi="Times New Roman" w:cs="David"/>
          <w:sz w:val="24"/>
          <w:szCs w:val="24"/>
          <w:lang w:bidi="he-IL"/>
        </w:rPr>
        <w:t>. I will begin with Mesopotamian accounts, which include some of the first modern discoveries of cuneiform</w:t>
      </w:r>
      <w:r>
        <w:rPr>
          <w:rFonts w:ascii="Times New Roman" w:eastAsia="Calibri" w:hAnsi="Times New Roman" w:cs="David" w:hint="cs"/>
          <w:sz w:val="24"/>
          <w:szCs w:val="24"/>
          <w:rtl/>
          <w:lang w:bidi="he-IL"/>
        </w:rPr>
        <w:t xml:space="preserve"> </w:t>
      </w:r>
      <w:r>
        <w:rPr>
          <w:rFonts w:ascii="Times New Roman" w:eastAsia="Calibri" w:hAnsi="Times New Roman" w:cs="David"/>
          <w:sz w:val="24"/>
          <w:szCs w:val="24"/>
          <w:lang w:bidi="he-IL"/>
        </w:rPr>
        <w:t xml:space="preserve">scholarship. I will continue by discussing the relatively new information from Mari and conclude by discussing accounts from the Levant. In light of these findings, I will offer a new perspective on the question of dying and rising gods, with a specific focus on the resurrection of </w:t>
      </w:r>
      <w:proofErr w:type="spellStart"/>
      <w:r>
        <w:rPr>
          <w:rFonts w:ascii="Times New Roman" w:eastAsia="Calibri" w:hAnsi="Times New Roman" w:cs="David"/>
          <w:sz w:val="24"/>
          <w:szCs w:val="24"/>
          <w:lang w:bidi="he-IL"/>
        </w:rPr>
        <w:t>Dumuzi</w:t>
      </w:r>
      <w:proofErr w:type="spellEnd"/>
      <w:r>
        <w:rPr>
          <w:rFonts w:ascii="Times New Roman" w:eastAsia="Calibri" w:hAnsi="Times New Roman" w:cs="David"/>
          <w:sz w:val="24"/>
          <w:szCs w:val="24"/>
          <w:lang w:bidi="he-IL"/>
        </w:rPr>
        <w:t>, issues that have occupied scholarship since the late nineteenth century.</w:t>
      </w:r>
    </w:p>
    <w:sectPr w:rsidR="00220E4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43747298" w14:textId="77777777" w:rsidR="00CA72AD" w:rsidRDefault="00CA72AD">
      <w:pPr>
        <w:pStyle w:val="CommentText"/>
        <w:rPr>
          <w:lang w:bidi="he-IL"/>
        </w:rPr>
      </w:pPr>
      <w:r>
        <w:rPr>
          <w:rStyle w:val="CommentReference"/>
        </w:rPr>
        <w:annotationRef/>
      </w:r>
      <w:r>
        <w:rPr>
          <w:rFonts w:hint="cs"/>
          <w:rtl/>
          <w:lang w:bidi="he-IL"/>
        </w:rPr>
        <w:t xml:space="preserve">אולי </w:t>
      </w:r>
      <w:r>
        <w:rPr>
          <w:lang w:bidi="he-IL"/>
        </w:rPr>
        <w:t xml:space="preserve"> epigrams</w:t>
      </w:r>
    </w:p>
  </w:comment>
  <w:comment w:id="1" w:author="Author" w:initials="A">
    <w:p w14:paraId="655D02BD" w14:textId="77777777" w:rsidR="00CA72AD" w:rsidRDefault="00CA72AD">
      <w:pPr>
        <w:pStyle w:val="CommentText"/>
        <w:rPr>
          <w:rStyle w:val="CommentReference"/>
          <w:rtl/>
          <w:lang w:bidi="he-IL"/>
        </w:rPr>
      </w:pPr>
      <w:r>
        <w:rPr>
          <w:rStyle w:val="CommentReference"/>
        </w:rPr>
        <w:annotationRef/>
      </w:r>
      <w:r>
        <w:rPr>
          <w:rStyle w:val="CommentReference"/>
          <w:rFonts w:hint="cs"/>
          <w:rtl/>
          <w:lang w:bidi="he-IL"/>
        </w:rPr>
        <w:t>התפרסמו מחדש? או רק פורשו מחדש</w:t>
      </w:r>
    </w:p>
    <w:p w14:paraId="3C3EFE7A" w14:textId="77777777" w:rsidR="00CA72AD" w:rsidRDefault="00CA72AD">
      <w:pPr>
        <w:pStyle w:val="CommentText"/>
        <w:rPr>
          <w:rStyle w:val="CommentReference"/>
          <w:rtl/>
          <w:lang w:bidi="he-IL"/>
        </w:rPr>
      </w:pPr>
      <w:r>
        <w:rPr>
          <w:rStyle w:val="CommentReference"/>
          <w:rFonts w:hint="cs"/>
          <w:rtl/>
          <w:lang w:bidi="he-IL"/>
        </w:rPr>
        <w:t>ואיך פורשו מחדש אם רק אז התפרסמו?</w:t>
      </w:r>
    </w:p>
    <w:p w14:paraId="57B564C9" w14:textId="77777777" w:rsidR="00CA72AD" w:rsidRDefault="00CA72AD">
      <w:pPr>
        <w:pStyle w:val="CommentText"/>
        <w:rPr>
          <w:rtl/>
          <w:lang w:bidi="he-IL"/>
        </w:rPr>
      </w:pPr>
    </w:p>
  </w:comment>
  <w:comment w:id="2" w:author="Author" w:initials="A">
    <w:p w14:paraId="09A5A423" w14:textId="1649A023" w:rsidR="00CA72AD" w:rsidRDefault="00CA72AD">
      <w:pPr>
        <w:pStyle w:val="CommentText"/>
      </w:pPr>
      <w:r>
        <w:rPr>
          <w:rStyle w:val="CommentReference"/>
        </w:rPr>
        <w:annotationRef/>
      </w:r>
      <w:r w:rsidR="00C94F72">
        <w:rPr>
          <w:noProof/>
        </w:rPr>
        <w:t>or: head, leader, etc.</w:t>
      </w:r>
    </w:p>
  </w:comment>
  <w:comment w:id="3" w:author="Author" w:initials="A">
    <w:p w14:paraId="64E86462" w14:textId="77777777" w:rsidR="00CA72AD" w:rsidRDefault="00CA72AD" w:rsidP="005A2AA5">
      <w:pPr>
        <w:pStyle w:val="CommentText"/>
      </w:pPr>
      <w:r>
        <w:rPr>
          <w:rStyle w:val="CommentReference"/>
        </w:rPr>
        <w:annotationRef/>
      </w:r>
      <w:r>
        <w:t>Or perhaps simply: return</w:t>
      </w:r>
    </w:p>
  </w:comment>
  <w:comment w:id="4" w:author="Author" w:initials="A">
    <w:p w14:paraId="425FFCFC" w14:textId="77777777" w:rsidR="00CA72AD" w:rsidRDefault="00CA72AD">
      <w:pPr>
        <w:pStyle w:val="CommentText"/>
      </w:pPr>
      <w:r>
        <w:rPr>
          <w:rStyle w:val="CommentReference"/>
        </w:rPr>
        <w:annotationRef/>
      </w:r>
      <w:r w:rsidRPr="00D44F59">
        <w:rPr>
          <w:rFonts w:ascii="Times New Roman" w:eastAsia="Calibri" w:hAnsi="Times New Roman" w:cs="David" w:hint="cs"/>
          <w:sz w:val="24"/>
          <w:szCs w:val="24"/>
          <w:rtl/>
          <w:lang w:bidi="he-IL"/>
        </w:rPr>
        <w:t xml:space="preserve">באחד </w:t>
      </w:r>
      <w:proofErr w:type="spellStart"/>
      <w:r w:rsidRPr="00D44F59">
        <w:rPr>
          <w:rFonts w:ascii="Times New Roman" w:eastAsia="Calibri" w:hAnsi="Times New Roman" w:cs="David" w:hint="cs"/>
          <w:sz w:val="24"/>
          <w:szCs w:val="24"/>
          <w:rtl/>
          <w:lang w:bidi="he-IL"/>
        </w:rPr>
        <w:t>מצויין</w:t>
      </w:r>
      <w:proofErr w:type="spellEnd"/>
    </w:p>
    <w:p w14:paraId="77793346" w14:textId="77777777" w:rsidR="00CA72AD" w:rsidRDefault="00CA72AD">
      <w:pPr>
        <w:pStyle w:val="CommentText"/>
      </w:pPr>
      <w:r>
        <w:t xml:space="preserve">As in marks it as a holiday? A calendar date? </w:t>
      </w:r>
    </w:p>
  </w:comment>
  <w:comment w:id="5" w:author="Author" w:initials="A">
    <w:p w14:paraId="7FB0FB90" w14:textId="77777777" w:rsidR="00CA72AD" w:rsidRDefault="00CA72AD">
      <w:pPr>
        <w:pStyle w:val="CommentText"/>
      </w:pPr>
      <w:r>
        <w:rPr>
          <w:rStyle w:val="CommentReference"/>
        </w:rPr>
        <w:annotationRef/>
      </w:r>
      <w:r>
        <w:t>Or resurrection/rebirth</w:t>
      </w:r>
    </w:p>
  </w:comment>
  <w:comment w:id="6" w:author="Author" w:initials="A">
    <w:p w14:paraId="43AFBC52" w14:textId="77777777" w:rsidR="00CA72AD" w:rsidRDefault="00CA72AD">
      <w:pPr>
        <w:pStyle w:val="CommentText"/>
      </w:pPr>
      <w:r>
        <w:rPr>
          <w:rStyle w:val="CommentReference"/>
        </w:rPr>
        <w:annotationRef/>
      </w:r>
      <w:r>
        <w:t xml:space="preserve">Or </w:t>
      </w:r>
      <w:proofErr w:type="spellStart"/>
      <w:r>
        <w:t>Sheol</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747298" w15:done="0"/>
  <w15:commentEx w15:paraId="57B564C9" w15:done="0"/>
  <w15:commentEx w15:paraId="09A5A423" w15:done="0"/>
  <w15:commentEx w15:paraId="64E86462" w15:done="0"/>
  <w15:commentEx w15:paraId="77793346" w15:done="0"/>
  <w15:commentEx w15:paraId="7FB0FB90" w15:done="0"/>
  <w15:commentEx w15:paraId="43AFBC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747298" w16cid:durableId="23CAB413"/>
  <w16cid:commentId w16cid:paraId="57B564C9" w16cid:durableId="23CAB3C6"/>
  <w16cid:commentId w16cid:paraId="09A5A423" w16cid:durableId="23CAB60E"/>
  <w16cid:commentId w16cid:paraId="64E86462" w16cid:durableId="23CAA7F5"/>
  <w16cid:commentId w16cid:paraId="77793346" w16cid:durableId="23CAA88E"/>
  <w16cid:commentId w16cid:paraId="7FB0FB90" w16cid:durableId="23CAB47B"/>
  <w16cid:commentId w16cid:paraId="43AFBC52" w16cid:durableId="23CAB4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8B069" w14:textId="77777777" w:rsidR="00CB48FF" w:rsidRDefault="00CB48FF" w:rsidP="00C3587B">
      <w:pPr>
        <w:spacing w:after="0" w:line="240" w:lineRule="auto"/>
      </w:pPr>
      <w:r>
        <w:separator/>
      </w:r>
    </w:p>
  </w:endnote>
  <w:endnote w:type="continuationSeparator" w:id="0">
    <w:p w14:paraId="087C1B1A" w14:textId="77777777" w:rsidR="00CB48FF" w:rsidRDefault="00CB48FF" w:rsidP="00C3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C09A7" w14:textId="77777777" w:rsidR="00CB48FF" w:rsidRDefault="00CB48FF" w:rsidP="00C3587B">
      <w:pPr>
        <w:spacing w:after="0" w:line="240" w:lineRule="auto"/>
      </w:pPr>
      <w:r>
        <w:separator/>
      </w:r>
    </w:p>
  </w:footnote>
  <w:footnote w:type="continuationSeparator" w:id="0">
    <w:p w14:paraId="62B5B699" w14:textId="77777777" w:rsidR="00CB48FF" w:rsidRDefault="00CB48FF" w:rsidP="00C358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2tDAxNDYzMTA1MTZW0lEKTi0uzszPAykwrAUAsY6yMCwAAAA="/>
  </w:docVars>
  <w:rsids>
    <w:rsidRoot w:val="00C3587B"/>
    <w:rsid w:val="00001686"/>
    <w:rsid w:val="00220E4F"/>
    <w:rsid w:val="002F70EC"/>
    <w:rsid w:val="00377B66"/>
    <w:rsid w:val="003D3913"/>
    <w:rsid w:val="00464CA8"/>
    <w:rsid w:val="00593DA7"/>
    <w:rsid w:val="005A2AA5"/>
    <w:rsid w:val="0064181E"/>
    <w:rsid w:val="00646860"/>
    <w:rsid w:val="00664599"/>
    <w:rsid w:val="006C6E3D"/>
    <w:rsid w:val="00826803"/>
    <w:rsid w:val="00831AF6"/>
    <w:rsid w:val="009A60CA"/>
    <w:rsid w:val="009B7E3B"/>
    <w:rsid w:val="009D7B1E"/>
    <w:rsid w:val="00A12B0B"/>
    <w:rsid w:val="00B03A1D"/>
    <w:rsid w:val="00BA0317"/>
    <w:rsid w:val="00C10FE0"/>
    <w:rsid w:val="00C22B80"/>
    <w:rsid w:val="00C3587B"/>
    <w:rsid w:val="00C47B47"/>
    <w:rsid w:val="00C91117"/>
    <w:rsid w:val="00C94F72"/>
    <w:rsid w:val="00CA72AD"/>
    <w:rsid w:val="00CB48FF"/>
    <w:rsid w:val="00CC54E7"/>
    <w:rsid w:val="00D44F59"/>
    <w:rsid w:val="00E344B4"/>
    <w:rsid w:val="00E94912"/>
    <w:rsid w:val="00EC2868"/>
    <w:rsid w:val="00F16A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E9C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87B"/>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תו"/>
    <w:basedOn w:val="Normal"/>
    <w:link w:val="FootnoteTextChar"/>
    <w:uiPriority w:val="99"/>
    <w:unhideWhenUsed/>
    <w:rsid w:val="00C3587B"/>
    <w:pPr>
      <w:spacing w:after="0" w:line="240" w:lineRule="auto"/>
    </w:pPr>
    <w:rPr>
      <w:sz w:val="20"/>
      <w:szCs w:val="20"/>
      <w:lang w:bidi="he-IL"/>
    </w:rPr>
  </w:style>
  <w:style w:type="character" w:customStyle="1" w:styleId="FootnoteTextChar">
    <w:name w:val="Footnote Text Char"/>
    <w:aliases w:val=" תו Char"/>
    <w:basedOn w:val="DefaultParagraphFont"/>
    <w:link w:val="FootnoteText"/>
    <w:uiPriority w:val="99"/>
    <w:rsid w:val="00C3587B"/>
    <w:rPr>
      <w:sz w:val="20"/>
      <w:szCs w:val="20"/>
      <w:lang w:val="en-US"/>
    </w:rPr>
  </w:style>
  <w:style w:type="character" w:styleId="FootnoteReference">
    <w:name w:val="footnote reference"/>
    <w:basedOn w:val="DefaultParagraphFont"/>
    <w:uiPriority w:val="99"/>
    <w:semiHidden/>
    <w:unhideWhenUsed/>
    <w:rsid w:val="00C3587B"/>
    <w:rPr>
      <w:vertAlign w:val="superscript"/>
    </w:rPr>
  </w:style>
  <w:style w:type="table" w:styleId="TableGrid">
    <w:name w:val="Table Grid"/>
    <w:basedOn w:val="TableNormal"/>
    <w:uiPriority w:val="39"/>
    <w:rsid w:val="00D44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860"/>
    <w:rPr>
      <w:rFonts w:ascii="Segoe UI" w:hAnsi="Segoe UI" w:cs="Segoe UI"/>
      <w:sz w:val="18"/>
      <w:szCs w:val="18"/>
      <w:lang w:val="en-US" w:bidi="ar-SA"/>
    </w:rPr>
  </w:style>
  <w:style w:type="character" w:styleId="CommentReference">
    <w:name w:val="annotation reference"/>
    <w:basedOn w:val="DefaultParagraphFont"/>
    <w:uiPriority w:val="99"/>
    <w:semiHidden/>
    <w:unhideWhenUsed/>
    <w:rsid w:val="005A2AA5"/>
    <w:rPr>
      <w:sz w:val="16"/>
      <w:szCs w:val="16"/>
    </w:rPr>
  </w:style>
  <w:style w:type="paragraph" w:styleId="CommentText">
    <w:name w:val="annotation text"/>
    <w:basedOn w:val="Normal"/>
    <w:link w:val="CommentTextChar"/>
    <w:uiPriority w:val="99"/>
    <w:semiHidden/>
    <w:unhideWhenUsed/>
    <w:rsid w:val="005A2AA5"/>
    <w:pPr>
      <w:spacing w:line="240" w:lineRule="auto"/>
    </w:pPr>
    <w:rPr>
      <w:sz w:val="20"/>
      <w:szCs w:val="20"/>
    </w:rPr>
  </w:style>
  <w:style w:type="character" w:customStyle="1" w:styleId="CommentTextChar">
    <w:name w:val="Comment Text Char"/>
    <w:basedOn w:val="DefaultParagraphFont"/>
    <w:link w:val="CommentText"/>
    <w:uiPriority w:val="99"/>
    <w:semiHidden/>
    <w:rsid w:val="005A2AA5"/>
    <w:rPr>
      <w:sz w:val="20"/>
      <w:szCs w:val="20"/>
      <w:lang w:bidi="ar-SA"/>
    </w:rPr>
  </w:style>
  <w:style w:type="paragraph" w:styleId="CommentSubject">
    <w:name w:val="annotation subject"/>
    <w:basedOn w:val="CommentText"/>
    <w:next w:val="CommentText"/>
    <w:link w:val="CommentSubjectChar"/>
    <w:uiPriority w:val="99"/>
    <w:semiHidden/>
    <w:unhideWhenUsed/>
    <w:rsid w:val="005A2AA5"/>
    <w:rPr>
      <w:b/>
      <w:bCs/>
    </w:rPr>
  </w:style>
  <w:style w:type="character" w:customStyle="1" w:styleId="CommentSubjectChar">
    <w:name w:val="Comment Subject Char"/>
    <w:basedOn w:val="CommentTextChar"/>
    <w:link w:val="CommentSubject"/>
    <w:uiPriority w:val="99"/>
    <w:semiHidden/>
    <w:rsid w:val="005A2AA5"/>
    <w:rPr>
      <w:b/>
      <w:bCs/>
      <w:sz w:val="20"/>
      <w:szCs w:val="20"/>
      <w:lang w:bidi="ar-SA"/>
    </w:rPr>
  </w:style>
  <w:style w:type="paragraph" w:styleId="Revision">
    <w:name w:val="Revision"/>
    <w:hidden/>
    <w:uiPriority w:val="99"/>
    <w:semiHidden/>
    <w:rsid w:val="00CA72AD"/>
    <w:pPr>
      <w:spacing w:after="0" w:line="240" w:lineRule="auto"/>
    </w:pPr>
    <w:rPr>
      <w:lang w:bidi="ar-SA"/>
    </w:rPr>
  </w:style>
  <w:style w:type="paragraph" w:styleId="Header">
    <w:name w:val="header"/>
    <w:basedOn w:val="Normal"/>
    <w:link w:val="HeaderChar"/>
    <w:uiPriority w:val="99"/>
    <w:unhideWhenUsed/>
    <w:rsid w:val="00593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DA7"/>
    <w:rPr>
      <w:lang w:bidi="ar-SA"/>
    </w:rPr>
  </w:style>
  <w:style w:type="paragraph" w:styleId="Footer">
    <w:name w:val="footer"/>
    <w:basedOn w:val="Normal"/>
    <w:link w:val="FooterChar"/>
    <w:uiPriority w:val="99"/>
    <w:unhideWhenUsed/>
    <w:rsid w:val="00593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DA7"/>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2021-02-09T04:42:00Z</dcterms:created>
  <dcterms:modified xsi:type="dcterms:W3CDTF">2021-02-09T04:42:00Z</dcterms:modified>
</cp:coreProperties>
</file>