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10517" w14:textId="2E045905" w:rsidR="002E735F" w:rsidRPr="003D68BC" w:rsidRDefault="003D68BC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b/>
          <w:color w:val="595959" w:themeColor="text1" w:themeTint="A6"/>
          <w:sz w:val="28"/>
          <w:szCs w:val="28"/>
          <w:lang w:val="en-GB" w:eastAsia="en-US"/>
        </w:rPr>
      </w:pPr>
      <w:r w:rsidRPr="003D68BC">
        <w:rPr>
          <w:rFonts w:eastAsia="Calibri" w:cs="Calibri"/>
          <w:b/>
          <w:bCs/>
          <w:color w:val="595959"/>
          <w:sz w:val="28"/>
          <w:szCs w:val="28"/>
          <w:lang w:val="en-GB" w:eastAsia="en-US"/>
        </w:rPr>
        <w:t xml:space="preserve">The use of </w:t>
      </w:r>
      <w:r w:rsidRPr="003D68BC">
        <w:rPr>
          <w:rFonts w:eastAsia="Calibri" w:cs="Calibri"/>
          <w:b/>
          <w:bCs/>
          <w:color w:val="595959"/>
          <w:sz w:val="28"/>
          <w:szCs w:val="28"/>
          <w:lang w:val="en-GB" w:eastAsia="en-US"/>
        </w:rPr>
        <w:t>flexible furloughs</w:t>
      </w:r>
      <w:r w:rsidRPr="003D68BC">
        <w:rPr>
          <w:rFonts w:eastAsia="Calibri" w:cs="Calibri"/>
          <w:b/>
          <w:bCs/>
          <w:color w:val="595959"/>
          <w:sz w:val="28"/>
          <w:szCs w:val="28"/>
          <w:lang w:val="en-GB" w:eastAsia="en-US"/>
        </w:rPr>
        <w:t xml:space="preserve"> </w:t>
      </w:r>
      <w:r w:rsidRPr="003D68BC">
        <w:rPr>
          <w:rFonts w:eastAsia="Calibri" w:cs="Calibri"/>
          <w:b/>
          <w:bCs/>
          <w:color w:val="595959"/>
          <w:sz w:val="28"/>
          <w:szCs w:val="28"/>
          <w:lang w:val="en-GB" w:eastAsia="en-US"/>
        </w:rPr>
        <w:t>in France during the COVID-19 crisis: An empirical analysis between March and May 2020</w:t>
      </w:r>
    </w:p>
    <w:p w14:paraId="052D1302" w14:textId="77777777" w:rsidR="002E735F" w:rsidRPr="003D68BC" w:rsidRDefault="002E735F" w:rsidP="002E735F">
      <w:pPr>
        <w:pStyle w:val="10TexteNE"/>
        <w:rPr>
          <w:lang w:val="en-GB"/>
        </w:rPr>
      </w:pPr>
    </w:p>
    <w:p w14:paraId="2D3EEA6D" w14:textId="77777777" w:rsidR="002E735F" w:rsidRPr="003D68BC" w:rsidRDefault="002E735F" w:rsidP="002E735F">
      <w:pPr>
        <w:pStyle w:val="10TexteNE"/>
        <w:rPr>
          <w:lang w:val="en-GB"/>
        </w:rPr>
      </w:pPr>
    </w:p>
    <w:p w14:paraId="61B42200" w14:textId="77777777" w:rsidR="002E735F" w:rsidRPr="003D68BC" w:rsidRDefault="003D68BC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GB" w:eastAsia="en-US"/>
        </w:rPr>
      </w:pPr>
      <w:r w:rsidRPr="003D68BC">
        <w:rPr>
          <w:rFonts w:eastAsia="Calibri" w:cs="Calibri"/>
          <w:color w:val="595959"/>
          <w:sz w:val="22"/>
          <w:szCs w:val="22"/>
          <w:lang w:val="en-GB" w:eastAsia="en-US"/>
        </w:rPr>
        <w:t>Oana Calavrezo</w:t>
      </w:r>
    </w:p>
    <w:p w14:paraId="56894200" w14:textId="4D196F2E" w:rsidR="002E735F" w:rsidRPr="003D68BC" w:rsidRDefault="003D68BC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GB" w:eastAsia="en-US"/>
        </w:rPr>
      </w:pPr>
      <w:hyperlink r:id="rId4" w:history="1">
        <w:r w:rsidRPr="003D68BC">
          <w:rPr>
            <w:rStyle w:val="Hyperlink"/>
            <w:rFonts w:eastAsia="Calibri" w:cs="Calibri"/>
            <w:sz w:val="22"/>
            <w:szCs w:val="22"/>
            <w:lang w:val="en-GB"/>
          </w:rPr>
          <w:t>ocalavrezo@unedic.fr</w:t>
        </w:r>
      </w:hyperlink>
      <w:r w:rsidRPr="003D68BC">
        <w:rPr>
          <w:rFonts w:eastAsia="Calibri" w:cs="Calibri"/>
          <w:color w:val="595959"/>
          <w:sz w:val="22"/>
          <w:szCs w:val="22"/>
          <w:lang w:val="en-GB"/>
        </w:rPr>
        <w:t xml:space="preserve"> </w:t>
      </w:r>
    </w:p>
    <w:p w14:paraId="6AB5D855" w14:textId="67AF39BB" w:rsidR="002E735F" w:rsidRPr="003D68BC" w:rsidRDefault="003D68BC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GB" w:eastAsia="en-US"/>
        </w:rPr>
      </w:pPr>
      <w:r w:rsidRPr="003D68BC">
        <w:rPr>
          <w:rFonts w:eastAsia="Calibri" w:cs="Calibri"/>
          <w:color w:val="595959"/>
          <w:sz w:val="22"/>
          <w:szCs w:val="22"/>
          <w:lang w:val="en-GB" w:eastAsia="en-US"/>
        </w:rPr>
        <w:t>Unédic and Université d’</w:t>
      </w:r>
      <w:r w:rsidRPr="003D68BC">
        <w:rPr>
          <w:rFonts w:eastAsia="Calibri" w:cs="Calibri"/>
          <w:color w:val="595959"/>
          <w:sz w:val="22"/>
          <w:szCs w:val="22"/>
          <w:lang w:val="en-GB" w:eastAsia="en-US"/>
        </w:rPr>
        <w:t>Orléans, CNRS, LEO, FRE 2014</w:t>
      </w:r>
    </w:p>
    <w:p w14:paraId="5D392904" w14:textId="77777777" w:rsidR="002E735F" w:rsidRPr="003D68BC" w:rsidRDefault="002E735F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GB" w:eastAsia="en-US"/>
        </w:rPr>
      </w:pPr>
    </w:p>
    <w:p w14:paraId="74E76D1F" w14:textId="77777777" w:rsidR="002E735F" w:rsidRPr="003D68BC" w:rsidRDefault="003D68BC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GB" w:eastAsia="en-US"/>
        </w:rPr>
      </w:pPr>
      <w:r w:rsidRPr="003D68BC">
        <w:rPr>
          <w:rFonts w:eastAsia="Calibri" w:cs="Calibri"/>
          <w:color w:val="595959"/>
          <w:sz w:val="22"/>
          <w:szCs w:val="22"/>
          <w:lang w:val="en-GB" w:eastAsia="en-US"/>
        </w:rPr>
        <w:t>Lewis Hounkpevi</w:t>
      </w:r>
    </w:p>
    <w:p w14:paraId="6D5222F7" w14:textId="77777777" w:rsidR="002E735F" w:rsidRPr="003D68BC" w:rsidRDefault="003D68BC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GB" w:eastAsia="en-US"/>
        </w:rPr>
      </w:pPr>
      <w:hyperlink r:id="rId5" w:history="1">
        <w:r w:rsidRPr="003D68BC">
          <w:rPr>
            <w:rFonts w:eastAsia="Calibri" w:cs="Calibri"/>
            <w:color w:val="0563C1"/>
            <w:sz w:val="22"/>
            <w:szCs w:val="22"/>
            <w:u w:val="single"/>
            <w:lang w:val="en-GB"/>
          </w:rPr>
          <w:t>lhounkpevi@unedic.fr</w:t>
        </w:r>
      </w:hyperlink>
    </w:p>
    <w:p w14:paraId="03143C5E" w14:textId="77777777" w:rsidR="002E735F" w:rsidRPr="003D68BC" w:rsidRDefault="003D68BC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GB" w:eastAsia="en-US"/>
        </w:rPr>
      </w:pPr>
      <w:r w:rsidRPr="003D68BC">
        <w:rPr>
          <w:rFonts w:eastAsia="Calibri" w:cs="Calibri"/>
          <w:color w:val="595959"/>
          <w:sz w:val="22"/>
          <w:szCs w:val="22"/>
          <w:lang w:val="en-GB" w:eastAsia="en-US"/>
        </w:rPr>
        <w:t>Unédic</w:t>
      </w:r>
    </w:p>
    <w:p w14:paraId="3A5CA582" w14:textId="77777777" w:rsidR="002E735F" w:rsidRPr="003D68BC" w:rsidRDefault="002E735F" w:rsidP="002E735F">
      <w:pPr>
        <w:pStyle w:val="10TexteNE"/>
        <w:rPr>
          <w:lang w:val="en-GB"/>
        </w:rPr>
      </w:pPr>
    </w:p>
    <w:p w14:paraId="0F465163" w14:textId="77777777" w:rsidR="002E735F" w:rsidRPr="003D68BC" w:rsidRDefault="003D68BC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GB" w:eastAsia="en-US"/>
        </w:rPr>
      </w:pPr>
      <w:r w:rsidRPr="003D68BC">
        <w:rPr>
          <w:rFonts w:eastAsia="Calibri" w:cs="Calibri"/>
          <w:color w:val="595959"/>
          <w:sz w:val="22"/>
          <w:szCs w:val="22"/>
          <w:lang w:val="en-GB" w:eastAsia="en-US"/>
        </w:rPr>
        <w:t xml:space="preserve">Florence Journeau </w:t>
      </w:r>
    </w:p>
    <w:p w14:paraId="17ACEF53" w14:textId="77777777" w:rsidR="002E735F" w:rsidRPr="003D68BC" w:rsidRDefault="003D68BC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GB" w:eastAsia="en-US"/>
        </w:rPr>
      </w:pPr>
      <w:hyperlink r:id="rId6" w:history="1">
        <w:r w:rsidRPr="003D68BC">
          <w:rPr>
            <w:rFonts w:eastAsia="Calibri" w:cs="Calibri"/>
            <w:color w:val="0563C1"/>
            <w:sz w:val="22"/>
            <w:szCs w:val="22"/>
            <w:u w:val="single"/>
            <w:lang w:val="en-GB"/>
          </w:rPr>
          <w:t>fjourneau@unedic.fr</w:t>
        </w:r>
      </w:hyperlink>
    </w:p>
    <w:p w14:paraId="60660B02" w14:textId="77777777" w:rsidR="002E735F" w:rsidRPr="003D68BC" w:rsidRDefault="003D68BC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GB" w:eastAsia="en-US"/>
        </w:rPr>
      </w:pPr>
      <w:r w:rsidRPr="003D68BC">
        <w:rPr>
          <w:rFonts w:eastAsia="Calibri" w:cs="Calibri"/>
          <w:color w:val="595959"/>
          <w:sz w:val="22"/>
          <w:szCs w:val="22"/>
          <w:lang w:val="en-GB" w:eastAsia="en-US"/>
        </w:rPr>
        <w:t>Unédic</w:t>
      </w:r>
    </w:p>
    <w:p w14:paraId="45C12CFC" w14:textId="77777777" w:rsidR="002E735F" w:rsidRPr="003D68BC" w:rsidRDefault="002E735F" w:rsidP="002E735F">
      <w:pPr>
        <w:pStyle w:val="10TexteNE"/>
        <w:rPr>
          <w:lang w:val="en-GB"/>
        </w:rPr>
      </w:pPr>
    </w:p>
    <w:p w14:paraId="1EE7908C" w14:textId="77777777" w:rsidR="002E735F" w:rsidRPr="003D68BC" w:rsidRDefault="003D68BC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GB" w:eastAsia="en-US"/>
        </w:rPr>
      </w:pPr>
      <w:r w:rsidRPr="003D68BC">
        <w:rPr>
          <w:rFonts w:eastAsia="Calibri" w:cs="Calibri"/>
          <w:color w:val="595959"/>
          <w:sz w:val="22"/>
          <w:szCs w:val="22"/>
          <w:lang w:val="en-GB" w:eastAsia="en-US"/>
        </w:rPr>
        <w:t xml:space="preserve">Marie-Hélène Nguyen </w:t>
      </w:r>
    </w:p>
    <w:p w14:paraId="34A10BE6" w14:textId="77777777" w:rsidR="002E735F" w:rsidRPr="003D68BC" w:rsidRDefault="003D68BC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GB" w:eastAsia="en-US"/>
        </w:rPr>
      </w:pPr>
      <w:hyperlink r:id="rId7" w:history="1">
        <w:r w:rsidRPr="003D68BC">
          <w:rPr>
            <w:rFonts w:eastAsia="Calibri" w:cs="Calibri"/>
            <w:color w:val="0563C1"/>
            <w:sz w:val="22"/>
            <w:szCs w:val="22"/>
            <w:u w:val="single"/>
            <w:lang w:val="en-GB"/>
          </w:rPr>
          <w:t>mnguyen@unedic.fr</w:t>
        </w:r>
      </w:hyperlink>
    </w:p>
    <w:p w14:paraId="21524382" w14:textId="77777777" w:rsidR="002E735F" w:rsidRPr="003D68BC" w:rsidRDefault="003D68BC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GB" w:eastAsia="en-US"/>
        </w:rPr>
      </w:pPr>
      <w:r w:rsidRPr="003D68BC">
        <w:rPr>
          <w:rFonts w:eastAsia="Calibri" w:cs="Calibri"/>
          <w:color w:val="595959"/>
          <w:sz w:val="22"/>
          <w:szCs w:val="22"/>
          <w:lang w:val="en-GB" w:eastAsia="en-US"/>
        </w:rPr>
        <w:t>Unédic</w:t>
      </w:r>
    </w:p>
    <w:p w14:paraId="6BF49A9B" w14:textId="77777777" w:rsidR="002E735F" w:rsidRPr="003D68BC" w:rsidRDefault="002E735F" w:rsidP="002E735F">
      <w:pPr>
        <w:autoSpaceDE w:val="0"/>
        <w:autoSpaceDN w:val="0"/>
        <w:adjustRightInd w:val="0"/>
        <w:spacing w:after="0"/>
        <w:rPr>
          <w:color w:val="595959" w:themeColor="text1" w:themeTint="A6"/>
          <w:sz w:val="20"/>
          <w:szCs w:val="20"/>
          <w:lang w:val="en-GB"/>
        </w:rPr>
      </w:pPr>
    </w:p>
    <w:p w14:paraId="21DC17FC" w14:textId="77777777" w:rsidR="002E735F" w:rsidRPr="003D68BC" w:rsidRDefault="002E735F" w:rsidP="002E735F">
      <w:pPr>
        <w:autoSpaceDE w:val="0"/>
        <w:autoSpaceDN w:val="0"/>
        <w:adjustRightInd w:val="0"/>
        <w:spacing w:after="0"/>
        <w:rPr>
          <w:color w:val="595959" w:themeColor="text1" w:themeTint="A6"/>
          <w:sz w:val="20"/>
          <w:szCs w:val="20"/>
          <w:lang w:val="en-GB"/>
        </w:rPr>
      </w:pPr>
    </w:p>
    <w:p w14:paraId="1390D2C6" w14:textId="77777777" w:rsidR="002E735F" w:rsidRPr="003D68BC" w:rsidRDefault="003D68BC" w:rsidP="002E735F">
      <w:pPr>
        <w:autoSpaceDE w:val="0"/>
        <w:autoSpaceDN w:val="0"/>
        <w:adjustRightInd w:val="0"/>
        <w:spacing w:after="0"/>
        <w:rPr>
          <w:b/>
          <w:color w:val="595959" w:themeColor="text1" w:themeTint="A6"/>
          <w:sz w:val="20"/>
          <w:szCs w:val="20"/>
          <w:lang w:val="en-GB"/>
        </w:rPr>
      </w:pPr>
      <w:r w:rsidRPr="003D68BC">
        <w:rPr>
          <w:rFonts w:eastAsia="Calibri"/>
          <w:b/>
          <w:bCs/>
          <w:color w:val="595959"/>
          <w:sz w:val="20"/>
          <w:szCs w:val="20"/>
          <w:lang w:val="en-GB"/>
        </w:rPr>
        <w:t>Abstract</w:t>
      </w:r>
    </w:p>
    <w:p w14:paraId="35F2C08F" w14:textId="77777777" w:rsidR="002E735F" w:rsidRPr="003D68BC" w:rsidRDefault="002E735F" w:rsidP="002E735F">
      <w:pPr>
        <w:autoSpaceDE w:val="0"/>
        <w:autoSpaceDN w:val="0"/>
        <w:adjustRightInd w:val="0"/>
        <w:spacing w:after="0"/>
        <w:rPr>
          <w:color w:val="595959" w:themeColor="text1" w:themeTint="A6"/>
          <w:sz w:val="20"/>
          <w:szCs w:val="20"/>
          <w:lang w:val="en-GB"/>
        </w:rPr>
      </w:pPr>
    </w:p>
    <w:p w14:paraId="3CD2047E" w14:textId="2968F119" w:rsidR="002E735F" w:rsidRPr="003D68BC" w:rsidRDefault="003D68BC" w:rsidP="002E735F">
      <w:pPr>
        <w:pStyle w:val="05TexteNT"/>
        <w:rPr>
          <w:sz w:val="20"/>
          <w:lang w:val="en-GB"/>
        </w:rPr>
      </w:pPr>
      <w:r w:rsidRPr="003D68BC">
        <w:rPr>
          <w:rFonts w:eastAsia="Calibri"/>
          <w:color w:val="595959"/>
          <w:sz w:val="20"/>
          <w:lang w:val="en-GB"/>
        </w:rPr>
        <w:t>In France, paid flexible f</w:t>
      </w:r>
      <w:r w:rsidRPr="003D68BC">
        <w:rPr>
          <w:rFonts w:eastAsia="Calibri"/>
          <w:color w:val="595959"/>
          <w:sz w:val="20"/>
          <w:lang w:val="en-GB"/>
        </w:rPr>
        <w:t>urlough has been one of the main actions taken to protect jobs during the COVID-19 crisis, making the country one of the principal adopters of the scheme in Europe. Flexible furlough, a system that is generally deployed counter-cyclically, enables enterpri</w:t>
      </w:r>
      <w:r w:rsidRPr="003D68BC">
        <w:rPr>
          <w:rFonts w:eastAsia="Calibri"/>
          <w:color w:val="595959"/>
          <w:sz w:val="20"/>
          <w:lang w:val="en-GB"/>
        </w:rPr>
        <w:t xml:space="preserve">ses to tailor their volume of working hours to changes in </w:t>
      </w:r>
      <w:r w:rsidRPr="003D68BC">
        <w:rPr>
          <w:rFonts w:eastAsia="Calibri"/>
          <w:color w:val="595959"/>
          <w:sz w:val="20"/>
          <w:lang w:val="en-GB"/>
        </w:rPr>
        <w:t>business</w:t>
      </w:r>
      <w:r w:rsidRPr="003D68BC">
        <w:rPr>
          <w:rFonts w:eastAsia="Calibri"/>
          <w:color w:val="595959"/>
          <w:sz w:val="20"/>
          <w:lang w:val="en-GB"/>
        </w:rPr>
        <w:t xml:space="preserve">, in an effort to avoid redundancies. </w:t>
      </w:r>
    </w:p>
    <w:p w14:paraId="600327BE" w14:textId="7DA7E884" w:rsidR="002E735F" w:rsidRPr="003D68BC" w:rsidRDefault="003D68BC" w:rsidP="002E735F">
      <w:pPr>
        <w:pStyle w:val="05TexteNT"/>
        <w:rPr>
          <w:sz w:val="20"/>
          <w:lang w:val="en-GB"/>
        </w:rPr>
      </w:pPr>
      <w:r w:rsidRPr="003D68BC">
        <w:rPr>
          <w:rFonts w:eastAsia="Calibri"/>
          <w:color w:val="595959"/>
          <w:sz w:val="20"/>
          <w:lang w:val="en-GB"/>
        </w:rPr>
        <w:t>In this study, we analyse</w:t>
      </w:r>
      <w:r w:rsidRPr="003D68BC">
        <w:rPr>
          <w:rFonts w:eastAsia="Calibri"/>
          <w:color w:val="595959"/>
          <w:sz w:val="20"/>
          <w:lang w:val="en-GB"/>
        </w:rPr>
        <w:t xml:space="preserve"> the use of this scheme by employers during the l</w:t>
      </w:r>
      <w:r w:rsidRPr="003D68BC">
        <w:rPr>
          <w:rFonts w:eastAsia="Calibri"/>
          <w:color w:val="595959"/>
          <w:sz w:val="20"/>
          <w:lang w:val="en-GB"/>
        </w:rPr>
        <w:t xml:space="preserve">ockdown, basing ourselves on comprehensive administrative data as of 22 June 2020. A main focus of our </w:t>
      </w:r>
      <w:r>
        <w:rPr>
          <w:rFonts w:eastAsia="Calibri"/>
          <w:color w:val="595959"/>
          <w:sz w:val="20"/>
          <w:lang w:val="en-GB"/>
        </w:rPr>
        <w:t>work</w:t>
      </w:r>
      <w:r w:rsidRPr="003D68BC">
        <w:rPr>
          <w:rFonts w:eastAsia="Calibri"/>
          <w:color w:val="595959"/>
          <w:sz w:val="20"/>
          <w:lang w:val="en-GB"/>
        </w:rPr>
        <w:t xml:space="preserve"> is the comparison between the current use of flexible furloughs and that before the health crisis, in particular during the recession of 2008-2009.</w:t>
      </w:r>
    </w:p>
    <w:p w14:paraId="74189949" w14:textId="1DE6C04E" w:rsidR="002E735F" w:rsidRPr="003D68BC" w:rsidRDefault="003D68BC" w:rsidP="002E735F">
      <w:pPr>
        <w:pStyle w:val="05TexteNT"/>
        <w:rPr>
          <w:sz w:val="20"/>
          <w:lang w:val="en-GB"/>
        </w:rPr>
      </w:pPr>
      <w:r w:rsidRPr="003D68BC">
        <w:rPr>
          <w:rFonts w:eastAsia="Calibri"/>
          <w:color w:val="595959"/>
          <w:sz w:val="20"/>
          <w:lang w:val="en-GB"/>
        </w:rPr>
        <w:t xml:space="preserve">In order to resort to flexible furlough, an employer needs to apply for prior authorization from the administrative authorities. </w:t>
      </w:r>
      <w:r>
        <w:rPr>
          <w:rFonts w:eastAsia="Calibri"/>
          <w:color w:val="595959"/>
          <w:sz w:val="20"/>
          <w:lang w:val="en-GB"/>
        </w:rPr>
        <w:t xml:space="preserve">As </w:t>
      </w:r>
      <w:r w:rsidRPr="003D68BC">
        <w:rPr>
          <w:rFonts w:eastAsia="Calibri"/>
          <w:color w:val="595959"/>
          <w:sz w:val="20"/>
          <w:lang w:val="en-GB"/>
        </w:rPr>
        <w:t>this step requir</w:t>
      </w:r>
      <w:r>
        <w:rPr>
          <w:rFonts w:eastAsia="Calibri"/>
          <w:color w:val="595959"/>
          <w:sz w:val="20"/>
          <w:lang w:val="en-GB"/>
        </w:rPr>
        <w:t>es</w:t>
      </w:r>
      <w:r w:rsidRPr="003D68BC">
        <w:rPr>
          <w:rFonts w:eastAsia="Calibri"/>
          <w:color w:val="595959"/>
          <w:sz w:val="20"/>
          <w:lang w:val="en-GB"/>
        </w:rPr>
        <w:t xml:space="preserve"> employers to anticipate </w:t>
      </w:r>
      <w:r w:rsidRPr="003D68BC">
        <w:rPr>
          <w:rFonts w:eastAsia="Calibri"/>
          <w:color w:val="595959"/>
          <w:sz w:val="20"/>
          <w:lang w:val="en-GB"/>
        </w:rPr>
        <w:t>their flexible furlough requirements, enterprises often request a number of flexible furlough hours much in excess of what they will actually use. In this study, we consider employers’</w:t>
      </w:r>
      <w:r w:rsidRPr="003D68BC">
        <w:rPr>
          <w:rFonts w:eastAsia="Calibri"/>
          <w:color w:val="595959"/>
          <w:sz w:val="20"/>
          <w:lang w:val="en-GB"/>
        </w:rPr>
        <w:t xml:space="preserve"> applications for prior authorization in terms of the hours applied for </w:t>
      </w:r>
      <w:r w:rsidRPr="003D68BC">
        <w:rPr>
          <w:rFonts w:eastAsia="Calibri"/>
          <w:color w:val="595959"/>
          <w:sz w:val="20"/>
          <w:lang w:val="en-GB"/>
        </w:rPr>
        <w:t xml:space="preserve">and the number of employees affected, breaking them down by the characteristics of the enterprises and the nature of their applications, </w:t>
      </w:r>
      <w:r>
        <w:rPr>
          <w:rFonts w:eastAsia="Calibri"/>
          <w:color w:val="595959"/>
          <w:sz w:val="20"/>
          <w:lang w:val="en-GB"/>
        </w:rPr>
        <w:t>a</w:t>
      </w:r>
      <w:r w:rsidRPr="003D68BC">
        <w:rPr>
          <w:rFonts w:eastAsia="Calibri"/>
          <w:color w:val="595959"/>
          <w:sz w:val="20"/>
          <w:lang w:val="en-GB"/>
        </w:rPr>
        <w:t>lso conduct</w:t>
      </w:r>
      <w:r>
        <w:rPr>
          <w:rFonts w:eastAsia="Calibri"/>
          <w:color w:val="595959"/>
          <w:sz w:val="20"/>
          <w:lang w:val="en-GB"/>
        </w:rPr>
        <w:t>ing</w:t>
      </w:r>
      <w:r w:rsidRPr="003D68BC">
        <w:rPr>
          <w:rFonts w:eastAsia="Calibri"/>
          <w:color w:val="595959"/>
          <w:sz w:val="20"/>
          <w:lang w:val="en-GB"/>
        </w:rPr>
        <w:t xml:space="preserve"> an analysis of the likely key factors for filing an initial application. </w:t>
      </w:r>
    </w:p>
    <w:p w14:paraId="6EBD699F" w14:textId="07840B25" w:rsidR="002E735F" w:rsidRPr="003D68BC" w:rsidRDefault="003D68BC" w:rsidP="002E735F">
      <w:pPr>
        <w:pStyle w:val="05TexteNT"/>
        <w:rPr>
          <w:sz w:val="20"/>
          <w:lang w:val="en-GB"/>
        </w:rPr>
      </w:pPr>
      <w:r w:rsidRPr="003D68BC">
        <w:rPr>
          <w:rFonts w:eastAsia="Calibri"/>
          <w:color w:val="595959"/>
          <w:sz w:val="20"/>
          <w:lang w:val="en-GB"/>
        </w:rPr>
        <w:t xml:space="preserve">Employers can then submit a monthly reimbursement claim for the remuneration paid to the employees involved in flexible furloughs. We thus present the trends observed in the data in terms of </w:t>
      </w:r>
      <w:r w:rsidRPr="003D68BC">
        <w:rPr>
          <w:rFonts w:eastAsia="Calibri"/>
          <w:color w:val="595959"/>
          <w:sz w:val="20"/>
          <w:lang w:val="en-GB"/>
        </w:rPr>
        <w:t xml:space="preserve">reimbursement claims, still in connection with the hours and employees involved and the characteristics of the </w:t>
      </w:r>
      <w:r>
        <w:rPr>
          <w:rFonts w:eastAsia="Calibri"/>
          <w:color w:val="595959"/>
          <w:sz w:val="20"/>
          <w:lang w:val="en-GB"/>
        </w:rPr>
        <w:t>enterprises</w:t>
      </w:r>
      <w:r w:rsidRPr="003D68BC">
        <w:rPr>
          <w:rFonts w:eastAsia="Calibri"/>
          <w:color w:val="595959"/>
          <w:sz w:val="20"/>
          <w:lang w:val="en-GB"/>
        </w:rPr>
        <w:t xml:space="preserve">, and in </w:t>
      </w:r>
      <w:r>
        <w:rPr>
          <w:rFonts w:eastAsia="Calibri"/>
          <w:color w:val="595959"/>
          <w:sz w:val="20"/>
          <w:lang w:val="en-GB"/>
        </w:rPr>
        <w:t xml:space="preserve">terms of </w:t>
      </w:r>
      <w:r w:rsidRPr="003D68BC">
        <w:rPr>
          <w:rFonts w:eastAsia="Calibri"/>
          <w:color w:val="595959"/>
          <w:sz w:val="20"/>
          <w:lang w:val="en-GB"/>
        </w:rPr>
        <w:t>the transformation of prior applications requests into reimbursement claims; the data are analysed on a monthly basis betwee</w:t>
      </w:r>
      <w:r w:rsidRPr="003D68BC">
        <w:rPr>
          <w:rFonts w:eastAsia="Calibri"/>
          <w:color w:val="595959"/>
          <w:sz w:val="20"/>
          <w:lang w:val="en-GB"/>
        </w:rPr>
        <w:t>n March and May, having been extracted from application percentages and the actual use of flexible furloughs.</w:t>
      </w:r>
    </w:p>
    <w:p w14:paraId="7389EC60" w14:textId="77777777" w:rsidR="002E735F" w:rsidRPr="003D68BC" w:rsidRDefault="003D68BC" w:rsidP="002E735F">
      <w:pPr>
        <w:pStyle w:val="05TexteNT"/>
        <w:rPr>
          <w:sz w:val="20"/>
          <w:lang w:val="en-GB"/>
        </w:rPr>
      </w:pPr>
      <w:r w:rsidRPr="003D68BC">
        <w:rPr>
          <w:rFonts w:eastAsia="Calibri"/>
          <w:color w:val="595959"/>
          <w:sz w:val="20"/>
          <w:lang w:val="en-GB"/>
        </w:rPr>
        <w:t>As employers have one year to file reimbursement claims, in this stud</w:t>
      </w:r>
      <w:r w:rsidRPr="003D68BC">
        <w:rPr>
          <w:rFonts w:eastAsia="Calibri"/>
          <w:color w:val="595959"/>
          <w:sz w:val="20"/>
          <w:lang w:val="en-GB"/>
        </w:rPr>
        <w:t xml:space="preserve">y we also estimate - basing ourselves on the information provided by the data and on our assumptions - how much the scheme will ultimately cost, as well as the number of employees who may have actually been involved in flexible furloughs between March and </w:t>
      </w:r>
      <w:r w:rsidRPr="003D68BC">
        <w:rPr>
          <w:rFonts w:eastAsia="Calibri"/>
          <w:color w:val="595959"/>
          <w:sz w:val="20"/>
          <w:lang w:val="en-GB"/>
        </w:rPr>
        <w:t>May 2020.</w:t>
      </w:r>
    </w:p>
    <w:p w14:paraId="0D3E0335" w14:textId="77777777" w:rsidR="002E735F" w:rsidRPr="003D68BC" w:rsidRDefault="002E735F" w:rsidP="002E735F">
      <w:pPr>
        <w:autoSpaceDE w:val="0"/>
        <w:autoSpaceDN w:val="0"/>
        <w:adjustRightInd w:val="0"/>
        <w:spacing w:after="0"/>
        <w:rPr>
          <w:color w:val="595959" w:themeColor="text1" w:themeTint="A6"/>
          <w:sz w:val="20"/>
          <w:szCs w:val="20"/>
          <w:lang w:val="en-GB"/>
        </w:rPr>
      </w:pPr>
    </w:p>
    <w:p w14:paraId="1F0DC420" w14:textId="77777777" w:rsidR="002E735F" w:rsidRPr="003D68BC" w:rsidRDefault="002E735F" w:rsidP="002E735F">
      <w:pPr>
        <w:autoSpaceDE w:val="0"/>
        <w:autoSpaceDN w:val="0"/>
        <w:adjustRightInd w:val="0"/>
        <w:spacing w:after="0"/>
        <w:rPr>
          <w:color w:val="595959" w:themeColor="text1" w:themeTint="A6"/>
          <w:sz w:val="20"/>
          <w:szCs w:val="20"/>
          <w:lang w:val="en-GB"/>
        </w:rPr>
      </w:pPr>
    </w:p>
    <w:p w14:paraId="6E29B81E" w14:textId="77777777" w:rsidR="002E735F" w:rsidRPr="003D68BC" w:rsidRDefault="003D68BC" w:rsidP="002E735F">
      <w:pPr>
        <w:autoSpaceDE w:val="0"/>
        <w:autoSpaceDN w:val="0"/>
        <w:adjustRightInd w:val="0"/>
        <w:spacing w:after="0"/>
        <w:rPr>
          <w:color w:val="595959" w:themeColor="text1" w:themeTint="A6"/>
          <w:sz w:val="20"/>
          <w:szCs w:val="20"/>
          <w:lang w:val="en-GB"/>
        </w:rPr>
      </w:pPr>
      <w:r w:rsidRPr="003D68BC">
        <w:rPr>
          <w:rFonts w:eastAsia="Calibri"/>
          <w:b/>
          <w:bCs/>
          <w:color w:val="595959"/>
          <w:sz w:val="20"/>
          <w:szCs w:val="20"/>
          <w:lang w:val="en-GB"/>
        </w:rPr>
        <w:t>Keywords</w:t>
      </w:r>
      <w:r w:rsidRPr="003D68BC">
        <w:rPr>
          <w:rFonts w:eastAsia="Calibri"/>
          <w:color w:val="595959"/>
          <w:sz w:val="20"/>
          <w:szCs w:val="20"/>
          <w:lang w:val="en-GB"/>
        </w:rPr>
        <w:t>: Flexible furlough, COVID-19.</w:t>
      </w:r>
    </w:p>
    <w:p w14:paraId="3DE51365" w14:textId="77777777" w:rsidR="002E735F" w:rsidRPr="003D68BC" w:rsidRDefault="002E735F">
      <w:pPr>
        <w:rPr>
          <w:lang w:val="en-GB"/>
        </w:rPr>
      </w:pPr>
    </w:p>
    <w:sectPr w:rsidR="002E735F" w:rsidRPr="003D6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5F"/>
    <w:rsid w:val="00137E4A"/>
    <w:rsid w:val="001E1763"/>
    <w:rsid w:val="001E41FF"/>
    <w:rsid w:val="002E735F"/>
    <w:rsid w:val="003834FA"/>
    <w:rsid w:val="003A4C4E"/>
    <w:rsid w:val="003D68BC"/>
    <w:rsid w:val="004105CA"/>
    <w:rsid w:val="008B46BF"/>
    <w:rsid w:val="009F0587"/>
    <w:rsid w:val="00D6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7CCAD"/>
  <w15:chartTrackingRefBased/>
  <w15:docId w15:val="{FCEF2067-6317-4281-AFC0-8C573ABE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1"/>
    <w:rsid w:val="002E735F"/>
    <w:pPr>
      <w:spacing w:after="120" w:line="240" w:lineRule="auto"/>
      <w:jc w:val="both"/>
    </w:pPr>
    <w:rPr>
      <w:rFonts w:ascii="Calibri" w:eastAsia="Times New Roman" w:hAnsi="Calibri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TexteNE">
    <w:name w:val="10 TexteNE"/>
    <w:basedOn w:val="Normal"/>
    <w:qFormat/>
    <w:rsid w:val="002E735F"/>
    <w:pPr>
      <w:spacing w:after="0"/>
    </w:pPr>
    <w:rPr>
      <w:b/>
      <w:color w:val="595959" w:themeColor="text1" w:themeTint="A6"/>
      <w:sz w:val="20"/>
      <w:szCs w:val="20"/>
    </w:rPr>
  </w:style>
  <w:style w:type="paragraph" w:customStyle="1" w:styleId="05TexteNT">
    <w:name w:val="05 Texte NT"/>
    <w:basedOn w:val="Normal"/>
    <w:qFormat/>
    <w:rsid w:val="002E735F"/>
    <w:rPr>
      <w:bCs/>
      <w:color w:val="595959" w:themeColor="text1" w:themeTint="A6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2E735F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73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character" w:styleId="UnresolvedMention">
    <w:name w:val="Unresolved Mention"/>
    <w:basedOn w:val="DefaultParagraphFont"/>
    <w:uiPriority w:val="99"/>
    <w:rsid w:val="003D6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nguyen@unedic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journeau@unedic.fr" TargetMode="External"/><Relationship Id="rId5" Type="http://schemas.openxmlformats.org/officeDocument/2006/relationships/hyperlink" Target="mailto:lhounkpevi@un&#233;dic.fr" TargetMode="External"/><Relationship Id="rId4" Type="http://schemas.openxmlformats.org/officeDocument/2006/relationships/hyperlink" Target="mailto:ocalavrezo@unedic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 Staiman</dc:creator>
  <cp:lastModifiedBy>BENEDETTO HANS CATALDI</cp:lastModifiedBy>
  <cp:revision>3</cp:revision>
  <dcterms:created xsi:type="dcterms:W3CDTF">2020-09-10T17:06:00Z</dcterms:created>
  <dcterms:modified xsi:type="dcterms:W3CDTF">2020-09-15T10:56:00Z</dcterms:modified>
</cp:coreProperties>
</file>