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F2106" w14:textId="77777777" w:rsidR="00547A84" w:rsidRPr="000F6D82" w:rsidRDefault="00547A84" w:rsidP="00547A84">
      <w:pPr>
        <w:ind w:firstLineChars="100" w:firstLine="210"/>
        <w:rPr>
          <w:rFonts w:asciiTheme="minorEastAsia" w:hAnsiTheme="minorEastAsia"/>
        </w:rPr>
      </w:pPr>
      <w:r>
        <w:rPr>
          <w:rFonts w:ascii="游明朝" w:eastAsia="游明朝" w:hAnsi="游明朝" w:hint="eastAsia"/>
        </w:rPr>
        <w:t>近年、障害者などの政治参加から排除されたグループを、いかに政治的に包摂しうるかという点に注目が集まっている</w:t>
      </w:r>
      <w:r w:rsidRPr="00275209">
        <w:rPr>
          <w:rFonts w:ascii="游明朝" w:eastAsia="游明朝" w:hAnsi="游明朝" w:hint="eastAsia"/>
        </w:rPr>
        <w:t>（</w:t>
      </w:r>
      <w:proofErr w:type="spellStart"/>
      <w:r w:rsidRPr="000F6D82">
        <w:rPr>
          <w:rFonts w:asciiTheme="minorEastAsia" w:hAnsiTheme="minorEastAsia" w:hint="eastAsia"/>
          <w:kern w:val="0"/>
        </w:rPr>
        <w:t>Schur</w:t>
      </w:r>
      <w:proofErr w:type="spellEnd"/>
      <w:r w:rsidRPr="000F6D82">
        <w:rPr>
          <w:rFonts w:asciiTheme="minorEastAsia" w:hAnsiTheme="minorEastAsia" w:hint="eastAsia"/>
          <w:kern w:val="0"/>
        </w:rPr>
        <w:t xml:space="preserve">, Kruse, and </w:t>
      </w:r>
      <w:proofErr w:type="spellStart"/>
      <w:r w:rsidRPr="000F6D82">
        <w:rPr>
          <w:rFonts w:asciiTheme="minorEastAsia" w:hAnsiTheme="minorEastAsia" w:hint="eastAsia"/>
          <w:kern w:val="0"/>
        </w:rPr>
        <w:t>Blanck</w:t>
      </w:r>
      <w:proofErr w:type="spellEnd"/>
      <w:r w:rsidRPr="000F6D82">
        <w:rPr>
          <w:rFonts w:asciiTheme="minorEastAsia" w:hAnsiTheme="minorEastAsia" w:hint="eastAsia"/>
          <w:kern w:val="0"/>
        </w:rPr>
        <w:t>, 2013</w:t>
      </w:r>
      <w:r w:rsidRPr="000F6D82">
        <w:rPr>
          <w:rFonts w:asciiTheme="minorEastAsia" w:hAnsiTheme="minorEastAsia"/>
          <w:kern w:val="0"/>
        </w:rPr>
        <w:t>;</w:t>
      </w:r>
      <w:r>
        <w:rPr>
          <w:rFonts w:asciiTheme="minorEastAsia" w:hAnsiTheme="minorEastAsia" w:hint="eastAsia"/>
          <w:kern w:val="0"/>
        </w:rPr>
        <w:t xml:space="preserve"> </w:t>
      </w:r>
      <w:proofErr w:type="spellStart"/>
      <w:r w:rsidRPr="00275209">
        <w:rPr>
          <w:rFonts w:ascii="游明朝" w:eastAsia="游明朝" w:hAnsi="游明朝" w:hint="eastAsia"/>
        </w:rPr>
        <w:t>S</w:t>
      </w:r>
      <w:r w:rsidRPr="00275209">
        <w:rPr>
          <w:rFonts w:ascii="游明朝" w:eastAsia="游明朝" w:hAnsi="游明朝"/>
        </w:rPr>
        <w:t>avery</w:t>
      </w:r>
      <w:proofErr w:type="spellEnd"/>
      <w:r w:rsidRPr="00275209">
        <w:rPr>
          <w:rFonts w:ascii="游明朝" w:eastAsia="游明朝" w:hAnsi="游明朝"/>
        </w:rPr>
        <w:t>, 2015; Ryan,</w:t>
      </w:r>
      <w:r w:rsidRPr="00DB1A88">
        <w:rPr>
          <w:rFonts w:ascii="游明朝" w:eastAsia="游明朝" w:hAnsi="游明朝"/>
        </w:rPr>
        <w:t xml:space="preserve"> Henderson, and Bonython</w:t>
      </w:r>
      <w:r>
        <w:rPr>
          <w:rFonts w:ascii="游明朝" w:eastAsia="游明朝" w:hAnsi="游明朝" w:hint="eastAsia"/>
        </w:rPr>
        <w:t xml:space="preserve">, </w:t>
      </w:r>
      <w:r w:rsidRPr="00DB1A88">
        <w:rPr>
          <w:rFonts w:ascii="游明朝" w:eastAsia="游明朝" w:hAnsi="游明朝"/>
        </w:rPr>
        <w:t>2016</w:t>
      </w:r>
      <w:r>
        <w:rPr>
          <w:rFonts w:ascii="游明朝" w:eastAsia="游明朝" w:hAnsi="游明朝" w:hint="eastAsia"/>
        </w:rPr>
        <w:t>）。これまでの研究では、</w:t>
      </w:r>
      <w:r>
        <w:rPr>
          <w:rFonts w:eastAsiaTheme="minorHAnsi" w:hint="eastAsia"/>
        </w:rPr>
        <w:t>多くの障害者が投票する能力と意思をもっていながら投票に必要な知識や情報の不足、投票に必要なサポートの不足などによって投票できないことが明らかにされてきた</w:t>
      </w:r>
      <w:r w:rsidRPr="000F6D82">
        <w:rPr>
          <w:rFonts w:asciiTheme="minorEastAsia" w:hAnsiTheme="minorEastAsia" w:hint="eastAsia"/>
        </w:rPr>
        <w:t>が（</w:t>
      </w:r>
      <w:r w:rsidRPr="000F6D82">
        <w:rPr>
          <w:rFonts w:asciiTheme="minorEastAsia" w:hAnsiTheme="minorEastAsia" w:hint="eastAsia"/>
          <w:kern w:val="0"/>
        </w:rPr>
        <w:t xml:space="preserve">井上,1993; </w:t>
      </w:r>
      <w:proofErr w:type="spellStart"/>
      <w:r w:rsidRPr="000F6D82">
        <w:rPr>
          <w:rFonts w:asciiTheme="minorEastAsia" w:hAnsiTheme="minorEastAsia" w:hint="eastAsia"/>
          <w:kern w:val="0"/>
        </w:rPr>
        <w:t>Schriner</w:t>
      </w:r>
      <w:proofErr w:type="spellEnd"/>
      <w:r w:rsidRPr="000F6D82">
        <w:rPr>
          <w:rFonts w:asciiTheme="minorEastAsia" w:hAnsiTheme="minorEastAsia" w:hint="eastAsia"/>
          <w:kern w:val="0"/>
        </w:rPr>
        <w:t xml:space="preserve">, Ochs, and Shields, 1997; </w:t>
      </w:r>
      <w:proofErr w:type="spellStart"/>
      <w:r w:rsidRPr="000F6D82">
        <w:rPr>
          <w:rFonts w:asciiTheme="minorEastAsia" w:hAnsiTheme="minorEastAsia" w:hint="eastAsia"/>
          <w:kern w:val="0"/>
        </w:rPr>
        <w:t>Schriner</w:t>
      </w:r>
      <w:proofErr w:type="spellEnd"/>
      <w:r w:rsidRPr="000F6D82">
        <w:rPr>
          <w:rFonts w:asciiTheme="minorEastAsia" w:hAnsiTheme="minorEastAsia" w:hint="eastAsia"/>
          <w:kern w:val="0"/>
        </w:rPr>
        <w:t xml:space="preserve"> and Ochs, 2000; Scotch, 1988, 2001; </w:t>
      </w:r>
      <w:proofErr w:type="spellStart"/>
      <w:r w:rsidRPr="000F6D82">
        <w:rPr>
          <w:rFonts w:asciiTheme="minorEastAsia" w:hAnsiTheme="minorEastAsia" w:hint="eastAsia"/>
        </w:rPr>
        <w:t>K</w:t>
      </w:r>
      <w:r w:rsidRPr="000F6D82">
        <w:rPr>
          <w:rFonts w:asciiTheme="minorEastAsia" w:hAnsiTheme="minorEastAsia"/>
        </w:rPr>
        <w:t>jellberg</w:t>
      </w:r>
      <w:proofErr w:type="spellEnd"/>
      <w:r w:rsidRPr="000F6D82">
        <w:rPr>
          <w:rFonts w:asciiTheme="minorEastAsia" w:hAnsiTheme="minorEastAsia"/>
        </w:rPr>
        <w:t xml:space="preserve"> 2002; </w:t>
      </w:r>
      <w:proofErr w:type="spellStart"/>
      <w:r w:rsidRPr="000F6D82">
        <w:rPr>
          <w:rFonts w:asciiTheme="minorEastAsia" w:hAnsiTheme="minorEastAsia" w:hint="eastAsia"/>
          <w:kern w:val="0"/>
        </w:rPr>
        <w:t>Argan</w:t>
      </w:r>
      <w:proofErr w:type="spellEnd"/>
      <w:r w:rsidRPr="000F6D82">
        <w:rPr>
          <w:rFonts w:asciiTheme="minorEastAsia" w:hAnsiTheme="minorEastAsia" w:hint="eastAsia"/>
          <w:kern w:val="0"/>
        </w:rPr>
        <w:t xml:space="preserve"> and Hughes,</w:t>
      </w:r>
      <w:r w:rsidRPr="000F6D82">
        <w:rPr>
          <w:rFonts w:asciiTheme="minorEastAsia" w:hAnsiTheme="minorEastAsia"/>
          <w:kern w:val="0"/>
        </w:rPr>
        <w:t xml:space="preserve"> </w:t>
      </w:r>
      <w:r w:rsidRPr="000F6D82">
        <w:rPr>
          <w:rFonts w:asciiTheme="minorEastAsia" w:hAnsiTheme="minorEastAsia" w:hint="eastAsia"/>
          <w:kern w:val="0"/>
        </w:rPr>
        <w:t>2013</w:t>
      </w:r>
      <w:r w:rsidRPr="000F6D82">
        <w:rPr>
          <w:rFonts w:asciiTheme="minorEastAsia" w:hAnsiTheme="minorEastAsia"/>
          <w:kern w:val="0"/>
        </w:rPr>
        <w:t xml:space="preserve">; </w:t>
      </w:r>
      <w:proofErr w:type="spellStart"/>
      <w:r w:rsidRPr="000F6D82">
        <w:rPr>
          <w:rFonts w:asciiTheme="minorEastAsia" w:hAnsiTheme="minorEastAsia" w:hint="eastAsia"/>
        </w:rPr>
        <w:t>Argan</w:t>
      </w:r>
      <w:proofErr w:type="spellEnd"/>
      <w:r w:rsidRPr="000F6D82">
        <w:rPr>
          <w:rFonts w:asciiTheme="minorEastAsia" w:hAnsiTheme="minorEastAsia" w:hint="eastAsia"/>
        </w:rPr>
        <w:t xml:space="preserve">, </w:t>
      </w:r>
      <w:r w:rsidRPr="000F6D82">
        <w:rPr>
          <w:rFonts w:asciiTheme="minorEastAsia" w:hAnsiTheme="minorEastAsia"/>
        </w:rPr>
        <w:t xml:space="preserve">MacLean, and Kitchen, 2016; Bell and </w:t>
      </w:r>
      <w:proofErr w:type="spellStart"/>
      <w:r w:rsidRPr="000F6D82">
        <w:rPr>
          <w:rFonts w:asciiTheme="minorEastAsia" w:hAnsiTheme="minorEastAsia"/>
        </w:rPr>
        <w:t>Horsler</w:t>
      </w:r>
      <w:proofErr w:type="spellEnd"/>
      <w:r w:rsidRPr="000F6D82">
        <w:rPr>
          <w:rFonts w:asciiTheme="minorEastAsia" w:hAnsiTheme="minorEastAsia"/>
        </w:rPr>
        <w:t xml:space="preserve">, 2003; </w:t>
      </w:r>
      <w:proofErr w:type="spellStart"/>
      <w:r w:rsidRPr="000F6D82">
        <w:rPr>
          <w:rFonts w:asciiTheme="minorEastAsia" w:hAnsiTheme="minorEastAsia"/>
        </w:rPr>
        <w:t>Femec</w:t>
      </w:r>
      <w:proofErr w:type="spellEnd"/>
      <w:r w:rsidRPr="000F6D82">
        <w:rPr>
          <w:rFonts w:asciiTheme="minorEastAsia" w:hAnsiTheme="minorEastAsia"/>
        </w:rPr>
        <w:t xml:space="preserve">, </w:t>
      </w:r>
      <w:proofErr w:type="spellStart"/>
      <w:r w:rsidRPr="000F6D82">
        <w:rPr>
          <w:rFonts w:asciiTheme="minorEastAsia" w:hAnsiTheme="minorEastAsia"/>
        </w:rPr>
        <w:t>Kis-Glavas</w:t>
      </w:r>
      <w:proofErr w:type="spellEnd"/>
      <w:r w:rsidRPr="000F6D82">
        <w:rPr>
          <w:rFonts w:asciiTheme="minorEastAsia" w:hAnsiTheme="minorEastAsia"/>
        </w:rPr>
        <w:t xml:space="preserve">, and </w:t>
      </w:r>
      <w:proofErr w:type="spellStart"/>
      <w:r w:rsidRPr="000F6D82">
        <w:rPr>
          <w:rFonts w:asciiTheme="minorEastAsia" w:hAnsiTheme="minorEastAsia"/>
        </w:rPr>
        <w:t>Masic</w:t>
      </w:r>
      <w:proofErr w:type="spellEnd"/>
      <w:r w:rsidRPr="000F6D82">
        <w:rPr>
          <w:rFonts w:asciiTheme="minorEastAsia" w:hAnsiTheme="minorEastAsia"/>
        </w:rPr>
        <w:t>, 2017</w:t>
      </w:r>
      <w:r w:rsidRPr="000F6D82">
        <w:rPr>
          <w:rFonts w:asciiTheme="minorEastAsia" w:hAnsiTheme="minorEastAsia" w:hint="eastAsia"/>
        </w:rPr>
        <w:t>）、本稿で注目するのは政治参加のもっとも基本的な</w:t>
      </w:r>
      <w:r>
        <w:rPr>
          <w:rFonts w:asciiTheme="minorEastAsia" w:hAnsiTheme="minorEastAsia" w:hint="eastAsia"/>
        </w:rPr>
        <w:t>条件</w:t>
      </w:r>
      <w:r w:rsidRPr="000F6D82">
        <w:rPr>
          <w:rFonts w:asciiTheme="minorEastAsia" w:hAnsiTheme="minorEastAsia" w:hint="eastAsia"/>
        </w:rPr>
        <w:t>である</w:t>
      </w:r>
      <w:r>
        <w:rPr>
          <w:rFonts w:asciiTheme="minorEastAsia" w:hAnsiTheme="minorEastAsia" w:hint="eastAsia"/>
        </w:rPr>
        <w:t>選挙権</w:t>
      </w:r>
      <w:r w:rsidRPr="000F6D82">
        <w:rPr>
          <w:rFonts w:asciiTheme="minorEastAsia" w:hAnsiTheme="minorEastAsia" w:hint="eastAsia"/>
        </w:rPr>
        <w:t>である。</w:t>
      </w:r>
    </w:p>
    <w:p w14:paraId="24D876D8" w14:textId="1F54053A" w:rsidR="009511E5" w:rsidRPr="00CE5313" w:rsidRDefault="009511E5" w:rsidP="00547A84">
      <w:pPr>
        <w:ind w:firstLineChars="100" w:firstLine="210"/>
        <w:rPr>
          <w:rFonts w:ascii="Calibri" w:eastAsia="ＭＳ 明朝" w:hAnsi="Calibri" w:cs="ＭＳ 明朝"/>
        </w:rPr>
      </w:pPr>
    </w:p>
    <w:p w14:paraId="68E1D076" w14:textId="627344DF" w:rsidR="009D4400" w:rsidRPr="00704D28" w:rsidRDefault="00CE5313" w:rsidP="00547A84">
      <w:pPr>
        <w:ind w:firstLineChars="100" w:firstLine="210"/>
        <w:rPr>
          <w:rFonts w:ascii="Calibri" w:eastAsia="ＭＳ 明朝" w:hAnsi="Calibri" w:cs="ＭＳ 明朝"/>
        </w:rPr>
      </w:pPr>
      <w:r w:rsidRPr="00704D28">
        <w:rPr>
          <w:rFonts w:ascii="Calibri" w:eastAsia="ＭＳ 明朝" w:hAnsi="Calibri" w:cs="ＭＳ 明朝"/>
        </w:rPr>
        <w:t xml:space="preserve">In recent years, there has been increased focus on whether or not groups excluded from political participation, such as persons with disabilities, </w:t>
      </w:r>
      <w:r w:rsidR="00A67116" w:rsidRPr="00704D28">
        <w:rPr>
          <w:rFonts w:ascii="Calibri" w:eastAsia="ＭＳ 明朝" w:hAnsi="Calibri" w:cs="ＭＳ 明朝"/>
        </w:rPr>
        <w:t>c</w:t>
      </w:r>
      <w:r w:rsidRPr="00704D28">
        <w:rPr>
          <w:rFonts w:ascii="Calibri" w:eastAsia="ＭＳ 明朝" w:hAnsi="Calibri" w:cs="ＭＳ 明朝"/>
        </w:rPr>
        <w:t>an be included in the process (</w:t>
      </w:r>
      <w:proofErr w:type="spellStart"/>
      <w:r w:rsidRPr="00704D28">
        <w:rPr>
          <w:rFonts w:ascii="Calibri" w:eastAsia="ＭＳ 明朝" w:hAnsi="Calibri" w:cs="ＭＳ 明朝"/>
        </w:rPr>
        <w:t>Schur</w:t>
      </w:r>
      <w:proofErr w:type="spellEnd"/>
      <w:r w:rsidRPr="00704D28">
        <w:rPr>
          <w:rFonts w:ascii="Calibri" w:eastAsia="ＭＳ 明朝" w:hAnsi="Calibri" w:cs="ＭＳ 明朝"/>
        </w:rPr>
        <w:t xml:space="preserve">, Kruse, and </w:t>
      </w:r>
      <w:proofErr w:type="spellStart"/>
      <w:r w:rsidRPr="00704D28">
        <w:rPr>
          <w:rFonts w:ascii="Calibri" w:eastAsia="ＭＳ 明朝" w:hAnsi="Calibri" w:cs="ＭＳ 明朝"/>
        </w:rPr>
        <w:t>Blanck</w:t>
      </w:r>
      <w:proofErr w:type="spellEnd"/>
      <w:r w:rsidRPr="00704D28">
        <w:rPr>
          <w:rFonts w:ascii="Calibri" w:eastAsia="ＭＳ 明朝" w:hAnsi="Calibri" w:cs="ＭＳ 明朝"/>
        </w:rPr>
        <w:t xml:space="preserve">, 2013; </w:t>
      </w:r>
      <w:proofErr w:type="spellStart"/>
      <w:r w:rsidRPr="00704D28">
        <w:rPr>
          <w:rFonts w:ascii="Calibri" w:eastAsia="ＭＳ 明朝" w:hAnsi="Calibri" w:cs="ＭＳ 明朝"/>
        </w:rPr>
        <w:t>Savery</w:t>
      </w:r>
      <w:proofErr w:type="spellEnd"/>
      <w:r w:rsidRPr="00704D28">
        <w:rPr>
          <w:rFonts w:ascii="Calibri" w:eastAsia="ＭＳ 明朝" w:hAnsi="Calibri" w:cs="ＭＳ 明朝"/>
        </w:rPr>
        <w:t xml:space="preserve">, 2015; Ryan, Henderson, and Bonython, 2016). Research </w:t>
      </w:r>
      <w:r w:rsidR="00704D28" w:rsidRPr="00704D28">
        <w:rPr>
          <w:rFonts w:ascii="Calibri" w:eastAsia="ＭＳ 明朝" w:hAnsi="Calibri" w:cs="ＭＳ 明朝"/>
        </w:rPr>
        <w:t>until now has shown</w:t>
      </w:r>
      <w:r w:rsidRPr="00704D28">
        <w:rPr>
          <w:rFonts w:ascii="Calibri" w:eastAsia="ＭＳ 明朝" w:hAnsi="Calibri" w:cs="ＭＳ 明朝"/>
        </w:rPr>
        <w:t xml:space="preserve"> that while many persons with disa</w:t>
      </w:r>
      <w:r w:rsidR="00A67116" w:rsidRPr="00704D28">
        <w:rPr>
          <w:rFonts w:ascii="Calibri" w:eastAsia="ＭＳ 明朝" w:hAnsi="Calibri" w:cs="ＭＳ 明朝"/>
        </w:rPr>
        <w:t xml:space="preserve">bilities have the capacity and </w:t>
      </w:r>
      <w:r w:rsidRPr="00704D28">
        <w:rPr>
          <w:rFonts w:ascii="Calibri" w:eastAsia="ＭＳ 明朝" w:hAnsi="Calibri" w:cs="ＭＳ 明朝"/>
        </w:rPr>
        <w:t xml:space="preserve">motivation to vote, they cannot </w:t>
      </w:r>
      <w:r w:rsidR="00A21C60">
        <w:rPr>
          <w:rFonts w:ascii="Calibri" w:eastAsia="ＭＳ 明朝" w:hAnsi="Calibri" w:cs="ＭＳ 明朝" w:hint="eastAsia"/>
        </w:rPr>
        <w:t xml:space="preserve">participate </w:t>
      </w:r>
      <w:r w:rsidRPr="00704D28">
        <w:rPr>
          <w:rFonts w:ascii="Calibri" w:eastAsia="ＭＳ 明朝" w:hAnsi="Calibri" w:cs="ＭＳ 明朝"/>
        </w:rPr>
        <w:t>due to factors s</w:t>
      </w:r>
      <w:r w:rsidR="002133BE">
        <w:rPr>
          <w:rFonts w:ascii="Calibri" w:eastAsia="ＭＳ 明朝" w:hAnsi="Calibri" w:cs="ＭＳ 明朝"/>
        </w:rPr>
        <w:t>uch as lack of information</w:t>
      </w:r>
      <w:r w:rsidR="002133BE">
        <w:rPr>
          <w:rFonts w:ascii="Calibri" w:eastAsia="ＭＳ 明朝" w:hAnsi="Calibri" w:cs="ＭＳ 明朝" w:hint="eastAsia"/>
        </w:rPr>
        <w:t xml:space="preserve">, </w:t>
      </w:r>
      <w:r w:rsidR="002133BE">
        <w:rPr>
          <w:rFonts w:ascii="Calibri" w:eastAsia="ＭＳ 明朝" w:hAnsi="Calibri" w:cs="ＭＳ 明朝"/>
        </w:rPr>
        <w:t>essential knowledge</w:t>
      </w:r>
      <w:r w:rsidR="002133BE">
        <w:rPr>
          <w:rFonts w:ascii="Calibri" w:eastAsia="ＭＳ 明朝" w:hAnsi="Calibri" w:cs="ＭＳ 明朝" w:hint="eastAsia"/>
        </w:rPr>
        <w:t xml:space="preserve">, and lack of </w:t>
      </w:r>
      <w:r w:rsidRPr="00704D28">
        <w:rPr>
          <w:rFonts w:ascii="Calibri" w:eastAsia="ＭＳ 明朝" w:hAnsi="Calibri" w:cs="ＭＳ 明朝"/>
        </w:rPr>
        <w:t>support necessary for voting (</w:t>
      </w:r>
      <w:proofErr w:type="spellStart"/>
      <w:r w:rsidRPr="00704D28">
        <w:rPr>
          <w:rFonts w:ascii="Calibri" w:eastAsia="ＭＳ 明朝" w:hAnsi="Calibri" w:cs="ＭＳ 明朝"/>
        </w:rPr>
        <w:t>Inoe</w:t>
      </w:r>
      <w:proofErr w:type="spellEnd"/>
      <w:r w:rsidRPr="00704D28">
        <w:rPr>
          <w:rFonts w:ascii="Calibri" w:eastAsia="ＭＳ 明朝" w:hAnsi="Calibri" w:cs="ＭＳ 明朝"/>
        </w:rPr>
        <w:t xml:space="preserve">, 1993; </w:t>
      </w:r>
      <w:proofErr w:type="spellStart"/>
      <w:r w:rsidRPr="00704D28">
        <w:rPr>
          <w:rFonts w:ascii="Calibri" w:eastAsia="ＭＳ 明朝" w:hAnsi="Calibri" w:cs="ＭＳ 明朝"/>
        </w:rPr>
        <w:t>Schriner</w:t>
      </w:r>
      <w:proofErr w:type="spellEnd"/>
      <w:r w:rsidRPr="00704D28">
        <w:rPr>
          <w:rFonts w:ascii="Calibri" w:eastAsia="ＭＳ 明朝" w:hAnsi="Calibri" w:cs="ＭＳ 明朝"/>
        </w:rPr>
        <w:t xml:space="preserve">, Ochs, and Shields, 1997; </w:t>
      </w:r>
      <w:proofErr w:type="spellStart"/>
      <w:r w:rsidRPr="00704D28">
        <w:rPr>
          <w:rFonts w:ascii="Calibri" w:eastAsia="ＭＳ 明朝" w:hAnsi="Calibri" w:cs="ＭＳ 明朝"/>
        </w:rPr>
        <w:t>Schriner</w:t>
      </w:r>
      <w:proofErr w:type="spellEnd"/>
      <w:r w:rsidRPr="00704D28">
        <w:rPr>
          <w:rFonts w:ascii="Calibri" w:eastAsia="ＭＳ 明朝" w:hAnsi="Calibri" w:cs="ＭＳ 明朝"/>
        </w:rPr>
        <w:t xml:space="preserve"> and Ochs, 2000; Scotch, 1988, 2001; </w:t>
      </w:r>
      <w:proofErr w:type="spellStart"/>
      <w:r w:rsidRPr="00704D28">
        <w:rPr>
          <w:rFonts w:ascii="Calibri" w:eastAsia="ＭＳ 明朝" w:hAnsi="Calibri" w:cs="ＭＳ 明朝"/>
        </w:rPr>
        <w:t>Kjellberg</w:t>
      </w:r>
      <w:proofErr w:type="spellEnd"/>
      <w:r w:rsidRPr="00704D28">
        <w:rPr>
          <w:rFonts w:ascii="Calibri" w:eastAsia="ＭＳ 明朝" w:hAnsi="Calibri" w:cs="ＭＳ 明朝"/>
        </w:rPr>
        <w:t xml:space="preserve"> 2002; </w:t>
      </w:r>
      <w:proofErr w:type="spellStart"/>
      <w:r w:rsidRPr="00704D28">
        <w:rPr>
          <w:rFonts w:ascii="Calibri" w:eastAsia="ＭＳ 明朝" w:hAnsi="Calibri" w:cs="ＭＳ 明朝"/>
        </w:rPr>
        <w:t>Argan</w:t>
      </w:r>
      <w:proofErr w:type="spellEnd"/>
      <w:r w:rsidRPr="00704D28">
        <w:rPr>
          <w:rFonts w:ascii="Calibri" w:eastAsia="ＭＳ 明朝" w:hAnsi="Calibri" w:cs="ＭＳ 明朝"/>
        </w:rPr>
        <w:t xml:space="preserve"> and Hughes, 2013; </w:t>
      </w:r>
      <w:proofErr w:type="spellStart"/>
      <w:r w:rsidRPr="00704D28">
        <w:rPr>
          <w:rFonts w:ascii="Calibri" w:eastAsia="ＭＳ 明朝" w:hAnsi="Calibri" w:cs="ＭＳ 明朝"/>
        </w:rPr>
        <w:t>Argan</w:t>
      </w:r>
      <w:proofErr w:type="spellEnd"/>
      <w:r w:rsidRPr="00704D28">
        <w:rPr>
          <w:rFonts w:ascii="Calibri" w:eastAsia="ＭＳ 明朝" w:hAnsi="Calibri" w:cs="ＭＳ 明朝"/>
        </w:rPr>
        <w:t xml:space="preserve">, MacLean, and Kitchen, 2016; Bell and </w:t>
      </w:r>
      <w:proofErr w:type="spellStart"/>
      <w:r w:rsidRPr="00704D28">
        <w:rPr>
          <w:rFonts w:ascii="Calibri" w:eastAsia="ＭＳ 明朝" w:hAnsi="Calibri" w:cs="ＭＳ 明朝"/>
        </w:rPr>
        <w:t>Horsler</w:t>
      </w:r>
      <w:proofErr w:type="spellEnd"/>
      <w:r w:rsidRPr="00704D28">
        <w:rPr>
          <w:rFonts w:ascii="Calibri" w:eastAsia="ＭＳ 明朝" w:hAnsi="Calibri" w:cs="ＭＳ 明朝"/>
        </w:rPr>
        <w:t xml:space="preserve">, 2003; </w:t>
      </w:r>
      <w:proofErr w:type="spellStart"/>
      <w:r w:rsidRPr="00704D28">
        <w:rPr>
          <w:rFonts w:ascii="Calibri" w:eastAsia="ＭＳ 明朝" w:hAnsi="Calibri" w:cs="ＭＳ 明朝"/>
        </w:rPr>
        <w:t>Femec</w:t>
      </w:r>
      <w:proofErr w:type="spellEnd"/>
      <w:r w:rsidRPr="00704D28">
        <w:rPr>
          <w:rFonts w:ascii="Calibri" w:eastAsia="ＭＳ 明朝" w:hAnsi="Calibri" w:cs="ＭＳ 明朝"/>
        </w:rPr>
        <w:t xml:space="preserve">, </w:t>
      </w:r>
      <w:proofErr w:type="spellStart"/>
      <w:r w:rsidRPr="00704D28">
        <w:rPr>
          <w:rFonts w:ascii="Calibri" w:eastAsia="ＭＳ 明朝" w:hAnsi="Calibri" w:cs="ＭＳ 明朝"/>
        </w:rPr>
        <w:t>Kis-Glavas</w:t>
      </w:r>
      <w:proofErr w:type="spellEnd"/>
      <w:r w:rsidRPr="00704D28">
        <w:rPr>
          <w:rFonts w:ascii="Calibri" w:eastAsia="ＭＳ 明朝" w:hAnsi="Calibri" w:cs="ＭＳ 明朝"/>
        </w:rPr>
        <w:t xml:space="preserve">, and </w:t>
      </w:r>
      <w:proofErr w:type="spellStart"/>
      <w:r w:rsidRPr="00704D28">
        <w:rPr>
          <w:rFonts w:ascii="Calibri" w:eastAsia="ＭＳ 明朝" w:hAnsi="Calibri" w:cs="ＭＳ 明朝"/>
        </w:rPr>
        <w:t>Masic</w:t>
      </w:r>
      <w:proofErr w:type="spellEnd"/>
      <w:r w:rsidRPr="00704D28">
        <w:rPr>
          <w:rFonts w:ascii="Calibri" w:eastAsia="ＭＳ 明朝" w:hAnsi="Calibri" w:cs="ＭＳ 明朝"/>
        </w:rPr>
        <w:t>, 2017)</w:t>
      </w:r>
      <w:r w:rsidR="00A67116" w:rsidRPr="00704D28">
        <w:rPr>
          <w:rFonts w:ascii="Calibri" w:eastAsia="ＭＳ 明朝" w:hAnsi="Calibri" w:cs="ＭＳ 明朝"/>
        </w:rPr>
        <w:t xml:space="preserve">. </w:t>
      </w:r>
      <w:r w:rsidRPr="00704D28">
        <w:rPr>
          <w:rFonts w:ascii="Calibri" w:eastAsia="ＭＳ 明朝" w:hAnsi="Calibri" w:cs="ＭＳ 明朝"/>
        </w:rPr>
        <w:t xml:space="preserve">However, </w:t>
      </w:r>
      <w:r w:rsidR="00A67116" w:rsidRPr="00704D28">
        <w:rPr>
          <w:rFonts w:ascii="Calibri" w:eastAsia="ＭＳ 明朝" w:hAnsi="Calibri" w:cs="ＭＳ 明朝"/>
        </w:rPr>
        <w:t xml:space="preserve">this paper will focus on the most fundamental </w:t>
      </w:r>
      <w:r w:rsidR="00A21C60">
        <w:rPr>
          <w:rFonts w:ascii="Calibri" w:eastAsia="ＭＳ 明朝" w:hAnsi="Calibri" w:cs="ＭＳ 明朝" w:hint="eastAsia"/>
        </w:rPr>
        <w:t>condition for political participation--</w:t>
      </w:r>
      <w:r w:rsidR="00A67116" w:rsidRPr="00704D28">
        <w:rPr>
          <w:rFonts w:ascii="Calibri" w:eastAsia="ＭＳ 明朝" w:hAnsi="Calibri" w:cs="ＭＳ 明朝"/>
        </w:rPr>
        <w:t>the right to vote.</w:t>
      </w:r>
    </w:p>
    <w:p w14:paraId="5005146E" w14:textId="77777777" w:rsidR="00FD4B55" w:rsidRDefault="00FD4B55" w:rsidP="00547A84">
      <w:pPr>
        <w:ind w:firstLineChars="100" w:firstLine="210"/>
        <w:rPr>
          <w:rFonts w:ascii="Calibri" w:eastAsia="ＭＳ 明朝" w:hAnsi="Calibri" w:cs="ＭＳ 明朝" w:hint="eastAsia"/>
        </w:rPr>
      </w:pPr>
    </w:p>
    <w:p w14:paraId="7BA3802B" w14:textId="77777777" w:rsidR="00A21C60" w:rsidRDefault="00A21C60" w:rsidP="00A21C60">
      <w:pPr>
        <w:ind w:firstLineChars="100" w:firstLine="210"/>
        <w:rPr>
          <w:rFonts w:ascii="游明朝" w:eastAsia="游明朝" w:hAnsi="游明朝"/>
        </w:rPr>
      </w:pPr>
      <w:r>
        <w:rPr>
          <w:rFonts w:ascii="游明朝" w:eastAsia="游明朝" w:hAnsi="游明朝" w:hint="eastAsia"/>
        </w:rPr>
        <w:t>選挙権</w:t>
      </w:r>
      <w:r w:rsidRPr="00B9144F">
        <w:rPr>
          <w:rFonts w:ascii="游明朝" w:eastAsia="游明朝" w:hAnsi="游明朝" w:hint="eastAsia"/>
        </w:rPr>
        <w:t>は民主主義の重要な構成要素である。</w:t>
      </w:r>
      <w:r>
        <w:rPr>
          <w:rFonts w:ascii="游明朝" w:eastAsia="游明朝" w:hAnsi="游明朝" w:hint="eastAsia"/>
        </w:rPr>
        <w:t>しかしながら、</w:t>
      </w:r>
      <w:r w:rsidRPr="00AD7BA3">
        <w:rPr>
          <w:rFonts w:ascii="游明朝" w:eastAsia="游明朝" w:hAnsi="游明朝" w:hint="eastAsia"/>
        </w:rPr>
        <w:t>多くの</w:t>
      </w:r>
      <w:r>
        <w:rPr>
          <w:rFonts w:ascii="游明朝" w:eastAsia="游明朝" w:hAnsi="游明朝" w:hint="eastAsia"/>
        </w:rPr>
        <w:t>民主的な国々でさえ</w:t>
      </w:r>
      <w:r w:rsidRPr="00AD7BA3">
        <w:rPr>
          <w:rFonts w:ascii="游明朝" w:eastAsia="游明朝" w:hAnsi="游明朝" w:hint="eastAsia"/>
        </w:rPr>
        <w:t>、</w:t>
      </w:r>
      <w:r w:rsidRPr="009F34F3">
        <w:rPr>
          <w:rFonts w:ascii="游明朝" w:eastAsia="游明朝" w:hAnsi="游明朝" w:hint="eastAsia"/>
        </w:rPr>
        <w:t>知的障害がある、精神障害がある、</w:t>
      </w:r>
      <w:r>
        <w:rPr>
          <w:rFonts w:ascii="游明朝" w:eastAsia="游明朝" w:hAnsi="游明朝" w:hint="eastAsia"/>
        </w:rPr>
        <w:t>認知</w:t>
      </w:r>
      <w:r w:rsidRPr="009F34F3">
        <w:rPr>
          <w:rFonts w:ascii="游明朝" w:eastAsia="游明朝" w:hAnsi="游明朝" w:hint="eastAsia"/>
        </w:rPr>
        <w:t>能力が低下しているなどの理由により、</w:t>
      </w:r>
      <w:r>
        <w:rPr>
          <w:rFonts w:ascii="游明朝" w:eastAsia="游明朝" w:hAnsi="游明朝" w:hint="eastAsia"/>
        </w:rPr>
        <w:t>選挙権</w:t>
      </w:r>
      <w:r w:rsidRPr="00AD7BA3">
        <w:rPr>
          <w:rFonts w:ascii="游明朝" w:eastAsia="游明朝" w:hAnsi="游明朝" w:hint="eastAsia"/>
        </w:rPr>
        <w:t>が制限されることがある</w:t>
      </w:r>
      <w:r>
        <w:rPr>
          <w:rFonts w:ascii="游明朝" w:eastAsia="游明朝" w:hAnsi="游明朝" w:hint="eastAsia"/>
        </w:rPr>
        <w:t>。選挙権の制限は、典型的には、成年後見制度を利用している者や裁判所によって法的能力が制限される者に対する選挙権の制限という形で現れる</w:t>
      </w:r>
      <w:r w:rsidRPr="00AD7BA3">
        <w:rPr>
          <w:rFonts w:ascii="游明朝" w:eastAsia="游明朝" w:hAnsi="游明朝" w:hint="eastAsia"/>
        </w:rPr>
        <w:t>（</w:t>
      </w:r>
      <w:r w:rsidRPr="00AD7BA3">
        <w:rPr>
          <w:rFonts w:ascii="游明朝" w:eastAsia="游明朝" w:hAnsi="游明朝"/>
        </w:rPr>
        <w:t>Beckman, 2012, pp.167-17</w:t>
      </w:r>
      <w:r>
        <w:rPr>
          <w:rFonts w:ascii="游明朝" w:eastAsia="游明朝" w:hAnsi="游明朝"/>
        </w:rPr>
        <w:t>1</w:t>
      </w:r>
      <w:r>
        <w:rPr>
          <w:rFonts w:ascii="游明朝" w:eastAsia="游明朝" w:hAnsi="游明朝" w:hint="eastAsia"/>
        </w:rPr>
        <w:t>;</w:t>
      </w:r>
      <w:r>
        <w:rPr>
          <w:rFonts w:ascii="游明朝" w:eastAsia="游明朝" w:hAnsi="游明朝"/>
        </w:rPr>
        <w:t xml:space="preserve"> </w:t>
      </w:r>
      <w:r w:rsidRPr="00F1341F">
        <w:rPr>
          <w:rFonts w:asciiTheme="minorEastAsia" w:hAnsiTheme="minorEastAsia"/>
        </w:rPr>
        <w:t>European Union Agency for Fundamental Rights</w:t>
      </w:r>
      <w:r>
        <w:rPr>
          <w:rFonts w:asciiTheme="minorEastAsia" w:hAnsiTheme="minorEastAsia"/>
        </w:rPr>
        <w:t>,</w:t>
      </w:r>
      <w:r w:rsidRPr="00F1341F">
        <w:rPr>
          <w:rFonts w:asciiTheme="minorEastAsia" w:hAnsiTheme="minorEastAsia" w:hint="eastAsia"/>
        </w:rPr>
        <w:t xml:space="preserve"> </w:t>
      </w:r>
      <w:r w:rsidRPr="00F1341F">
        <w:rPr>
          <w:rFonts w:asciiTheme="minorEastAsia" w:hAnsiTheme="minorEastAsia"/>
        </w:rPr>
        <w:t>2010</w:t>
      </w:r>
      <w:r>
        <w:rPr>
          <w:rFonts w:asciiTheme="minorEastAsia" w:hAnsiTheme="minorEastAsia"/>
        </w:rPr>
        <w:t xml:space="preserve">, </w:t>
      </w:r>
      <w:r>
        <w:rPr>
          <w:rFonts w:ascii="游明朝" w:eastAsia="游明朝" w:hAnsi="游明朝"/>
        </w:rPr>
        <w:t>p.15</w:t>
      </w:r>
      <w:r w:rsidRPr="00AD7BA3">
        <w:rPr>
          <w:rFonts w:ascii="游明朝" w:eastAsia="游明朝" w:hAnsi="游明朝" w:hint="eastAsia"/>
        </w:rPr>
        <w:t>）。</w:t>
      </w:r>
      <w:r>
        <w:rPr>
          <w:rFonts w:ascii="游明朝" w:eastAsia="游明朝" w:hAnsi="游明朝" w:hint="eastAsia"/>
        </w:rPr>
        <w:t>具体的に</w:t>
      </w:r>
      <w:r w:rsidRPr="004C0FA8">
        <w:rPr>
          <w:rFonts w:ascii="游明朝" w:eastAsia="游明朝" w:hAnsi="游明朝" w:hint="eastAsia"/>
        </w:rPr>
        <w:t>は、</w:t>
      </w:r>
      <w:r w:rsidRPr="004C0FA8">
        <w:rPr>
          <w:rFonts w:ascii="游明朝" w:eastAsia="游明朝" w:hAnsi="游明朝"/>
        </w:rPr>
        <w:t>1990年代、</w:t>
      </w:r>
      <w:r w:rsidRPr="004C0FA8">
        <w:rPr>
          <w:rFonts w:ascii="游明朝" w:eastAsia="游明朝" w:hAnsi="游明朝" w:hint="eastAsia"/>
        </w:rPr>
        <w:t>十分に民主的であると評価できる</w:t>
      </w:r>
      <w:r w:rsidRPr="004C0FA8">
        <w:rPr>
          <w:rFonts w:ascii="游明朝" w:eastAsia="游明朝" w:hAnsi="游明朝"/>
        </w:rPr>
        <w:t>63</w:t>
      </w:r>
      <w:r w:rsidRPr="004C0FA8">
        <w:rPr>
          <w:rFonts w:ascii="游明朝" w:eastAsia="游明朝" w:hAnsi="游明朝" w:hint="eastAsia"/>
        </w:rPr>
        <w:t>か国の選挙法について調査を行った結果によると、精神障害者や知的障害者の選挙権を制限しないのは</w:t>
      </w:r>
      <w:r w:rsidRPr="004C0FA8">
        <w:rPr>
          <w:rFonts w:ascii="游明朝" w:eastAsia="游明朝" w:hAnsi="游明朝"/>
        </w:rPr>
        <w:t>4か国のみ</w:t>
      </w:r>
      <w:r w:rsidRPr="004C0FA8">
        <w:rPr>
          <w:rFonts w:ascii="游明朝" w:eastAsia="游明朝" w:hAnsi="游明朝" w:hint="eastAsia"/>
        </w:rPr>
        <w:t>であることが示された（</w:t>
      </w:r>
      <w:proofErr w:type="spellStart"/>
      <w:r w:rsidRPr="004C0FA8">
        <w:rPr>
          <w:rFonts w:ascii="游明朝" w:eastAsia="游明朝" w:hAnsi="游明朝"/>
        </w:rPr>
        <w:t>Massicotte</w:t>
      </w:r>
      <w:proofErr w:type="spellEnd"/>
      <w:r w:rsidRPr="004C0FA8">
        <w:rPr>
          <w:rFonts w:ascii="游明朝" w:eastAsia="游明朝" w:hAnsi="游明朝"/>
        </w:rPr>
        <w:t xml:space="preserve">, </w:t>
      </w:r>
      <w:proofErr w:type="spellStart"/>
      <w:r w:rsidRPr="004C0FA8">
        <w:rPr>
          <w:rFonts w:ascii="游明朝" w:eastAsia="游明朝" w:hAnsi="游明朝"/>
        </w:rPr>
        <w:t>Blais</w:t>
      </w:r>
      <w:proofErr w:type="spellEnd"/>
      <w:r w:rsidRPr="004C0FA8">
        <w:rPr>
          <w:rFonts w:ascii="游明朝" w:eastAsia="游明朝" w:hAnsi="游明朝"/>
        </w:rPr>
        <w:t xml:space="preserve">, and </w:t>
      </w:r>
      <w:proofErr w:type="spellStart"/>
      <w:r w:rsidRPr="004C0FA8">
        <w:rPr>
          <w:rFonts w:ascii="游明朝" w:eastAsia="游明朝" w:hAnsi="游明朝"/>
        </w:rPr>
        <w:t>Yoshinaka</w:t>
      </w:r>
      <w:proofErr w:type="spellEnd"/>
      <w:r w:rsidRPr="004C0FA8">
        <w:rPr>
          <w:rFonts w:ascii="游明朝" w:eastAsia="游明朝" w:hAnsi="游明朝"/>
        </w:rPr>
        <w:t>, 2003, pp.17-27</w:t>
      </w:r>
      <w:r w:rsidRPr="004C0FA8">
        <w:rPr>
          <w:rFonts w:ascii="游明朝" w:eastAsia="游明朝" w:hAnsi="游明朝" w:hint="eastAsia"/>
        </w:rPr>
        <w:t>）。もっとも、近年では、</w:t>
      </w:r>
      <w:r w:rsidRPr="004C0FA8">
        <w:rPr>
          <w:rFonts w:hint="eastAsia"/>
        </w:rPr>
        <w:t>このような機能障害に由来する行為能力の低下を理由とした選挙権の制限は見直されつつある。詳しくはのちに検討するが、</w:t>
      </w:r>
      <w:r w:rsidRPr="004C0FA8">
        <w:rPr>
          <w:rFonts w:ascii="游明朝" w:eastAsia="游明朝" w:hAnsi="游明朝"/>
        </w:rPr>
        <w:t>2000年代の後半の時点で、</w:t>
      </w:r>
      <w:r w:rsidRPr="004C0FA8">
        <w:rPr>
          <w:rFonts w:ascii="游明朝" w:eastAsia="游明朝" w:hAnsi="游明朝" w:hint="eastAsia"/>
        </w:rPr>
        <w:t>これらの理由で選挙権を制限しないのは、日本を含む</w:t>
      </w:r>
      <w:r w:rsidRPr="004C0FA8">
        <w:rPr>
          <w:rFonts w:ascii="游明朝" w:eastAsia="游明朝" w:hAnsi="游明朝"/>
        </w:rPr>
        <w:t>11か国</w:t>
      </w:r>
      <w:r w:rsidRPr="004C0FA8">
        <w:rPr>
          <w:rFonts w:ascii="游明朝" w:eastAsia="游明朝" w:hAnsi="游明朝" w:hint="eastAsia"/>
        </w:rPr>
        <w:t>まで増加した。</w:t>
      </w:r>
    </w:p>
    <w:p w14:paraId="6626DAC4" w14:textId="77777777" w:rsidR="00A21C60" w:rsidRPr="00A21C60" w:rsidRDefault="00A21C60" w:rsidP="00547A84">
      <w:pPr>
        <w:ind w:firstLineChars="100" w:firstLine="210"/>
        <w:rPr>
          <w:rFonts w:ascii="Calibri" w:eastAsia="ＭＳ 明朝" w:hAnsi="Calibri" w:cs="ＭＳ 明朝"/>
        </w:rPr>
      </w:pPr>
    </w:p>
    <w:p w14:paraId="505998C0" w14:textId="74315E65" w:rsidR="00DD0001" w:rsidRPr="008977E3" w:rsidRDefault="00FD4B55" w:rsidP="002133BE">
      <w:pPr>
        <w:ind w:firstLine="210"/>
        <w:rPr>
          <w:rFonts w:ascii="Calibri" w:eastAsia="ＭＳ 明朝" w:hAnsi="Calibri" w:cs="Calibri"/>
        </w:rPr>
      </w:pPr>
      <w:r w:rsidRPr="008977E3">
        <w:rPr>
          <w:rFonts w:ascii="Calibri" w:eastAsia="ＭＳ 明朝" w:hAnsi="Calibri" w:cs="Calibri"/>
        </w:rPr>
        <w:t xml:space="preserve">The right to vote is a crucial structural element for democracy. However, many democratic nations </w:t>
      </w:r>
      <w:r w:rsidR="00822624" w:rsidRPr="008977E3">
        <w:rPr>
          <w:rFonts w:ascii="Calibri" w:eastAsia="ＭＳ 明朝" w:hAnsi="Calibri" w:cs="Calibri"/>
        </w:rPr>
        <w:t xml:space="preserve">have </w:t>
      </w:r>
      <w:r w:rsidRPr="008977E3">
        <w:rPr>
          <w:rFonts w:ascii="Calibri" w:eastAsia="ＭＳ 明朝" w:hAnsi="Calibri" w:cs="Calibri"/>
        </w:rPr>
        <w:t>restrict</w:t>
      </w:r>
      <w:r w:rsidR="00822624" w:rsidRPr="008977E3">
        <w:rPr>
          <w:rFonts w:ascii="Calibri" w:eastAsia="ＭＳ 明朝" w:hAnsi="Calibri" w:cs="Calibri"/>
        </w:rPr>
        <w:t>ed</w:t>
      </w:r>
      <w:r w:rsidRPr="008977E3">
        <w:rPr>
          <w:rFonts w:ascii="Calibri" w:eastAsia="ＭＳ 明朝" w:hAnsi="Calibri" w:cs="Calibri"/>
        </w:rPr>
        <w:t xml:space="preserve"> the right to vote for individuals on the basis that they are </w:t>
      </w:r>
      <w:commentRangeStart w:id="0"/>
      <w:r w:rsidRPr="008977E3">
        <w:rPr>
          <w:rFonts w:ascii="Calibri" w:eastAsia="ＭＳ 明朝" w:hAnsi="Calibri" w:cs="Calibri"/>
        </w:rPr>
        <w:t>intellectually disabled, mentally ill</w:t>
      </w:r>
      <w:commentRangeEnd w:id="0"/>
      <w:r w:rsidRPr="008977E3">
        <w:rPr>
          <w:rStyle w:val="a7"/>
          <w:rFonts w:ascii="Calibri" w:eastAsia="ＭＳ 明朝" w:hAnsi="Calibri" w:cs="Calibri"/>
        </w:rPr>
        <w:commentReference w:id="0"/>
      </w:r>
      <w:r w:rsidRPr="008977E3">
        <w:rPr>
          <w:rFonts w:ascii="Calibri" w:eastAsia="ＭＳ 明朝" w:hAnsi="Calibri" w:cs="Calibri"/>
        </w:rPr>
        <w:t xml:space="preserve">, or have low cognitive </w:t>
      </w:r>
      <w:r w:rsidR="00403264" w:rsidRPr="008977E3">
        <w:rPr>
          <w:rFonts w:ascii="Calibri" w:eastAsia="ＭＳ 明朝" w:hAnsi="Calibri" w:cs="Calibri"/>
        </w:rPr>
        <w:t>ability</w:t>
      </w:r>
      <w:r w:rsidRPr="008977E3">
        <w:rPr>
          <w:rFonts w:ascii="Calibri" w:eastAsia="ＭＳ 明朝" w:hAnsi="Calibri" w:cs="Calibri"/>
        </w:rPr>
        <w:t xml:space="preserve">. </w:t>
      </w:r>
      <w:r w:rsidR="00403264" w:rsidRPr="008977E3">
        <w:rPr>
          <w:rFonts w:ascii="Calibri" w:eastAsia="ＭＳ 明朝" w:hAnsi="Calibri" w:cs="Calibri"/>
        </w:rPr>
        <w:t>These re</w:t>
      </w:r>
      <w:r w:rsidR="00A21C60" w:rsidRPr="008977E3">
        <w:rPr>
          <w:rFonts w:ascii="Calibri" w:eastAsia="ＭＳ 明朝" w:hAnsi="Calibri" w:cs="Calibri"/>
        </w:rPr>
        <w:t>strictions on the right to vote</w:t>
      </w:r>
      <w:r w:rsidR="00A67116" w:rsidRPr="008977E3">
        <w:rPr>
          <w:rFonts w:ascii="Calibri" w:eastAsia="ＭＳ 明朝" w:hAnsi="Calibri" w:cs="Calibri"/>
        </w:rPr>
        <w:t xml:space="preserve"> typically </w:t>
      </w:r>
      <w:r w:rsidR="00704D28" w:rsidRPr="008977E3">
        <w:rPr>
          <w:rFonts w:ascii="Calibri" w:eastAsia="ＭＳ 明朝" w:hAnsi="Calibri" w:cs="Calibri"/>
        </w:rPr>
        <w:t>pertain to</w:t>
      </w:r>
      <w:r w:rsidR="00A67116" w:rsidRPr="008977E3">
        <w:rPr>
          <w:rFonts w:ascii="Calibri" w:eastAsia="ＭＳ 明朝" w:hAnsi="Calibri" w:cs="Calibri"/>
        </w:rPr>
        <w:t xml:space="preserve"> people who use</w:t>
      </w:r>
      <w:r w:rsidR="00A21C60" w:rsidRPr="008977E3">
        <w:rPr>
          <w:rFonts w:ascii="Calibri" w:eastAsia="ＭＳ 明朝" w:hAnsi="Calibri" w:cs="Calibri"/>
        </w:rPr>
        <w:t xml:space="preserve"> conservatorship, or</w:t>
      </w:r>
      <w:r w:rsidR="00A67116" w:rsidRPr="008977E3">
        <w:rPr>
          <w:rFonts w:ascii="Calibri" w:eastAsia="ＭＳ 明朝" w:hAnsi="Calibri" w:cs="Calibri"/>
        </w:rPr>
        <w:t xml:space="preserve"> whose legal capacities have been limited by a court.</w:t>
      </w:r>
      <w:r w:rsidR="00704D28" w:rsidRPr="008977E3">
        <w:rPr>
          <w:rFonts w:ascii="Calibri" w:eastAsia="ＭＳ 明朝" w:hAnsi="Calibri" w:cs="Calibri"/>
        </w:rPr>
        <w:t xml:space="preserve"> </w:t>
      </w:r>
      <w:r w:rsidR="00704D28" w:rsidRPr="008977E3">
        <w:rPr>
          <w:rFonts w:ascii="Calibri" w:eastAsia="ＭＳ 明朝" w:hAnsi="Calibri" w:cs="Calibri"/>
        </w:rPr>
        <w:lastRenderedPageBreak/>
        <w:t>(Beckman, 2012, pp.167-171; European Union Agency for Fundamental Rights, 2010, p.15)</w:t>
      </w:r>
      <w:r w:rsidR="008977E3">
        <w:rPr>
          <w:rFonts w:ascii="Calibri" w:eastAsia="ＭＳ 明朝" w:hAnsi="Calibri" w:cs="Calibri" w:hint="eastAsia"/>
        </w:rPr>
        <w:t>.</w:t>
      </w:r>
      <w:r w:rsidR="00704D28" w:rsidRPr="008977E3">
        <w:rPr>
          <w:rFonts w:ascii="Calibri" w:eastAsia="ＭＳ 明朝" w:hAnsi="Calibri" w:cs="Calibri"/>
        </w:rPr>
        <w:t xml:space="preserve"> </w:t>
      </w:r>
      <w:r w:rsidR="00A21C60" w:rsidRPr="008977E3">
        <w:rPr>
          <w:rFonts w:ascii="Calibri" w:eastAsia="ＭＳ 明朝" w:hAnsi="Calibri" w:cs="Calibri"/>
        </w:rPr>
        <w:t>In fact</w:t>
      </w:r>
      <w:r w:rsidR="00704D28" w:rsidRPr="008977E3">
        <w:rPr>
          <w:rFonts w:ascii="Calibri" w:eastAsia="ＭＳ 明朝" w:hAnsi="Calibri" w:cs="Calibri"/>
        </w:rPr>
        <w:t xml:space="preserve">, </w:t>
      </w:r>
      <w:r w:rsidR="00A21C60" w:rsidRPr="008977E3">
        <w:rPr>
          <w:rFonts w:ascii="Calibri" w:eastAsia="ＭＳ 明朝" w:hAnsi="Calibri" w:cs="Calibri"/>
        </w:rPr>
        <w:t xml:space="preserve">according to </w:t>
      </w:r>
      <w:r w:rsidR="00A21C60" w:rsidRPr="008977E3">
        <w:rPr>
          <w:rFonts w:ascii="Calibri" w:eastAsia="ＭＳ 明朝" w:hAnsi="Calibri" w:cs="Calibri"/>
        </w:rPr>
        <w:t>the results of a 1990s study on election laws</w:t>
      </w:r>
      <w:r w:rsidR="00EA1CC2" w:rsidRPr="008977E3">
        <w:rPr>
          <w:rFonts w:ascii="Calibri" w:eastAsia="ＭＳ 明朝" w:hAnsi="Calibri" w:cs="Calibri"/>
        </w:rPr>
        <w:t xml:space="preserve"> for </w:t>
      </w:r>
      <w:r w:rsidR="00A21C60" w:rsidRPr="008977E3">
        <w:rPr>
          <w:rFonts w:ascii="Calibri" w:eastAsia="ＭＳ 明朝" w:hAnsi="Calibri" w:cs="Calibri"/>
        </w:rPr>
        <w:t>63 countries that were evaluated as sufficiently democratic</w:t>
      </w:r>
      <w:r w:rsidR="00EA1CC2" w:rsidRPr="008977E3">
        <w:rPr>
          <w:rFonts w:ascii="Calibri" w:eastAsia="ＭＳ 明朝" w:hAnsi="Calibri" w:cs="Calibri"/>
        </w:rPr>
        <w:t>,</w:t>
      </w:r>
      <w:r w:rsidR="00A21C60" w:rsidRPr="008977E3">
        <w:rPr>
          <w:rFonts w:ascii="Calibri" w:eastAsia="ＭＳ 明朝" w:hAnsi="Calibri" w:cs="Calibri"/>
        </w:rPr>
        <w:t xml:space="preserve"> only </w:t>
      </w:r>
      <w:r w:rsidR="00704D28" w:rsidRPr="008977E3">
        <w:rPr>
          <w:rFonts w:ascii="Calibri" w:eastAsia="ＭＳ 明朝" w:hAnsi="Calibri" w:cs="Calibri"/>
        </w:rPr>
        <w:t xml:space="preserve">four were </w:t>
      </w:r>
      <w:r w:rsidR="00A21C60" w:rsidRPr="008977E3">
        <w:rPr>
          <w:rFonts w:ascii="Calibri" w:eastAsia="ＭＳ 明朝" w:hAnsi="Calibri" w:cs="Calibri"/>
        </w:rPr>
        <w:t>shown</w:t>
      </w:r>
      <w:r w:rsidR="00704D28" w:rsidRPr="008977E3">
        <w:rPr>
          <w:rFonts w:ascii="Calibri" w:eastAsia="ＭＳ 明朝" w:hAnsi="Calibri" w:cs="Calibri"/>
        </w:rPr>
        <w:t xml:space="preserve"> to have no restrictions to the right to vote for mentally ill or</w:t>
      </w:r>
      <w:r w:rsidR="00A21C60" w:rsidRPr="008977E3">
        <w:rPr>
          <w:rFonts w:ascii="Calibri" w:eastAsia="ＭＳ 明朝" w:hAnsi="Calibri" w:cs="Calibri"/>
        </w:rPr>
        <w:t xml:space="preserve"> intellectual</w:t>
      </w:r>
      <w:r w:rsidR="007A48EF" w:rsidRPr="008977E3">
        <w:rPr>
          <w:rFonts w:ascii="Calibri" w:eastAsia="ＭＳ 明朝" w:hAnsi="Calibri" w:cs="Calibri"/>
        </w:rPr>
        <w:t>ly</w:t>
      </w:r>
      <w:r w:rsidR="008977E3">
        <w:rPr>
          <w:rFonts w:ascii="Calibri" w:eastAsia="ＭＳ 明朝" w:hAnsi="Calibri" w:cs="Calibri"/>
        </w:rPr>
        <w:t xml:space="preserve"> disabled persons</w:t>
      </w:r>
      <w:r w:rsidR="008977E3">
        <w:rPr>
          <w:rFonts w:ascii="Calibri" w:eastAsia="ＭＳ 明朝" w:hAnsi="Calibri" w:cs="Calibri" w:hint="eastAsia"/>
        </w:rPr>
        <w:t xml:space="preserve"> (</w:t>
      </w:r>
      <w:proofErr w:type="spellStart"/>
      <w:r w:rsidR="00704D28" w:rsidRPr="008977E3">
        <w:rPr>
          <w:rFonts w:ascii="Calibri" w:eastAsia="ＭＳ 明朝" w:hAnsi="Calibri" w:cs="Calibri"/>
        </w:rPr>
        <w:t>Massicotte</w:t>
      </w:r>
      <w:proofErr w:type="spellEnd"/>
      <w:r w:rsidR="00704D28" w:rsidRPr="008977E3">
        <w:rPr>
          <w:rFonts w:ascii="Calibri" w:eastAsia="ＭＳ 明朝" w:hAnsi="Calibri" w:cs="Calibri"/>
        </w:rPr>
        <w:t xml:space="preserve">, </w:t>
      </w:r>
      <w:proofErr w:type="spellStart"/>
      <w:r w:rsidR="00704D28" w:rsidRPr="008977E3">
        <w:rPr>
          <w:rFonts w:ascii="Calibri" w:eastAsia="ＭＳ 明朝" w:hAnsi="Calibri" w:cs="Calibri"/>
        </w:rPr>
        <w:t>Blais</w:t>
      </w:r>
      <w:proofErr w:type="spellEnd"/>
      <w:r w:rsidR="00704D28" w:rsidRPr="008977E3">
        <w:rPr>
          <w:rFonts w:ascii="Calibri" w:eastAsia="ＭＳ 明朝" w:hAnsi="Calibri" w:cs="Calibri"/>
        </w:rPr>
        <w:t xml:space="preserve">, and </w:t>
      </w:r>
      <w:proofErr w:type="spellStart"/>
      <w:r w:rsidR="00704D28" w:rsidRPr="008977E3">
        <w:rPr>
          <w:rFonts w:ascii="Calibri" w:eastAsia="ＭＳ 明朝" w:hAnsi="Calibri" w:cs="Calibri"/>
        </w:rPr>
        <w:t>Yoshina</w:t>
      </w:r>
      <w:bookmarkStart w:id="1" w:name="_GoBack"/>
      <w:bookmarkEnd w:id="1"/>
      <w:r w:rsidR="00704D28" w:rsidRPr="008977E3">
        <w:rPr>
          <w:rFonts w:ascii="Calibri" w:eastAsia="ＭＳ 明朝" w:hAnsi="Calibri" w:cs="Calibri"/>
        </w:rPr>
        <w:t>ka</w:t>
      </w:r>
      <w:proofErr w:type="spellEnd"/>
      <w:r w:rsidR="00704D28" w:rsidRPr="008977E3">
        <w:rPr>
          <w:rFonts w:ascii="Calibri" w:eastAsia="ＭＳ 明朝" w:hAnsi="Calibri" w:cs="Calibri"/>
        </w:rPr>
        <w:t>, 2003, pp.17-27</w:t>
      </w:r>
      <w:r w:rsidR="008977E3">
        <w:rPr>
          <w:rFonts w:ascii="Calibri" w:eastAsia="ＭＳ 明朝" w:hAnsi="Calibri" w:cs="Calibri"/>
        </w:rPr>
        <w:t xml:space="preserve">). </w:t>
      </w:r>
      <w:r w:rsidR="00704D28" w:rsidRPr="008977E3">
        <w:rPr>
          <w:rFonts w:ascii="Calibri" w:eastAsia="ＭＳ 明朝" w:hAnsi="Calibri" w:cs="Calibri"/>
        </w:rPr>
        <w:t xml:space="preserve">Furthermore, </w:t>
      </w:r>
      <w:r w:rsidR="00A21C60" w:rsidRPr="008977E3">
        <w:rPr>
          <w:rFonts w:ascii="Calibri" w:eastAsia="ＭＳ 明朝" w:hAnsi="Calibri" w:cs="Calibri"/>
        </w:rPr>
        <w:t>in recent years,</w:t>
      </w:r>
      <w:r w:rsidR="002133BE" w:rsidRPr="008977E3">
        <w:rPr>
          <w:rFonts w:ascii="Calibri" w:eastAsia="ＭＳ 明朝" w:hAnsi="Calibri" w:cs="Calibri"/>
        </w:rPr>
        <w:t xml:space="preserve"> restrictions on the right to vote are in the process of being review</w:t>
      </w:r>
      <w:r w:rsidR="006F4007" w:rsidRPr="008977E3">
        <w:rPr>
          <w:rFonts w:ascii="Calibri" w:eastAsia="ＭＳ 明朝" w:hAnsi="Calibri" w:cs="Calibri"/>
        </w:rPr>
        <w:t>ed in terms of</w:t>
      </w:r>
      <w:r w:rsidR="002133BE" w:rsidRPr="008977E3">
        <w:rPr>
          <w:rFonts w:ascii="Calibri" w:eastAsia="ＭＳ 明朝" w:hAnsi="Calibri" w:cs="Calibri"/>
        </w:rPr>
        <w:t xml:space="preserve"> </w:t>
      </w:r>
      <w:r w:rsidR="006F4007" w:rsidRPr="008977E3">
        <w:rPr>
          <w:rFonts w:ascii="Calibri" w:eastAsia="ＭＳ 明朝" w:hAnsi="Calibri" w:cs="Calibri"/>
        </w:rPr>
        <w:t xml:space="preserve">lowered </w:t>
      </w:r>
      <w:r w:rsidR="00A21C60" w:rsidRPr="008977E3">
        <w:rPr>
          <w:rFonts w:ascii="Calibri" w:eastAsia="ＭＳ 明朝" w:hAnsi="Calibri" w:cs="Calibri"/>
        </w:rPr>
        <w:t>capacity</w:t>
      </w:r>
      <w:r w:rsidR="006F4007" w:rsidRPr="008977E3">
        <w:rPr>
          <w:rFonts w:ascii="Calibri" w:eastAsia="ＭＳ 明朝" w:hAnsi="Calibri" w:cs="Calibri"/>
        </w:rPr>
        <w:t xml:space="preserve"> </w:t>
      </w:r>
      <w:r w:rsidR="006217D7" w:rsidRPr="008977E3">
        <w:rPr>
          <w:rFonts w:ascii="Calibri" w:eastAsia="ＭＳ 明朝" w:hAnsi="Calibri" w:cs="Calibri"/>
        </w:rPr>
        <w:t xml:space="preserve">due to a functional disorder </w:t>
      </w:r>
      <w:r w:rsidR="006F4007" w:rsidRPr="008977E3">
        <w:rPr>
          <w:rFonts w:ascii="Calibri" w:eastAsia="ＭＳ 明朝" w:hAnsi="Calibri" w:cs="Calibri"/>
        </w:rPr>
        <w:t>as the given reason</w:t>
      </w:r>
      <w:r w:rsidR="006217D7" w:rsidRPr="008977E3">
        <w:rPr>
          <w:rFonts w:ascii="Calibri" w:eastAsia="ＭＳ 明朝" w:hAnsi="Calibri" w:cs="Calibri"/>
        </w:rPr>
        <w:t xml:space="preserve"> for restrictions</w:t>
      </w:r>
      <w:r w:rsidR="00A21C60" w:rsidRPr="008977E3">
        <w:rPr>
          <w:rFonts w:ascii="Calibri" w:eastAsia="ＭＳ 明朝" w:hAnsi="Calibri" w:cs="Calibri"/>
        </w:rPr>
        <w:t xml:space="preserve">. The details will be expanded upon later on, but in the latter half of the 2000s, the number of countries that </w:t>
      </w:r>
      <w:r w:rsidR="006F4007" w:rsidRPr="008977E3">
        <w:rPr>
          <w:rFonts w:ascii="Calibri" w:eastAsia="ＭＳ 明朝" w:hAnsi="Calibri" w:cs="Calibri"/>
        </w:rPr>
        <w:t xml:space="preserve">no longer </w:t>
      </w:r>
      <w:r w:rsidR="00A21C60" w:rsidRPr="008977E3">
        <w:rPr>
          <w:rFonts w:ascii="Calibri" w:eastAsia="ＭＳ 明朝" w:hAnsi="Calibri" w:cs="Calibri"/>
        </w:rPr>
        <w:t>restrict the right to vote for this reason has increased to 11, including Japan.</w:t>
      </w:r>
    </w:p>
    <w:sectPr w:rsidR="00DD0001" w:rsidRPr="008977E3">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 B" w:date="2018-06-28T21:22:00Z" w:initials="RB">
    <w:p w14:paraId="26943F78" w14:textId="13376C6F" w:rsidR="00A67116" w:rsidRDefault="00A67116">
      <w:pPr>
        <w:pStyle w:val="a8"/>
      </w:pPr>
      <w:r>
        <w:rPr>
          <w:rStyle w:val="a7"/>
        </w:rPr>
        <w:annotationRef/>
      </w:r>
      <w:r w:rsidRPr="00FD4B55">
        <w:t>http://www.camphill.org.za/articles/what-are-the-differences-between-intellectual-disability-and-mental-illness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BDDF4" w14:textId="77777777" w:rsidR="00770B4F" w:rsidRDefault="00770B4F" w:rsidP="00547A84">
      <w:r>
        <w:separator/>
      </w:r>
    </w:p>
  </w:endnote>
  <w:endnote w:type="continuationSeparator" w:id="0">
    <w:p w14:paraId="6290FDAC" w14:textId="77777777" w:rsidR="00770B4F" w:rsidRDefault="00770B4F" w:rsidP="0054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47847" w14:textId="77777777" w:rsidR="00770B4F" w:rsidRDefault="00770B4F" w:rsidP="00547A84">
      <w:r>
        <w:separator/>
      </w:r>
    </w:p>
  </w:footnote>
  <w:footnote w:type="continuationSeparator" w:id="0">
    <w:p w14:paraId="32DE530F" w14:textId="77777777" w:rsidR="00770B4F" w:rsidRDefault="00770B4F" w:rsidP="00547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19026" w14:textId="77777777" w:rsidR="00A67116" w:rsidRDefault="00A67116" w:rsidP="00547A84">
    <w:pPr>
      <w:pStyle w:val="a3"/>
      <w:jc w:val="right"/>
    </w:pPr>
    <w:r>
      <w:rPr>
        <w:rFonts w:hint="eastAsia"/>
      </w:rPr>
      <w:t>Sample Translation Excerpt</w:t>
    </w:r>
  </w:p>
  <w:p w14:paraId="1693B582" w14:textId="77777777" w:rsidR="00A67116" w:rsidRDefault="00A67116" w:rsidP="00547A84">
    <w:pPr>
      <w:pStyle w:val="a3"/>
      <w:jc w:val="right"/>
    </w:pPr>
    <w:r>
      <w:rPr>
        <w:rFonts w:hint="eastAsia"/>
      </w:rPr>
      <w:t xml:space="preserve">Isaac </w:t>
    </w:r>
    <w:proofErr w:type="spellStart"/>
    <w:r>
      <w:rPr>
        <w:rFonts w:hint="eastAsia"/>
      </w:rPr>
      <w:t>Gagn</w:t>
    </w:r>
    <w:r>
      <w:rPr>
        <w:rFonts w:eastAsiaTheme="minorHAnsi"/>
      </w:rPr>
      <w:t>é</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84"/>
    <w:rsid w:val="00121A5D"/>
    <w:rsid w:val="002133BE"/>
    <w:rsid w:val="00403264"/>
    <w:rsid w:val="004229A4"/>
    <w:rsid w:val="00547A84"/>
    <w:rsid w:val="006217D7"/>
    <w:rsid w:val="0069628A"/>
    <w:rsid w:val="006F4007"/>
    <w:rsid w:val="00704D28"/>
    <w:rsid w:val="00770B4F"/>
    <w:rsid w:val="007A48EF"/>
    <w:rsid w:val="00822624"/>
    <w:rsid w:val="008977E3"/>
    <w:rsid w:val="009511E5"/>
    <w:rsid w:val="009D4400"/>
    <w:rsid w:val="00A21C60"/>
    <w:rsid w:val="00A67116"/>
    <w:rsid w:val="00C25E40"/>
    <w:rsid w:val="00CE5313"/>
    <w:rsid w:val="00DD0001"/>
    <w:rsid w:val="00EA1CC2"/>
    <w:rsid w:val="00FD4B5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F6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A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A84"/>
    <w:pPr>
      <w:tabs>
        <w:tab w:val="center" w:pos="4252"/>
        <w:tab w:val="right" w:pos="8504"/>
      </w:tabs>
      <w:snapToGrid w:val="0"/>
    </w:pPr>
  </w:style>
  <w:style w:type="character" w:customStyle="1" w:styleId="a4">
    <w:name w:val="ヘッダー (文字)"/>
    <w:basedOn w:val="a0"/>
    <w:link w:val="a3"/>
    <w:uiPriority w:val="99"/>
    <w:rsid w:val="00547A84"/>
  </w:style>
  <w:style w:type="paragraph" w:styleId="a5">
    <w:name w:val="footer"/>
    <w:basedOn w:val="a"/>
    <w:link w:val="a6"/>
    <w:uiPriority w:val="99"/>
    <w:unhideWhenUsed/>
    <w:rsid w:val="00547A84"/>
    <w:pPr>
      <w:tabs>
        <w:tab w:val="center" w:pos="4252"/>
        <w:tab w:val="right" w:pos="8504"/>
      </w:tabs>
      <w:snapToGrid w:val="0"/>
    </w:pPr>
  </w:style>
  <w:style w:type="character" w:customStyle="1" w:styleId="a6">
    <w:name w:val="フッター (文字)"/>
    <w:basedOn w:val="a0"/>
    <w:link w:val="a5"/>
    <w:uiPriority w:val="99"/>
    <w:rsid w:val="00547A84"/>
  </w:style>
  <w:style w:type="character" w:styleId="a7">
    <w:name w:val="annotation reference"/>
    <w:basedOn w:val="a0"/>
    <w:uiPriority w:val="99"/>
    <w:semiHidden/>
    <w:unhideWhenUsed/>
    <w:rsid w:val="00FD4B55"/>
    <w:rPr>
      <w:sz w:val="18"/>
      <w:szCs w:val="18"/>
    </w:rPr>
  </w:style>
  <w:style w:type="paragraph" w:styleId="a8">
    <w:name w:val="annotation text"/>
    <w:basedOn w:val="a"/>
    <w:link w:val="a9"/>
    <w:uiPriority w:val="99"/>
    <w:semiHidden/>
    <w:unhideWhenUsed/>
    <w:rsid w:val="00FD4B55"/>
    <w:rPr>
      <w:sz w:val="24"/>
      <w:szCs w:val="24"/>
    </w:rPr>
  </w:style>
  <w:style w:type="character" w:customStyle="1" w:styleId="a9">
    <w:name w:val="コメント文字列 (文字)"/>
    <w:basedOn w:val="a0"/>
    <w:link w:val="a8"/>
    <w:uiPriority w:val="99"/>
    <w:semiHidden/>
    <w:rsid w:val="00FD4B55"/>
    <w:rPr>
      <w:sz w:val="24"/>
      <w:szCs w:val="24"/>
    </w:rPr>
  </w:style>
  <w:style w:type="paragraph" w:styleId="aa">
    <w:name w:val="annotation subject"/>
    <w:basedOn w:val="a8"/>
    <w:next w:val="a8"/>
    <w:link w:val="ab"/>
    <w:uiPriority w:val="99"/>
    <w:semiHidden/>
    <w:unhideWhenUsed/>
    <w:rsid w:val="00FD4B55"/>
    <w:rPr>
      <w:b/>
      <w:bCs/>
      <w:sz w:val="20"/>
      <w:szCs w:val="20"/>
    </w:rPr>
  </w:style>
  <w:style w:type="character" w:customStyle="1" w:styleId="ab">
    <w:name w:val="コメント内容 (文字)"/>
    <w:basedOn w:val="a9"/>
    <w:link w:val="aa"/>
    <w:uiPriority w:val="99"/>
    <w:semiHidden/>
    <w:rsid w:val="00FD4B55"/>
    <w:rPr>
      <w:b/>
      <w:bCs/>
      <w:sz w:val="20"/>
      <w:szCs w:val="20"/>
    </w:rPr>
  </w:style>
  <w:style w:type="paragraph" w:styleId="ac">
    <w:name w:val="Balloon Text"/>
    <w:basedOn w:val="a"/>
    <w:link w:val="ad"/>
    <w:uiPriority w:val="99"/>
    <w:semiHidden/>
    <w:unhideWhenUsed/>
    <w:rsid w:val="00FD4B55"/>
    <w:rPr>
      <w:rFonts w:ascii="Lucida Grande" w:hAnsi="Lucida Grande" w:cs="Lucida Grande"/>
      <w:sz w:val="18"/>
      <w:szCs w:val="18"/>
    </w:rPr>
  </w:style>
  <w:style w:type="character" w:customStyle="1" w:styleId="ad">
    <w:name w:val="吹き出し (文字)"/>
    <w:basedOn w:val="a0"/>
    <w:link w:val="ac"/>
    <w:uiPriority w:val="99"/>
    <w:semiHidden/>
    <w:rsid w:val="00FD4B5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A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A84"/>
    <w:pPr>
      <w:tabs>
        <w:tab w:val="center" w:pos="4252"/>
        <w:tab w:val="right" w:pos="8504"/>
      </w:tabs>
      <w:snapToGrid w:val="0"/>
    </w:pPr>
  </w:style>
  <w:style w:type="character" w:customStyle="1" w:styleId="a4">
    <w:name w:val="ヘッダー (文字)"/>
    <w:basedOn w:val="a0"/>
    <w:link w:val="a3"/>
    <w:uiPriority w:val="99"/>
    <w:rsid w:val="00547A84"/>
  </w:style>
  <w:style w:type="paragraph" w:styleId="a5">
    <w:name w:val="footer"/>
    <w:basedOn w:val="a"/>
    <w:link w:val="a6"/>
    <w:uiPriority w:val="99"/>
    <w:unhideWhenUsed/>
    <w:rsid w:val="00547A84"/>
    <w:pPr>
      <w:tabs>
        <w:tab w:val="center" w:pos="4252"/>
        <w:tab w:val="right" w:pos="8504"/>
      </w:tabs>
      <w:snapToGrid w:val="0"/>
    </w:pPr>
  </w:style>
  <w:style w:type="character" w:customStyle="1" w:styleId="a6">
    <w:name w:val="フッター (文字)"/>
    <w:basedOn w:val="a0"/>
    <w:link w:val="a5"/>
    <w:uiPriority w:val="99"/>
    <w:rsid w:val="00547A84"/>
  </w:style>
  <w:style w:type="character" w:styleId="a7">
    <w:name w:val="annotation reference"/>
    <w:basedOn w:val="a0"/>
    <w:uiPriority w:val="99"/>
    <w:semiHidden/>
    <w:unhideWhenUsed/>
    <w:rsid w:val="00FD4B55"/>
    <w:rPr>
      <w:sz w:val="18"/>
      <w:szCs w:val="18"/>
    </w:rPr>
  </w:style>
  <w:style w:type="paragraph" w:styleId="a8">
    <w:name w:val="annotation text"/>
    <w:basedOn w:val="a"/>
    <w:link w:val="a9"/>
    <w:uiPriority w:val="99"/>
    <w:semiHidden/>
    <w:unhideWhenUsed/>
    <w:rsid w:val="00FD4B55"/>
    <w:rPr>
      <w:sz w:val="24"/>
      <w:szCs w:val="24"/>
    </w:rPr>
  </w:style>
  <w:style w:type="character" w:customStyle="1" w:styleId="a9">
    <w:name w:val="コメント文字列 (文字)"/>
    <w:basedOn w:val="a0"/>
    <w:link w:val="a8"/>
    <w:uiPriority w:val="99"/>
    <w:semiHidden/>
    <w:rsid w:val="00FD4B55"/>
    <w:rPr>
      <w:sz w:val="24"/>
      <w:szCs w:val="24"/>
    </w:rPr>
  </w:style>
  <w:style w:type="paragraph" w:styleId="aa">
    <w:name w:val="annotation subject"/>
    <w:basedOn w:val="a8"/>
    <w:next w:val="a8"/>
    <w:link w:val="ab"/>
    <w:uiPriority w:val="99"/>
    <w:semiHidden/>
    <w:unhideWhenUsed/>
    <w:rsid w:val="00FD4B55"/>
    <w:rPr>
      <w:b/>
      <w:bCs/>
      <w:sz w:val="20"/>
      <w:szCs w:val="20"/>
    </w:rPr>
  </w:style>
  <w:style w:type="character" w:customStyle="1" w:styleId="ab">
    <w:name w:val="コメント内容 (文字)"/>
    <w:basedOn w:val="a9"/>
    <w:link w:val="aa"/>
    <w:uiPriority w:val="99"/>
    <w:semiHidden/>
    <w:rsid w:val="00FD4B55"/>
    <w:rPr>
      <w:b/>
      <w:bCs/>
      <w:sz w:val="20"/>
      <w:szCs w:val="20"/>
    </w:rPr>
  </w:style>
  <w:style w:type="paragraph" w:styleId="ac">
    <w:name w:val="Balloon Text"/>
    <w:basedOn w:val="a"/>
    <w:link w:val="ad"/>
    <w:uiPriority w:val="99"/>
    <w:semiHidden/>
    <w:unhideWhenUsed/>
    <w:rsid w:val="00FD4B55"/>
    <w:rPr>
      <w:rFonts w:ascii="Lucida Grande" w:hAnsi="Lucida Grande" w:cs="Lucida Grande"/>
      <w:sz w:val="18"/>
      <w:szCs w:val="18"/>
    </w:rPr>
  </w:style>
  <w:style w:type="character" w:customStyle="1" w:styleId="ad">
    <w:name w:val="吹き出し (文字)"/>
    <w:basedOn w:val="a0"/>
    <w:link w:val="ac"/>
    <w:uiPriority w:val="99"/>
    <w:semiHidden/>
    <w:rsid w:val="00FD4B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101D-9CC8-416C-B04C-FA23F81E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DIJ Tokyo</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Gagne Isaac</dc:creator>
  <cp:lastModifiedBy>Joelle Metcalfe</cp:lastModifiedBy>
  <cp:revision>3</cp:revision>
  <dcterms:created xsi:type="dcterms:W3CDTF">2018-07-02T07:24:00Z</dcterms:created>
  <dcterms:modified xsi:type="dcterms:W3CDTF">2018-07-02T07:25:00Z</dcterms:modified>
</cp:coreProperties>
</file>