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E963" w14:textId="77777777" w:rsidR="005A4AA3" w:rsidRPr="00B73906" w:rsidRDefault="005A4AA3" w:rsidP="005A4AA3">
      <w:pPr>
        <w:pStyle w:val="Heading1"/>
        <w:rPr>
          <w:rFonts w:ascii="David" w:eastAsia="Times New Roman" w:hAnsi="David" w:cs="David"/>
          <w:b/>
          <w:bCs/>
          <w:color w:val="auto"/>
          <w:sz w:val="28"/>
          <w:szCs w:val="28"/>
          <w:rtl/>
        </w:rPr>
      </w:pPr>
      <w:r w:rsidRPr="00B73906">
        <w:rPr>
          <w:rFonts w:ascii="David" w:eastAsia="Times New Roman" w:hAnsi="David" w:cs="David" w:hint="cs"/>
          <w:b/>
          <w:bCs/>
          <w:color w:val="auto"/>
          <w:sz w:val="28"/>
          <w:szCs w:val="28"/>
          <w:rtl/>
        </w:rPr>
        <w:t>תקציר</w:t>
      </w:r>
    </w:p>
    <w:p w14:paraId="631646DE" w14:textId="77777777" w:rsidR="005A4AA3" w:rsidRPr="007C3D59" w:rsidRDefault="005A4AA3" w:rsidP="005A4AA3">
      <w:pPr>
        <w:rPr>
          <w:sz w:val="2"/>
          <w:szCs w:val="2"/>
          <w:rtl/>
        </w:rPr>
      </w:pPr>
    </w:p>
    <w:p w14:paraId="68A98C8F" w14:textId="77777777" w:rsidR="005A4AA3" w:rsidRDefault="005A4AA3" w:rsidP="005A4AA3">
      <w:pPr>
        <w:spacing w:before="0" w:after="160" w:line="360" w:lineRule="auto"/>
        <w:jc w:val="both"/>
        <w:rPr>
          <w:rFonts w:ascii="David" w:eastAsia="Times New Roman" w:hAnsi="David" w:cs="David"/>
          <w:sz w:val="24"/>
          <w:szCs w:val="24"/>
          <w:rtl/>
        </w:rPr>
      </w:pPr>
      <w:r>
        <w:rPr>
          <w:rFonts w:ascii="David" w:eastAsia="Times New Roman" w:hAnsi="David" w:cs="David" w:hint="cs"/>
          <w:sz w:val="24"/>
          <w:szCs w:val="24"/>
          <w:rtl/>
        </w:rPr>
        <w:t>ל</w:t>
      </w:r>
      <w:r w:rsidRPr="0021478E">
        <w:rPr>
          <w:rFonts w:ascii="David" w:eastAsia="Times New Roman" w:hAnsi="David" w:cs="David"/>
          <w:sz w:val="24"/>
          <w:szCs w:val="24"/>
          <w:rtl/>
        </w:rPr>
        <w:t xml:space="preserve">ערים תפקיד חשוב בהתפתחות </w:t>
      </w:r>
      <w:r>
        <w:rPr>
          <w:rFonts w:ascii="David" w:eastAsia="Times New Roman" w:hAnsi="David" w:cs="David" w:hint="cs"/>
          <w:sz w:val="24"/>
          <w:szCs w:val="24"/>
          <w:rtl/>
        </w:rPr>
        <w:t>ה</w:t>
      </w:r>
      <w:r w:rsidRPr="0021478E">
        <w:rPr>
          <w:rFonts w:ascii="David" w:eastAsia="Times New Roman" w:hAnsi="David" w:cs="David"/>
          <w:sz w:val="24"/>
          <w:szCs w:val="24"/>
          <w:rtl/>
        </w:rPr>
        <w:t xml:space="preserve">כלכלית </w:t>
      </w:r>
      <w:r>
        <w:rPr>
          <w:rFonts w:ascii="David" w:eastAsia="Times New Roman" w:hAnsi="David" w:cs="David" w:hint="cs"/>
          <w:sz w:val="24"/>
          <w:szCs w:val="24"/>
          <w:rtl/>
        </w:rPr>
        <w:t>והן מהוות מוקדים מרכזיים המשמשים להצבר ותנועת הון מראשיתן ובעיקר מאז התבססות סדר היום הניאוליברלי.</w:t>
      </w:r>
      <w:r w:rsidRPr="00BD2AAF">
        <w:rPr>
          <w:rFonts w:ascii="David" w:eastAsia="Times New Roman" w:hAnsi="David" w:cs="David"/>
          <w:sz w:val="24"/>
          <w:szCs w:val="24"/>
          <w:rtl/>
        </w:rPr>
        <w:t xml:space="preserve"> </w:t>
      </w:r>
      <w:r>
        <w:rPr>
          <w:rFonts w:ascii="David" w:eastAsia="Times New Roman" w:hAnsi="David" w:cs="David" w:hint="cs"/>
          <w:sz w:val="24"/>
          <w:szCs w:val="24"/>
          <w:rtl/>
        </w:rPr>
        <w:t>כיום ערים מתפתחות בהתאם לעקרונות</w:t>
      </w:r>
      <w:r w:rsidRPr="003F0542">
        <w:rPr>
          <w:rFonts w:ascii="David" w:eastAsia="Times New Roman" w:hAnsi="David" w:cs="David" w:hint="cs"/>
          <w:sz w:val="24"/>
          <w:szCs w:val="24"/>
          <w:rtl/>
        </w:rPr>
        <w:t xml:space="preserve"> </w:t>
      </w:r>
      <w:r w:rsidRPr="0021478E">
        <w:rPr>
          <w:rFonts w:ascii="David" w:eastAsia="Times New Roman" w:hAnsi="David" w:cs="David"/>
          <w:sz w:val="24"/>
          <w:szCs w:val="24"/>
          <w:rtl/>
        </w:rPr>
        <w:t>הנאוליברליזם</w:t>
      </w:r>
      <w:r>
        <w:rPr>
          <w:rFonts w:ascii="David" w:eastAsia="Times New Roman" w:hAnsi="David" w:cs="David" w:hint="cs"/>
          <w:sz w:val="24"/>
          <w:szCs w:val="24"/>
          <w:rtl/>
        </w:rPr>
        <w:t xml:space="preserve"> בידי </w:t>
      </w:r>
      <w:r w:rsidRPr="0021478E">
        <w:rPr>
          <w:rFonts w:ascii="David" w:eastAsia="Times New Roman" w:hAnsi="David" w:cs="David"/>
          <w:sz w:val="24"/>
          <w:szCs w:val="24"/>
          <w:rtl/>
        </w:rPr>
        <w:t xml:space="preserve">מיעוט </w:t>
      </w:r>
      <w:r>
        <w:rPr>
          <w:rFonts w:ascii="David" w:eastAsia="Times New Roman" w:hAnsi="David" w:cs="David" w:hint="cs"/>
          <w:sz w:val="24"/>
          <w:szCs w:val="24"/>
          <w:rtl/>
        </w:rPr>
        <w:t xml:space="preserve">כלכלי בעל נגישות למשאבים ומוקדי כוח. יכולתם של תושבי הערים וקהילות מקומיות לעצב את המרחב העירוני כך שיענה לצרכיהם </w:t>
      </w:r>
      <w:r w:rsidRPr="0021478E">
        <w:rPr>
          <w:rFonts w:ascii="David" w:eastAsia="Times New Roman" w:hAnsi="David" w:cs="David"/>
          <w:sz w:val="24"/>
          <w:szCs w:val="24"/>
          <w:rtl/>
        </w:rPr>
        <w:t xml:space="preserve">תלויה </w:t>
      </w:r>
      <w:r>
        <w:rPr>
          <w:rFonts w:ascii="David" w:eastAsia="Times New Roman" w:hAnsi="David" w:cs="David" w:hint="cs"/>
          <w:sz w:val="24"/>
          <w:szCs w:val="24"/>
          <w:rtl/>
        </w:rPr>
        <w:t>ביכולתם לפעול ל</w:t>
      </w:r>
      <w:r w:rsidRPr="0021478E">
        <w:rPr>
          <w:rFonts w:ascii="David" w:eastAsia="Times New Roman" w:hAnsi="David" w:cs="David"/>
          <w:sz w:val="24"/>
          <w:szCs w:val="24"/>
          <w:rtl/>
        </w:rPr>
        <w:t>מימוש כוח קולקטיבי</w:t>
      </w:r>
      <w:r>
        <w:rPr>
          <w:rFonts w:ascii="David" w:eastAsia="Times New Roman" w:hAnsi="David" w:cs="David" w:hint="cs"/>
          <w:sz w:val="24"/>
          <w:szCs w:val="24"/>
          <w:rtl/>
        </w:rPr>
        <w:t xml:space="preserve"> שיכוון את ההתפתחות העירונית. יכולת זו ניצבת בפני אתגרים מרובים במרחב כלכלי תחרותי וספקולטיבי בו אפשרויות הפיתוח והצמיחה של העיר נגזרת מיכולתם של פרנסי העיר לפעול למימוש</w:t>
      </w:r>
      <w:r w:rsidRPr="00A606E5">
        <w:rPr>
          <w:rFonts w:ascii="David" w:eastAsia="Times New Roman" w:hAnsi="David" w:cs="David" w:hint="cs"/>
          <w:sz w:val="24"/>
          <w:szCs w:val="24"/>
          <w:rtl/>
        </w:rPr>
        <w:t xml:space="preserve"> </w:t>
      </w:r>
      <w:r>
        <w:rPr>
          <w:rFonts w:ascii="David" w:eastAsia="Times New Roman" w:hAnsi="David" w:cs="David" w:hint="cs"/>
          <w:sz w:val="24"/>
          <w:szCs w:val="24"/>
          <w:rtl/>
        </w:rPr>
        <w:t>עתודות הקרקע הקיימות בשטחן כך שיספקו את דרישות השוק מחד ויהוו את והבסיס הכלכלי העירוני מאידך.</w:t>
      </w:r>
    </w:p>
    <w:p w14:paraId="4B8248F4" w14:textId="77777777" w:rsidR="005A4AA3" w:rsidRDefault="005A4AA3" w:rsidP="005A4AA3">
      <w:pPr>
        <w:spacing w:before="0" w:after="160" w:line="360" w:lineRule="auto"/>
        <w:jc w:val="both"/>
        <w:rPr>
          <w:rFonts w:ascii="David" w:eastAsia="Calibri" w:hAnsi="David" w:cs="David"/>
          <w:szCs w:val="24"/>
          <w:rtl/>
        </w:rPr>
      </w:pPr>
      <w:r>
        <w:rPr>
          <w:rFonts w:ascii="David" w:eastAsia="Times New Roman" w:hAnsi="David" w:cs="David" w:hint="cs"/>
          <w:sz w:val="24"/>
          <w:szCs w:val="24"/>
          <w:rtl/>
        </w:rPr>
        <w:t>בעידן בו האחריות על אספקת שירותים שונים מוטלת על כתפי הרשויות המקומיות יותר מאי פעם לנוכח המשך מגמות צמצום וביזור המעורבות המדינתית,</w:t>
      </w:r>
      <w:r w:rsidRPr="0081314D">
        <w:rPr>
          <w:rFonts w:ascii="David" w:eastAsia="Times New Roman" w:hAnsi="David" w:cs="David" w:hint="cs"/>
          <w:sz w:val="24"/>
          <w:szCs w:val="24"/>
          <w:rtl/>
        </w:rPr>
        <w:t xml:space="preserve"> </w:t>
      </w:r>
      <w:r>
        <w:rPr>
          <w:rFonts w:ascii="David" w:eastAsia="Times New Roman" w:hAnsi="David" w:cs="David" w:hint="cs"/>
          <w:sz w:val="24"/>
          <w:szCs w:val="24"/>
          <w:rtl/>
        </w:rPr>
        <w:t xml:space="preserve">שאלת מימוש עתודות הקרקע העירוניות נעשית לדחופה במיוחד לנוכח האופן בו מתפקדת מערכת ההכנסות העירונית הרואה את התושבים "כנטל" כלכלי המחייב יצירת רווח שמקורו בפיתוח קרקעות לשימושי תעסוקה ומסחר בשל שיעור המס הגבוה שניתן לגבות בעבורן. על אף שמגמות אלו מאפיינות מרחבים רבים, הן פועלות ביתר שאת ברחבי המרחב המטרופוליני בו מתרכזת עיקר הפעילות הכלכלית הלאומית. </w:t>
      </w:r>
      <w:r w:rsidRPr="00D76223">
        <w:rPr>
          <w:rFonts w:ascii="David" w:eastAsia="Calibri" w:hAnsi="David" w:cs="David" w:hint="cs"/>
          <w:szCs w:val="24"/>
          <w:rtl/>
        </w:rPr>
        <w:t xml:space="preserve">דפוסי פיתוח אלו מעצבים מחדש </w:t>
      </w:r>
      <w:r>
        <w:rPr>
          <w:rFonts w:ascii="David" w:eastAsia="Calibri" w:hAnsi="David" w:cs="David" w:hint="cs"/>
          <w:szCs w:val="24"/>
          <w:rtl/>
        </w:rPr>
        <w:t xml:space="preserve">גם </w:t>
      </w:r>
      <w:r w:rsidRPr="00D76223">
        <w:rPr>
          <w:rFonts w:ascii="David" w:eastAsia="Calibri" w:hAnsi="David" w:cs="David" w:hint="cs"/>
          <w:szCs w:val="24"/>
          <w:rtl/>
        </w:rPr>
        <w:t>את האופן בו פועלות קבוצות שונות במרחב העירוני ו</w:t>
      </w:r>
      <w:r>
        <w:rPr>
          <w:rFonts w:ascii="David" w:eastAsia="Calibri" w:hAnsi="David" w:cs="David" w:hint="cs"/>
          <w:szCs w:val="24"/>
          <w:rtl/>
        </w:rPr>
        <w:t xml:space="preserve">בפרט </w:t>
      </w:r>
      <w:r w:rsidRPr="00D76223">
        <w:rPr>
          <w:rFonts w:ascii="David" w:eastAsia="Calibri" w:hAnsi="David" w:cs="David"/>
          <w:szCs w:val="24"/>
          <w:rtl/>
        </w:rPr>
        <w:t>קבוצות השואפות לשמור על המבנה והמאפיינים שלהן ביחס לחברת הרוב</w:t>
      </w:r>
      <w:r w:rsidRPr="00D76223">
        <w:rPr>
          <w:rFonts w:ascii="David" w:eastAsia="Calibri" w:hAnsi="David" w:cs="David" w:hint="cs"/>
          <w:szCs w:val="24"/>
          <w:rtl/>
        </w:rPr>
        <w:t xml:space="preserve">. </w:t>
      </w:r>
      <w:r w:rsidRPr="00D76223">
        <w:rPr>
          <w:rFonts w:ascii="David" w:eastAsia="Calibri" w:hAnsi="David" w:cs="David"/>
          <w:szCs w:val="24"/>
          <w:rtl/>
        </w:rPr>
        <w:t>הקבוצות הנחקרות בדרך כלל הן קבוצות מוחלשות חסרות ייצוג פוליטי רשמי המתקיימות בשולי החברה</w:t>
      </w:r>
      <w:r>
        <w:rPr>
          <w:rFonts w:ascii="David" w:eastAsia="Calibri" w:hAnsi="David" w:cs="David" w:hint="cs"/>
          <w:szCs w:val="24"/>
          <w:rtl/>
        </w:rPr>
        <w:t xml:space="preserve"> הפועלות ליציר</w:t>
      </w:r>
      <w:r w:rsidRPr="00D76223">
        <w:rPr>
          <w:rFonts w:ascii="David" w:eastAsia="Calibri" w:hAnsi="David" w:cs="David" w:hint="cs"/>
          <w:szCs w:val="24"/>
          <w:rtl/>
        </w:rPr>
        <w:t>ת</w:t>
      </w:r>
      <w:r w:rsidRPr="00D76223">
        <w:rPr>
          <w:rFonts w:ascii="David" w:eastAsia="Calibri" w:hAnsi="David" w:cs="David"/>
          <w:szCs w:val="24"/>
          <w:rtl/>
        </w:rPr>
        <w:t xml:space="preserve"> מנגנונים חלופיים המאתגרים את הסדר הקיים בשל קושי בנגישות אל משאבים </w:t>
      </w:r>
      <w:r>
        <w:rPr>
          <w:rFonts w:ascii="David" w:eastAsia="Calibri" w:hAnsi="David" w:cs="David" w:hint="cs"/>
          <w:szCs w:val="24"/>
          <w:rtl/>
        </w:rPr>
        <w:t>ועמדות כוח.</w:t>
      </w:r>
    </w:p>
    <w:p w14:paraId="7F602E3D" w14:textId="77777777" w:rsidR="00672EF1" w:rsidRDefault="00672EF1">
      <w:pPr>
        <w:rPr>
          <w:rFonts w:hint="cs"/>
        </w:rPr>
      </w:pPr>
    </w:p>
    <w:sectPr w:rsidR="00672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A3"/>
    <w:rsid w:val="005A4AA3"/>
    <w:rsid w:val="00672EF1"/>
    <w:rsid w:val="009800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4FBA"/>
  <w15:chartTrackingRefBased/>
  <w15:docId w15:val="{401B1582-8561-404B-82FF-91D31CDE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A3"/>
    <w:pPr>
      <w:bidi/>
      <w:spacing w:before="240" w:after="0"/>
    </w:pPr>
    <w:rPr>
      <w:lang w:bidi="he-IL"/>
    </w:rPr>
  </w:style>
  <w:style w:type="paragraph" w:styleId="Heading1">
    <w:name w:val="heading 1"/>
    <w:basedOn w:val="Normal"/>
    <w:next w:val="Normal"/>
    <w:link w:val="Heading1Char"/>
    <w:uiPriority w:val="9"/>
    <w:qFormat/>
    <w:rsid w:val="005A4AA3"/>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A3"/>
    <w:rPr>
      <w:rFonts w:asciiTheme="majorHAnsi" w:eastAsiaTheme="majorEastAsia" w:hAnsiTheme="majorHAnsi" w:cstheme="majorBidi"/>
      <w:color w:val="2F5496" w:themeColor="accent1" w:themeShade="BF"/>
      <w:sz w:val="32"/>
      <w:szCs w:val="3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Noy</dc:creator>
  <cp:keywords/>
  <dc:description/>
  <cp:lastModifiedBy>Shani Noy</cp:lastModifiedBy>
  <cp:revision>1</cp:revision>
  <dcterms:created xsi:type="dcterms:W3CDTF">2023-09-13T08:10:00Z</dcterms:created>
  <dcterms:modified xsi:type="dcterms:W3CDTF">2023-09-13T08:14:00Z</dcterms:modified>
</cp:coreProperties>
</file>