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B96DC" w14:textId="77777777" w:rsidR="003E3142" w:rsidRDefault="003E3142" w:rsidP="003E3142">
      <w:pPr>
        <w:spacing w:line="360" w:lineRule="auto"/>
        <w:rPr>
          <w:rFonts w:asciiTheme="minorBidi" w:hAnsiTheme="minorBidi"/>
          <w:b/>
          <w:bCs/>
          <w:sz w:val="32"/>
          <w:szCs w:val="32"/>
        </w:rPr>
      </w:pPr>
      <w:r>
        <w:rPr>
          <w:rFonts w:asciiTheme="minorBidi" w:hAnsiTheme="minorBidi"/>
          <w:b/>
          <w:bCs/>
          <w:sz w:val="32"/>
          <w:szCs w:val="32"/>
        </w:rPr>
        <w:t xml:space="preserve">Mode of Action </w:t>
      </w:r>
    </w:p>
    <w:p w14:paraId="186759A7" w14:textId="77777777" w:rsidR="003E3142" w:rsidRPr="00A8182A" w:rsidRDefault="003E3142" w:rsidP="003E3142">
      <w:pPr>
        <w:spacing w:before="240" w:after="120" w:line="360" w:lineRule="auto"/>
        <w:rPr>
          <w:rFonts w:asciiTheme="minorBidi" w:hAnsiTheme="minorBidi"/>
          <w:sz w:val="24"/>
          <w:szCs w:val="24"/>
        </w:rPr>
      </w:pPr>
      <w:r w:rsidRPr="00A8182A">
        <w:rPr>
          <w:rFonts w:asciiTheme="minorBidi" w:hAnsiTheme="minorBidi"/>
          <w:sz w:val="24"/>
          <w:szCs w:val="24"/>
        </w:rPr>
        <w:t>Synovial fluid, which is viscoelastic due to the presence of hyaluronic acid, is found in all synovial joints where it ensures normal, painless movement due to its lubricating and shock-absorbing properties. It is also responsible for the nutrition of the cartilage. In degenerative joint disorders such as osteoarthritis, the viscoelasticity of the synovial fluid is markedly reduced thereby decreasing its lubricating and shock-absorbing functions. This increases mechanical loading of the joint and cartilage destruction which ultimately results in pain and restricted mobility of the affected joint. Supplementing this synovial fluid with intra-articular injections of highly purified hyaluronic acid can ameliorate the viscoelastic properties of synovial fluid. This improves its lubricating and shock-absorbing functions and reduces mechanical overload of the joint. As a rule this results in a decrease in pain and an improvement in joint mobility which may last for several months after a treatment cycle</w:t>
      </w:r>
      <w:r>
        <w:rPr>
          <w:rFonts w:asciiTheme="minorBidi" w:hAnsiTheme="minorBidi"/>
          <w:sz w:val="24"/>
          <w:szCs w:val="24"/>
        </w:rPr>
        <w:t>.</w:t>
      </w:r>
    </w:p>
    <w:p w14:paraId="4FE72C71" w14:textId="77777777" w:rsidR="003E3142" w:rsidRPr="00F8423B" w:rsidRDefault="003E3142" w:rsidP="003E3142">
      <w:pPr>
        <w:spacing w:before="240" w:after="120" w:line="360" w:lineRule="auto"/>
        <w:rPr>
          <w:rFonts w:asciiTheme="minorBidi" w:hAnsiTheme="minorBidi"/>
          <w:b/>
          <w:bCs/>
          <w:sz w:val="32"/>
          <w:szCs w:val="32"/>
        </w:rPr>
      </w:pPr>
      <w:r w:rsidRPr="00F8423B">
        <w:rPr>
          <w:rFonts w:asciiTheme="minorBidi" w:hAnsiTheme="minorBidi"/>
          <w:b/>
          <w:bCs/>
          <w:sz w:val="32"/>
          <w:szCs w:val="32"/>
        </w:rPr>
        <w:t>Package Content</w:t>
      </w:r>
    </w:p>
    <w:p w14:paraId="72A0BD8B" w14:textId="77777777" w:rsidR="003E3142" w:rsidRPr="00F8423B" w:rsidRDefault="003E3142" w:rsidP="003E3142">
      <w:pPr>
        <w:spacing w:line="360" w:lineRule="auto"/>
        <w:rPr>
          <w:rFonts w:asciiTheme="minorBidi" w:hAnsiTheme="minorBidi"/>
          <w:sz w:val="24"/>
          <w:szCs w:val="24"/>
        </w:rPr>
      </w:pPr>
      <w:r w:rsidRPr="00F8423B">
        <w:rPr>
          <w:rFonts w:asciiTheme="minorBidi" w:hAnsiTheme="minorBidi"/>
          <w:sz w:val="24"/>
          <w:szCs w:val="24"/>
        </w:rPr>
        <w:t xml:space="preserve">Each package contains one disposable graduated and pre-filled syringe with </w:t>
      </w:r>
      <w:r>
        <w:rPr>
          <w:rFonts w:asciiTheme="minorBidi" w:hAnsiTheme="minorBidi"/>
          <w:b/>
          <w:bCs/>
          <w:sz w:val="24"/>
          <w:szCs w:val="24"/>
        </w:rPr>
        <w:t xml:space="preserve">XXXXX </w:t>
      </w:r>
      <w:r w:rsidRPr="00F8423B">
        <w:rPr>
          <w:rFonts w:asciiTheme="minorBidi" w:hAnsiTheme="minorBidi"/>
          <w:sz w:val="24"/>
          <w:szCs w:val="24"/>
        </w:rPr>
        <w:t>gel.</w:t>
      </w:r>
    </w:p>
    <w:p w14:paraId="1B947D2D" w14:textId="77777777" w:rsidR="003E3142" w:rsidRPr="00F8423B" w:rsidRDefault="003E3142" w:rsidP="003E3142">
      <w:pPr>
        <w:spacing w:line="360" w:lineRule="auto"/>
        <w:rPr>
          <w:rFonts w:asciiTheme="minorBidi" w:hAnsiTheme="minorBidi"/>
          <w:sz w:val="24"/>
          <w:szCs w:val="24"/>
        </w:rPr>
      </w:pPr>
      <w:r w:rsidRPr="00F8423B">
        <w:rPr>
          <w:rFonts w:asciiTheme="minorBidi" w:hAnsiTheme="minorBidi"/>
          <w:sz w:val="24"/>
          <w:szCs w:val="24"/>
        </w:rPr>
        <w:t xml:space="preserve">One syringe contains 1.0 ml of </w:t>
      </w:r>
      <w:r>
        <w:rPr>
          <w:rFonts w:asciiTheme="minorBidi" w:hAnsiTheme="minorBidi"/>
          <w:b/>
          <w:bCs/>
          <w:sz w:val="24"/>
          <w:szCs w:val="24"/>
        </w:rPr>
        <w:t xml:space="preserve">XXXXX </w:t>
      </w:r>
      <w:r w:rsidRPr="00F8423B">
        <w:rPr>
          <w:rFonts w:asciiTheme="minorBidi" w:hAnsiTheme="minorBidi"/>
          <w:sz w:val="24"/>
          <w:szCs w:val="24"/>
        </w:rPr>
        <w:t>.</w:t>
      </w:r>
      <w:r w:rsidRPr="0072147A">
        <w:rPr>
          <w:rFonts w:asciiTheme="minorBidi" w:hAnsiTheme="minorBidi"/>
          <w:sz w:val="24"/>
          <w:szCs w:val="24"/>
        </w:rPr>
        <w:t xml:space="preserve"> </w:t>
      </w:r>
      <w:r w:rsidRPr="00F8423B">
        <w:rPr>
          <w:rFonts w:asciiTheme="minorBidi" w:hAnsiTheme="minorBidi"/>
          <w:sz w:val="24"/>
          <w:szCs w:val="24"/>
        </w:rPr>
        <w:t xml:space="preserve">The content of </w:t>
      </w:r>
      <w:r>
        <w:rPr>
          <w:rFonts w:asciiTheme="minorBidi" w:hAnsiTheme="minorBidi"/>
          <w:b/>
          <w:bCs/>
          <w:sz w:val="24"/>
          <w:szCs w:val="24"/>
        </w:rPr>
        <w:t xml:space="preserve">XXXXX </w:t>
      </w:r>
      <w:r w:rsidRPr="00F8423B">
        <w:rPr>
          <w:rFonts w:asciiTheme="minorBidi" w:hAnsiTheme="minorBidi"/>
          <w:sz w:val="24"/>
          <w:szCs w:val="24"/>
        </w:rPr>
        <w:t xml:space="preserve">syringe </w:t>
      </w:r>
      <w:r>
        <w:rPr>
          <w:rFonts w:asciiTheme="minorBidi" w:hAnsiTheme="minorBidi"/>
          <w:sz w:val="24"/>
          <w:szCs w:val="24"/>
        </w:rPr>
        <w:t>is sterile using aseptic processing techniques</w:t>
      </w:r>
      <w:r w:rsidRPr="00F8423B">
        <w:rPr>
          <w:rFonts w:asciiTheme="minorBidi" w:hAnsiTheme="minorBidi"/>
          <w:sz w:val="24"/>
          <w:szCs w:val="24"/>
        </w:rPr>
        <w:t xml:space="preserve">. The accuracy of syringe graduations is ±0.020 ml. </w:t>
      </w:r>
    </w:p>
    <w:p w14:paraId="2A92EE9B" w14:textId="77777777" w:rsidR="003E3142" w:rsidRPr="00024B1D" w:rsidRDefault="003E3142" w:rsidP="003E3142">
      <w:pPr>
        <w:spacing w:line="360" w:lineRule="auto"/>
        <w:rPr>
          <w:rFonts w:asciiTheme="minorBidi" w:hAnsiTheme="minorBidi"/>
          <w:sz w:val="24"/>
          <w:szCs w:val="24"/>
        </w:rPr>
      </w:pPr>
      <w:r>
        <w:rPr>
          <w:rFonts w:asciiTheme="minorBidi" w:hAnsiTheme="minorBidi"/>
          <w:b/>
          <w:bCs/>
          <w:sz w:val="24"/>
          <w:szCs w:val="24"/>
        </w:rPr>
        <w:t xml:space="preserve">XXXXX </w:t>
      </w:r>
      <w:r w:rsidRPr="00F8423B">
        <w:rPr>
          <w:rFonts w:asciiTheme="minorBidi" w:hAnsiTheme="minorBidi"/>
          <w:sz w:val="24"/>
          <w:szCs w:val="24"/>
        </w:rPr>
        <w:t>package is supplied with instructions for use</w:t>
      </w:r>
      <w:r>
        <w:rPr>
          <w:rFonts w:asciiTheme="minorBidi" w:hAnsiTheme="minorBidi"/>
          <w:sz w:val="24"/>
          <w:szCs w:val="24"/>
        </w:rPr>
        <w:t xml:space="preserve">, two patient labels and one </w:t>
      </w:r>
      <w:r w:rsidRPr="00024B1D">
        <w:rPr>
          <w:rFonts w:asciiTheme="minorBidi" w:hAnsiTheme="minorBidi"/>
          <w:sz w:val="24"/>
          <w:szCs w:val="24"/>
        </w:rPr>
        <w:t>21</w:t>
      </w:r>
      <w:r>
        <w:rPr>
          <w:rFonts w:asciiTheme="minorBidi" w:hAnsiTheme="minorBidi"/>
          <w:sz w:val="24"/>
          <w:szCs w:val="24"/>
        </w:rPr>
        <w:t>G needles.</w:t>
      </w:r>
    </w:p>
    <w:p w14:paraId="61D8802E" w14:textId="77777777" w:rsidR="003E3142" w:rsidRPr="0010139F" w:rsidRDefault="003E3142" w:rsidP="003E3142">
      <w:pPr>
        <w:spacing w:line="360" w:lineRule="auto"/>
        <w:rPr>
          <w:rFonts w:asciiTheme="minorBidi" w:hAnsiTheme="minorBidi"/>
          <w:b/>
          <w:bCs/>
          <w:sz w:val="32"/>
          <w:szCs w:val="32"/>
        </w:rPr>
      </w:pPr>
      <w:r w:rsidRPr="0010139F">
        <w:rPr>
          <w:rFonts w:asciiTheme="minorBidi" w:hAnsiTheme="minorBidi"/>
          <w:b/>
          <w:bCs/>
          <w:sz w:val="32"/>
          <w:szCs w:val="32"/>
        </w:rPr>
        <w:t>Dosage and A</w:t>
      </w:r>
      <w:r>
        <w:rPr>
          <w:rFonts w:asciiTheme="minorBidi" w:hAnsiTheme="minorBidi"/>
          <w:b/>
          <w:bCs/>
          <w:sz w:val="32"/>
          <w:szCs w:val="32"/>
        </w:rPr>
        <w:t>dministrat</w:t>
      </w:r>
      <w:r w:rsidRPr="0010139F">
        <w:rPr>
          <w:rFonts w:asciiTheme="minorBidi" w:hAnsiTheme="minorBidi"/>
          <w:b/>
          <w:bCs/>
          <w:sz w:val="32"/>
          <w:szCs w:val="32"/>
        </w:rPr>
        <w:t xml:space="preserve">ion </w:t>
      </w:r>
    </w:p>
    <w:p w14:paraId="49BA56AD" w14:textId="77777777" w:rsidR="003E3142" w:rsidRPr="0010139F" w:rsidRDefault="003E3142" w:rsidP="003E3142">
      <w:pPr>
        <w:autoSpaceDE w:val="0"/>
        <w:autoSpaceDN w:val="0"/>
        <w:adjustRightInd w:val="0"/>
        <w:spacing w:after="0" w:line="360" w:lineRule="auto"/>
        <w:rPr>
          <w:rFonts w:asciiTheme="minorBidi" w:hAnsiTheme="minorBidi"/>
          <w:sz w:val="24"/>
          <w:szCs w:val="24"/>
        </w:rPr>
      </w:pPr>
      <w:r w:rsidRPr="0010139F">
        <w:rPr>
          <w:rFonts w:asciiTheme="minorBidi" w:hAnsiTheme="minorBidi"/>
          <w:sz w:val="24"/>
          <w:szCs w:val="24"/>
        </w:rPr>
        <w:t xml:space="preserve">Inject </w:t>
      </w:r>
      <w:r>
        <w:rPr>
          <w:rFonts w:asciiTheme="minorBidi" w:hAnsiTheme="minorBidi"/>
          <w:b/>
          <w:bCs/>
          <w:sz w:val="24"/>
          <w:szCs w:val="24"/>
        </w:rPr>
        <w:t xml:space="preserve">XXXXX </w:t>
      </w:r>
      <w:r w:rsidRPr="0010139F">
        <w:rPr>
          <w:rFonts w:asciiTheme="minorBidi" w:hAnsiTheme="minorBidi"/>
          <w:sz w:val="24"/>
          <w:szCs w:val="24"/>
        </w:rPr>
        <w:t>into the affected joint once a week for a total of 1–3 injections. Several joints may be treated at</w:t>
      </w:r>
      <w:r>
        <w:rPr>
          <w:rFonts w:asciiTheme="minorBidi" w:hAnsiTheme="minorBidi"/>
          <w:sz w:val="24"/>
          <w:szCs w:val="24"/>
        </w:rPr>
        <w:t xml:space="preserve"> </w:t>
      </w:r>
      <w:r w:rsidRPr="0010139F">
        <w:rPr>
          <w:rFonts w:asciiTheme="minorBidi" w:hAnsiTheme="minorBidi"/>
          <w:sz w:val="24"/>
          <w:szCs w:val="24"/>
        </w:rPr>
        <w:t>the same time. Depending on the severity of the joint disease the beneficial effects of a treatment cycle may last at</w:t>
      </w:r>
    </w:p>
    <w:p w14:paraId="0C9C0F41" w14:textId="77777777" w:rsidR="003E3142" w:rsidRDefault="003E3142" w:rsidP="003E3142">
      <w:pPr>
        <w:autoSpaceDE w:val="0"/>
        <w:autoSpaceDN w:val="0"/>
        <w:adjustRightInd w:val="0"/>
        <w:spacing w:after="0" w:line="360" w:lineRule="auto"/>
        <w:rPr>
          <w:rFonts w:asciiTheme="minorBidi" w:hAnsiTheme="minorBidi"/>
          <w:sz w:val="24"/>
          <w:szCs w:val="24"/>
        </w:rPr>
      </w:pPr>
      <w:r w:rsidRPr="0010139F">
        <w:rPr>
          <w:rFonts w:asciiTheme="minorBidi" w:hAnsiTheme="minorBidi"/>
          <w:sz w:val="24"/>
          <w:szCs w:val="24"/>
        </w:rPr>
        <w:lastRenderedPageBreak/>
        <w:t>least six months. Repeat treatment cycles may be administered as required. In case of joint effusion, it is advisable to</w:t>
      </w:r>
      <w:r>
        <w:rPr>
          <w:rFonts w:asciiTheme="minorBidi" w:hAnsiTheme="minorBidi"/>
          <w:sz w:val="24"/>
          <w:szCs w:val="24"/>
        </w:rPr>
        <w:t xml:space="preserve"> </w:t>
      </w:r>
      <w:r w:rsidRPr="0010139F">
        <w:rPr>
          <w:rFonts w:asciiTheme="minorBidi" w:hAnsiTheme="minorBidi"/>
          <w:sz w:val="24"/>
          <w:szCs w:val="24"/>
        </w:rPr>
        <w:t>reduce the effusion by aspiration, rest, application of an ice pack and/or intraarticular corticosteroid</w:t>
      </w:r>
      <w:r>
        <w:rPr>
          <w:rFonts w:asciiTheme="minorBidi" w:hAnsiTheme="minorBidi"/>
          <w:sz w:val="24"/>
          <w:szCs w:val="24"/>
        </w:rPr>
        <w:t xml:space="preserve"> </w:t>
      </w:r>
      <w:r w:rsidRPr="0010139F">
        <w:rPr>
          <w:rFonts w:asciiTheme="minorBidi" w:hAnsiTheme="minorBidi"/>
          <w:sz w:val="24"/>
          <w:szCs w:val="24"/>
        </w:rPr>
        <w:t>injection.</w:t>
      </w:r>
    </w:p>
    <w:p w14:paraId="5A01F360" w14:textId="77777777" w:rsidR="003E3142" w:rsidRPr="00453884" w:rsidRDefault="003E3142" w:rsidP="003E3142">
      <w:pPr>
        <w:autoSpaceDE w:val="0"/>
        <w:autoSpaceDN w:val="0"/>
        <w:adjustRightInd w:val="0"/>
        <w:spacing w:after="0" w:line="360" w:lineRule="auto"/>
        <w:rPr>
          <w:rFonts w:asciiTheme="minorBidi" w:hAnsiTheme="minorBidi"/>
          <w:sz w:val="24"/>
          <w:szCs w:val="24"/>
        </w:rPr>
      </w:pPr>
    </w:p>
    <w:p w14:paraId="17E27DA6" w14:textId="77777777" w:rsidR="003E3142" w:rsidRPr="00947FCD" w:rsidRDefault="003E3142" w:rsidP="003E3142">
      <w:pPr>
        <w:spacing w:line="360" w:lineRule="auto"/>
        <w:rPr>
          <w:rFonts w:asciiTheme="minorBidi" w:hAnsiTheme="minorBidi"/>
          <w:b/>
          <w:bCs/>
          <w:sz w:val="32"/>
          <w:szCs w:val="32"/>
        </w:rPr>
      </w:pPr>
      <w:r w:rsidRPr="00947FCD">
        <w:rPr>
          <w:rFonts w:asciiTheme="minorBidi" w:hAnsiTheme="minorBidi"/>
          <w:b/>
          <w:bCs/>
          <w:sz w:val="32"/>
          <w:szCs w:val="32"/>
        </w:rPr>
        <w:t>Indication for Use</w:t>
      </w:r>
    </w:p>
    <w:p w14:paraId="66FAFFA0" w14:textId="77777777" w:rsidR="003E3142" w:rsidRPr="00947FCD" w:rsidRDefault="003E3142" w:rsidP="003E3142">
      <w:pPr>
        <w:spacing w:line="360" w:lineRule="auto"/>
        <w:rPr>
          <w:rFonts w:asciiTheme="minorBidi" w:hAnsiTheme="minorBidi"/>
          <w:sz w:val="24"/>
          <w:szCs w:val="24"/>
        </w:rPr>
      </w:pPr>
      <w:r>
        <w:rPr>
          <w:rFonts w:asciiTheme="minorBidi" w:hAnsiTheme="minorBidi"/>
          <w:b/>
          <w:bCs/>
          <w:sz w:val="24"/>
          <w:szCs w:val="24"/>
        </w:rPr>
        <w:t>XXXXX</w:t>
      </w:r>
      <w:r w:rsidRPr="00947FCD">
        <w:rPr>
          <w:rFonts w:asciiTheme="minorBidi" w:hAnsiTheme="minorBidi"/>
          <w:b/>
          <w:bCs/>
          <w:sz w:val="24"/>
          <w:szCs w:val="24"/>
        </w:rPr>
        <w:t xml:space="preserve"> </w:t>
      </w:r>
      <w:r w:rsidRPr="00947FCD">
        <w:rPr>
          <w:rFonts w:asciiTheme="minorBidi" w:hAnsiTheme="minorBidi"/>
          <w:sz w:val="24"/>
          <w:szCs w:val="24"/>
        </w:rPr>
        <w:t>is indicated for pain and restricted mobility in degenerative and traumatic changes of the knee joint and other synovial joints (such as shoulder, ankle and metacarpal joints).</w:t>
      </w:r>
    </w:p>
    <w:p w14:paraId="462D916A" w14:textId="77777777" w:rsidR="003E3142" w:rsidRDefault="003E3142" w:rsidP="003E3142">
      <w:pPr>
        <w:spacing w:line="360" w:lineRule="auto"/>
        <w:rPr>
          <w:rFonts w:asciiTheme="minorBidi" w:hAnsiTheme="minorBidi"/>
          <w:b/>
          <w:bCs/>
          <w:sz w:val="32"/>
          <w:szCs w:val="32"/>
        </w:rPr>
      </w:pPr>
      <w:r w:rsidRPr="00947FCD">
        <w:rPr>
          <w:rFonts w:ascii="Arial" w:hAnsi="Arial" w:cs="Arial"/>
          <w:sz w:val="24"/>
          <w:szCs w:val="24"/>
        </w:rPr>
        <w:t xml:space="preserve">Inject </w:t>
      </w:r>
      <w:r>
        <w:rPr>
          <w:rFonts w:ascii="Arial" w:hAnsi="Arial" w:cs="Arial"/>
          <w:b/>
          <w:bCs/>
          <w:sz w:val="24"/>
          <w:szCs w:val="24"/>
        </w:rPr>
        <w:t>XXXXX</w:t>
      </w:r>
      <w:r w:rsidRPr="00947FCD">
        <w:rPr>
          <w:rFonts w:ascii="Arial" w:hAnsi="Arial" w:cs="Arial"/>
          <w:b/>
          <w:bCs/>
          <w:sz w:val="24"/>
          <w:szCs w:val="24"/>
        </w:rPr>
        <w:t xml:space="preserve"> </w:t>
      </w:r>
      <w:r w:rsidRPr="00947FCD">
        <w:rPr>
          <w:rFonts w:ascii="Arial" w:hAnsi="Arial" w:cs="Arial"/>
          <w:sz w:val="24"/>
          <w:szCs w:val="24"/>
        </w:rPr>
        <w:t xml:space="preserve">into the affected joint 1 (one) injection every 6 (six) months. </w:t>
      </w:r>
      <w:r w:rsidRPr="00947FCD">
        <w:rPr>
          <w:rFonts w:asciiTheme="minorBidi" w:hAnsiTheme="minorBidi"/>
          <w:sz w:val="24"/>
          <w:szCs w:val="24"/>
        </w:rPr>
        <w:t>Several joints may be treated at the same time</w:t>
      </w:r>
    </w:p>
    <w:p w14:paraId="5D3065C0" w14:textId="77777777" w:rsidR="003E3142" w:rsidRPr="00F8423B" w:rsidRDefault="003E3142" w:rsidP="003E3142">
      <w:pPr>
        <w:spacing w:line="360" w:lineRule="auto"/>
        <w:rPr>
          <w:rFonts w:asciiTheme="minorBidi" w:hAnsiTheme="minorBidi"/>
          <w:sz w:val="32"/>
          <w:szCs w:val="32"/>
        </w:rPr>
      </w:pPr>
      <w:r w:rsidRPr="00F8423B">
        <w:rPr>
          <w:rFonts w:asciiTheme="minorBidi" w:hAnsiTheme="minorBidi"/>
          <w:b/>
          <w:bCs/>
          <w:sz w:val="32"/>
          <w:szCs w:val="32"/>
        </w:rPr>
        <w:t>Contra-indications</w:t>
      </w:r>
    </w:p>
    <w:p w14:paraId="24BC5337" w14:textId="77777777" w:rsidR="003E3142" w:rsidRPr="00935580" w:rsidRDefault="003E3142" w:rsidP="003E3142">
      <w:pPr>
        <w:spacing w:after="0" w:line="360" w:lineRule="auto"/>
        <w:rPr>
          <w:rFonts w:asciiTheme="minorBidi" w:hAnsiTheme="minorBidi"/>
          <w:sz w:val="24"/>
          <w:szCs w:val="24"/>
        </w:rPr>
      </w:pPr>
      <w:r>
        <w:rPr>
          <w:rFonts w:asciiTheme="minorBidi" w:hAnsiTheme="minorBidi"/>
          <w:b/>
          <w:bCs/>
          <w:sz w:val="24"/>
          <w:szCs w:val="24"/>
        </w:rPr>
        <w:t xml:space="preserve">XXXXX </w:t>
      </w:r>
      <w:r>
        <w:rPr>
          <w:rFonts w:asciiTheme="minorBidi" w:hAnsiTheme="minorBidi"/>
          <w:sz w:val="24"/>
          <w:szCs w:val="24"/>
        </w:rPr>
        <w:t>is contraindicated</w:t>
      </w:r>
      <w:r w:rsidRPr="00935580">
        <w:rPr>
          <w:rFonts w:asciiTheme="minorBidi" w:hAnsiTheme="minorBidi"/>
          <w:sz w:val="24"/>
          <w:szCs w:val="24"/>
        </w:rPr>
        <w:t>:</w:t>
      </w:r>
    </w:p>
    <w:p w14:paraId="67D11E00"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with a known sensitivity to any of the product components.</w:t>
      </w:r>
    </w:p>
    <w:p w14:paraId="5C78C89B"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suffering from an acute or chronic inflammation or infection in the area to be treated.</w:t>
      </w:r>
    </w:p>
    <w:p w14:paraId="20B4BDA6"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In patients with a tendency to develop inflammatory skin conditions or hypertrophic scarring.</w:t>
      </w:r>
    </w:p>
    <w:p w14:paraId="50DC4CE4"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 xml:space="preserve">For patients with unhealthy or poorly vascularized tissue or with systemic disorders affecting wound healing.  </w:t>
      </w:r>
    </w:p>
    <w:p w14:paraId="2E7E9A86"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suffering from skin disease or abnormal skin conditions.</w:t>
      </w:r>
    </w:p>
    <w:p w14:paraId="49FADC66"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with a history of anaphylactic reactions.</w:t>
      </w:r>
    </w:p>
    <w:p w14:paraId="37E6071A" w14:textId="77777777" w:rsidR="003E3142"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use in regions containing foreign bodies (e.g., silicone, other particulate materials).</w:t>
      </w:r>
    </w:p>
    <w:p w14:paraId="0EAB4651"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23221C">
        <w:rPr>
          <w:rFonts w:asciiTheme="minorBidi" w:hAnsiTheme="minorBidi"/>
          <w:sz w:val="24"/>
          <w:szCs w:val="24"/>
        </w:rPr>
        <w:t>For patients with known systemic bleeding disorders.</w:t>
      </w:r>
    </w:p>
    <w:p w14:paraId="5BB54B0B"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with autoimmune diseases.</w:t>
      </w:r>
    </w:p>
    <w:p w14:paraId="550CD8FC"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suffering from porphyria.</w:t>
      </w:r>
    </w:p>
    <w:p w14:paraId="68ED1C47" w14:textId="77777777" w:rsidR="003E3142" w:rsidRPr="00C54B2B"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t>For patients suffering from untreated epilepsy.</w:t>
      </w:r>
    </w:p>
    <w:p w14:paraId="6B62BCBD" w14:textId="77777777" w:rsidR="0005410A" w:rsidRDefault="003E3142" w:rsidP="003E3142">
      <w:pPr>
        <w:pStyle w:val="ListParagraph"/>
        <w:widowControl w:val="0"/>
        <w:numPr>
          <w:ilvl w:val="0"/>
          <w:numId w:val="1"/>
        </w:numPr>
        <w:tabs>
          <w:tab w:val="left" w:pos="142"/>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900" w:hanging="540"/>
        <w:rPr>
          <w:rFonts w:asciiTheme="minorBidi" w:hAnsiTheme="minorBidi"/>
          <w:sz w:val="24"/>
          <w:szCs w:val="24"/>
        </w:rPr>
      </w:pPr>
      <w:r w:rsidRPr="00C54B2B">
        <w:rPr>
          <w:rFonts w:asciiTheme="minorBidi" w:hAnsiTheme="minorBidi"/>
          <w:sz w:val="24"/>
          <w:szCs w:val="24"/>
        </w:rPr>
        <w:lastRenderedPageBreak/>
        <w:t>For use in breastfeeding or pregnant women.</w:t>
      </w:r>
    </w:p>
    <w:p w14:paraId="397CBB80" w14:textId="2D4B1A84" w:rsidR="003E3142" w:rsidRPr="00C54B2B" w:rsidRDefault="003E3142" w:rsidP="00E5072C">
      <w:pPr>
        <w:rPr>
          <w:rFonts w:asciiTheme="minorBidi" w:hAnsiTheme="minorBidi"/>
          <w:sz w:val="24"/>
          <w:szCs w:val="24"/>
        </w:rPr>
      </w:pPr>
      <w:bookmarkStart w:id="0" w:name="_GoBack"/>
      <w:bookmarkEnd w:id="0"/>
    </w:p>
    <w:sectPr w:rsidR="003E3142" w:rsidRPr="00C54B2B" w:rsidSect="00054D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221F1"/>
    <w:multiLevelType w:val="hybridMultilevel"/>
    <w:tmpl w:val="5234EC6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42"/>
    <w:rsid w:val="00000428"/>
    <w:rsid w:val="0000730A"/>
    <w:rsid w:val="00011680"/>
    <w:rsid w:val="0001366D"/>
    <w:rsid w:val="00020B24"/>
    <w:rsid w:val="000309BC"/>
    <w:rsid w:val="00030FFE"/>
    <w:rsid w:val="00045135"/>
    <w:rsid w:val="00050480"/>
    <w:rsid w:val="00053EEE"/>
    <w:rsid w:val="0005410A"/>
    <w:rsid w:val="00054D38"/>
    <w:rsid w:val="00062DD5"/>
    <w:rsid w:val="0009665A"/>
    <w:rsid w:val="00096E40"/>
    <w:rsid w:val="000C3E5C"/>
    <w:rsid w:val="000D46BB"/>
    <w:rsid w:val="000D4901"/>
    <w:rsid w:val="00102FF9"/>
    <w:rsid w:val="0010308D"/>
    <w:rsid w:val="0011173D"/>
    <w:rsid w:val="0011290E"/>
    <w:rsid w:val="00115156"/>
    <w:rsid w:val="00115B47"/>
    <w:rsid w:val="00136B45"/>
    <w:rsid w:val="00137AE0"/>
    <w:rsid w:val="00147519"/>
    <w:rsid w:val="001543D1"/>
    <w:rsid w:val="0016070B"/>
    <w:rsid w:val="001621BF"/>
    <w:rsid w:val="00170029"/>
    <w:rsid w:val="001763AF"/>
    <w:rsid w:val="001850F9"/>
    <w:rsid w:val="0019000C"/>
    <w:rsid w:val="00193F40"/>
    <w:rsid w:val="001C50BA"/>
    <w:rsid w:val="001D0587"/>
    <w:rsid w:val="001E6EFF"/>
    <w:rsid w:val="001F6845"/>
    <w:rsid w:val="001F6D25"/>
    <w:rsid w:val="00200C5E"/>
    <w:rsid w:val="00206224"/>
    <w:rsid w:val="00211382"/>
    <w:rsid w:val="0021319E"/>
    <w:rsid w:val="00216921"/>
    <w:rsid w:val="00224373"/>
    <w:rsid w:val="00225C05"/>
    <w:rsid w:val="00236218"/>
    <w:rsid w:val="002461A9"/>
    <w:rsid w:val="0025005E"/>
    <w:rsid w:val="00250F94"/>
    <w:rsid w:val="00260F88"/>
    <w:rsid w:val="00261EBA"/>
    <w:rsid w:val="00263332"/>
    <w:rsid w:val="00271B41"/>
    <w:rsid w:val="002725C9"/>
    <w:rsid w:val="00285EC6"/>
    <w:rsid w:val="00287E3F"/>
    <w:rsid w:val="00290A38"/>
    <w:rsid w:val="00291DAF"/>
    <w:rsid w:val="0029463C"/>
    <w:rsid w:val="00297180"/>
    <w:rsid w:val="002A46E0"/>
    <w:rsid w:val="002B50CC"/>
    <w:rsid w:val="002C2B2C"/>
    <w:rsid w:val="002C586A"/>
    <w:rsid w:val="002E6443"/>
    <w:rsid w:val="002F12D5"/>
    <w:rsid w:val="003039CA"/>
    <w:rsid w:val="003109A5"/>
    <w:rsid w:val="0031538F"/>
    <w:rsid w:val="00325D94"/>
    <w:rsid w:val="003311BD"/>
    <w:rsid w:val="00333859"/>
    <w:rsid w:val="00333D80"/>
    <w:rsid w:val="00334533"/>
    <w:rsid w:val="00334791"/>
    <w:rsid w:val="00354EAB"/>
    <w:rsid w:val="00355E32"/>
    <w:rsid w:val="00356077"/>
    <w:rsid w:val="00381B2A"/>
    <w:rsid w:val="003A3897"/>
    <w:rsid w:val="003A62EF"/>
    <w:rsid w:val="003B63E1"/>
    <w:rsid w:val="003D383F"/>
    <w:rsid w:val="003E3142"/>
    <w:rsid w:val="003F2729"/>
    <w:rsid w:val="00412FF6"/>
    <w:rsid w:val="00417070"/>
    <w:rsid w:val="00430416"/>
    <w:rsid w:val="00436FF6"/>
    <w:rsid w:val="00447B77"/>
    <w:rsid w:val="00455CA1"/>
    <w:rsid w:val="00462CB8"/>
    <w:rsid w:val="00471413"/>
    <w:rsid w:val="00477A67"/>
    <w:rsid w:val="004B4453"/>
    <w:rsid w:val="004B66D9"/>
    <w:rsid w:val="004C34DA"/>
    <w:rsid w:val="004C45FE"/>
    <w:rsid w:val="004D0AEE"/>
    <w:rsid w:val="004D7675"/>
    <w:rsid w:val="004E4AAE"/>
    <w:rsid w:val="004E7EAF"/>
    <w:rsid w:val="00505DDF"/>
    <w:rsid w:val="00510629"/>
    <w:rsid w:val="00515709"/>
    <w:rsid w:val="00537D69"/>
    <w:rsid w:val="00553896"/>
    <w:rsid w:val="00577691"/>
    <w:rsid w:val="00581A8C"/>
    <w:rsid w:val="005A4EE5"/>
    <w:rsid w:val="005B2A26"/>
    <w:rsid w:val="005C11F0"/>
    <w:rsid w:val="005D38A1"/>
    <w:rsid w:val="005D4DC9"/>
    <w:rsid w:val="005E2A3F"/>
    <w:rsid w:val="005E4679"/>
    <w:rsid w:val="00603A24"/>
    <w:rsid w:val="00610F28"/>
    <w:rsid w:val="00613F14"/>
    <w:rsid w:val="0062342F"/>
    <w:rsid w:val="00624159"/>
    <w:rsid w:val="00634895"/>
    <w:rsid w:val="0063572C"/>
    <w:rsid w:val="0064293C"/>
    <w:rsid w:val="00643083"/>
    <w:rsid w:val="00644F47"/>
    <w:rsid w:val="00651BA2"/>
    <w:rsid w:val="00653C5E"/>
    <w:rsid w:val="00665A82"/>
    <w:rsid w:val="00666719"/>
    <w:rsid w:val="00670A71"/>
    <w:rsid w:val="00672FEC"/>
    <w:rsid w:val="006852D7"/>
    <w:rsid w:val="0069324A"/>
    <w:rsid w:val="00695EBE"/>
    <w:rsid w:val="006963CC"/>
    <w:rsid w:val="006B7D19"/>
    <w:rsid w:val="006C7FC9"/>
    <w:rsid w:val="006D244B"/>
    <w:rsid w:val="006F584F"/>
    <w:rsid w:val="00704FEF"/>
    <w:rsid w:val="00707A9C"/>
    <w:rsid w:val="00716205"/>
    <w:rsid w:val="00716B0E"/>
    <w:rsid w:val="00720075"/>
    <w:rsid w:val="0072412D"/>
    <w:rsid w:val="00740FC9"/>
    <w:rsid w:val="00751E80"/>
    <w:rsid w:val="00754E19"/>
    <w:rsid w:val="0075728A"/>
    <w:rsid w:val="00757798"/>
    <w:rsid w:val="007602C7"/>
    <w:rsid w:val="007832D2"/>
    <w:rsid w:val="007957AC"/>
    <w:rsid w:val="00797CCF"/>
    <w:rsid w:val="007B38A7"/>
    <w:rsid w:val="007B3A63"/>
    <w:rsid w:val="007B76EC"/>
    <w:rsid w:val="007C08DE"/>
    <w:rsid w:val="007C4005"/>
    <w:rsid w:val="007C6A54"/>
    <w:rsid w:val="007E5854"/>
    <w:rsid w:val="007F536A"/>
    <w:rsid w:val="00806605"/>
    <w:rsid w:val="00807070"/>
    <w:rsid w:val="0081259A"/>
    <w:rsid w:val="00815C9C"/>
    <w:rsid w:val="00821506"/>
    <w:rsid w:val="00826522"/>
    <w:rsid w:val="00837EF7"/>
    <w:rsid w:val="00840313"/>
    <w:rsid w:val="00841E2A"/>
    <w:rsid w:val="00876169"/>
    <w:rsid w:val="008945E8"/>
    <w:rsid w:val="008977FD"/>
    <w:rsid w:val="008A6D5F"/>
    <w:rsid w:val="008C434D"/>
    <w:rsid w:val="008C4597"/>
    <w:rsid w:val="008C547F"/>
    <w:rsid w:val="008D027C"/>
    <w:rsid w:val="008D14D3"/>
    <w:rsid w:val="00904319"/>
    <w:rsid w:val="00922F83"/>
    <w:rsid w:val="00923B14"/>
    <w:rsid w:val="00932322"/>
    <w:rsid w:val="0094260B"/>
    <w:rsid w:val="009438F4"/>
    <w:rsid w:val="009473E6"/>
    <w:rsid w:val="00961626"/>
    <w:rsid w:val="00971218"/>
    <w:rsid w:val="00974CA1"/>
    <w:rsid w:val="009773C4"/>
    <w:rsid w:val="00977EE2"/>
    <w:rsid w:val="00980676"/>
    <w:rsid w:val="009835D3"/>
    <w:rsid w:val="00985134"/>
    <w:rsid w:val="0098641C"/>
    <w:rsid w:val="009C4ACC"/>
    <w:rsid w:val="009E17C3"/>
    <w:rsid w:val="009E49C3"/>
    <w:rsid w:val="00A10C44"/>
    <w:rsid w:val="00A10D3F"/>
    <w:rsid w:val="00A330F1"/>
    <w:rsid w:val="00A62C2A"/>
    <w:rsid w:val="00A745C7"/>
    <w:rsid w:val="00A878FC"/>
    <w:rsid w:val="00A960BD"/>
    <w:rsid w:val="00AB2357"/>
    <w:rsid w:val="00AB3CD7"/>
    <w:rsid w:val="00AB57EF"/>
    <w:rsid w:val="00AC75FD"/>
    <w:rsid w:val="00AE0D38"/>
    <w:rsid w:val="00AE6128"/>
    <w:rsid w:val="00AE644D"/>
    <w:rsid w:val="00AF7525"/>
    <w:rsid w:val="00B03274"/>
    <w:rsid w:val="00B04489"/>
    <w:rsid w:val="00B14AD7"/>
    <w:rsid w:val="00B17812"/>
    <w:rsid w:val="00B36029"/>
    <w:rsid w:val="00B40A6C"/>
    <w:rsid w:val="00B4125D"/>
    <w:rsid w:val="00B41A97"/>
    <w:rsid w:val="00B45CFC"/>
    <w:rsid w:val="00B52084"/>
    <w:rsid w:val="00B5363E"/>
    <w:rsid w:val="00B62D89"/>
    <w:rsid w:val="00B75901"/>
    <w:rsid w:val="00B82EFC"/>
    <w:rsid w:val="00B8484A"/>
    <w:rsid w:val="00B9333B"/>
    <w:rsid w:val="00BA56B1"/>
    <w:rsid w:val="00BA7BCD"/>
    <w:rsid w:val="00BB1384"/>
    <w:rsid w:val="00BB675C"/>
    <w:rsid w:val="00BE5AF2"/>
    <w:rsid w:val="00BF14A6"/>
    <w:rsid w:val="00BF779D"/>
    <w:rsid w:val="00C019BB"/>
    <w:rsid w:val="00C42487"/>
    <w:rsid w:val="00C437D1"/>
    <w:rsid w:val="00C60F07"/>
    <w:rsid w:val="00C648F8"/>
    <w:rsid w:val="00C6689D"/>
    <w:rsid w:val="00C72165"/>
    <w:rsid w:val="00C838B0"/>
    <w:rsid w:val="00C97D36"/>
    <w:rsid w:val="00CA6971"/>
    <w:rsid w:val="00CC0BC3"/>
    <w:rsid w:val="00CC587E"/>
    <w:rsid w:val="00CD163B"/>
    <w:rsid w:val="00CD4EA1"/>
    <w:rsid w:val="00CE3221"/>
    <w:rsid w:val="00CF4883"/>
    <w:rsid w:val="00CF4CF8"/>
    <w:rsid w:val="00D02DAE"/>
    <w:rsid w:val="00D17770"/>
    <w:rsid w:val="00D25212"/>
    <w:rsid w:val="00D311A6"/>
    <w:rsid w:val="00D349E2"/>
    <w:rsid w:val="00D46D59"/>
    <w:rsid w:val="00D500D1"/>
    <w:rsid w:val="00D70148"/>
    <w:rsid w:val="00D730C6"/>
    <w:rsid w:val="00D82B9B"/>
    <w:rsid w:val="00D8386F"/>
    <w:rsid w:val="00D96151"/>
    <w:rsid w:val="00D97684"/>
    <w:rsid w:val="00DA0400"/>
    <w:rsid w:val="00DA0675"/>
    <w:rsid w:val="00DA336B"/>
    <w:rsid w:val="00DA46C8"/>
    <w:rsid w:val="00DB36EE"/>
    <w:rsid w:val="00DC0029"/>
    <w:rsid w:val="00DC1E28"/>
    <w:rsid w:val="00DD1E30"/>
    <w:rsid w:val="00DD6A21"/>
    <w:rsid w:val="00DE072D"/>
    <w:rsid w:val="00DE0A03"/>
    <w:rsid w:val="00DE44BB"/>
    <w:rsid w:val="00DF00D1"/>
    <w:rsid w:val="00DF339B"/>
    <w:rsid w:val="00DF7D95"/>
    <w:rsid w:val="00E30101"/>
    <w:rsid w:val="00E31BF4"/>
    <w:rsid w:val="00E426DB"/>
    <w:rsid w:val="00E46005"/>
    <w:rsid w:val="00E46ED9"/>
    <w:rsid w:val="00E5072C"/>
    <w:rsid w:val="00E53CC8"/>
    <w:rsid w:val="00E9281B"/>
    <w:rsid w:val="00E95444"/>
    <w:rsid w:val="00E9578A"/>
    <w:rsid w:val="00EA0094"/>
    <w:rsid w:val="00EB6716"/>
    <w:rsid w:val="00EC3C7E"/>
    <w:rsid w:val="00EE00FE"/>
    <w:rsid w:val="00EF0995"/>
    <w:rsid w:val="00EF2193"/>
    <w:rsid w:val="00EF2AAC"/>
    <w:rsid w:val="00F04933"/>
    <w:rsid w:val="00F07651"/>
    <w:rsid w:val="00F34FAB"/>
    <w:rsid w:val="00F402D9"/>
    <w:rsid w:val="00F4682B"/>
    <w:rsid w:val="00F51F0C"/>
    <w:rsid w:val="00F648E6"/>
    <w:rsid w:val="00F75EFF"/>
    <w:rsid w:val="00F842E8"/>
    <w:rsid w:val="00F93255"/>
    <w:rsid w:val="00F95C1A"/>
    <w:rsid w:val="00FA5FF0"/>
    <w:rsid w:val="00FB3B81"/>
    <w:rsid w:val="00FB4229"/>
    <w:rsid w:val="00FD2C5B"/>
    <w:rsid w:val="00FF114E"/>
    <w:rsid w:val="00FF4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85E9"/>
  <w15:chartTrackingRefBased/>
  <w15:docId w15:val="{63255A90-A202-45CD-B9D3-2B42654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142"/>
    <w:pPr>
      <w:ind w:left="720"/>
      <w:contextualSpacing/>
    </w:pPr>
  </w:style>
  <w:style w:type="character" w:styleId="CommentReference">
    <w:name w:val="annotation reference"/>
    <w:basedOn w:val="DefaultParagraphFont"/>
    <w:uiPriority w:val="99"/>
    <w:semiHidden/>
    <w:unhideWhenUsed/>
    <w:rsid w:val="0005410A"/>
    <w:rPr>
      <w:sz w:val="16"/>
      <w:szCs w:val="16"/>
    </w:rPr>
  </w:style>
  <w:style w:type="paragraph" w:styleId="CommentText">
    <w:name w:val="annotation text"/>
    <w:basedOn w:val="Normal"/>
    <w:link w:val="CommentTextChar"/>
    <w:uiPriority w:val="99"/>
    <w:semiHidden/>
    <w:unhideWhenUsed/>
    <w:rsid w:val="0005410A"/>
    <w:pPr>
      <w:spacing w:line="240" w:lineRule="auto"/>
    </w:pPr>
    <w:rPr>
      <w:sz w:val="20"/>
      <w:szCs w:val="20"/>
    </w:rPr>
  </w:style>
  <w:style w:type="character" w:customStyle="1" w:styleId="CommentTextChar">
    <w:name w:val="Comment Text Char"/>
    <w:basedOn w:val="DefaultParagraphFont"/>
    <w:link w:val="CommentText"/>
    <w:uiPriority w:val="99"/>
    <w:semiHidden/>
    <w:rsid w:val="0005410A"/>
    <w:rPr>
      <w:sz w:val="20"/>
      <w:szCs w:val="20"/>
    </w:rPr>
  </w:style>
  <w:style w:type="paragraph" w:styleId="BalloonText">
    <w:name w:val="Balloon Text"/>
    <w:basedOn w:val="Normal"/>
    <w:link w:val="BalloonTextChar"/>
    <w:uiPriority w:val="99"/>
    <w:semiHidden/>
    <w:unhideWhenUsed/>
    <w:rsid w:val="00E5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 Munk</dc:creator>
  <cp:keywords/>
  <dc:description/>
  <cp:lastModifiedBy>Dovrat Isak</cp:lastModifiedBy>
  <cp:revision>2</cp:revision>
  <dcterms:created xsi:type="dcterms:W3CDTF">2019-05-02T11:45:00Z</dcterms:created>
  <dcterms:modified xsi:type="dcterms:W3CDTF">2019-05-02T11:45:00Z</dcterms:modified>
</cp:coreProperties>
</file>