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C0E" w:rsidRPr="002E7E78" w:rsidRDefault="00D80C0E" w:rsidP="00D80C0E">
      <w:pPr>
        <w:bidi/>
        <w:spacing w:before="100" w:beforeAutospacing="1" w:after="100" w:afterAutospacing="1" w:line="360" w:lineRule="auto"/>
        <w:rPr>
          <w:rFonts w:cs="Arial"/>
          <w:b/>
          <w:bCs/>
          <w:sz w:val="28"/>
          <w:szCs w:val="28"/>
          <w:rtl/>
          <w:lang w:val="en-US" w:bidi="he-IL"/>
        </w:rPr>
      </w:pP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ספר האמונה הרמה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rPr>
          <w:b/>
          <w:bCs/>
          <w:sz w:val="28"/>
          <w:szCs w:val="28"/>
          <w:rtl/>
          <w:lang w:val="en-US"/>
        </w:rPr>
      </w:pP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הקדמה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rPr>
          <w:rtl/>
          <w:lang w:val="en-US"/>
        </w:rPr>
      </w:pPr>
      <w:proofErr w:type="spellStart"/>
      <w:r w:rsidRPr="002E7E78">
        <w:rPr>
          <w:rFonts w:cs="Arial"/>
          <w:rtl/>
          <w:lang w:val="en-US" w:bidi="he-IL"/>
        </w:rPr>
        <w:t>הורני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דרכך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אהלך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באמתך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לבבי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ליראה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שמך</w:t>
      </w:r>
      <w:r w:rsidRPr="002E7E78">
        <w:rPr>
          <w:rFonts w:cs="Arial"/>
          <w:rtl/>
          <w:lang w:val="en-US"/>
        </w:rPr>
        <w:t xml:space="preserve"> (</w:t>
      </w:r>
      <w:r w:rsidRPr="002E7E78">
        <w:rPr>
          <w:rFonts w:cs="Arial"/>
          <w:rtl/>
          <w:lang w:val="en-US" w:bidi="he-IL"/>
        </w:rPr>
        <w:t>תהלים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יא</w:t>
      </w:r>
      <w:r w:rsidRPr="002E7E78">
        <w:rPr>
          <w:rFonts w:cs="Arial"/>
          <w:rtl/>
          <w:lang w:val="en-US"/>
        </w:rPr>
        <w:t>)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rPr>
          <w:rtl/>
          <w:lang w:val="en-US"/>
        </w:rPr>
      </w:pP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הרמה</w:t>
      </w:r>
      <w:r w:rsidRPr="002E7E78">
        <w:rPr>
          <w:rFonts w:cs="Arial"/>
          <w:rtl/>
          <w:lang w:val="en-US"/>
        </w:rPr>
        <w:t xml:space="preserve">" </w:t>
      </w:r>
      <w:r w:rsidRPr="002E7E78">
        <w:rPr>
          <w:rFonts w:cs="Arial"/>
          <w:rtl/>
          <w:lang w:val="en-US" w:bidi="he-IL"/>
        </w:rPr>
        <w:t>המביאה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הפילוסופיה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והדת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חברו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הפילוסוף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החסיד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הנכבד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אברהם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דאוד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נע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לחבר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במעשיו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ושלשה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מאמרים</w:t>
      </w:r>
      <w:r w:rsidRPr="002E7E78">
        <w:rPr>
          <w:rFonts w:cs="Arial"/>
          <w:rtl/>
          <w:lang w:val="en-US"/>
        </w:rPr>
        <w:t>.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בזכר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המביאה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והדרך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ילך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. </w:t>
      </w:r>
      <w:r w:rsidRPr="002E7E78">
        <w:rPr>
          <w:rFonts w:cs="Arial"/>
          <w:rtl/>
          <w:lang w:val="en-US" w:bidi="he-IL"/>
        </w:rPr>
        <w:t>וזכר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ותועלתו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תועלת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ויצטרך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ממדרגות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יצטרך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rPr>
          <w:lang w:val="en-US" w:bidi="he-IL"/>
        </w:rPr>
      </w:pP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בהקדמות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מחכמת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הטבע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שאחריו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שיצטרך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שירצה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לדעת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הישראלית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ההסתלק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ממדרגות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ההמון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בהתחלות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הג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ברפואה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הנפשית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b/>
          <w:bCs/>
          <w:rtl/>
          <w:lang w:val="en-US"/>
        </w:rPr>
      </w:pPr>
      <w:r w:rsidRPr="002E7E78">
        <w:rPr>
          <w:rFonts w:cs="Arial"/>
          <w:b/>
          <w:bCs/>
          <w:rtl/>
          <w:lang w:val="en-US" w:bidi="he-IL"/>
        </w:rPr>
        <w:t>זכר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b/>
          <w:bCs/>
          <w:rtl/>
          <w:lang w:val="en-US" w:bidi="he-IL"/>
        </w:rPr>
        <w:t>הכלל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b/>
          <w:bCs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שאלת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</w:t>
      </w:r>
      <w:r w:rsidRPr="002E7E78">
        <w:rPr>
          <w:rFonts w:cs="Arial"/>
          <w:rtl/>
          <w:lang w:val="en-US"/>
        </w:rPr>
        <w:t xml:space="preserve"> - </w:t>
      </w:r>
      <w:r w:rsidRPr="002E7E78">
        <w:rPr>
          <w:rFonts w:cs="Arial"/>
          <w:rtl/>
          <w:lang w:val="en-US" w:bidi="he-IL"/>
        </w:rPr>
        <w:t>ירוממך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והבחירה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וזכרת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הדיבה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הקצוות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שהעברות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שיעבור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מכריחו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יענישהו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יזהיר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בדתות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ועוד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ישלח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נביאיו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לצוות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עליהן</w:t>
      </w:r>
      <w:r w:rsidRPr="002E7E78">
        <w:rPr>
          <w:rFonts w:cs="Arial"/>
          <w:rtl/>
          <w:lang w:val="en-US"/>
        </w:rPr>
        <w:t xml:space="preserve">? </w:t>
      </w:r>
      <w:r w:rsidRPr="002E7E78">
        <w:rPr>
          <w:rFonts w:cs="Arial"/>
          <w:rtl/>
          <w:lang w:val="en-US" w:bidi="he-IL"/>
        </w:rPr>
        <w:t>וגם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יעבור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ירצה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ויזהר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ירצה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יעבור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ממשלת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עליו</w:t>
      </w:r>
      <w:r w:rsidRPr="002E7E78">
        <w:rPr>
          <w:rFonts w:cs="Arial"/>
          <w:rtl/>
          <w:lang w:val="en-US"/>
        </w:rPr>
        <w:t>?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וזכרת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השאלה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מוצאנו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כתובים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מעידים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בהכרח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>' "</w:t>
      </w:r>
      <w:r w:rsidRPr="002E7E78">
        <w:rPr>
          <w:rFonts w:cs="Arial"/>
          <w:rtl/>
          <w:lang w:val="en-US" w:bidi="he-IL"/>
        </w:rPr>
        <w:t>ואני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אקשה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פרעה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>) "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אלהיך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ואמץ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לבבו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מסך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בקרבה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רוח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עועים</w:t>
      </w:r>
      <w:proofErr w:type="spellEnd"/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ישעיה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יט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יד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למה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תתענו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מדרכיך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תקשיח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מיראתך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ישעיה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סג</w:t>
      </w:r>
      <w:proofErr w:type="spellEnd"/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יז</w:t>
      </w:r>
      <w:proofErr w:type="spellEnd"/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יפתה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ויעל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ויפול</w:t>
      </w:r>
      <w:proofErr w:type="spellEnd"/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ברמת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הגלעד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מלכים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כב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והנביא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יפותה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פתתי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ההוא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יחזקאל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ט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אכן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ירמיה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ובהפך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ועשיתי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בחקי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תלכו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יחזקאל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כז</w:t>
      </w:r>
      <w:proofErr w:type="spellEnd"/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והסירותי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לב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מבשרכם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יחזקאל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ו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כו</w:t>
      </w:r>
      <w:proofErr w:type="spellEnd"/>
      <w:r w:rsidRPr="002E7E78">
        <w:rPr>
          <w:rFonts w:cs="Arial"/>
          <w:rtl/>
          <w:lang w:val="en-US"/>
        </w:rPr>
        <w:t xml:space="preserve">).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 w:bidi="he-IL"/>
        </w:rPr>
        <w:t>ומצאנו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פסוקים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מעידים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בחירי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>' "</w:t>
      </w:r>
      <w:r w:rsidRPr="002E7E78">
        <w:rPr>
          <w:rFonts w:cs="Arial"/>
          <w:rtl/>
          <w:lang w:val="en-US" w:bidi="he-IL"/>
        </w:rPr>
        <w:t>העידותי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הארץ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החיים</w:t>
      </w:r>
      <w:r w:rsidRPr="002E7E78">
        <w:rPr>
          <w:rFonts w:cs="Arial"/>
          <w:rtl/>
          <w:lang w:val="en-US"/>
        </w:rPr>
        <w:t xml:space="preserve"> (1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proofErr w:type="spellStart"/>
      <w:r w:rsidRPr="002E7E78">
        <w:rPr>
          <w:rFonts w:cs="Arial"/>
          <w:rtl/>
          <w:lang w:val="en-US" w:bidi="he-IL"/>
        </w:rPr>
        <w:t>והמות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נתתי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לפניך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ט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חי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אלהים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אחפוץ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מדרכו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וחיה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אחפוץ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יחזקאל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שלחתי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הנביאים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רצו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ירמיה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צויתי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ירמיה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ט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); </w:t>
      </w:r>
      <w:r w:rsidRPr="002E7E78">
        <w:rPr>
          <w:rFonts w:cs="Arial"/>
          <w:rtl/>
          <w:lang w:val="en-US"/>
        </w:rPr>
        <w:lastRenderedPageBreak/>
        <w:t>"</w:t>
      </w:r>
      <w:r w:rsidRPr="002E7E78">
        <w:rPr>
          <w:rFonts w:cs="Arial"/>
          <w:rtl/>
          <w:lang w:val="en-US" w:bidi="he-IL"/>
        </w:rPr>
        <w:t>לעשות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ולנסוך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מסכה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רוחי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ישעיה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). </w:t>
      </w:r>
      <w:proofErr w:type="spellStart"/>
      <w:r w:rsidRPr="002E7E78">
        <w:rPr>
          <w:rFonts w:cs="Arial"/>
          <w:rtl/>
          <w:lang w:val="en-US" w:bidi="he-IL"/>
        </w:rPr>
        <w:t>והשיבותיך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אז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ואמרתי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שהפסוקים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התוריים</w:t>
      </w:r>
      <w:proofErr w:type="spellEnd"/>
      <w:r w:rsidRPr="002E7E78">
        <w:rPr>
          <w:rFonts w:cs="Arial"/>
          <w:lang w:val="en-US"/>
        </w:rPr>
        <w:t xml:space="preserve"> -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שהונחו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פשוטיהם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שהונחו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במלות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מנוס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עשות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ביאור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והראיה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סתירת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קצתם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לקצת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שקדם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לכן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מנוס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לבלתי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עשות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פירוש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הקצוות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 w:bidi="he-IL"/>
        </w:rPr>
        <w:t>והודעתיך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שהפסוק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ביאור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שיעיד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סותרו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פסוקים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הונחו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שראוי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להמון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שהענין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באמתתו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דברה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תורה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בלשון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", </w:t>
      </w:r>
      <w:proofErr w:type="spellStart"/>
      <w:r w:rsidRPr="002E7E78">
        <w:rPr>
          <w:rFonts w:cs="Arial"/>
          <w:rtl/>
          <w:lang w:val="en-US" w:bidi="he-IL"/>
        </w:rPr>
        <w:t>כאמרו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>': "</w:t>
      </w:r>
      <w:r w:rsidRPr="002E7E78">
        <w:rPr>
          <w:rFonts w:cs="Arial"/>
          <w:rtl/>
          <w:lang w:val="en-US" w:bidi="he-IL"/>
        </w:rPr>
        <w:t>ארדה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הכצעקתה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הבאה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עשו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אדעה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בראשית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ידעתי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אלהים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>); "</w:t>
      </w:r>
      <w:r w:rsidRPr="002E7E78">
        <w:rPr>
          <w:rFonts w:cs="Arial"/>
          <w:rtl/>
          <w:lang w:val="en-US" w:bidi="he-IL"/>
        </w:rPr>
        <w:t>לולי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כעס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אויב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אגור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ז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ורבים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כהם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והודעתיך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שהדבה</w:t>
      </w:r>
      <w:proofErr w:type="spellEnd"/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איננה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כדבה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ההכרח.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הדבה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מנוס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להמלט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ומגונה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ושהדבה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מעוטה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ונקל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לצאת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וראיתיך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אצלך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שבארתיו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מספיק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והנהגה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רפואיית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בנפשך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הפרש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הדבה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הבחירה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ואינך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לבדך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מאנשי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בגלילנו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והנה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הניע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ממני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שוקט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להועיל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מנבראיו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דעתי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ראיתי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שהבלבול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והשבוש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ובדומות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לבעלי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מפני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עזבם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בעיקרי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אמונתם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הישראלית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ובקשת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האותות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וההסכמה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ובין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הפילוספיא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האמיתית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סמכו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הפילוסופים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והסכמתם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מסכימים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חולקים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לעזבם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בחכמות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דרך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חכמי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אומתנו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בזמנים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העוברים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נכבדות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ותבונות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נכונות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שנזכר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יוחנן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זכאי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שמואל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הסנהדרין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ודור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בזמננו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שיעיין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מעט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כח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שיאחז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נרות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בימינו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ובשמאלו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חכמתו</w:t>
      </w:r>
      <w:proofErr w:type="spellEnd"/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ידליק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יכבה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בזמנים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הראשונים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שספרו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רז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מאלישע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באמרם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ארבעה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נכנסו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לפרדס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עקיבא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 </w:t>
      </w:r>
      <w:proofErr w:type="spellStart"/>
      <w:r w:rsidRPr="002E7E78">
        <w:rPr>
          <w:rFonts w:cs="Arial"/>
          <w:rtl/>
          <w:lang w:val="en-US" w:bidi="he-IL"/>
        </w:rPr>
        <w:t>עזאי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ובן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זומא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ואלישע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color w:val="000000" w:themeColor="text1"/>
          <w:rtl/>
          <w:lang w:val="en-US" w:bidi="he-IL"/>
        </w:rPr>
        <w:t>אחר</w:t>
      </w:r>
      <w:r w:rsidRPr="002E7E78">
        <w:rPr>
          <w:rFonts w:cs="Arial"/>
          <w:color w:val="000000" w:themeColor="text1"/>
          <w:rtl/>
          <w:lang w:val="en-US"/>
        </w:rPr>
        <w:t xml:space="preserve"> (2</w:t>
      </w:r>
      <w:r w:rsidRPr="002E7E78">
        <w:rPr>
          <w:rFonts w:cs="Arial"/>
          <w:color w:val="000000" w:themeColor="text1"/>
          <w:rtl/>
          <w:lang w:val="en-US" w:bidi="he-IL"/>
        </w:rPr>
        <w:t>א</w:t>
      </w:r>
      <w:r w:rsidRPr="002E7E78">
        <w:rPr>
          <w:rFonts w:cs="Arial"/>
          <w:color w:val="000000" w:themeColor="text1"/>
          <w:rtl/>
          <w:lang w:val="en-US"/>
        </w:rPr>
        <w:t xml:space="preserve">) </w:t>
      </w:r>
      <w:r w:rsidRPr="002E7E78">
        <w:rPr>
          <w:rFonts w:cs="Arial"/>
          <w:color w:val="000000" w:themeColor="text1"/>
          <w:rtl/>
          <w:lang w:val="en-US" w:bidi="he-IL"/>
        </w:rPr>
        <w:t>בן</w:t>
      </w:r>
      <w:r w:rsidRPr="002E7E78">
        <w:rPr>
          <w:rFonts w:cs="Arial"/>
          <w:color w:val="000000" w:themeColor="text1"/>
          <w:rtl/>
          <w:lang w:val="en-US"/>
        </w:rPr>
        <w:t xml:space="preserve"> </w:t>
      </w:r>
      <w:proofErr w:type="spellStart"/>
      <w:r w:rsidRPr="002E7E78">
        <w:rPr>
          <w:rFonts w:cs="Arial"/>
          <w:color w:val="000000" w:themeColor="text1"/>
          <w:rtl/>
          <w:lang w:val="en-US" w:bidi="he-IL"/>
        </w:rPr>
        <w:t>עזאי</w:t>
      </w:r>
      <w:proofErr w:type="spellEnd"/>
      <w:r w:rsidRPr="002E7E78">
        <w:rPr>
          <w:rFonts w:cs="Arial"/>
          <w:color w:val="000000" w:themeColor="text1"/>
          <w:rtl/>
          <w:lang w:val="en-US"/>
        </w:rPr>
        <w:t xml:space="preserve"> </w:t>
      </w:r>
      <w:r w:rsidRPr="002E7E78">
        <w:rPr>
          <w:rFonts w:cs="Arial"/>
          <w:color w:val="000000" w:themeColor="text1"/>
          <w:rtl/>
          <w:lang w:val="en-US" w:bidi="he-IL"/>
        </w:rPr>
        <w:t>הציץ</w:t>
      </w:r>
      <w:r w:rsidRPr="002E7E78">
        <w:rPr>
          <w:rFonts w:cs="Arial"/>
          <w:color w:val="000000" w:themeColor="text1"/>
          <w:rtl/>
          <w:lang w:val="en-US"/>
        </w:rPr>
        <w:t xml:space="preserve"> </w:t>
      </w:r>
      <w:r w:rsidRPr="002E7E78">
        <w:rPr>
          <w:rFonts w:cs="Arial"/>
          <w:color w:val="000000" w:themeColor="text1"/>
          <w:rtl/>
          <w:lang w:val="en-US" w:bidi="he-IL"/>
        </w:rPr>
        <w:t>ומת</w:t>
      </w:r>
      <w:r w:rsidRPr="002E7E78">
        <w:rPr>
          <w:rFonts w:cs="Arial"/>
          <w:color w:val="000000" w:themeColor="text1"/>
          <w:rtl/>
          <w:lang w:val="en-US"/>
        </w:rPr>
        <w:t xml:space="preserve">, </w:t>
      </w:r>
      <w:r w:rsidRPr="002E7E78">
        <w:rPr>
          <w:rFonts w:cs="Arial"/>
          <w:color w:val="000000" w:themeColor="text1"/>
          <w:rtl/>
          <w:lang w:val="en-US" w:bidi="he-IL"/>
        </w:rPr>
        <w:t>בן</w:t>
      </w:r>
      <w:r w:rsidRPr="002E7E78">
        <w:rPr>
          <w:rFonts w:cs="Arial"/>
          <w:color w:val="000000" w:themeColor="text1"/>
          <w:rtl/>
          <w:lang w:val="en-US"/>
        </w:rPr>
        <w:t xml:space="preserve"> </w:t>
      </w:r>
      <w:proofErr w:type="spellStart"/>
      <w:r w:rsidRPr="002E7E78">
        <w:rPr>
          <w:rFonts w:cs="Arial"/>
          <w:color w:val="000000" w:themeColor="text1"/>
          <w:rtl/>
          <w:lang w:val="en-US" w:bidi="he-IL"/>
        </w:rPr>
        <w:t>זומא</w:t>
      </w:r>
      <w:proofErr w:type="spellEnd"/>
      <w:r w:rsidRPr="002E7E78">
        <w:rPr>
          <w:rFonts w:cs="Arial"/>
          <w:color w:val="000000" w:themeColor="text1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הציץ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ונפגע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אלישע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קצץ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בנטיעות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עקיבא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נכנס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בשלום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בשלום</w:t>
      </w:r>
      <w:r w:rsidRPr="002E7E78">
        <w:rPr>
          <w:rFonts w:cs="Arial"/>
          <w:rtl/>
          <w:lang w:val="en-US"/>
        </w:rPr>
        <w:t xml:space="preserve"> (</w:t>
      </w:r>
      <w:r w:rsidRPr="002E7E78">
        <w:rPr>
          <w:rFonts w:cs="Arial"/>
          <w:rtl/>
          <w:lang w:val="en-US" w:bidi="he-IL"/>
        </w:rPr>
        <w:t>חגיגה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)." </w:t>
      </w:r>
      <w:r w:rsidRPr="002E7E78">
        <w:rPr>
          <w:rFonts w:cs="Arial"/>
          <w:rtl/>
          <w:lang w:val="en-US" w:bidi="he-IL"/>
        </w:rPr>
        <w:t>ולזה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יחשבו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מאנשי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דורנו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הדקות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שיזיק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יבקשו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מהחכמות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ונמשך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ידעו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שרשי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ועיקריה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עיונם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ודיוקם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בענפיה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יספיק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מעט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ענינם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נמצאו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כשקפצו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לדבר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בכמו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הענינים</w:t>
      </w:r>
      <w:proofErr w:type="spellEnd"/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נסתפקו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סבותיהם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וחשכו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דרכיהם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שדרוש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ידיעתו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בתארי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ופעולותיו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הגיע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בגלילנו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הונח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דבור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יעיר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מזאת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מהחכמות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בשעור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שראוי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שיעתקו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אמונתם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זולתי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סעדיה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קראו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lastRenderedPageBreak/>
        <w:t>האמונות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והדעות</w:t>
      </w:r>
      <w:r w:rsidRPr="002E7E78">
        <w:rPr>
          <w:rFonts w:cs="Arial"/>
          <w:rtl/>
          <w:lang w:val="en-US"/>
        </w:rPr>
        <w:t xml:space="preserve">."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הטיב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מאוד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יגמלהו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טוב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חקרנוהו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מצאנוהו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מספיק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. </w:t>
      </w:r>
      <w:proofErr w:type="spellStart"/>
      <w:r w:rsidRPr="002E7E78">
        <w:rPr>
          <w:rFonts w:cs="Arial"/>
          <w:rtl/>
          <w:lang w:val="en-US" w:bidi="he-IL"/>
        </w:rPr>
        <w:t>וג</w:t>
      </w:r>
      <w:proofErr w:type="spellEnd"/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כ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עמדנו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שלמה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גבירול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להועיל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מהפילוסופיא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ייחד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ישתתפו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האנשים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שספרו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רמזנו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קראו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מקור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חיים</w:t>
      </w:r>
      <w:r w:rsidRPr="002E7E78">
        <w:rPr>
          <w:rFonts w:cs="Arial"/>
          <w:rtl/>
          <w:lang w:val="en-US"/>
        </w:rPr>
        <w:t xml:space="preserve">" </w:t>
      </w:r>
      <w:proofErr w:type="spellStart"/>
      <w:r w:rsidRPr="002E7E78">
        <w:rPr>
          <w:rFonts w:cs="Arial"/>
          <w:rtl/>
          <w:lang w:val="en-US" w:bidi="he-IL"/>
        </w:rPr>
        <w:t>באולי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יצרף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במצרף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יוכללו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בפחות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מעשירית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ההוא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ועוד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התעסק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לעשות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הקשים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הקפיד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שתהיינה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הקדמותיהם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אמיתיות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הספיק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דעתו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הקדמות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מדומות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הקש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אמתי</w:t>
      </w:r>
      <w:proofErr w:type="spellEnd"/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אכן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חמריהם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חמרים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מסופקים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ששׁער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מופת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מאין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הביא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הרבה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מופתים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כסבור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שהמופתים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הבלתי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אמתיים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עומדים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האמתי</w:t>
      </w:r>
      <w:r w:rsidRPr="002E7E78">
        <w:rPr>
          <w:rFonts w:cs="Arial"/>
          <w:rtl/>
          <w:lang w:val="en-US"/>
        </w:rPr>
        <w:t xml:space="preserve">. </w:t>
      </w:r>
      <w:proofErr w:type="spellStart"/>
      <w:r w:rsidRPr="002E7E78">
        <w:rPr>
          <w:rFonts w:cs="Arial"/>
          <w:rtl/>
          <w:lang w:val="en-US" w:bidi="he-IL"/>
        </w:rPr>
        <w:t>ובכמו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החכם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טוב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חפנים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עמל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ורעות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רוח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קהלת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ואמרו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חכמים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טבא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פלפלתא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חריפא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צנא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דקארי</w:t>
      </w:r>
      <w:proofErr w:type="spellEnd"/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יומא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b/>
          <w:bCs/>
          <w:lang w:val="en-US"/>
        </w:rPr>
        <w:t xml:space="preserve"> (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הייתי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מגנה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שעמד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ספרו</w:t>
      </w:r>
      <w:r w:rsidRPr="002E7E78">
        <w:rPr>
          <w:rFonts w:cs="Arial"/>
          <w:rtl/>
          <w:lang w:val="en-US"/>
        </w:rPr>
        <w:t xml:space="preserve"> .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חולשת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מדרגתו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בפילוסופיא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מגשש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כמגשש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באפלה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שהתחננתי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לעזרני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לפקוח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מאומתנו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בעקרי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אמונתם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עדיות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הכתובים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התוריים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ומופתים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מהפילוסופיא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האמיתית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ראיתי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הקדים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הקדמות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מחכמות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הטבע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שאחריו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שבזאת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הביאה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התשובה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המספקת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(2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הידיעה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בתארי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ופעולותיו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אמתות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תאריו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ופעולתיו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מציאותו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אחדותו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תדמה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לאחדות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שיקרא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"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הפשוטים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הגשמיים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שנניח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מלאכים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לראיה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כתובים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הקשים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מופתיים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מדברים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ונצטרך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כתובים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ומופתים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שכליים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ורצוננו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שלמלאכים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שהתחלת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התחלת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>-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מחכמת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כלל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ומחכמת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האנושית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בפרט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שיושפע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להבדיל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והשכל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נעתיק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בלעדיו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שספרנו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ידיעתו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ממניע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שיתנועע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התנועה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ושכולם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ממניע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ושהמניע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בכולם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המתנועע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ורצוננו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שהתנועות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תכלינה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מניע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ראשון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נמצאים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בפועל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תכלית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שהתנועה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שתפול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בסבוב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וכאשר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הוצרכנו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התנועות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הוצרכנו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שמהן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נפשיות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טבעיות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ולכן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חוייב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שנעורר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הטבע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בהעברה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ולכן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הוצרכנו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היסודות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lastRenderedPageBreak/>
        <w:t>מקומותיהם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הטבעיים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בצורותיהם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המתחלפות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בגשמיותם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חמריהם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המשותפים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במקריהם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הנמשכים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נתחייב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ההיולי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הצורה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המלאכותיות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המוחשים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הטבעיות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בהיולי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והביאונו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כונת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מקור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החיים</w:t>
      </w:r>
      <w:r w:rsidRPr="002E7E78">
        <w:rPr>
          <w:rFonts w:cs="Arial"/>
          <w:rtl/>
          <w:lang w:val="en-US"/>
        </w:rPr>
        <w:t xml:space="preserve">" </w:t>
      </w:r>
      <w:r w:rsidRPr="002E7E78">
        <w:rPr>
          <w:rFonts w:cs="Arial"/>
          <w:rtl/>
          <w:lang w:val="en-US" w:bidi="he-IL"/>
        </w:rPr>
        <w:t>בדבור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מדוקדק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מהמותרות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ובמופת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אמתי</w:t>
      </w:r>
      <w:proofErr w:type="spellEnd"/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רצוננו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להטריח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סדר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ההקש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בכח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ההקש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המופתיי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יסדרוהו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ההגיון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ירצו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הבנתם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בגבול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האמצעי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דעתנו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שנפקח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האנשים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ואמתות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וסוגי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הכוונה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יכוונו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המתפלספים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הנקרא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קאטגוריש</w:t>
      </w:r>
      <w:proofErr w:type="spellEnd"/>
      <w:r w:rsidRPr="002E7E78">
        <w:rPr>
          <w:rFonts w:cs="Arial"/>
          <w:rtl/>
          <w:lang w:val="en-US"/>
        </w:rPr>
        <w:t xml:space="preserve">  (3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בלשון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color w:val="000000" w:themeColor="text1"/>
          <w:rtl/>
          <w:lang w:val="en-US" w:bidi="he-IL"/>
        </w:rPr>
        <w:t>והמאמרות</w:t>
      </w:r>
      <w:proofErr w:type="spellEnd"/>
      <w:r w:rsidRPr="002E7E78">
        <w:rPr>
          <w:rFonts w:cs="Arial"/>
          <w:color w:val="000000" w:themeColor="text1"/>
          <w:rtl/>
          <w:lang w:val="en-US"/>
        </w:rPr>
        <w:t xml:space="preserve"> </w:t>
      </w:r>
      <w:r w:rsidRPr="002E7E78">
        <w:rPr>
          <w:rFonts w:cs="Arial"/>
          <w:color w:val="000000" w:themeColor="text1"/>
          <w:rtl/>
          <w:lang w:val="en-US" w:bidi="he-IL"/>
        </w:rPr>
        <w:t>בעברי</w:t>
      </w:r>
      <w:r w:rsidRPr="002E7E78">
        <w:rPr>
          <w:rFonts w:cs="Arial"/>
          <w:color w:val="000000" w:themeColor="text1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ונקוה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שנעלה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שזולתו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הענינים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נחתום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הראשון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וייחדנו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השני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הנתלים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הנהגות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מדיניות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ומעלות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שדומה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דיוקים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שכליים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במינים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שונים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נזכרם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עוד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חסידי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אומתנו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הראשון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יגרע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הכתוב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שיתבאר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שאמתיות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נכללות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בספרי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הקדש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הרעות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נכחיש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המשכם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יתברך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בתכלית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ההכחשה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הנבואה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ומיניה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ותנאי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אנחנו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מחויבים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לשמוע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ונבאר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הגמול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והעונש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אופן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ניחל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ללכת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rtl/>
          <w:lang w:val="en-US"/>
        </w:rPr>
      </w:pP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העיון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מבואר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פילוסופיא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מעשית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בדת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מקובלת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ובפילוספיא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האמיתית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מבוארת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במופת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תועלתו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הנני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מיעץ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בתכלית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התמימות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ישאלוהו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ההכרח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והבחירה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שדומה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חושש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יחשוב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ישיגנו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ידאג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בקרבו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לסכלותו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יכניס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לעיין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בזולתו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שכוונתו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ככוונת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שישאר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וקבלתו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תכלית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הפילוסופיא</w:t>
      </w:r>
      <w:proofErr w:type="spellEnd"/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המעשה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טובה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תביאהו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המעשה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החכמים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בחכמת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הבקיאים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בפילוסופיא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אינם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צריכים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בחכמתם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מספרנו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ואולם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בעיון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נבוך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הקבלה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הגיעהו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הגיעה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מעלתו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שיתאמת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שנשתבש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מועיל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מאוד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הקרבנו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מאופני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ובנינו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יסודותיה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הדת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וית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אומר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בתורתו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החכמה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ושמרתם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ועשיתם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חכמתכם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ובינתכם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ישמעון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החוקים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ואמרו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רק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חכם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ונבון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הגוי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שם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המעשיות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השמעיות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מאומתנו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ההנהגות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המדיניות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ומעלות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המדות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לשומם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הנהגה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ולסרים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למשמעתו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בחקרם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שרשי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הישראלית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מסכימים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שעמדו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הפלגת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חקירתם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ותכלית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חריצותם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להוציא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lastRenderedPageBreak/>
        <w:t>לאמתתו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המשא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והמתן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שעשו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שנים</w:t>
      </w:r>
      <w:r w:rsidRPr="002E7E78">
        <w:rPr>
          <w:rFonts w:cs="Arial"/>
          <w:rtl/>
          <w:lang w:val="en-US"/>
        </w:rPr>
        <w:t xml:space="preserve">; </w:t>
      </w:r>
      <w:r w:rsidRPr="002E7E78">
        <w:rPr>
          <w:rFonts w:cs="Arial"/>
          <w:rtl/>
          <w:lang w:val="en-US" w:bidi="he-IL"/>
        </w:rPr>
        <w:t>ולנו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אנחנו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נתן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עמל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וחקירה</w:t>
      </w:r>
      <w:r w:rsidRPr="002E7E78">
        <w:rPr>
          <w:rFonts w:cs="Arial"/>
          <w:rtl/>
          <w:lang w:val="en-US"/>
        </w:rPr>
        <w:t>, (3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לקחנוהו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מהנביא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ומצאנוהו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מבואר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במופת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בפילוסופיא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האמתית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הראשון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ואשאל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להצילני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מפשע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ומשגיאה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ולהישירני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ומעשה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למען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חסדו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rPr>
          <w:rFonts w:cs="Arial"/>
          <w:rtl/>
          <w:lang w:val="en-US"/>
        </w:rPr>
      </w:pPr>
      <w:r w:rsidRPr="002E7E78">
        <w:rPr>
          <w:rFonts w:cs="Arial"/>
          <w:rtl/>
          <w:lang w:val="en-US"/>
        </w:rPr>
        <w:br w:type="page"/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center"/>
        <w:rPr>
          <w:b/>
          <w:bCs/>
          <w:sz w:val="36"/>
          <w:szCs w:val="36"/>
          <w:lang w:val="en-US"/>
        </w:rPr>
      </w:pPr>
      <w:r w:rsidRPr="002E7E78">
        <w:rPr>
          <w:rFonts w:cs="Arial"/>
          <w:b/>
          <w:bCs/>
          <w:sz w:val="36"/>
          <w:szCs w:val="36"/>
          <w:rtl/>
          <w:lang w:val="en-US" w:bidi="he-IL"/>
        </w:rPr>
        <w:lastRenderedPageBreak/>
        <w:t>המאמר</w:t>
      </w:r>
      <w:r w:rsidRPr="002E7E78">
        <w:rPr>
          <w:rFonts w:cs="Arial"/>
          <w:b/>
          <w:bCs/>
          <w:sz w:val="36"/>
          <w:szCs w:val="36"/>
          <w:rtl/>
          <w:lang w:val="en-US"/>
        </w:rPr>
        <w:t xml:space="preserve"> </w:t>
      </w:r>
      <w:r w:rsidRPr="002E7E78">
        <w:rPr>
          <w:rFonts w:cs="Arial"/>
          <w:b/>
          <w:bCs/>
          <w:sz w:val="36"/>
          <w:szCs w:val="36"/>
          <w:rtl/>
          <w:lang w:val="en-US" w:bidi="he-IL"/>
        </w:rPr>
        <w:t>הראשון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rtl/>
          <w:lang w:val="en-US"/>
        </w:rPr>
      </w:pP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הפרק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הא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>'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rtl/>
          <w:lang w:val="en-US"/>
        </w:rPr>
      </w:pP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בזכר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העצם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והמקרה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ורושם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כל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אחד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מהם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וזכר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סוגי</w:t>
      </w:r>
      <w:r w:rsidRPr="002E7E78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2E7E78">
        <w:rPr>
          <w:rFonts w:cs="Arial"/>
          <w:b/>
          <w:bCs/>
          <w:sz w:val="28"/>
          <w:szCs w:val="28"/>
          <w:rtl/>
          <w:lang w:val="en-US" w:bidi="he-IL"/>
        </w:rPr>
        <w:t>המקרה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הנמצאים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נחלקים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חלוקה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ראשונה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ומקרה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לנושא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נרשום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שנוסיף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ביאור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הנמצא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העמדה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בלעדיו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הלבן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יועיל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יזיק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העלותו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העמדה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באילן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הענפים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העמדה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בלעדיהם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העמדה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מענינו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במקום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יפרד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ממקום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בזולתו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הנייר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יעתק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זולתו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ודע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בהקש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בבימה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בהקש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החמור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ובהקש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המלאך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מקרה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/>
        </w:rPr>
        <w:tab/>
      </w:r>
      <w:r w:rsidRPr="002E7E78">
        <w:rPr>
          <w:rFonts w:cs="Arial"/>
          <w:rtl/>
          <w:lang w:val="en-US" w:bidi="he-IL"/>
        </w:rPr>
        <w:t>ואבן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גבירול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בספרו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סברתו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בבחינת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בבחינת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ואולם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טעות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בדאו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מלבו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חדשו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מהמתפלסים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ונמשך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והגשמי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מיניו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רובם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בחוש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מינים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השמים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שיקרא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יסודות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המינים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הפשוטים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המורכבים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וצמחים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וגשמי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הבעלי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המדבר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סוגי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אצל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הפילוסופים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ישתדלו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הנחלקים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האנושי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(4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שיוכללו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מושכליהם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השתתפם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;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ראשונה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ואַחַר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בסבת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הראשון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לכלם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הסוס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והחמור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והכלב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בסבת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בהפך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והמקרה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נקנה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באמצעות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המקרה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lastRenderedPageBreak/>
        <w:t>וכאשר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השתדלו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שתחתיהן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תשעה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הנייר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 </w:t>
      </w:r>
      <w:r w:rsidRPr="002E7E78">
        <w:rPr>
          <w:rFonts w:cs="Arial"/>
          <w:rtl/>
          <w:lang w:val="en-US" w:bidi="he-IL"/>
        </w:rPr>
        <w:t>דרך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וראו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במוחלט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הנייר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הכפור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השלג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וזולתם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והשחרות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ומראים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והטעם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והריח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וזולתם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ואמרו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שהאיכות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המראה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שהמקרה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וזולתו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שילקח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עשרה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סוגים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זכרנוהו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ותשעה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מקרים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והאיכות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והמצב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ואלה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השלשה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מונחים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נגלים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וההצטרפות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ואנה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ומתי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ואלה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ענינים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חלושי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נעלמים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ושיפעל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ושיתפעל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ומציאותם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ממוצע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יעלמו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כהעלם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השלשה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האחרונים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ואינם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נגלים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כראשונים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בהסכמה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והכמה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שישוער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שיכרת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קטון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וישוער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כולו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יבחן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השיעור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הבחינה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בחינה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לכמה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מינים</w:t>
      </w:r>
      <w:r w:rsidRPr="002E7E78">
        <w:rPr>
          <w:rFonts w:cs="Arial"/>
          <w:rtl/>
          <w:lang w:val="en-US"/>
        </w:rPr>
        <w:t xml:space="preserve">: </w:t>
      </w:r>
      <w:proofErr w:type="spellStart"/>
      <w:r w:rsidRPr="002E7E78">
        <w:rPr>
          <w:rFonts w:cs="Arial"/>
          <w:rtl/>
          <w:lang w:val="en-US" w:bidi="he-IL"/>
        </w:rPr>
        <w:t>מתדבק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ומתחלק</w:t>
      </w:r>
      <w:r w:rsidRPr="002E7E78">
        <w:rPr>
          <w:rFonts w:cs="Arial"/>
          <w:rtl/>
          <w:lang w:val="en-US"/>
        </w:rPr>
        <w:t xml:space="preserve">. </w:t>
      </w:r>
      <w:proofErr w:type="spellStart"/>
      <w:r w:rsidRPr="002E7E78">
        <w:rPr>
          <w:rFonts w:cs="Arial"/>
          <w:rtl/>
          <w:lang w:val="en-US" w:bidi="he-IL"/>
        </w:rPr>
        <w:t>והמתדבק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שיונח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יחלקהו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משותף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המתחלקים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רצוני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סוף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והתחלת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בקו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התפשטות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; </w:t>
      </w:r>
      <w:r w:rsidRPr="002E7E78">
        <w:rPr>
          <w:rFonts w:cs="Arial"/>
          <w:rtl/>
          <w:lang w:val="en-US" w:bidi="he-IL"/>
        </w:rPr>
        <w:t>ובשטח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התפשטות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צדדין</w:t>
      </w:r>
      <w:r w:rsidRPr="002E7E78">
        <w:rPr>
          <w:rFonts w:cs="Arial"/>
          <w:rtl/>
          <w:lang w:val="en-US"/>
        </w:rPr>
        <w:t xml:space="preserve">; </w:t>
      </w:r>
      <w:r w:rsidRPr="002E7E78">
        <w:rPr>
          <w:rFonts w:cs="Arial"/>
          <w:rtl/>
          <w:lang w:val="en-US" w:bidi="he-IL"/>
        </w:rPr>
        <w:t>ובגשם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התפשטות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צדדין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שיונחו</w:t>
      </w:r>
      <w:r w:rsidRPr="002E7E78">
        <w:rPr>
          <w:rFonts w:cs="Arial"/>
          <w:rtl/>
          <w:lang w:val="en-US"/>
        </w:rPr>
        <w:t xml:space="preserve"> (4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קוים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נכרתים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זויות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נצבות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וימצא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שיעור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תנועת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הגלגל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שיתחבר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בתנועתו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מתנועתו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הלילה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והיום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וימצא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במספר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לבדו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המתחלק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שיונח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יחלקהו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חלוקה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מדומה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משותף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החלקים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השטח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בקו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והתחלק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בנקודה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ידומה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שהעתה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ובעתיד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ומשותף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ביניהם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במספר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החמשה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טעה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החמשה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הנשארים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לכמה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שהחמשה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וירצה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והמספר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ראשון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הבגד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באמצעות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לבגד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וסברת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גבירול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מספרו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הנושא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למאמרות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מוחש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וסבר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מתנועע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מניע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ונתן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תשיגהו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יעצרהו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מהתנועה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ותמנעהו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מעבור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מוחש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השגעון</w:t>
      </w:r>
      <w:proofErr w:type="spellEnd"/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מקריות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תסתלק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ותחול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תחתיה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עומד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החדש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בחבית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שאיננו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מלא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ירתח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שימלאהו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lastRenderedPageBreak/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יושב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השואל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? </w:t>
      </w:r>
      <w:r w:rsidRPr="002E7E78">
        <w:rPr>
          <w:rFonts w:cs="Arial"/>
          <w:rtl/>
          <w:lang w:val="en-US" w:bidi="he-IL"/>
        </w:rPr>
        <w:t>והיא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מינים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בנפש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הסכלות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העול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הבריאות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החולי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בהיותם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מהירי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ההסרה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נקבעו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נקראו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קנין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שיאמר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כח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טבעי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הבריאי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והחולני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הבריאות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והחולי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החולני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בריא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הבריא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חולה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שבשעוה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צורה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ובאבן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והמין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השלישי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ההתפעליית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וההתפעלויות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והאיכות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ההתפעליית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יגיעו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בחושינו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ממוחשיהם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כרשמים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שיקבלו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שימושש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והקר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והלח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והיבש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והקשה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והרך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והכבד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והקל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שיקבל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הריחות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וחוש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הקולות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וחוש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הנראים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וחוש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הטעמים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יקראו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איכיות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התפעליות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גשמיים</w:t>
      </w:r>
      <w:r w:rsidRPr="002E7E78">
        <w:rPr>
          <w:rFonts w:cs="Arial"/>
          <w:rtl/>
          <w:lang w:val="en-US"/>
        </w:rPr>
        <w:t>. (5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ההתפעלותיות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רשומים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נפשיים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הרחמנות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והבשת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והכעס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שיראה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ושובו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בשמעו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התנצלות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והמין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הרביעי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שהיא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משולשים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כשיחוברו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מרובע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ונשתנית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התמונה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שנתוסף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המרובע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כשיוסר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חציו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משולש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קשתות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כשיקובצו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עגולה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בהפך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יתוסף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נפרד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נפרד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בהפך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השלישי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המצב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המקום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ינוח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במקום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מיושבים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המקום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ששוכב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מצדדיו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ויתהפך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השוכב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בטנו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לשכב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גבו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העומד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במקומו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היושב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יקום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הרושם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שרשמו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למצב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שהמצב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חלקי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קצתם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לקצת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הפרקדן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בטנו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והשוכב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בטנו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בהפך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הרביעי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בהקש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חבירו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והאדון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והעבד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והחצי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והכפל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יושכל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זכרנו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והבניות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במצטרף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בצירוף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בצירוף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יבחן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הצטרפות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בכמה</w:t>
      </w:r>
      <w:r w:rsidRPr="002E7E78">
        <w:rPr>
          <w:rFonts w:cs="Arial"/>
          <w:rtl/>
          <w:lang w:val="en-US"/>
        </w:rPr>
        <w:t xml:space="preserve">; 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וקטון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ומעט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הניח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יצורף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קטון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וגרגיר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שומשמין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בצירוף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הגדולים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וגרגיר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השומשמין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גרגיר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שומשמין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קטון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חכם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משמעון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צירוף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באיכות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לימין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שמעון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ולשמאל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צירוף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בשאר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lastRenderedPageBreak/>
        <w:t>ומסגולות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המצטרפים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ישוב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המאמר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לאב</w:t>
      </w:r>
      <w:r w:rsidRPr="002E7E78">
        <w:rPr>
          <w:rFonts w:cs="Arial"/>
          <w:rtl/>
          <w:lang w:val="en-US"/>
        </w:rPr>
        <w:t xml:space="preserve">. 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ישוב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כאמרך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שישוב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המצטרפים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הצירוף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הצירוף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לעוף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(5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שתאמר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עוף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עוף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לכנף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הכנף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למעופף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המעופף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מעופף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יעופפהו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הרוח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תרצה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לקחת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יחד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למעופף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והמעופף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כנף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הכנף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המצטרפים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כשיובן</w:t>
      </w:r>
      <w:r w:rsidRPr="002E7E78">
        <w:rPr>
          <w:rFonts w:cs="Arial"/>
          <w:rtl/>
          <w:lang w:val="en-US"/>
        </w:rPr>
        <w:t xml:space="preserve"> [</w:t>
      </w:r>
      <w:r w:rsidRPr="002E7E78">
        <w:rPr>
          <w:rFonts w:cs="Arial"/>
          <w:rtl/>
          <w:lang w:val="en-US" w:bidi="he-IL"/>
        </w:rPr>
        <w:t>האחד</w:t>
      </w:r>
      <w:r w:rsidRPr="002E7E78">
        <w:rPr>
          <w:rFonts w:cs="Arial"/>
          <w:rtl/>
          <w:lang w:val="en-US"/>
        </w:rPr>
        <w:t xml:space="preserve">] </w:t>
      </w:r>
      <w:r w:rsidRPr="002E7E78">
        <w:rPr>
          <w:rFonts w:cs="Arial"/>
          <w:rtl/>
          <w:lang w:val="en-US" w:bidi="he-IL"/>
        </w:rPr>
        <w:t>יובן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בהכרח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חצי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חצי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מבלי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שתדע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החצי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והכפל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החמישי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מציאותו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למציאתו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וענין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שמציאותו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נמשך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המתחדשים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שוים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שעור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כאמרך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היתה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המלחמה</w:t>
      </w:r>
      <w:r w:rsidRPr="002E7E78">
        <w:rPr>
          <w:rFonts w:cs="Arial"/>
          <w:rtl/>
          <w:lang w:val="en-US"/>
        </w:rPr>
        <w:t xml:space="preserve">? </w:t>
      </w:r>
      <w:r w:rsidRPr="002E7E78">
        <w:rPr>
          <w:rFonts w:cs="Arial"/>
          <w:rtl/>
          <w:lang w:val="en-US" w:bidi="he-IL"/>
        </w:rPr>
        <w:t>ויאמר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כך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ולפעמים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המתחדשים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בעתה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כאמרך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בעתה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מהתהפך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מצורה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צורה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כשישאלוך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שזה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הנשאל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חדש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פלוני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בחדש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פלוני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הששי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אנה</w:t>
      </w:r>
      <w:r w:rsidRPr="002E7E78">
        <w:rPr>
          <w:rFonts w:cs="Arial"/>
          <w:rtl/>
          <w:lang w:val="en-US"/>
        </w:rPr>
        <w:t xml:space="preserve"> –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המקום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המקום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כשישאלוך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שתאמר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הבית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בבית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השביעי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נעתק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בהעתקו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לובש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צנוף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במצנפת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מונעל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הבעלי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וקליפות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האילנות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נכנסים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הענין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כשנלקחו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יקיף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ויהיה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ויעתק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בהעתקו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שיפעל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מהנעת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המניע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למתנועע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כהנעת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המזונות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והתרופות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החולי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הבריאות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בהפך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וכשנות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הכובס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השחרות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ויריעתו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והדומים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לאלה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והסוג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התשיעי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שיתפעל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יתחדש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מהתנועעות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המתנועע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המניע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מושכל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שוה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הקודם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ומיניו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כמיניו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המושכל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הפעולה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ונושא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ההתפעלות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המתפעל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נושאים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בגדים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גשמים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lastRenderedPageBreak/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רמזים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מספיקים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לתלמידים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יבינו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שהמושכל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נכנס</w:t>
      </w:r>
      <w:r w:rsidRPr="002E7E78">
        <w:rPr>
          <w:rFonts w:cs="Arial"/>
          <w:rtl/>
          <w:lang w:val="en-US"/>
        </w:rPr>
        <w:t xml:space="preserve"> (6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תחת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התחלות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המחשבה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b/>
          <w:bCs/>
          <w:rtl/>
          <w:lang w:val="en-US"/>
        </w:rPr>
      </w:pPr>
      <w:r w:rsidRPr="002E7E78">
        <w:rPr>
          <w:rFonts w:cs="Arial"/>
          <w:b/>
          <w:bCs/>
          <w:rtl/>
          <w:lang w:val="en-US" w:bidi="he-IL"/>
        </w:rPr>
        <w:t>כתוב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b/>
          <w:bCs/>
          <w:rtl/>
          <w:lang w:val="en-US" w:bidi="he-IL"/>
        </w:rPr>
        <w:t>מעיד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b/>
          <w:bCs/>
          <w:rtl/>
          <w:lang w:val="en-US" w:bidi="he-IL"/>
        </w:rPr>
        <w:t>במושכלות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b/>
          <w:bCs/>
          <w:rtl/>
          <w:lang w:val="en-US" w:bidi="he-IL"/>
        </w:rPr>
        <w:t>ומדרגות</w:t>
      </w:r>
      <w:r w:rsidRPr="002E7E78">
        <w:rPr>
          <w:rFonts w:cs="Arial"/>
          <w:b/>
          <w:bCs/>
          <w:rtl/>
          <w:lang w:val="en-US"/>
        </w:rPr>
        <w:t xml:space="preserve"> </w:t>
      </w:r>
      <w:r w:rsidRPr="002E7E78">
        <w:rPr>
          <w:rFonts w:cs="Arial"/>
          <w:b/>
          <w:bCs/>
          <w:rtl/>
          <w:lang w:val="en-US" w:bidi="he-IL"/>
        </w:rPr>
        <w:t>המאורות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t>וכבר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דוד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ורב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וזכר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חכמת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יי</w:t>
      </w:r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חקרתני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ותדע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תהלים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קלט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</w:t>
      </w:r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שבתי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וקומי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וזהו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בנת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לרעי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מרחוק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וזהו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תכונת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ארחי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ורבעי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זרית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הקפת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בתכליותיו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הסכנת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וזהו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הנשאר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ממיני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האיכות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אחור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וקדם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צרתני</w:t>
      </w:r>
      <w:proofErr w:type="spellEnd"/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ותשת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כפך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נתן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התמונה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מחובר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מאיכות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וכמות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מרוחך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ז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עד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אמרו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תנחני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ותאחזני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ימינך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י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להיות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והקפת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בכולם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תסכני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בבטן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יג</w:t>
      </w:r>
      <w:proofErr w:type="spellEnd"/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ההצטרפות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עשֵתי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רקמתי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בתחתיות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ארץ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טו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וההתפעלות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גלמי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עיניך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ספרך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יכתבו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טז</w:t>
      </w:r>
      <w:proofErr w:type="spellEnd"/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שב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המתחלק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הנמצא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באיברים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ימים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יוצרו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בהם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ספר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מתי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ואפשר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שיובן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נכלל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תחת</w:t>
      </w:r>
      <w:r w:rsidRPr="002E7E78">
        <w:rPr>
          <w:rFonts w:cs="Arial"/>
          <w:rtl/>
          <w:lang w:val="en-US"/>
        </w:rPr>
        <w:t xml:space="preserve"> "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דרכי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הסכנת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ג</w:t>
      </w:r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הנה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המזמור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סוגי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הנמצאות</w:t>
      </w:r>
      <w:r w:rsidRPr="002E7E78">
        <w:rPr>
          <w:rFonts w:cs="Arial"/>
          <w:rtl/>
          <w:lang w:val="en-US"/>
        </w:rPr>
        <w:t xml:space="preserve">.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Fonts w:cs="Arial"/>
          <w:lang w:val="en-US"/>
        </w:rPr>
      </w:pPr>
      <w:r w:rsidRPr="002E7E78">
        <w:rPr>
          <w:rFonts w:cs="Arial"/>
          <w:rtl/>
          <w:lang w:val="en-US" w:bidi="he-IL"/>
        </w:rPr>
        <w:t>והוסיף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גדול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באמרו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חושך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יחשיך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ולילה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כחשכה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כאורה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יב</w:t>
      </w:r>
      <w:proofErr w:type="spellEnd"/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רמז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המאורות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מדרגות</w:t>
      </w:r>
      <w:r w:rsidRPr="002E7E78">
        <w:rPr>
          <w:rFonts w:cs="Arial"/>
          <w:rtl/>
          <w:lang w:val="en-US"/>
        </w:rPr>
        <w:t xml:space="preserve">: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בכח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ראות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בפועל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ויתן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בלילה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קודם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המצאו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רק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חסר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פנים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צריך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שיקרה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ההכבות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מרוח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שדומה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מפגעים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מחוץ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ולמעלה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הירח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החסרונות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הלילות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ואפילו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שלימותו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חזק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ולמעלה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השמש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החסרונות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בשלמותו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חזק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האורה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ישיגהו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השקיעה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בלילה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חסרון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ועוד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שאמנם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ובפרט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שטחיהם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החצוניים</w:t>
      </w:r>
      <w:proofErr w:type="spellEnd"/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זאת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הארץ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נדע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תחתיה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מאבנים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מתכות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מטמון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ולמעלה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מאורו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אנחנו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נשיג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נראים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כהשיגנו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גלגל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הנטיה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וגלגל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ההקפה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ונשיג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גשמיים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הנפש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והמלאכים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וית</w:t>
      </w:r>
      <w:proofErr w:type="spellEnd"/>
      <w:r w:rsidRPr="002E7E78">
        <w:rPr>
          <w:rFonts w:cs="Arial"/>
          <w:rtl/>
          <w:lang w:val="en-US"/>
        </w:rPr>
        <w:t xml:space="preserve">', </w:t>
      </w:r>
      <w:r w:rsidRPr="002E7E78">
        <w:rPr>
          <w:rFonts w:cs="Arial"/>
          <w:rtl/>
          <w:lang w:val="en-US" w:bidi="he-IL"/>
        </w:rPr>
        <w:t>כמו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שנבאר</w:t>
      </w:r>
      <w:r w:rsidRPr="002E7E78">
        <w:rPr>
          <w:rFonts w:cs="Arial"/>
          <w:rtl/>
          <w:lang w:val="en-US"/>
        </w:rPr>
        <w:t xml:space="preserve"> (6</w:t>
      </w:r>
      <w:r w:rsidRPr="002E7E78">
        <w:rPr>
          <w:rFonts w:cs="Arial"/>
          <w:rtl/>
          <w:lang w:val="en-US" w:bidi="he-IL"/>
        </w:rPr>
        <w:t>ב</w:t>
      </w:r>
      <w:r w:rsidRPr="002E7E78">
        <w:rPr>
          <w:rFonts w:cs="Arial"/>
          <w:rtl/>
          <w:lang w:val="en-US"/>
        </w:rPr>
        <w:t xml:space="preserve">) </w:t>
      </w:r>
      <w:r w:rsidRPr="002E7E78">
        <w:rPr>
          <w:rFonts w:cs="Arial"/>
          <w:rtl/>
          <w:lang w:val="en-US" w:bidi="he-IL"/>
        </w:rPr>
        <w:t>עוד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ונחלק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כח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בחרב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חדה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לחלקם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אנחנו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נחלק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ושטחו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ונשפוט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שעצמותו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ושטחו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מקרה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ובין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הכדור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קטביו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ובריחו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ונשפוט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שהכדור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הגשמי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כדור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ושהשני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קטבים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והבריח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קרו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מצד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סובב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הונח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בשכלינו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נח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מתנועע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ימצאו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המקרים</w:t>
      </w:r>
      <w:r w:rsidRPr="002E7E78">
        <w:rPr>
          <w:rFonts w:cs="Arial"/>
          <w:rtl/>
          <w:lang w:val="en-US"/>
        </w:rPr>
        <w:t>.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/>
        </w:rPr>
        <w:t xml:space="preserve"> </w:t>
      </w:r>
    </w:p>
    <w:p w:rsidR="00D80C0E" w:rsidRPr="002E7E78" w:rsidRDefault="00D80C0E" w:rsidP="00D80C0E">
      <w:pPr>
        <w:bidi/>
        <w:spacing w:before="100" w:beforeAutospacing="1" w:after="100" w:afterAutospacing="1" w:line="360" w:lineRule="auto"/>
        <w:jc w:val="both"/>
        <w:rPr>
          <w:rtl/>
          <w:lang w:val="en-US"/>
        </w:rPr>
      </w:pPr>
      <w:r w:rsidRPr="002E7E78">
        <w:rPr>
          <w:rFonts w:cs="Arial"/>
          <w:rtl/>
          <w:lang w:val="en-US" w:bidi="he-IL"/>
        </w:rPr>
        <w:lastRenderedPageBreak/>
        <w:t>וגם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ענינים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דקים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נזכור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קצתם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הספר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נזכרהו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מזה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יותר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ממה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שנזכרוהו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כפלי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כפלים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ואחר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שזהו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היותנו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שקועים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בעסקי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העולם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וגזרותיו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ענין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העצמים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השכליים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הנקראים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בלשון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התורה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מלאכים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חכמת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וית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אין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כמוה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דבר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יקיפו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השכלים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יספרוהו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הלשונות</w:t>
      </w:r>
      <w:r w:rsidRPr="002E7E78">
        <w:rPr>
          <w:rFonts w:cs="Arial"/>
          <w:rtl/>
          <w:lang w:val="en-US"/>
        </w:rPr>
        <w:t xml:space="preserve">. </w:t>
      </w:r>
      <w:r w:rsidRPr="002E7E78">
        <w:rPr>
          <w:rFonts w:cs="Arial"/>
          <w:rtl/>
          <w:lang w:val="en-US" w:bidi="he-IL"/>
        </w:rPr>
        <w:t>לכן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שבחן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האדון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</w:t>
      </w:r>
      <w:r w:rsidRPr="002E7E78">
        <w:rPr>
          <w:rFonts w:cs="Arial"/>
          <w:rtl/>
          <w:lang w:val="en-US"/>
        </w:rPr>
        <w:t>"</w:t>
      </w:r>
      <w:r w:rsidRPr="002E7E78">
        <w:rPr>
          <w:rFonts w:cs="Arial"/>
          <w:rtl/>
          <w:lang w:val="en-US" w:bidi="he-IL"/>
        </w:rPr>
        <w:t>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גם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חשך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יחשיך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ממך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ולילה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כיום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יאיר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כחשכה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כאורה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תהלים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קלט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יב</w:t>
      </w:r>
      <w:proofErr w:type="spellEnd"/>
      <w:r w:rsidRPr="002E7E78">
        <w:rPr>
          <w:rFonts w:cs="Arial"/>
          <w:rtl/>
          <w:lang w:val="en-US"/>
        </w:rPr>
        <w:t xml:space="preserve">).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מאמר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אחר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כאלו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מופת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שקדם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אמרו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קנית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כליותי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תסכני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בבטן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יג</w:t>
      </w:r>
      <w:proofErr w:type="spellEnd"/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ירצה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שידיעת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proofErr w:type="spellStart"/>
      <w:r w:rsidRPr="002E7E78">
        <w:rPr>
          <w:rFonts w:cs="Arial"/>
          <w:rtl/>
          <w:lang w:val="en-US" w:bidi="he-IL"/>
        </w:rPr>
        <w:t>וית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למעלה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אורה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המאורות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יתנו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לנו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השגת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השטחים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החיצונים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מכל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גשם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לפי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ששם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יגיעו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המאורות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ואור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ידיעת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האל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ית</w:t>
      </w:r>
      <w:proofErr w:type="spellEnd"/>
      <w:r w:rsidRPr="002E7E78">
        <w:rPr>
          <w:rFonts w:cs="Arial"/>
          <w:rtl/>
          <w:lang w:val="en-US"/>
        </w:rPr>
        <w:t xml:space="preserve">' </w:t>
      </w:r>
      <w:r w:rsidRPr="002E7E78">
        <w:rPr>
          <w:rFonts w:cs="Arial"/>
          <w:rtl/>
          <w:lang w:val="en-US" w:bidi="he-IL"/>
        </w:rPr>
        <w:t>יגיע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ולפני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האשה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ההרה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נראה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שטחה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החיצון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ואמנם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מקום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הריונה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הוא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והעובר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לפנים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והאיברים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הפנימים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העובר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לִפְנֵי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לִפְנַי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וְלִפְנִים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לזה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כי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אתה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קנית</w:t>
      </w:r>
      <w:r w:rsidRPr="002E7E78">
        <w:rPr>
          <w:rFonts w:cs="Arial"/>
          <w:rtl/>
          <w:lang w:val="en-US"/>
        </w:rPr>
        <w:t xml:space="preserve"> </w:t>
      </w:r>
      <w:proofErr w:type="spellStart"/>
      <w:r w:rsidRPr="002E7E78">
        <w:rPr>
          <w:rFonts w:cs="Arial"/>
          <w:rtl/>
          <w:lang w:val="en-US" w:bidi="he-IL"/>
        </w:rPr>
        <w:t>כליותי</w:t>
      </w:r>
      <w:proofErr w:type="spellEnd"/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תסכני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בבטן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אמי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proofErr w:type="spellStart"/>
      <w:r w:rsidRPr="002E7E78">
        <w:rPr>
          <w:rFonts w:cs="Arial"/>
          <w:rtl/>
          <w:lang w:val="en-US" w:bidi="he-IL"/>
        </w:rPr>
        <w:t>יג</w:t>
      </w:r>
      <w:proofErr w:type="spellEnd"/>
      <w:r w:rsidRPr="002E7E78">
        <w:rPr>
          <w:rFonts w:cs="Arial"/>
          <w:rtl/>
          <w:lang w:val="en-US"/>
        </w:rPr>
        <w:t xml:space="preserve">), </w:t>
      </w:r>
      <w:r w:rsidRPr="002E7E78">
        <w:rPr>
          <w:rFonts w:cs="Arial"/>
          <w:rtl/>
          <w:lang w:val="en-US" w:bidi="he-IL"/>
        </w:rPr>
        <w:t>ואמר</w:t>
      </w:r>
      <w:r w:rsidRPr="002E7E78">
        <w:rPr>
          <w:rFonts w:cs="Arial"/>
          <w:rtl/>
          <w:lang w:val="en-US"/>
        </w:rPr>
        <w:t>: "</w:t>
      </w:r>
      <w:r w:rsidRPr="002E7E78">
        <w:rPr>
          <w:rFonts w:cs="Arial"/>
          <w:rtl/>
          <w:lang w:val="en-US" w:bidi="he-IL"/>
        </w:rPr>
        <w:t>לא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נכחד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עצמי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ממך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אשר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עשתי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בסתר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רקמתי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בתחתיות</w:t>
      </w:r>
      <w:r w:rsidRPr="002E7E78">
        <w:rPr>
          <w:rFonts w:cs="Arial"/>
          <w:rtl/>
          <w:lang w:val="en-US"/>
        </w:rPr>
        <w:t xml:space="preserve"> </w:t>
      </w:r>
      <w:r w:rsidRPr="002E7E78">
        <w:rPr>
          <w:rFonts w:cs="Arial"/>
          <w:rtl/>
          <w:lang w:val="en-US" w:bidi="he-IL"/>
        </w:rPr>
        <w:t>ארץ</w:t>
      </w:r>
      <w:r w:rsidRPr="002E7E78">
        <w:rPr>
          <w:rFonts w:cs="Arial"/>
          <w:rtl/>
          <w:lang w:val="en-US"/>
        </w:rPr>
        <w:t>" (</w:t>
      </w:r>
      <w:r w:rsidRPr="002E7E78">
        <w:rPr>
          <w:rFonts w:cs="Arial"/>
          <w:rtl/>
          <w:lang w:val="en-US" w:bidi="he-IL"/>
        </w:rPr>
        <w:t>שם</w:t>
      </w:r>
      <w:r w:rsidRPr="002E7E78">
        <w:rPr>
          <w:rFonts w:cs="Arial"/>
          <w:rtl/>
          <w:lang w:val="en-US"/>
        </w:rPr>
        <w:t xml:space="preserve">, </w:t>
      </w:r>
      <w:r w:rsidRPr="002E7E78">
        <w:rPr>
          <w:rFonts w:cs="Arial"/>
          <w:rtl/>
          <w:lang w:val="en-US" w:bidi="he-IL"/>
        </w:rPr>
        <w:t>טו</w:t>
      </w:r>
      <w:r w:rsidRPr="002E7E78">
        <w:rPr>
          <w:rFonts w:cs="Arial"/>
          <w:rtl/>
          <w:lang w:val="en-US"/>
        </w:rPr>
        <w:t xml:space="preserve">) </w:t>
      </w:r>
      <w:proofErr w:type="spellStart"/>
      <w:r w:rsidRPr="002E7E78">
        <w:rPr>
          <w:rFonts w:cs="Arial"/>
          <w:rtl/>
          <w:lang w:val="en-US" w:bidi="he-IL"/>
        </w:rPr>
        <w:t>וכו</w:t>
      </w:r>
      <w:proofErr w:type="spellEnd"/>
      <w:r w:rsidRPr="002E7E78">
        <w:rPr>
          <w:rFonts w:cs="Arial"/>
          <w:rtl/>
          <w:lang w:val="en-US"/>
        </w:rPr>
        <w:t xml:space="preserve">'. </w:t>
      </w:r>
    </w:p>
    <w:p w:rsidR="00D80C0E" w:rsidRPr="002E7E78" w:rsidRDefault="00D80C0E" w:rsidP="00D80C0E">
      <w:pPr>
        <w:spacing w:before="100" w:beforeAutospacing="1" w:after="100" w:afterAutospacing="1" w:line="360" w:lineRule="auto"/>
        <w:rPr>
          <w:lang w:val="en-US"/>
        </w:rPr>
      </w:pPr>
    </w:p>
    <w:p w:rsidR="00FA10C7" w:rsidRPr="00D80C0E" w:rsidRDefault="00FA10C7" w:rsidP="00D80C0E">
      <w:pPr>
        <w:spacing w:before="100" w:beforeAutospacing="1" w:after="100" w:afterAutospacing="1" w:line="360" w:lineRule="auto"/>
        <w:rPr>
          <w:rFonts w:asciiTheme="majorBidi" w:hAnsiTheme="majorBidi" w:cstheme="majorBidi"/>
          <w:lang w:val="en-US" w:bidi="he-IL"/>
        </w:rPr>
      </w:pPr>
    </w:p>
    <w:sectPr w:rsidR="00FA10C7" w:rsidRPr="00D80C0E" w:rsidSect="00C550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E"/>
    <w:rsid w:val="004F58DF"/>
    <w:rsid w:val="00845E4D"/>
    <w:rsid w:val="00C5509E"/>
    <w:rsid w:val="00D80C0E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61DC5"/>
  <w15:chartTrackingRefBased/>
  <w15:docId w15:val="{8B6E8D10-9EBF-F742-B512-60C9588F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0C0E"/>
  </w:style>
  <w:style w:type="paragraph" w:styleId="FootnoteText">
    <w:name w:val="footnote text"/>
    <w:basedOn w:val="Normal"/>
    <w:link w:val="FootnoteTextChar"/>
    <w:uiPriority w:val="99"/>
    <w:unhideWhenUsed/>
    <w:rsid w:val="00D80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0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80C0E"/>
    <w:rPr>
      <w:vertAlign w:val="superscript"/>
    </w:rPr>
  </w:style>
  <w:style w:type="paragraph" w:customStyle="1" w:styleId="Default">
    <w:name w:val="Default"/>
    <w:rsid w:val="00D80C0E"/>
    <w:pPr>
      <w:autoSpaceDE w:val="0"/>
      <w:autoSpaceDN w:val="0"/>
      <w:adjustRightInd w:val="0"/>
    </w:pPr>
    <w:rPr>
      <w:rFonts w:ascii="Code" w:hAnsi="Code" w:cs="Cod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0C0E"/>
    <w:pPr>
      <w:tabs>
        <w:tab w:val="center" w:pos="4153"/>
        <w:tab w:val="right" w:pos="8306"/>
      </w:tabs>
      <w:bidi/>
    </w:pPr>
    <w:rPr>
      <w:sz w:val="22"/>
      <w:szCs w:val="22"/>
      <w:lang w:val="en-US" w:bidi="he-IL"/>
    </w:rPr>
  </w:style>
  <w:style w:type="character" w:customStyle="1" w:styleId="HeaderChar">
    <w:name w:val="Header Char"/>
    <w:basedOn w:val="DefaultParagraphFont"/>
    <w:link w:val="Header"/>
    <w:uiPriority w:val="99"/>
    <w:rsid w:val="00D80C0E"/>
    <w:rPr>
      <w:sz w:val="22"/>
      <w:szCs w:val="22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D80C0E"/>
    <w:pPr>
      <w:tabs>
        <w:tab w:val="center" w:pos="4153"/>
        <w:tab w:val="right" w:pos="8306"/>
      </w:tabs>
      <w:bidi/>
    </w:pPr>
    <w:rPr>
      <w:sz w:val="22"/>
      <w:szCs w:val="22"/>
      <w:lang w:val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D80C0E"/>
    <w:rPr>
      <w:sz w:val="22"/>
      <w:szCs w:val="22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D80C0E"/>
    <w:rPr>
      <w:color w:val="0563C1" w:themeColor="hyperlink"/>
      <w:u w:val="single"/>
    </w:rPr>
  </w:style>
  <w:style w:type="paragraph" w:customStyle="1" w:styleId="line">
    <w:name w:val="line"/>
    <w:basedOn w:val="Normal"/>
    <w:rsid w:val="00D80C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C0E"/>
    <w:rPr>
      <w:sz w:val="20"/>
      <w:szCs w:val="20"/>
    </w:rPr>
  </w:style>
  <w:style w:type="character" w:customStyle="1" w:styleId="text">
    <w:name w:val="text"/>
    <w:basedOn w:val="DefaultParagraphFont"/>
    <w:rsid w:val="00D80C0E"/>
  </w:style>
  <w:style w:type="character" w:customStyle="1" w:styleId="indent-1-breaks">
    <w:name w:val="indent-1-breaks"/>
    <w:basedOn w:val="DefaultParagraphFont"/>
    <w:rsid w:val="00D80C0E"/>
  </w:style>
  <w:style w:type="character" w:styleId="PageNumber">
    <w:name w:val="page number"/>
    <w:basedOn w:val="DefaultParagraphFont"/>
    <w:uiPriority w:val="99"/>
    <w:semiHidden/>
    <w:unhideWhenUsed/>
    <w:rsid w:val="00D80C0E"/>
  </w:style>
  <w:style w:type="paragraph" w:styleId="Revision">
    <w:name w:val="Revision"/>
    <w:hidden/>
    <w:uiPriority w:val="99"/>
    <w:semiHidden/>
    <w:rsid w:val="00D80C0E"/>
  </w:style>
  <w:style w:type="paragraph" w:styleId="ListParagraph">
    <w:name w:val="List Paragraph"/>
    <w:basedOn w:val="Normal"/>
    <w:uiPriority w:val="34"/>
    <w:qFormat/>
    <w:rsid w:val="00D80C0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3691</Words>
  <Characters>18275</Characters>
  <Application>Microsoft Office Word</Application>
  <DocSecurity>0</DocSecurity>
  <Lines>234</Lines>
  <Paragraphs>19</Paragraphs>
  <ScaleCrop>false</ScaleCrop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Davies</dc:creator>
  <cp:keywords/>
  <dc:description/>
  <cp:lastModifiedBy>Daniel Davies</cp:lastModifiedBy>
  <cp:revision>2</cp:revision>
  <dcterms:created xsi:type="dcterms:W3CDTF">2024-03-24T07:37:00Z</dcterms:created>
  <dcterms:modified xsi:type="dcterms:W3CDTF">2024-03-24T07:37:00Z</dcterms:modified>
</cp:coreProperties>
</file>