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06622" w14:textId="35B72BAC" w:rsidR="00E95EAA" w:rsidRDefault="00E95EAA">
      <w:pPr>
        <w:rPr>
          <w:rtl/>
        </w:rPr>
      </w:pPr>
      <w:r>
        <w:rPr>
          <w:rFonts w:hint="cs"/>
          <w:rtl/>
        </w:rPr>
        <w:t>בס"ד</w:t>
      </w:r>
    </w:p>
    <w:p w14:paraId="4F13259F" w14:textId="68344ABB" w:rsidR="00E95EAA" w:rsidRPr="00E95EAA" w:rsidRDefault="00E95EAA" w:rsidP="00E95EAA">
      <w:pPr>
        <w:jc w:val="center"/>
        <w:rPr>
          <w:b/>
          <w:bCs/>
          <w:u w:val="single"/>
          <w:rtl/>
        </w:rPr>
      </w:pPr>
      <w:r w:rsidRPr="00E95EAA">
        <w:rPr>
          <w:rFonts w:hint="cs"/>
          <w:b/>
          <w:bCs/>
          <w:u w:val="single"/>
          <w:rtl/>
        </w:rPr>
        <w:t xml:space="preserve">נייר תגובה על המאמר </w:t>
      </w:r>
      <w:r w:rsidRPr="00E95EAA">
        <w:rPr>
          <w:b/>
          <w:bCs/>
          <w:u w:val="single"/>
        </w:rPr>
        <w:t>Kahn Freund</w:t>
      </w:r>
      <w:r w:rsidRPr="00E95EAA">
        <w:rPr>
          <w:rFonts w:hint="cs"/>
          <w:b/>
          <w:bCs/>
          <w:u w:val="single"/>
          <w:rtl/>
        </w:rPr>
        <w:t xml:space="preserve"> בנושא השפעה של חוקה על דיני עבודה</w:t>
      </w:r>
    </w:p>
    <w:p w14:paraId="3923D807" w14:textId="5342E8AA" w:rsidR="00E95EAA" w:rsidRPr="00E95EAA" w:rsidRDefault="00E95EAA" w:rsidP="00E95EAA">
      <w:pPr>
        <w:jc w:val="center"/>
        <w:rPr>
          <w:b/>
          <w:bCs/>
          <w:u w:val="single"/>
          <w:rtl/>
        </w:rPr>
      </w:pPr>
      <w:r w:rsidRPr="00E95EAA">
        <w:rPr>
          <w:rFonts w:hint="cs"/>
          <w:b/>
          <w:bCs/>
          <w:u w:val="single"/>
          <w:rtl/>
        </w:rPr>
        <w:t>אלאור ויזן,  ת.ז  205954928</w:t>
      </w:r>
    </w:p>
    <w:p w14:paraId="11477A52" w14:textId="7FD85C16" w:rsidR="00F46E76" w:rsidRPr="00F46E76" w:rsidRDefault="00F46E76">
      <w:pPr>
        <w:rPr>
          <w:u w:val="single"/>
          <w:rtl/>
        </w:rPr>
      </w:pPr>
      <w:r w:rsidRPr="00F46E76">
        <w:rPr>
          <w:rFonts w:hint="cs"/>
          <w:u w:val="single"/>
          <w:rtl/>
        </w:rPr>
        <w:t>מבוא</w:t>
      </w:r>
    </w:p>
    <w:p w14:paraId="48E49AD9" w14:textId="3270BCCB" w:rsidR="00E95EAA" w:rsidRDefault="00E95EAA">
      <w:pPr>
        <w:rPr>
          <w:rtl/>
        </w:rPr>
      </w:pPr>
      <w:r>
        <w:rPr>
          <w:rFonts w:hint="cs"/>
          <w:rtl/>
        </w:rPr>
        <w:t>בראשית דבריו מסביר המחבר את העקרונות עליהם הוא מבסס את המאמר. הראשון שבהם הוא שימוש במושג חוקה במובנה המהות</w:t>
      </w:r>
      <w:r w:rsidR="00552C7A">
        <w:rPr>
          <w:rFonts w:hint="cs"/>
          <w:rtl/>
        </w:rPr>
        <w:t>י</w:t>
      </w:r>
      <w:r>
        <w:rPr>
          <w:rFonts w:hint="cs"/>
          <w:rtl/>
        </w:rPr>
        <w:t xml:space="preserve">, </w:t>
      </w:r>
      <w:r w:rsidR="00552C7A">
        <w:rPr>
          <w:rFonts w:hint="cs"/>
          <w:rtl/>
        </w:rPr>
        <w:t>והשני הוא העובדה שהמושג חוקה הולך ועובר הסדרה ופורמליזציה.</w:t>
      </w:r>
      <w:r w:rsidR="00552C7A">
        <w:rPr>
          <w:rStyle w:val="a5"/>
          <w:rtl/>
        </w:rPr>
        <w:footnoteReference w:id="1"/>
      </w:r>
      <w:r w:rsidR="00552C7A">
        <w:rPr>
          <w:rFonts w:hint="cs"/>
          <w:rtl/>
        </w:rPr>
        <w:t xml:space="preserve"> בהמשך הוא </w:t>
      </w:r>
      <w:r w:rsidR="00D6636C">
        <w:rPr>
          <w:rFonts w:hint="cs"/>
          <w:rtl/>
        </w:rPr>
        <w:t>מסביר שחוקה היא על פי רוב עליונה יותר מחוק רגיל, ובסמכותו של בית המשפט לפרש את הנאמר בה, אך לא לפסול את עצם חוקיותה.</w:t>
      </w:r>
      <w:r w:rsidR="00D6636C">
        <w:rPr>
          <w:rStyle w:val="a5"/>
          <w:rtl/>
        </w:rPr>
        <w:footnoteReference w:id="2"/>
      </w:r>
      <w:r w:rsidR="00D6636C">
        <w:rPr>
          <w:rFonts w:hint="cs"/>
          <w:rtl/>
        </w:rPr>
        <w:t xml:space="preserve"> לאחר ביסוס הרקע לדברים, עובר המחבר לדון בגוף הדברים, והוא השפעה של חוקה על החוק המסדיר נהלי עבודה.</w:t>
      </w:r>
      <w:r w:rsidR="00016768">
        <w:rPr>
          <w:rFonts w:hint="cs"/>
          <w:rtl/>
        </w:rPr>
        <w:t xml:space="preserve"> הוא הולך וסוקר את התפתחויות החוק</w:t>
      </w:r>
      <w:r w:rsidR="00BB1EB9">
        <w:rPr>
          <w:rFonts w:hint="cs"/>
          <w:rtl/>
        </w:rPr>
        <w:t>ים העוסקים בדיני עבודה במדינות השונות, לאור השפעתם של גורמים שונים הפועלים בפדרציות משותפות</w:t>
      </w:r>
      <w:r w:rsidR="0091509A">
        <w:rPr>
          <w:rFonts w:hint="cs"/>
          <w:rtl/>
        </w:rPr>
        <w:t>, ובמיוחד</w:t>
      </w:r>
      <w:r w:rsidR="00BB1EB9">
        <w:rPr>
          <w:rFonts w:hint="cs"/>
          <w:rtl/>
        </w:rPr>
        <w:t xml:space="preserve"> לאור התפתחות חקיקתית</w:t>
      </w:r>
      <w:r w:rsidR="00553DBC">
        <w:rPr>
          <w:rFonts w:hint="cs"/>
          <w:rtl/>
        </w:rPr>
        <w:t>-משפטית</w:t>
      </w:r>
      <w:r w:rsidR="00BB1EB9">
        <w:rPr>
          <w:rFonts w:hint="cs"/>
          <w:rtl/>
        </w:rPr>
        <w:t xml:space="preserve"> באותה מדינה/פדרציה.</w:t>
      </w:r>
      <w:r w:rsidR="00550E36">
        <w:rPr>
          <w:rFonts w:hint="cs"/>
          <w:rtl/>
        </w:rPr>
        <w:t xml:space="preserve"> הוא מתמקד בהמשך המאמר</w:t>
      </w:r>
      <w:r w:rsidR="00CB3A50">
        <w:rPr>
          <w:rFonts w:hint="cs"/>
          <w:rtl/>
        </w:rPr>
        <w:t xml:space="preserve"> ב</w:t>
      </w:r>
      <w:r w:rsidR="00550E36">
        <w:rPr>
          <w:rFonts w:hint="cs"/>
          <w:rtl/>
        </w:rPr>
        <w:t>יכולת של בתי המשפט להשפיע על החקיקה בביקורת שיפוטית או בפרשנות</w:t>
      </w:r>
      <w:r w:rsidR="007C0188">
        <w:rPr>
          <w:rFonts w:hint="cs"/>
          <w:rtl/>
        </w:rPr>
        <w:t xml:space="preserve"> (</w:t>
      </w:r>
      <w:r w:rsidR="00CB3A50">
        <w:rPr>
          <w:rFonts w:hint="cs"/>
          <w:rtl/>
        </w:rPr>
        <w:t xml:space="preserve">ומביא כדוגמא את </w:t>
      </w:r>
      <w:r w:rsidR="007C0188">
        <w:rPr>
          <w:rFonts w:hint="cs"/>
          <w:rtl/>
        </w:rPr>
        <w:t>ההשפעה</w:t>
      </w:r>
      <w:r w:rsidR="004E1F6B">
        <w:rPr>
          <w:rFonts w:hint="cs"/>
          <w:rtl/>
        </w:rPr>
        <w:t xml:space="preserve"> </w:t>
      </w:r>
      <w:r w:rsidR="00675719">
        <w:rPr>
          <w:rFonts w:hint="cs"/>
          <w:rtl/>
        </w:rPr>
        <w:t>בארצות הברית</w:t>
      </w:r>
      <w:r w:rsidR="007C0188">
        <w:rPr>
          <w:rFonts w:hint="cs"/>
          <w:rtl/>
        </w:rPr>
        <w:t xml:space="preserve"> של התיקון הראשון, ו</w:t>
      </w:r>
      <w:r w:rsidR="004E1F6B">
        <w:rPr>
          <w:rFonts w:hint="cs"/>
          <w:rtl/>
        </w:rPr>
        <w:t xml:space="preserve">את </w:t>
      </w:r>
      <w:r w:rsidR="007C0188">
        <w:rPr>
          <w:rFonts w:hint="cs"/>
          <w:rtl/>
        </w:rPr>
        <w:t>ההשפעה של מגילת הזכויות)</w:t>
      </w:r>
      <w:r w:rsidR="00550E36">
        <w:rPr>
          <w:rFonts w:hint="cs"/>
          <w:rtl/>
        </w:rPr>
        <w:t>.</w:t>
      </w:r>
      <w:r w:rsidR="00550E36">
        <w:rPr>
          <w:rStyle w:val="a5"/>
          <w:rtl/>
        </w:rPr>
        <w:footnoteReference w:id="3"/>
      </w:r>
    </w:p>
    <w:p w14:paraId="5CED27F4" w14:textId="145F63ED" w:rsidR="00B95AF0" w:rsidRDefault="00B95AF0">
      <w:pPr>
        <w:rPr>
          <w:rtl/>
        </w:rPr>
      </w:pPr>
      <w:r>
        <w:rPr>
          <w:rFonts w:hint="cs"/>
          <w:rtl/>
        </w:rPr>
        <w:t>המסקנה שאליה מגיע מחבר המאמר היא שכתבי זכויות מאפשרות לשופטים לממש את</w:t>
      </w:r>
      <w:r w:rsidR="00873C0E">
        <w:rPr>
          <w:rFonts w:hint="cs"/>
          <w:rtl/>
        </w:rPr>
        <w:t xml:space="preserve"> תפיסותיהם</w:t>
      </w:r>
      <w:r>
        <w:rPr>
          <w:rFonts w:hint="cs"/>
          <w:rtl/>
        </w:rPr>
        <w:t xml:space="preserve"> </w:t>
      </w:r>
      <w:r w:rsidR="00873C0E">
        <w:rPr>
          <w:rFonts w:hint="cs"/>
          <w:rtl/>
        </w:rPr>
        <w:t>והעדפותיהם המוסריות והחברתיות, ע"י שימוש בדוקטרינות חוקתיות ויישומם בעקרונות חוקתיים.</w:t>
      </w:r>
      <w:r w:rsidR="00873C0E">
        <w:rPr>
          <w:rStyle w:val="a5"/>
          <w:rtl/>
        </w:rPr>
        <w:footnoteReference w:id="4"/>
      </w:r>
      <w:r w:rsidR="00873C0E">
        <w:rPr>
          <w:rFonts w:hint="cs"/>
          <w:rtl/>
        </w:rPr>
        <w:t xml:space="preserve"> כלומר ייתכן ופרשנותם של השופטים לחוק תהיה מעין רפורמה לכוונת המחוקקים מלכתחילה, אבל מחבר המאמר לא רואה</w:t>
      </w:r>
      <w:r w:rsidR="0091509A">
        <w:rPr>
          <w:rFonts w:hint="cs"/>
          <w:rtl/>
        </w:rPr>
        <w:t xml:space="preserve"> בזה</w:t>
      </w:r>
      <w:r w:rsidR="00873C0E">
        <w:rPr>
          <w:rFonts w:hint="cs"/>
          <w:rtl/>
        </w:rPr>
        <w:t xml:space="preserve"> בהכרח תופעה שלילית, אלא תופעה שיש בה סיכון מחד, אך גם פוטנציאל התפתחותי מאידך, שעשוי להוציא לפועל צדק </w:t>
      </w:r>
      <w:r w:rsidR="00CB3A50">
        <w:rPr>
          <w:rFonts w:hint="cs"/>
          <w:rtl/>
        </w:rPr>
        <w:t>בצורה טובה יותר.</w:t>
      </w:r>
    </w:p>
    <w:p w14:paraId="6927BF90" w14:textId="6342A00B" w:rsidR="00CB3A50" w:rsidRDefault="002A0402">
      <w:pPr>
        <w:rPr>
          <w:rtl/>
        </w:rPr>
      </w:pPr>
      <w:r>
        <w:rPr>
          <w:rFonts w:hint="cs"/>
          <w:rtl/>
        </w:rPr>
        <w:t>בנייר התגובה להלן ארצה להשוות את התפיסה העקרונית שהוצגה במאמר לתפיסה של המשפט הישראלי, עם התמקדות ספציפית במשפט העברי, ממנו שואב המשפט הישראלי השראה. לאחר מכן אנסה להמחיש את ההשוואה בעזרת דוגמא</w:t>
      </w:r>
      <w:r w:rsidR="004745D1">
        <w:rPr>
          <w:rFonts w:hint="cs"/>
          <w:rtl/>
        </w:rPr>
        <w:t>ות</w:t>
      </w:r>
      <w:r>
        <w:rPr>
          <w:rFonts w:hint="cs"/>
          <w:rtl/>
        </w:rPr>
        <w:t xml:space="preserve"> ספציפי</w:t>
      </w:r>
      <w:r w:rsidR="004745D1">
        <w:rPr>
          <w:rFonts w:hint="cs"/>
          <w:rtl/>
        </w:rPr>
        <w:t>ו</w:t>
      </w:r>
      <w:r>
        <w:rPr>
          <w:rFonts w:hint="cs"/>
          <w:rtl/>
        </w:rPr>
        <w:t>ת, ובסוף אדון במסקנתו של מחבר המאמר.</w:t>
      </w:r>
    </w:p>
    <w:p w14:paraId="1BDAAA80" w14:textId="5C7D3782" w:rsidR="00F46E76" w:rsidRPr="00F46E76" w:rsidRDefault="00F46E76">
      <w:pPr>
        <w:rPr>
          <w:u w:val="single"/>
          <w:rtl/>
        </w:rPr>
      </w:pPr>
      <w:r w:rsidRPr="00F46E76">
        <w:rPr>
          <w:rFonts w:hint="cs"/>
          <w:u w:val="single"/>
          <w:rtl/>
        </w:rPr>
        <w:t>השוואת רעיון החוקה המתפתחת למתרחש במדינת ישראל</w:t>
      </w:r>
    </w:p>
    <w:p w14:paraId="5C972F1E" w14:textId="2A51B6B3" w:rsidR="002A0402" w:rsidRDefault="002A0402">
      <w:pPr>
        <w:rPr>
          <w:rtl/>
        </w:rPr>
      </w:pPr>
      <w:r>
        <w:rPr>
          <w:rFonts w:hint="cs"/>
          <w:rtl/>
        </w:rPr>
        <w:t>נפתח בהשוואה התפיסתית של העקרונות שעליהם מבסס המחבר את המאמר (חוקה במובן מהותי, חוקה שעוברת פורמליזציה). ניתן לראות איך תפיסה זו</w:t>
      </w:r>
      <w:r w:rsidR="004248AF">
        <w:rPr>
          <w:rStyle w:val="a5"/>
          <w:rtl/>
        </w:rPr>
        <w:footnoteReference w:id="5"/>
      </w:r>
      <w:r>
        <w:rPr>
          <w:rFonts w:hint="cs"/>
          <w:rtl/>
        </w:rPr>
        <w:t xml:space="preserve"> </w:t>
      </w:r>
      <w:r w:rsidR="004248AF">
        <w:rPr>
          <w:rFonts w:hint="cs"/>
          <w:rtl/>
        </w:rPr>
        <w:t>קיימת במדינת ישראל עוד בראשית ימיה</w:t>
      </w:r>
      <w:r w:rsidR="00EE167F">
        <w:rPr>
          <w:rFonts w:hint="cs"/>
          <w:rtl/>
        </w:rPr>
        <w:t>. בעת שהוקמה מדינת ישראל, הוחלט ע"י האספה המכוננת, שברבות הימים נהפכה לגוף המחוקק של מדינת ישראל המכונה "הכנסת", שיש צורך בכתיבת חוקה למדינה.</w:t>
      </w:r>
      <w:r w:rsidR="00EA0743">
        <w:rPr>
          <w:rFonts w:hint="cs"/>
          <w:rtl/>
        </w:rPr>
        <w:t xml:space="preserve"> בעקבות מחלוקות שהתעוררו סביב כתיבת החוקה,</w:t>
      </w:r>
      <w:r w:rsidR="001E4AEA">
        <w:rPr>
          <w:rStyle w:val="a5"/>
          <w:rtl/>
        </w:rPr>
        <w:footnoteReference w:id="6"/>
      </w:r>
      <w:r w:rsidR="00EA0743">
        <w:rPr>
          <w:rFonts w:hint="cs"/>
          <w:rtl/>
        </w:rPr>
        <w:t xml:space="preserve"> התקבלה הצעתו של חבר הכנסת יזהר הררי,</w:t>
      </w:r>
      <w:r w:rsidR="00E402E2">
        <w:rPr>
          <w:rStyle w:val="a5"/>
          <w:rtl/>
        </w:rPr>
        <w:footnoteReference w:id="7"/>
      </w:r>
      <w:r w:rsidR="00EA0743">
        <w:rPr>
          <w:rFonts w:hint="cs"/>
          <w:rtl/>
        </w:rPr>
        <w:t xml:space="preserve"> שהציע לכתוב את החוקה פרקים </w:t>
      </w:r>
      <w:proofErr w:type="spellStart"/>
      <w:r w:rsidR="00EA0743">
        <w:rPr>
          <w:rFonts w:hint="cs"/>
          <w:rtl/>
        </w:rPr>
        <w:t>פרקים</w:t>
      </w:r>
      <w:proofErr w:type="spellEnd"/>
      <w:r w:rsidR="00EA0743">
        <w:rPr>
          <w:rFonts w:hint="cs"/>
          <w:rtl/>
        </w:rPr>
        <w:t>, כשכל פרק מכונה חוק יסוד, עד שכל הפרקים יתגבשו לידי חוקה אחת.</w:t>
      </w:r>
      <w:r w:rsidR="00EA0743">
        <w:rPr>
          <w:rStyle w:val="a5"/>
          <w:rtl/>
        </w:rPr>
        <w:footnoteReference w:id="8"/>
      </w:r>
      <w:r w:rsidR="004E1F6B">
        <w:rPr>
          <w:rFonts w:hint="cs"/>
          <w:rtl/>
        </w:rPr>
        <w:t xml:space="preserve"> בהצעה זו ניתן לראות איך העקרונות שמציב מחבר המאמר כבסיס, באים לכדי יישום בפועל- חוקה במובן מהותי, ופורמליזציה מתפתחת של החוקה.</w:t>
      </w:r>
    </w:p>
    <w:p w14:paraId="43325076" w14:textId="578FC510" w:rsidR="00E402E2" w:rsidRDefault="00DE6B3C">
      <w:pPr>
        <w:rPr>
          <w:rtl/>
        </w:rPr>
      </w:pPr>
      <w:r>
        <w:rPr>
          <w:rFonts w:hint="cs"/>
          <w:rtl/>
        </w:rPr>
        <w:lastRenderedPageBreak/>
        <w:t>כחלק מהמחלוקת סביב התגבשות החוקה, נחלקו בעוד מספר נושאים הקשורים למדיניות השפיטה של מדינת ישראל, ובמרכזם נושא היחס בין המשפט הישראלי המתחדש למשפט העברי המסורתי</w:t>
      </w:r>
      <w:r w:rsidR="00AB0452">
        <w:rPr>
          <w:rFonts w:hint="cs"/>
          <w:rtl/>
        </w:rPr>
        <w:t>,</w:t>
      </w:r>
      <w:r>
        <w:rPr>
          <w:rFonts w:hint="cs"/>
          <w:rtl/>
        </w:rPr>
        <w:t xml:space="preserve"> המקובל מזה אלפי שנים, והידוע בכינוי "הלכה". לא נאריך בתיאור השתלשלות חוק יסודות המשפט,</w:t>
      </w:r>
      <w:r w:rsidR="00C6556D">
        <w:rPr>
          <w:rStyle w:val="a5"/>
          <w:rtl/>
        </w:rPr>
        <w:footnoteReference w:id="9"/>
      </w:r>
      <w:r w:rsidR="00C6556D">
        <w:rPr>
          <w:rFonts w:hint="cs"/>
          <w:rtl/>
        </w:rPr>
        <w:t xml:space="preserve"> </w:t>
      </w:r>
      <w:r w:rsidR="00B2351B">
        <w:rPr>
          <w:rFonts w:hint="cs"/>
          <w:rtl/>
        </w:rPr>
        <w:t>והתיקון שנעשה בו,</w:t>
      </w:r>
      <w:r w:rsidR="00B2351B">
        <w:rPr>
          <w:rStyle w:val="a5"/>
          <w:rtl/>
        </w:rPr>
        <w:footnoteReference w:id="10"/>
      </w:r>
      <w:r w:rsidR="00B2351B">
        <w:rPr>
          <w:rFonts w:hint="cs"/>
          <w:rtl/>
        </w:rPr>
        <w:t xml:space="preserve"> </w:t>
      </w:r>
      <w:r w:rsidR="00C6556D">
        <w:rPr>
          <w:rFonts w:hint="cs"/>
          <w:rtl/>
        </w:rPr>
        <w:t>אלא נאמר בקצרה שכבר בשנותיה הראשונות של המדינה</w:t>
      </w:r>
      <w:r w:rsidR="0014073D">
        <w:rPr>
          <w:rFonts w:hint="cs"/>
          <w:rtl/>
        </w:rPr>
        <w:t>, עוד בטרם התגבשותו החוק הנ"ל,</w:t>
      </w:r>
      <w:r w:rsidR="009F0B45">
        <w:rPr>
          <w:rFonts w:hint="cs"/>
          <w:rtl/>
        </w:rPr>
        <w:t xml:space="preserve"> היו שופטים ששאבו השראה הלכה למעש מהמשפט העברי,</w:t>
      </w:r>
      <w:r w:rsidR="009F0B45">
        <w:rPr>
          <w:rStyle w:val="a5"/>
          <w:rtl/>
        </w:rPr>
        <w:footnoteReference w:id="11"/>
      </w:r>
      <w:r w:rsidR="009F0B45">
        <w:rPr>
          <w:rFonts w:hint="cs"/>
          <w:rtl/>
        </w:rPr>
        <w:t xml:space="preserve"> </w:t>
      </w:r>
      <w:r w:rsidR="0014073D">
        <w:rPr>
          <w:rFonts w:hint="cs"/>
          <w:rtl/>
        </w:rPr>
        <w:t>והיו כאלה שהתנגדו לכך נחרצות.</w:t>
      </w:r>
      <w:r w:rsidR="0014073D">
        <w:rPr>
          <w:rStyle w:val="a5"/>
          <w:rtl/>
        </w:rPr>
        <w:footnoteReference w:id="12"/>
      </w:r>
      <w:r w:rsidR="0014073D">
        <w:rPr>
          <w:rFonts w:hint="cs"/>
          <w:rtl/>
        </w:rPr>
        <w:t xml:space="preserve"> ניתן לראות בזה מעין המשכה של שני הקווים המקבילים, השמרני והליברלי.</w:t>
      </w:r>
      <w:r w:rsidR="0014073D">
        <w:rPr>
          <w:rStyle w:val="a5"/>
          <w:rtl/>
        </w:rPr>
        <w:footnoteReference w:id="13"/>
      </w:r>
    </w:p>
    <w:p w14:paraId="1B84E0C6" w14:textId="3BCC77FE" w:rsidR="003A3403" w:rsidRDefault="00592F60" w:rsidP="003A3403">
      <w:pPr>
        <w:rPr>
          <w:rtl/>
        </w:rPr>
      </w:pPr>
      <w:r>
        <w:rPr>
          <w:rFonts w:hint="cs"/>
          <w:rtl/>
        </w:rPr>
        <w:t>אנו רואים איך מחלוקות ערכיות בשורשן, הנעוצות בתפיסות עולם שונות, משתלשלות ע</w:t>
      </w:r>
      <w:r w:rsidR="00045EB4">
        <w:rPr>
          <w:rFonts w:hint="cs"/>
          <w:rtl/>
        </w:rPr>
        <w:t>ד</w:t>
      </w:r>
      <w:r>
        <w:rPr>
          <w:rFonts w:hint="cs"/>
          <w:rtl/>
        </w:rPr>
        <w:t xml:space="preserve"> </w:t>
      </w:r>
      <w:r w:rsidR="00045EB4">
        <w:rPr>
          <w:rFonts w:hint="cs"/>
          <w:rtl/>
        </w:rPr>
        <w:t>ל</w:t>
      </w:r>
      <w:r>
        <w:rPr>
          <w:rFonts w:hint="cs"/>
          <w:rtl/>
        </w:rPr>
        <w:t xml:space="preserve">כדי </w:t>
      </w:r>
      <w:r w:rsidR="00045EB4">
        <w:rPr>
          <w:rFonts w:hint="cs"/>
          <w:rtl/>
        </w:rPr>
        <w:t>יישום שונה של פרשנות לשון החוק, ועשויות להגיע אף לרפורמה בכוונת המחוקק</w:t>
      </w:r>
      <w:r w:rsidR="003A3403">
        <w:rPr>
          <w:rFonts w:hint="cs"/>
          <w:rtl/>
        </w:rPr>
        <w:t>, אם סבור השופט שכך יצא הצדק לאור. אם נתמקד בחוק יסודות המשפט שהזכרנו לעיל, נזכיר את המחלוקת הידועה בין השופט מנחם אלון</w:t>
      </w:r>
      <w:r w:rsidR="00644A73">
        <w:rPr>
          <w:rFonts w:hint="cs"/>
          <w:rtl/>
        </w:rPr>
        <w:t xml:space="preserve"> (השמרן)</w:t>
      </w:r>
      <w:r w:rsidR="003A3403">
        <w:rPr>
          <w:rFonts w:hint="cs"/>
          <w:rtl/>
        </w:rPr>
        <w:t xml:space="preserve"> לשופט אהרן ברק</w:t>
      </w:r>
      <w:r w:rsidR="00644A73">
        <w:rPr>
          <w:rFonts w:hint="cs"/>
          <w:rtl/>
        </w:rPr>
        <w:t xml:space="preserve"> (הליברל)</w:t>
      </w:r>
      <w:r w:rsidR="003A3403">
        <w:rPr>
          <w:rFonts w:hint="cs"/>
          <w:rtl/>
        </w:rPr>
        <w:t xml:space="preserve"> ביחס לחוק, שעוברת דרך שלוש נקודות מרכזיות-</w:t>
      </w:r>
      <w:r w:rsidR="003A3403">
        <w:rPr>
          <w:rtl/>
        </w:rPr>
        <w:br/>
      </w:r>
      <w:r w:rsidR="003A3403">
        <w:rPr>
          <w:rFonts w:hint="cs"/>
          <w:rtl/>
        </w:rPr>
        <w:t>1</w:t>
      </w:r>
      <w:r w:rsidR="003A3403" w:rsidRPr="00644A73">
        <w:rPr>
          <w:rFonts w:hint="cs"/>
          <w:rtl/>
        </w:rPr>
        <w:t xml:space="preserve">. </w:t>
      </w:r>
      <w:r w:rsidR="003A3403" w:rsidRPr="00644A73">
        <w:rPr>
          <w:rFonts w:ascii="Arial" w:hAnsi="Arial" w:cs="Arial"/>
          <w:color w:val="202122"/>
          <w:shd w:val="clear" w:color="auto" w:fill="FFFFFF"/>
          <w:rtl/>
        </w:rPr>
        <w:t>האם החוק תקף בכל מקרה של ספק בפרשנות (עמדת אלון) או רק במקרה של </w:t>
      </w:r>
      <w:proofErr w:type="spellStart"/>
      <w:r w:rsidR="003A3403" w:rsidRPr="00644A73">
        <w:rPr>
          <w:rFonts w:hint="cs"/>
          <w:rtl/>
        </w:rPr>
        <w:t>לאקונה</w:t>
      </w:r>
      <w:proofErr w:type="spellEnd"/>
      <w:r w:rsidR="003A3403" w:rsidRPr="00644A73">
        <w:rPr>
          <w:rFonts w:hint="cs"/>
          <w:rtl/>
        </w:rPr>
        <w:t xml:space="preserve"> (</w:t>
      </w:r>
      <w:r w:rsidR="003A3403" w:rsidRPr="00644A73">
        <w:rPr>
          <w:rFonts w:ascii="Arial" w:hAnsi="Arial" w:cs="Arial"/>
          <w:color w:val="202122"/>
          <w:shd w:val="clear" w:color="auto" w:fill="FFFFFF"/>
          <w:rtl/>
        </w:rPr>
        <w:t>עמדת ברק</w:t>
      </w:r>
      <w:r w:rsidR="003A3403" w:rsidRPr="00644A73">
        <w:rPr>
          <w:rFonts w:ascii="Arial" w:hAnsi="Arial" w:cs="Arial" w:hint="cs"/>
          <w:color w:val="202122"/>
          <w:shd w:val="clear" w:color="auto" w:fill="FFFFFF"/>
          <w:rtl/>
        </w:rPr>
        <w:t>).</w:t>
      </w:r>
      <w:r w:rsidR="003A3403" w:rsidRPr="00644A73">
        <w:rPr>
          <w:rFonts w:ascii="Arial" w:hAnsi="Arial" w:cs="Arial"/>
          <w:color w:val="202122"/>
          <w:shd w:val="clear" w:color="auto" w:fill="FFFFFF"/>
          <w:rtl/>
        </w:rPr>
        <w:br/>
      </w:r>
      <w:r w:rsidR="003A3403" w:rsidRPr="00644A73">
        <w:rPr>
          <w:rFonts w:ascii="Arial" w:hAnsi="Arial" w:cs="Arial" w:hint="cs"/>
          <w:color w:val="202122"/>
          <w:shd w:val="clear" w:color="auto" w:fill="FFFFFF"/>
          <w:rtl/>
        </w:rPr>
        <w:t xml:space="preserve">2. </w:t>
      </w:r>
      <w:r w:rsidR="003A3403" w:rsidRPr="00644A73">
        <w:rPr>
          <w:rFonts w:ascii="Arial" w:hAnsi="Arial" w:cs="Arial"/>
          <w:color w:val="202122"/>
          <w:shd w:val="clear" w:color="auto" w:fill="FFFFFF"/>
          <w:rtl/>
        </w:rPr>
        <w:t>מהו היקפם של "עקרונות החירות הצדק, היושר והשלום של מורשת ישראל"</w:t>
      </w:r>
      <w:r w:rsidR="00AB0452">
        <w:rPr>
          <w:rFonts w:ascii="Arial" w:hAnsi="Arial" w:cs="Arial" w:hint="cs"/>
          <w:color w:val="202122"/>
          <w:shd w:val="clear" w:color="auto" w:fill="FFFFFF"/>
          <w:rtl/>
        </w:rPr>
        <w:t>-</w:t>
      </w:r>
      <w:r w:rsidR="003A3403" w:rsidRPr="00644A73">
        <w:rPr>
          <w:rFonts w:ascii="Arial" w:hAnsi="Arial" w:cs="Arial"/>
          <w:color w:val="202122"/>
          <w:shd w:val="clear" w:color="auto" w:fill="FFFFFF"/>
          <w:rtl/>
        </w:rPr>
        <w:t xml:space="preserve"> האם</w:t>
      </w:r>
      <w:r w:rsidR="00AB0452">
        <w:rPr>
          <w:rFonts w:ascii="Arial" w:hAnsi="Arial" w:cs="Arial" w:hint="cs"/>
          <w:color w:val="202122"/>
          <w:shd w:val="clear" w:color="auto" w:fill="FFFFFF"/>
          <w:rtl/>
        </w:rPr>
        <w:t xml:space="preserve"> </w:t>
      </w:r>
      <w:r w:rsidR="003A3403" w:rsidRPr="00644A73">
        <w:rPr>
          <w:rFonts w:ascii="Arial" w:hAnsi="Arial" w:cs="Arial"/>
          <w:color w:val="202122"/>
          <w:shd w:val="clear" w:color="auto" w:fill="FFFFFF"/>
          <w:rtl/>
        </w:rPr>
        <w:t>מדוב</w:t>
      </w:r>
      <w:r w:rsidR="003A3403" w:rsidRPr="00644A73">
        <w:rPr>
          <w:rFonts w:ascii="Arial" w:hAnsi="Arial" w:cs="Arial" w:hint="cs"/>
          <w:color w:val="202122"/>
          <w:shd w:val="clear" w:color="auto" w:fill="FFFFFF"/>
          <w:rtl/>
        </w:rPr>
        <w:t>ר במשפט העברי</w:t>
      </w:r>
      <w:r w:rsidR="003A3403" w:rsidRPr="00644A73">
        <w:rPr>
          <w:rFonts w:ascii="Arial" w:hAnsi="Arial" w:cs="Arial"/>
          <w:color w:val="202122"/>
          <w:shd w:val="clear" w:color="auto" w:fill="FFFFFF"/>
        </w:rPr>
        <w:t> </w:t>
      </w:r>
      <w:r w:rsidR="003A3403" w:rsidRPr="00644A73">
        <w:rPr>
          <w:rFonts w:ascii="Arial" w:hAnsi="Arial" w:cs="Arial"/>
          <w:color w:val="202122"/>
          <w:shd w:val="clear" w:color="auto" w:fill="FFFFFF"/>
          <w:rtl/>
        </w:rPr>
        <w:t>(עמדת אלון), או רק במושג הרחב של "מורשת ישראל" (עמדת ברק)</w:t>
      </w:r>
      <w:r w:rsidR="003A3403" w:rsidRPr="00644A73">
        <w:rPr>
          <w:rFonts w:ascii="Arial" w:hAnsi="Arial" w:cs="Arial" w:hint="cs"/>
          <w:color w:val="202122"/>
          <w:shd w:val="clear" w:color="auto" w:fill="FFFFFF"/>
          <w:rtl/>
        </w:rPr>
        <w:t>.</w:t>
      </w:r>
      <w:r w:rsidR="003A3403" w:rsidRPr="00644A73">
        <w:rPr>
          <w:rtl/>
        </w:rPr>
        <w:br/>
      </w:r>
      <w:r w:rsidR="003A3403" w:rsidRPr="00644A73">
        <w:rPr>
          <w:rFonts w:hint="cs"/>
          <w:rtl/>
        </w:rPr>
        <w:t xml:space="preserve">3. </w:t>
      </w:r>
      <w:r w:rsidR="003A3403" w:rsidRPr="00644A73">
        <w:rPr>
          <w:rFonts w:ascii="Arial" w:hAnsi="Arial" w:cs="Arial"/>
          <w:color w:val="202122"/>
          <w:shd w:val="clear" w:color="auto" w:fill="FFFFFF"/>
          <w:rtl/>
        </w:rPr>
        <w:t>האם משמעות חוק יסודות המשפט היא כי למשפט העברי יש בשיטת המשפט הישראלי מעמד של בכורה, אל מול שיטות משפט אחרות, כמקור לפרשנות החוק ולאיתור "עקרונות היסוד" של שיטת המשפט הישראלית</w:t>
      </w:r>
      <w:r w:rsidR="003A3403" w:rsidRPr="00644A73">
        <w:rPr>
          <w:rFonts w:ascii="Arial" w:hAnsi="Arial" w:cs="Arial" w:hint="cs"/>
          <w:color w:val="202122"/>
          <w:shd w:val="clear" w:color="auto" w:fill="FFFFFF"/>
          <w:rtl/>
        </w:rPr>
        <w:t>.</w:t>
      </w:r>
      <w:r w:rsidR="00644A73" w:rsidRPr="00644A73">
        <w:rPr>
          <w:rStyle w:val="a5"/>
          <w:rtl/>
        </w:rPr>
        <w:footnoteReference w:id="14"/>
      </w:r>
    </w:p>
    <w:p w14:paraId="603F9555" w14:textId="083055DF" w:rsidR="00F46E76" w:rsidRPr="00F46E76" w:rsidRDefault="00F46E76" w:rsidP="00700EC6">
      <w:pPr>
        <w:rPr>
          <w:u w:val="single"/>
          <w:rtl/>
        </w:rPr>
      </w:pPr>
      <w:r w:rsidRPr="00F46E76">
        <w:rPr>
          <w:rFonts w:hint="cs"/>
          <w:u w:val="single"/>
          <w:rtl/>
        </w:rPr>
        <w:t>השפעת יחסי הגומלין בין המשפט העברי למשפט הישראלי על דיני העבודה בישראל</w:t>
      </w:r>
    </w:p>
    <w:p w14:paraId="4448F307" w14:textId="4AC770CF" w:rsidR="00644A73" w:rsidRDefault="00AB0452" w:rsidP="00700EC6">
      <w:pPr>
        <w:rPr>
          <w:rtl/>
        </w:rPr>
      </w:pPr>
      <w:r>
        <w:rPr>
          <w:rFonts w:hint="cs"/>
          <w:rtl/>
        </w:rPr>
        <w:t xml:space="preserve">כאמור לעיל, מחלוקת זו ממשיכה את המחלוקת בין ה"שמרנים" ל"ליברלים" ביחס לחוקה, ומושכת אותה לרמת </w:t>
      </w:r>
      <w:r w:rsidR="00422A66">
        <w:rPr>
          <w:rFonts w:hint="cs"/>
          <w:rtl/>
        </w:rPr>
        <w:t>היישום המעשי ביחס לתחומים אפורים בין המשפט הישראלי למשפט העברי</w:t>
      </w:r>
      <w:r w:rsidR="00700EC6">
        <w:rPr>
          <w:rFonts w:hint="cs"/>
          <w:rtl/>
        </w:rPr>
        <w:t xml:space="preserve">. </w:t>
      </w:r>
      <w:r w:rsidR="00644A73">
        <w:rPr>
          <w:rFonts w:hint="cs"/>
          <w:rtl/>
        </w:rPr>
        <w:t>מתוך</w:t>
      </w:r>
      <w:r w:rsidR="00CF13CD">
        <w:rPr>
          <w:rFonts w:hint="cs"/>
          <w:rtl/>
        </w:rPr>
        <w:t xml:space="preserve"> הרקע</w:t>
      </w:r>
      <w:r w:rsidR="00700EC6">
        <w:rPr>
          <w:rFonts w:hint="cs"/>
          <w:rtl/>
        </w:rPr>
        <w:t xml:space="preserve"> הזה</w:t>
      </w:r>
      <w:r w:rsidR="00CF13CD">
        <w:rPr>
          <w:rFonts w:hint="cs"/>
          <w:rtl/>
        </w:rPr>
        <w:t xml:space="preserve"> הייתי רוצה להתמקד ספציפית בעניין דיני עבודה, ועל ידי שתי דוגמאות לראות את</w:t>
      </w:r>
      <w:r w:rsidR="00700EC6">
        <w:rPr>
          <w:rFonts w:hint="cs"/>
          <w:rtl/>
        </w:rPr>
        <w:t xml:space="preserve"> תהליכי ההשפעה של המשפט העברי על המשפט הישראלי</w:t>
      </w:r>
      <w:r w:rsidR="00CF13CD">
        <w:rPr>
          <w:rFonts w:hint="cs"/>
          <w:rtl/>
        </w:rPr>
        <w:t>, ולבסוף לנסות להתייחס דרך הדוגמאות למסקנתו של כותב המאמר.</w:t>
      </w:r>
    </w:p>
    <w:p w14:paraId="0BA5C923" w14:textId="0D677614" w:rsidR="00DD185D" w:rsidRDefault="00DD185D" w:rsidP="00DD185D">
      <w:pPr>
        <w:rPr>
          <w:rtl/>
        </w:rPr>
      </w:pPr>
      <w:r>
        <w:rPr>
          <w:rFonts w:hint="cs"/>
          <w:rtl/>
        </w:rPr>
        <w:t>נפתח בהבדלים הקיימים בדין הלנת שכר בין המשפט העברי למשפט הישראלי.</w:t>
      </w:r>
      <w:r w:rsidR="002D1473">
        <w:rPr>
          <w:rStyle w:val="a5"/>
          <w:rtl/>
        </w:rPr>
        <w:footnoteReference w:id="15"/>
      </w:r>
    </w:p>
    <w:p w14:paraId="397310AE" w14:textId="3C1035E1" w:rsidR="00DD185D" w:rsidRDefault="00DD185D" w:rsidP="00DD185D">
      <w:pPr>
        <w:rPr>
          <w:rtl/>
        </w:rPr>
      </w:pPr>
      <w:r>
        <w:rPr>
          <w:rFonts w:hint="cs"/>
          <w:rtl/>
        </w:rPr>
        <w:t>מקור האיסור במשפט העברי הוא בפסוקי התורה-</w:t>
      </w:r>
    </w:p>
    <w:p w14:paraId="54EFC77D" w14:textId="1A2210C9" w:rsidR="00DD185D" w:rsidRDefault="00DD185D" w:rsidP="00DD185D">
      <w:pPr>
        <w:rPr>
          <w:rtl/>
        </w:rPr>
      </w:pPr>
      <w:r>
        <w:rPr>
          <w:rFonts w:hint="cs"/>
          <w:rtl/>
        </w:rPr>
        <w:t>"לא תעשוק את רעך ולא תגזול, לא תלין פעולת שכיר איתך עד בוקר"</w:t>
      </w:r>
      <w:r w:rsidR="0070325F">
        <w:rPr>
          <w:rFonts w:hint="cs"/>
          <w:rtl/>
        </w:rPr>
        <w:t>...</w:t>
      </w:r>
      <w:r w:rsidR="0070325F">
        <w:rPr>
          <w:rStyle w:val="a5"/>
          <w:rtl/>
        </w:rPr>
        <w:footnoteReference w:id="16"/>
      </w:r>
      <w:r>
        <w:rPr>
          <w:rtl/>
        </w:rPr>
        <w:br/>
      </w:r>
      <w:r>
        <w:rPr>
          <w:rFonts w:hint="cs"/>
          <w:rtl/>
        </w:rPr>
        <w:t>"לא תעשוק שכיר... ביומו תיתן שכרו..."</w:t>
      </w:r>
      <w:r w:rsidR="0070325F">
        <w:rPr>
          <w:rStyle w:val="a5"/>
          <w:rtl/>
        </w:rPr>
        <w:footnoteReference w:id="17"/>
      </w:r>
    </w:p>
    <w:p w14:paraId="6CA1E341" w14:textId="38C8C324" w:rsidR="00DD185D" w:rsidRDefault="00DD185D" w:rsidP="00DD185D">
      <w:pPr>
        <w:rPr>
          <w:rtl/>
        </w:rPr>
      </w:pPr>
      <w:r>
        <w:rPr>
          <w:rFonts w:hint="cs"/>
          <w:rtl/>
        </w:rPr>
        <w:t xml:space="preserve">כלומר בפסוקי התורה אנו מוצאים איסור להשהות את תשלום שכר העבודה לפועל, ואף </w:t>
      </w:r>
      <w:r w:rsidR="0070325F">
        <w:rPr>
          <w:rFonts w:hint="cs"/>
          <w:rtl/>
        </w:rPr>
        <w:t>רואים כי מי שמשהה את השכר נחשב כעושק את הפועל.</w:t>
      </w:r>
    </w:p>
    <w:p w14:paraId="08F3073C" w14:textId="392B4E65" w:rsidR="0070325F" w:rsidRDefault="0070325F" w:rsidP="00DD185D">
      <w:pPr>
        <w:rPr>
          <w:rtl/>
        </w:rPr>
      </w:pPr>
      <w:r>
        <w:rPr>
          <w:rFonts w:hint="cs"/>
          <w:rtl/>
        </w:rPr>
        <w:lastRenderedPageBreak/>
        <w:t>גם בחוק הישראלי אנו מוצאים איסור על הלנת שכרו של הפועל, המפורט בחוק הגנת השכר.</w:t>
      </w:r>
      <w:r>
        <w:rPr>
          <w:rStyle w:val="a5"/>
          <w:rtl/>
        </w:rPr>
        <w:footnoteReference w:id="18"/>
      </w:r>
      <w:r w:rsidR="00607915">
        <w:rPr>
          <w:rFonts w:hint="cs"/>
          <w:rtl/>
        </w:rPr>
        <w:t xml:space="preserve"> ניתן לראות פירוט בחוק על הפיצויים המגיעים לעובד בעקבות הלנת השכר,</w:t>
      </w:r>
      <w:r w:rsidR="00607915">
        <w:rPr>
          <w:rStyle w:val="a5"/>
          <w:rtl/>
        </w:rPr>
        <w:footnoteReference w:id="19"/>
      </w:r>
      <w:r w:rsidR="00607915">
        <w:rPr>
          <w:rFonts w:hint="cs"/>
          <w:rtl/>
        </w:rPr>
        <w:t xml:space="preserve"> ומתי הלנת השכר עשויה להיחשב כעבירה פלילית.</w:t>
      </w:r>
      <w:r w:rsidR="00607915">
        <w:rPr>
          <w:rStyle w:val="a5"/>
          <w:rtl/>
        </w:rPr>
        <w:footnoteReference w:id="20"/>
      </w:r>
    </w:p>
    <w:p w14:paraId="4D6B4472" w14:textId="7D2CEDB3" w:rsidR="003A607A" w:rsidRDefault="003A607A" w:rsidP="00DD185D">
      <w:pPr>
        <w:rPr>
          <w:rtl/>
        </w:rPr>
      </w:pPr>
      <w:r>
        <w:rPr>
          <w:rFonts w:hint="cs"/>
          <w:rtl/>
        </w:rPr>
        <w:t>אולם כאן אנו מגיעים להבדל משמעותי בין שתי שיטות המשפט-</w:t>
      </w:r>
      <w:r>
        <w:rPr>
          <w:rtl/>
        </w:rPr>
        <w:br/>
      </w:r>
      <w:r w:rsidR="002E3335">
        <w:rPr>
          <w:rFonts w:hint="cs"/>
          <w:rtl/>
        </w:rPr>
        <w:t xml:space="preserve">במשפט העברי החובה </w:t>
      </w:r>
      <w:r w:rsidR="008B71AD">
        <w:rPr>
          <w:rFonts w:hint="cs"/>
          <w:rtl/>
        </w:rPr>
        <w:t>של</w:t>
      </w:r>
      <w:r w:rsidR="002E3335">
        <w:rPr>
          <w:rFonts w:hint="cs"/>
          <w:rtl/>
        </w:rPr>
        <w:t xml:space="preserve"> תביעת השכר היא על הפועל, וכל זמן שלא תבע את שכרו, אין חובה של המעסיק לשלם לו. אין בכך לומר שהחוב נמחק, אלא הוא נמצא במצב של השהייה עד לתביעת הפועל</w:t>
      </w:r>
      <w:r w:rsidR="001268CC">
        <w:rPr>
          <w:rFonts w:hint="cs"/>
          <w:rtl/>
        </w:rPr>
        <w:t>, וכל זמן שהוא לא תובע את משכורתו, מתייחסים אליו כאילו מחל עליה באופן זמני</w:t>
      </w:r>
      <w:r w:rsidR="002E3335">
        <w:rPr>
          <w:rFonts w:hint="cs"/>
          <w:rtl/>
        </w:rPr>
        <w:t>.</w:t>
      </w:r>
      <w:r w:rsidR="002E3335">
        <w:rPr>
          <w:rStyle w:val="a5"/>
          <w:rtl/>
        </w:rPr>
        <w:footnoteReference w:id="21"/>
      </w:r>
    </w:p>
    <w:p w14:paraId="195BDE13" w14:textId="4E42163C" w:rsidR="008B71AD" w:rsidRDefault="008B71AD" w:rsidP="00DD185D">
      <w:pPr>
        <w:rPr>
          <w:rtl/>
        </w:rPr>
      </w:pPr>
      <w:r>
        <w:rPr>
          <w:rFonts w:hint="cs"/>
          <w:rtl/>
        </w:rPr>
        <w:t>במשפט הישראלי לעומת זאת החובה</w:t>
      </w:r>
      <w:r w:rsidR="00675719">
        <w:rPr>
          <w:rFonts w:hint="cs"/>
          <w:rtl/>
        </w:rPr>
        <w:t xml:space="preserve"> של </w:t>
      </w:r>
      <w:r>
        <w:rPr>
          <w:rFonts w:hint="cs"/>
          <w:rtl/>
        </w:rPr>
        <w:t>פירעון השכר היא על המעביד, והיא קיימת גם ללא תביעתו המפורשת של העובד.</w:t>
      </w:r>
      <w:r w:rsidR="002D1473">
        <w:rPr>
          <w:rStyle w:val="a5"/>
          <w:rtl/>
        </w:rPr>
        <w:footnoteReference w:id="22"/>
      </w:r>
      <w:r>
        <w:rPr>
          <w:rFonts w:hint="cs"/>
          <w:rtl/>
        </w:rPr>
        <w:t xml:space="preserve"> יתר על כן, אם המעביד משתהה בתשלום, הוא נקנס, בנוסף לתשלום</w:t>
      </w:r>
      <w:r w:rsidR="00D23E12">
        <w:rPr>
          <w:rFonts w:hint="cs"/>
          <w:rtl/>
        </w:rPr>
        <w:t xml:space="preserve"> המשכורת שהוא חייב לעובד</w:t>
      </w:r>
      <w:r>
        <w:rPr>
          <w:rFonts w:hint="cs"/>
          <w:rtl/>
        </w:rPr>
        <w:t>.</w:t>
      </w:r>
    </w:p>
    <w:p w14:paraId="73194677" w14:textId="6CE880ED" w:rsidR="002D1473" w:rsidRDefault="002D1473" w:rsidP="00DD185D">
      <w:pPr>
        <w:rPr>
          <w:rtl/>
        </w:rPr>
      </w:pPr>
      <w:r>
        <w:rPr>
          <w:rFonts w:hint="cs"/>
          <w:rtl/>
        </w:rPr>
        <w:t>אנו רואים הבדל משמעותי</w:t>
      </w:r>
      <w:r w:rsidR="001268CC">
        <w:rPr>
          <w:rFonts w:hint="cs"/>
          <w:rtl/>
        </w:rPr>
        <w:t xml:space="preserve"> בין תפיסתו של המשפט העברי, לזו של המשפט הישראלי-</w:t>
      </w:r>
      <w:r w:rsidR="001268CC">
        <w:rPr>
          <w:rtl/>
        </w:rPr>
        <w:br/>
      </w:r>
      <w:r w:rsidR="001268CC">
        <w:rPr>
          <w:rFonts w:hint="cs"/>
          <w:rtl/>
        </w:rPr>
        <w:t>במשפט העברי עיקר המשקל על תביעת הזכות מונחת על כתפיו של הפועל, והוא צריך ממש לתבוע את המגיע לו</w:t>
      </w:r>
      <w:r w:rsidR="009D5B12">
        <w:rPr>
          <w:rFonts w:hint="cs"/>
          <w:rtl/>
        </w:rPr>
        <w:t xml:space="preserve">. במשפט הישראלי לעומתו עיקר משקל החובה מונח על כתפיו של </w:t>
      </w:r>
      <w:r w:rsidR="001309B9">
        <w:rPr>
          <w:rFonts w:hint="cs"/>
          <w:rtl/>
        </w:rPr>
        <w:t>המעסיק, ומחובתו לדאוג לתשלום לעובד שלו, אחרת ייקנס על איחור בתשלום.</w:t>
      </w:r>
    </w:p>
    <w:p w14:paraId="2EA6F76A" w14:textId="13BA27D7" w:rsidR="001309B9" w:rsidRDefault="001309B9" w:rsidP="00DD185D">
      <w:pPr>
        <w:rPr>
          <w:rtl/>
        </w:rPr>
      </w:pPr>
      <w:r>
        <w:rPr>
          <w:rFonts w:hint="cs"/>
          <w:rtl/>
        </w:rPr>
        <w:t>חכמי המשפט העברי לדורותיהם חשו בחוסר צדק מסוים שיש בהנחת משקל האחריות לתביעת השכר על כתפיו של העובד, ולכן לאורך הדורות ניסו לתת הסברים שונים לקביעה זו-</w:t>
      </w:r>
      <w:r>
        <w:rPr>
          <w:rtl/>
        </w:rPr>
        <w:br/>
      </w:r>
      <w:r>
        <w:rPr>
          <w:rFonts w:ascii="Arial" w:hAnsi="Arial" w:cs="Arial" w:hint="cs"/>
          <w:color w:val="222222"/>
          <w:shd w:val="clear" w:color="auto" w:fill="FFFFFF"/>
          <w:rtl/>
        </w:rPr>
        <w:t>יש שאמרו ש</w:t>
      </w:r>
      <w:r>
        <w:rPr>
          <w:rFonts w:ascii="Arial" w:hAnsi="Arial" w:cs="Arial"/>
          <w:color w:val="222222"/>
          <w:shd w:val="clear" w:color="auto" w:fill="FFFFFF"/>
          <w:rtl/>
        </w:rPr>
        <w:t>אם הפועל חושש</w:t>
      </w:r>
      <w:r>
        <w:rPr>
          <w:rFonts w:ascii="Arial" w:hAnsi="Arial" w:cs="Arial" w:hint="cs"/>
          <w:color w:val="222222"/>
          <w:shd w:val="clear" w:color="auto" w:fill="FFFFFF"/>
          <w:rtl/>
        </w:rPr>
        <w:t xml:space="preserve"> מהמעסיק או נמצא במצב שהוא </w:t>
      </w:r>
      <w:r>
        <w:rPr>
          <w:rFonts w:ascii="Arial" w:hAnsi="Arial" w:cs="Arial"/>
          <w:color w:val="222222"/>
          <w:shd w:val="clear" w:color="auto" w:fill="FFFFFF"/>
          <w:rtl/>
        </w:rPr>
        <w:t xml:space="preserve">לא יכול לתבוע את שכרו- חל איסור </w:t>
      </w:r>
      <w:r w:rsidR="00160CAB">
        <w:rPr>
          <w:rFonts w:ascii="Arial" w:hAnsi="Arial" w:cs="Arial" w:hint="cs"/>
          <w:color w:val="222222"/>
          <w:shd w:val="clear" w:color="auto" w:fill="FFFFFF"/>
          <w:rtl/>
        </w:rPr>
        <w:t>הלנת שכר גם ללא תביעת הפועל</w:t>
      </w:r>
      <w:r>
        <w:rPr>
          <w:rFonts w:ascii="Arial" w:hAnsi="Arial" w:cs="Arial"/>
          <w:color w:val="222222"/>
          <w:shd w:val="clear" w:color="auto" w:fill="FFFFFF"/>
          <w:rtl/>
        </w:rPr>
        <w:t>.</w:t>
      </w:r>
      <w:r w:rsidR="00D61716">
        <w:rPr>
          <w:rStyle w:val="a5"/>
          <w:rFonts w:ascii="Arial" w:hAnsi="Arial" w:cs="Arial"/>
          <w:color w:val="222222"/>
          <w:shd w:val="clear" w:color="auto" w:fill="FFFFFF"/>
          <w:rtl/>
        </w:rPr>
        <w:footnoteReference w:id="23"/>
      </w:r>
      <w:r>
        <w:rPr>
          <w:rFonts w:ascii="Arial" w:hAnsi="Arial" w:cs="Arial"/>
          <w:color w:val="222222"/>
          <w:shd w:val="clear" w:color="auto" w:fill="FFFFFF"/>
          <w:rtl/>
        </w:rPr>
        <w:t xml:space="preserve"> </w:t>
      </w:r>
      <w:r w:rsidR="00160CAB">
        <w:rPr>
          <w:rFonts w:ascii="Arial" w:hAnsi="Arial" w:cs="Arial" w:hint="cs"/>
          <w:color w:val="222222"/>
          <w:shd w:val="clear" w:color="auto" w:fill="FFFFFF"/>
          <w:rtl/>
        </w:rPr>
        <w:t>יש שהסבירו ש</w:t>
      </w:r>
      <w:r>
        <w:rPr>
          <w:rFonts w:ascii="Arial" w:hAnsi="Arial" w:cs="Arial"/>
          <w:color w:val="222222"/>
          <w:shd w:val="clear" w:color="auto" w:fill="FFFFFF"/>
          <w:rtl/>
        </w:rPr>
        <w:t xml:space="preserve">אם </w:t>
      </w:r>
      <w:r w:rsidR="00160CAB">
        <w:rPr>
          <w:rFonts w:ascii="Arial" w:hAnsi="Arial" w:cs="Arial" w:hint="cs"/>
          <w:color w:val="222222"/>
          <w:shd w:val="clear" w:color="auto" w:fill="FFFFFF"/>
          <w:rtl/>
        </w:rPr>
        <w:t xml:space="preserve">העובד </w:t>
      </w:r>
      <w:r>
        <w:rPr>
          <w:rFonts w:ascii="Arial" w:hAnsi="Arial" w:cs="Arial"/>
          <w:color w:val="222222"/>
          <w:shd w:val="clear" w:color="auto" w:fill="FFFFFF"/>
          <w:rtl/>
        </w:rPr>
        <w:t>עבד אצל שני מעסיקים ותבע רק אחד</w:t>
      </w:r>
      <w:r w:rsidR="00160CAB">
        <w:rPr>
          <w:rFonts w:ascii="Arial" w:hAnsi="Arial" w:cs="Arial" w:hint="cs"/>
          <w:color w:val="222222"/>
          <w:shd w:val="clear" w:color="auto" w:fill="FFFFFF"/>
          <w:rtl/>
        </w:rPr>
        <w:t xml:space="preserve"> מהם</w:t>
      </w:r>
      <w:r>
        <w:rPr>
          <w:rFonts w:ascii="Arial" w:hAnsi="Arial" w:cs="Arial"/>
          <w:color w:val="222222"/>
          <w:shd w:val="clear" w:color="auto" w:fill="FFFFFF"/>
          <w:rtl/>
        </w:rPr>
        <w:t>, או</w:t>
      </w:r>
      <w:r w:rsidR="00927EC0">
        <w:rPr>
          <w:rFonts w:ascii="Arial" w:hAnsi="Arial" w:cs="Arial" w:hint="cs"/>
          <w:color w:val="222222"/>
          <w:shd w:val="clear" w:color="auto" w:fill="FFFFFF"/>
          <w:rtl/>
        </w:rPr>
        <w:t xml:space="preserve"> שהיו </w:t>
      </w:r>
      <w:r>
        <w:rPr>
          <w:rFonts w:ascii="Arial" w:hAnsi="Arial" w:cs="Arial"/>
          <w:color w:val="222222"/>
          <w:shd w:val="clear" w:color="auto" w:fill="FFFFFF"/>
          <w:rtl/>
        </w:rPr>
        <w:t xml:space="preserve">שני </w:t>
      </w:r>
      <w:r w:rsidR="00160CAB">
        <w:rPr>
          <w:rFonts w:ascii="Arial" w:hAnsi="Arial" w:cs="Arial" w:hint="cs"/>
          <w:color w:val="222222"/>
          <w:shd w:val="clear" w:color="auto" w:fill="FFFFFF"/>
          <w:rtl/>
        </w:rPr>
        <w:t>עובדים</w:t>
      </w:r>
      <w:r>
        <w:rPr>
          <w:rFonts w:ascii="Arial" w:hAnsi="Arial" w:cs="Arial"/>
          <w:color w:val="222222"/>
          <w:shd w:val="clear" w:color="auto" w:fill="FFFFFF"/>
          <w:rtl/>
        </w:rPr>
        <w:t xml:space="preserve"> </w:t>
      </w:r>
      <w:r w:rsidR="00160CAB">
        <w:rPr>
          <w:rFonts w:ascii="Arial" w:hAnsi="Arial" w:cs="Arial" w:hint="cs"/>
          <w:color w:val="222222"/>
          <w:shd w:val="clear" w:color="auto" w:fill="FFFFFF"/>
          <w:rtl/>
        </w:rPr>
        <w:t>ו</w:t>
      </w:r>
      <w:r>
        <w:rPr>
          <w:rFonts w:ascii="Arial" w:hAnsi="Arial" w:cs="Arial"/>
          <w:color w:val="222222"/>
          <w:shd w:val="clear" w:color="auto" w:fill="FFFFFF"/>
          <w:rtl/>
        </w:rPr>
        <w:t>רק אחד מהם תבע את שכרו</w:t>
      </w:r>
      <w:r w:rsidR="00160CAB">
        <w:rPr>
          <w:rFonts w:ascii="Arial" w:hAnsi="Arial" w:cs="Arial" w:hint="cs"/>
          <w:color w:val="222222"/>
          <w:shd w:val="clear" w:color="auto" w:fill="FFFFFF"/>
          <w:rtl/>
        </w:rPr>
        <w:t xml:space="preserve"> מהמעביד</w:t>
      </w:r>
      <w:r>
        <w:rPr>
          <w:rFonts w:ascii="Arial" w:hAnsi="Arial" w:cs="Arial"/>
          <w:color w:val="222222"/>
          <w:shd w:val="clear" w:color="auto" w:fill="FFFFFF"/>
          <w:rtl/>
        </w:rPr>
        <w:t>- זה</w:t>
      </w:r>
      <w:r w:rsidR="00160CAB">
        <w:rPr>
          <w:rFonts w:ascii="Arial" w:hAnsi="Arial" w:cs="Arial" w:hint="cs"/>
          <w:color w:val="222222"/>
          <w:shd w:val="clear" w:color="auto" w:fill="FFFFFF"/>
          <w:rtl/>
        </w:rPr>
        <w:t xml:space="preserve"> </w:t>
      </w:r>
      <w:r w:rsidR="00927EC0">
        <w:rPr>
          <w:rFonts w:ascii="Arial" w:hAnsi="Arial" w:cs="Arial" w:hint="cs"/>
          <w:color w:val="222222"/>
          <w:shd w:val="clear" w:color="auto" w:fill="FFFFFF"/>
          <w:rtl/>
        </w:rPr>
        <w:t>מספיק כדי להיחשב</w:t>
      </w:r>
      <w:r w:rsidR="00160CAB">
        <w:rPr>
          <w:rFonts w:ascii="Arial" w:hAnsi="Arial" w:cs="Arial" w:hint="cs"/>
          <w:color w:val="222222"/>
          <w:shd w:val="clear" w:color="auto" w:fill="FFFFFF"/>
          <w:rtl/>
        </w:rPr>
        <w:t xml:space="preserve"> כתביעה לקבלת השכר</w:t>
      </w:r>
      <w:r>
        <w:rPr>
          <w:rFonts w:ascii="Arial" w:hAnsi="Arial" w:cs="Arial"/>
          <w:color w:val="222222"/>
          <w:shd w:val="clear" w:color="auto" w:fill="FFFFFF"/>
          <w:rtl/>
        </w:rPr>
        <w:t>.</w:t>
      </w:r>
      <w:r w:rsidR="00D61716">
        <w:rPr>
          <w:rStyle w:val="a5"/>
          <w:rFonts w:ascii="Arial" w:hAnsi="Arial" w:cs="Arial"/>
          <w:color w:val="222222"/>
          <w:shd w:val="clear" w:color="auto" w:fill="FFFFFF"/>
          <w:rtl/>
        </w:rPr>
        <w:footnoteReference w:id="24"/>
      </w:r>
      <w:r w:rsidR="00160CAB">
        <w:rPr>
          <w:rFonts w:ascii="Arial" w:hAnsi="Arial" w:cs="Arial" w:hint="cs"/>
          <w:color w:val="222222"/>
          <w:shd w:val="clear" w:color="auto" w:fill="FFFFFF"/>
          <w:rtl/>
        </w:rPr>
        <w:t xml:space="preserve"> ויש שהסבירו</w:t>
      </w:r>
      <w:r>
        <w:rPr>
          <w:rFonts w:ascii="Arial" w:hAnsi="Arial" w:cs="Arial"/>
          <w:color w:val="222222"/>
          <w:shd w:val="clear" w:color="auto" w:fill="FFFFFF"/>
          <w:rtl/>
        </w:rPr>
        <w:t xml:space="preserve"> </w:t>
      </w:r>
      <w:r w:rsidR="00160CAB">
        <w:rPr>
          <w:rFonts w:ascii="Arial" w:hAnsi="Arial" w:cs="Arial" w:hint="cs"/>
          <w:color w:val="222222"/>
          <w:shd w:val="clear" w:color="auto" w:fill="FFFFFF"/>
          <w:rtl/>
        </w:rPr>
        <w:t>ש</w:t>
      </w:r>
      <w:r>
        <w:rPr>
          <w:rFonts w:ascii="Arial" w:hAnsi="Arial" w:cs="Arial"/>
          <w:color w:val="222222"/>
          <w:shd w:val="clear" w:color="auto" w:fill="FFFFFF"/>
          <w:rtl/>
        </w:rPr>
        <w:t>אמנם</w:t>
      </w:r>
      <w:r w:rsidR="00160CAB">
        <w:rPr>
          <w:rFonts w:ascii="Arial" w:hAnsi="Arial" w:cs="Arial" w:hint="cs"/>
          <w:color w:val="222222"/>
          <w:shd w:val="clear" w:color="auto" w:fill="FFFFFF"/>
          <w:rtl/>
        </w:rPr>
        <w:t xml:space="preserve"> בלא תביעת העובד</w:t>
      </w:r>
      <w:r>
        <w:rPr>
          <w:rFonts w:ascii="Arial" w:hAnsi="Arial" w:cs="Arial"/>
          <w:color w:val="222222"/>
          <w:shd w:val="clear" w:color="auto" w:fill="FFFFFF"/>
          <w:rtl/>
        </w:rPr>
        <w:t xml:space="preserve"> לא עבר</w:t>
      </w:r>
      <w:r w:rsidR="00160CAB">
        <w:rPr>
          <w:rFonts w:ascii="Arial" w:hAnsi="Arial" w:cs="Arial" w:hint="cs"/>
          <w:color w:val="222222"/>
          <w:shd w:val="clear" w:color="auto" w:fill="FFFFFF"/>
          <w:rtl/>
        </w:rPr>
        <w:t xml:space="preserve"> המעביד</w:t>
      </w:r>
      <w:r>
        <w:rPr>
          <w:rFonts w:ascii="Arial" w:hAnsi="Arial" w:cs="Arial"/>
          <w:color w:val="222222"/>
          <w:shd w:val="clear" w:color="auto" w:fill="FFFFFF"/>
          <w:rtl/>
        </w:rPr>
        <w:t xml:space="preserve"> על הלנת שכר, אבל עבר על</w:t>
      </w:r>
      <w:r w:rsidR="00160CAB">
        <w:rPr>
          <w:rFonts w:ascii="Arial" w:hAnsi="Arial" w:cs="Arial" w:hint="cs"/>
          <w:color w:val="222222"/>
          <w:shd w:val="clear" w:color="auto" w:fill="FFFFFF"/>
          <w:rtl/>
        </w:rPr>
        <w:t xml:space="preserve"> איסור אחר-</w:t>
      </w:r>
      <w:r>
        <w:rPr>
          <w:rFonts w:ascii="Arial" w:hAnsi="Arial" w:cs="Arial"/>
          <w:color w:val="222222"/>
          <w:shd w:val="clear" w:color="auto" w:fill="FFFFFF"/>
          <w:rtl/>
        </w:rPr>
        <w:t xml:space="preserve"> "ביומו תיתן שכרו</w:t>
      </w:r>
      <w:r w:rsidR="00D61716">
        <w:rPr>
          <w:rFonts w:ascii="Arial" w:hAnsi="Arial" w:cs="Arial" w:hint="cs"/>
          <w:color w:val="222222"/>
          <w:shd w:val="clear" w:color="auto" w:fill="FFFFFF"/>
          <w:rtl/>
        </w:rPr>
        <w:t>".</w:t>
      </w:r>
      <w:r w:rsidR="00D61716">
        <w:rPr>
          <w:rStyle w:val="a5"/>
          <w:rFonts w:ascii="Arial" w:hAnsi="Arial" w:cs="Arial"/>
          <w:color w:val="222222"/>
          <w:shd w:val="clear" w:color="auto" w:fill="FFFFFF"/>
          <w:rtl/>
        </w:rPr>
        <w:footnoteReference w:id="25"/>
      </w:r>
      <w:r w:rsidR="002062F1">
        <w:rPr>
          <w:rFonts w:hint="cs"/>
          <w:rtl/>
        </w:rPr>
        <w:t xml:space="preserve"> אולם עיקרון היסוד נשאר במסגרתו- חובת התביעה היא על העובד, ולא על המעביד.</w:t>
      </w:r>
      <w:r w:rsidR="002062F1">
        <w:rPr>
          <w:rStyle w:val="a5"/>
          <w:rtl/>
        </w:rPr>
        <w:footnoteReference w:id="26"/>
      </w:r>
    </w:p>
    <w:p w14:paraId="679714C8" w14:textId="247AC0BE" w:rsidR="004D013C" w:rsidRDefault="004D013C" w:rsidP="00DD185D">
      <w:pPr>
        <w:rPr>
          <w:rtl/>
        </w:rPr>
      </w:pPr>
      <w:r>
        <w:rPr>
          <w:rFonts w:hint="cs"/>
          <w:rtl/>
        </w:rPr>
        <w:t xml:space="preserve">אנו רואים </w:t>
      </w:r>
      <w:r w:rsidR="00D61227">
        <w:rPr>
          <w:rFonts w:hint="cs"/>
          <w:rtl/>
        </w:rPr>
        <w:t>מהאמור לעיל</w:t>
      </w:r>
      <w:r>
        <w:rPr>
          <w:rFonts w:hint="cs"/>
          <w:rtl/>
        </w:rPr>
        <w:t xml:space="preserve"> שעל אף החובה החוקית לשאוב השראה מדיני המשפט העברי, המחוקק הישראלי בחר במקרה של הלנת שכר לחרוג באופן חד מתפיסת המשפט העברי, ולייסד חוק שמטיל את משקל החובה לתשלום על המעביד ולא על העובד. במבט מן הצד, ניתן לומר כי אכן יש צדק חברתי-סוציאלי לצדד ולתמוך בחוק הישראלי, ולהעדיפו על פני המשפט העברי בעניין זה.</w:t>
      </w:r>
    </w:p>
    <w:p w14:paraId="06B0F3FE" w14:textId="3C6227B3" w:rsidR="00577BF3" w:rsidRDefault="00577BF3" w:rsidP="00DD185D">
      <w:pPr>
        <w:rPr>
          <w:rtl/>
        </w:rPr>
      </w:pPr>
      <w:r>
        <w:rPr>
          <w:rFonts w:hint="cs"/>
          <w:rtl/>
        </w:rPr>
        <w:t>לאור העולה מהניתוח לעיל, ניתן לסייג את מסקנתו של כותב המאמר ביחס לאקטיביזם ופרשנות שיפוטית. כותב המאמר הציע ש</w:t>
      </w:r>
      <w:r>
        <w:rPr>
          <w:rFonts w:hint="cs"/>
          <w:rtl/>
        </w:rPr>
        <w:t xml:space="preserve">ייתכן ופרשנותם של השופטים לחוק תהיה מעין רפורמה לכוונת המחוקקים מלכתחילה, אבל </w:t>
      </w:r>
      <w:r>
        <w:rPr>
          <w:rFonts w:hint="cs"/>
          <w:rtl/>
        </w:rPr>
        <w:t xml:space="preserve">זה לא </w:t>
      </w:r>
      <w:r>
        <w:rPr>
          <w:rFonts w:hint="cs"/>
          <w:rtl/>
        </w:rPr>
        <w:t>בהכרח תופעה שלילית, אלא תופעה שיש בה סיכון מחד, אך גם פוטנציאל התפתחותי מאידך, שעשוי להוציא לפועל צדק בצורה טובה יותר</w:t>
      </w:r>
      <w:r>
        <w:rPr>
          <w:rFonts w:hint="cs"/>
          <w:rtl/>
        </w:rPr>
        <w:t>. ניתן להניח שאם הייתה התערבות שיפוטית בפסיקה לגבי חוק הלנת שכר, היא הייתה גורמת להט</w:t>
      </w:r>
      <w:r w:rsidR="0059616D">
        <w:rPr>
          <w:rFonts w:hint="cs"/>
          <w:rtl/>
        </w:rPr>
        <w:t>י</w:t>
      </w:r>
      <w:r>
        <w:rPr>
          <w:rFonts w:hint="cs"/>
          <w:rtl/>
        </w:rPr>
        <w:t>ה של החוק לכיוון המשפט העברי</w:t>
      </w:r>
      <w:r w:rsidR="0059616D">
        <w:rPr>
          <w:rFonts w:hint="cs"/>
          <w:rtl/>
        </w:rPr>
        <w:t>, כפי שמצופה בחוק יסודות המשפט שהוזכר לעיל</w:t>
      </w:r>
      <w:r>
        <w:rPr>
          <w:rFonts w:hint="cs"/>
          <w:rtl/>
        </w:rPr>
        <w:t xml:space="preserve">. מצב כזה פוגע בצדק החברתי-סוציאלי </w:t>
      </w:r>
      <w:r>
        <w:rPr>
          <w:rFonts w:hint="cs"/>
          <w:rtl/>
        </w:rPr>
        <w:lastRenderedPageBreak/>
        <w:t>אותו רצה המחוקק</w:t>
      </w:r>
      <w:r w:rsidR="0059616D">
        <w:rPr>
          <w:rFonts w:hint="cs"/>
          <w:rtl/>
        </w:rPr>
        <w:t xml:space="preserve"> הישראלי</w:t>
      </w:r>
      <w:r>
        <w:rPr>
          <w:rFonts w:hint="cs"/>
          <w:rtl/>
        </w:rPr>
        <w:t xml:space="preserve"> להוציא לפועל, ופוגם </w:t>
      </w:r>
      <w:r w:rsidR="0059616D">
        <w:rPr>
          <w:rFonts w:hint="cs"/>
          <w:rtl/>
        </w:rPr>
        <w:t>במטרות החוק. מכאן ניתן לחלוק על מסקנתו של כותב המאמר, ולראות איך אקטיביזם ופרשנות שיפוטית לחוק עשויה דווקא לגרוע מהצדק שאותו חוק מנסה להוציא לפועל.</w:t>
      </w:r>
    </w:p>
    <w:p w14:paraId="1C99D865" w14:textId="224892C6" w:rsidR="0059616D" w:rsidRDefault="0059616D" w:rsidP="00DD185D">
      <w:pPr>
        <w:rPr>
          <w:rtl/>
        </w:rPr>
      </w:pPr>
      <w:r>
        <w:rPr>
          <w:rFonts w:hint="cs"/>
          <w:rtl/>
        </w:rPr>
        <w:t>נסקור דוגמא נוספת העוסקת בפער שבין המשפט העברי למשפט הישראלי, הפעם בנושא מיצוי זכויות.</w:t>
      </w:r>
      <w:r w:rsidR="00B936E8">
        <w:rPr>
          <w:rStyle w:val="a5"/>
          <w:rtl/>
        </w:rPr>
        <w:footnoteReference w:id="27"/>
      </w:r>
      <w:r w:rsidR="00CC2000">
        <w:rPr>
          <w:rFonts w:hint="cs"/>
          <w:rtl/>
        </w:rPr>
        <w:t xml:space="preserve"> אביא </w:t>
      </w:r>
      <w:r w:rsidR="00444BA8">
        <w:rPr>
          <w:rFonts w:hint="cs"/>
          <w:rtl/>
        </w:rPr>
        <w:t>חלקי פסקאות בציטוט חלקי</w:t>
      </w:r>
      <w:r w:rsidR="00CC2000">
        <w:rPr>
          <w:rFonts w:hint="cs"/>
          <w:rtl/>
        </w:rPr>
        <w:t xml:space="preserve"> מדבריו של פרופ' פורת בעניין-</w:t>
      </w:r>
    </w:p>
    <w:p w14:paraId="762FD187" w14:textId="563777FB" w:rsidR="0059616D" w:rsidRDefault="00CC2000" w:rsidP="00DD185D">
      <w:pPr>
        <w:rPr>
          <w:rtl/>
        </w:rPr>
      </w:pPr>
      <w:r>
        <w:rPr>
          <w:rFonts w:hint="cs"/>
          <w:rtl/>
        </w:rPr>
        <w:t>כחלק מהרצון בהגנה</w:t>
      </w:r>
      <w:r w:rsidR="00B936E8">
        <w:rPr>
          <w:rtl/>
        </w:rPr>
        <w:t xml:space="preserve"> על רווחת השכבות החלשות עשוי</w:t>
      </w:r>
      <w:r w:rsidR="00923429">
        <w:rPr>
          <w:rFonts w:hint="cs"/>
          <w:rtl/>
        </w:rPr>
        <w:t>ות</w:t>
      </w:r>
      <w:r w:rsidR="00B936E8">
        <w:rPr>
          <w:rtl/>
        </w:rPr>
        <w:t xml:space="preserve"> </w:t>
      </w:r>
      <w:r>
        <w:rPr>
          <w:rFonts w:hint="cs"/>
          <w:rtl/>
        </w:rPr>
        <w:t>הרשות המחוקקת ו</w:t>
      </w:r>
      <w:r w:rsidR="00B936E8">
        <w:rPr>
          <w:rtl/>
        </w:rPr>
        <w:t>מערכת המשפט לקבוע חוקים שונים שעניינם הענקת סיוע לאנשים החיים בעוני ולקבוצות חלשות אחרות.</w:t>
      </w:r>
      <w:r>
        <w:rPr>
          <w:rFonts w:hint="cs"/>
          <w:rtl/>
        </w:rPr>
        <w:t xml:space="preserve"> נשאלת השאלה-</w:t>
      </w:r>
      <w:r w:rsidR="00B936E8">
        <w:rPr>
          <w:rtl/>
        </w:rPr>
        <w:t xml:space="preserve"> האם חובת המדינה או הקהילה להעניק את הסיוע </w:t>
      </w:r>
      <w:r w:rsidR="00E0718B">
        <w:rPr>
          <w:rFonts w:hint="cs"/>
          <w:rtl/>
        </w:rPr>
        <w:t>לנזקקים</w:t>
      </w:r>
      <w:r w:rsidR="00B936E8">
        <w:rPr>
          <w:rtl/>
        </w:rPr>
        <w:t xml:space="preserve"> תלויה בכך שהללו יתבעו את זכותם? נראה שבנקודה זו יש הבדל עקרוני בין</w:t>
      </w:r>
      <w:r>
        <w:rPr>
          <w:rFonts w:hint="cs"/>
          <w:rtl/>
        </w:rPr>
        <w:t xml:space="preserve"> תפיסתו של המשפט העברי לבין תפיסתו של המשפט הישראלי.</w:t>
      </w:r>
    </w:p>
    <w:p w14:paraId="0DC39D72" w14:textId="008B721B" w:rsidR="00444BA8" w:rsidRDefault="00B72CD9" w:rsidP="00DD185D">
      <w:pPr>
        <w:rPr>
          <w:rtl/>
        </w:rPr>
      </w:pPr>
      <w:r>
        <w:rPr>
          <w:rFonts w:hint="cs"/>
          <w:rtl/>
        </w:rPr>
        <w:t>ב</w:t>
      </w:r>
      <w:r w:rsidR="00444BA8">
        <w:rPr>
          <w:rtl/>
        </w:rPr>
        <w:t xml:space="preserve">ישראל המוסד לביטוח לאומי מעניק קצבאות שונות לקבוצות </w:t>
      </w:r>
      <w:r>
        <w:rPr>
          <w:rFonts w:hint="cs"/>
          <w:rtl/>
        </w:rPr>
        <w:t>בעלי זכאות</w:t>
      </w:r>
      <w:r w:rsidR="00444BA8">
        <w:rPr>
          <w:rtl/>
        </w:rPr>
        <w:t xml:space="preserve"> לתמיכה </w:t>
      </w:r>
      <w:r w:rsidR="00444BA8">
        <w:rPr>
          <w:rFonts w:hint="cs"/>
          <w:rtl/>
        </w:rPr>
        <w:t>(</w:t>
      </w:r>
      <w:r w:rsidR="00444BA8">
        <w:rPr>
          <w:rtl/>
        </w:rPr>
        <w:t>זכאי הבטחת הכנסה</w:t>
      </w:r>
      <w:r>
        <w:rPr>
          <w:rFonts w:hint="cs"/>
          <w:rtl/>
        </w:rPr>
        <w:t>, מובטלים,</w:t>
      </w:r>
      <w:r w:rsidR="00444BA8">
        <w:rPr>
          <w:rtl/>
        </w:rPr>
        <w:t xml:space="preserve"> זקנים וכדומה</w:t>
      </w:r>
      <w:r w:rsidR="00444BA8">
        <w:rPr>
          <w:rFonts w:hint="cs"/>
          <w:rtl/>
        </w:rPr>
        <w:t>)</w:t>
      </w:r>
      <w:r w:rsidR="00444BA8">
        <w:rPr>
          <w:rtl/>
        </w:rPr>
        <w:t xml:space="preserve">. קצבאות אלה משולמות </w:t>
      </w:r>
      <w:r>
        <w:rPr>
          <w:rFonts w:hint="cs"/>
          <w:rtl/>
        </w:rPr>
        <w:t>לקבוצות הזכאות</w:t>
      </w:r>
      <w:r w:rsidR="00444BA8">
        <w:rPr>
          <w:rtl/>
        </w:rPr>
        <w:t xml:space="preserve"> רק אם הללו תבעו</w:t>
      </w:r>
      <w:r>
        <w:rPr>
          <w:rFonts w:hint="cs"/>
          <w:rtl/>
        </w:rPr>
        <w:t xml:space="preserve"> באופן אקטיבי את הזכות שמגיעה להם</w:t>
      </w:r>
      <w:r w:rsidR="00444BA8">
        <w:rPr>
          <w:rFonts w:hint="cs"/>
          <w:rtl/>
        </w:rPr>
        <w:t>.</w:t>
      </w:r>
      <w:r w:rsidR="00444BA8">
        <w:t xml:space="preserve"> </w:t>
      </w:r>
      <w:r w:rsidR="00444BA8">
        <w:rPr>
          <w:rtl/>
        </w:rPr>
        <w:t>הביטוח הלאומי</w:t>
      </w:r>
      <w:r>
        <w:rPr>
          <w:rFonts w:hint="cs"/>
          <w:rtl/>
        </w:rPr>
        <w:t xml:space="preserve"> מצידו</w:t>
      </w:r>
      <w:r w:rsidR="00444BA8">
        <w:rPr>
          <w:rtl/>
        </w:rPr>
        <w:t xml:space="preserve"> אינו יוזם</w:t>
      </w:r>
      <w:r>
        <w:rPr>
          <w:rFonts w:hint="cs"/>
          <w:rtl/>
        </w:rPr>
        <w:t xml:space="preserve"> אקטיבית</w:t>
      </w:r>
      <w:r w:rsidR="00444BA8">
        <w:rPr>
          <w:rtl/>
        </w:rPr>
        <w:t xml:space="preserve"> מתן קצבאות ללא הגשת תביעה.</w:t>
      </w:r>
      <w:r>
        <w:rPr>
          <w:rStyle w:val="a5"/>
          <w:rtl/>
        </w:rPr>
        <w:footnoteReference w:id="28"/>
      </w:r>
      <w:r w:rsidR="00444BA8">
        <w:rPr>
          <w:rtl/>
        </w:rPr>
        <w:t xml:space="preserve"> </w:t>
      </w:r>
      <w:r w:rsidR="00062EFF">
        <w:rPr>
          <w:rFonts w:hint="cs"/>
          <w:rtl/>
        </w:rPr>
        <w:t>לצורך הדגמה,</w:t>
      </w:r>
      <w:r w:rsidR="00444BA8">
        <w:rPr>
          <w:rtl/>
        </w:rPr>
        <w:t xml:space="preserve"> אדם </w:t>
      </w:r>
      <w:r w:rsidR="00062EFF">
        <w:rPr>
          <w:rFonts w:hint="cs"/>
          <w:rtl/>
        </w:rPr>
        <w:t>מובטל</w:t>
      </w:r>
      <w:r w:rsidR="00444BA8">
        <w:rPr>
          <w:rtl/>
        </w:rPr>
        <w:t xml:space="preserve"> </w:t>
      </w:r>
      <w:r w:rsidR="00062EFF">
        <w:rPr>
          <w:rFonts w:hint="cs"/>
          <w:rtl/>
        </w:rPr>
        <w:t xml:space="preserve">שלא תבע את דמי האבטלה </w:t>
      </w:r>
      <w:r>
        <w:rPr>
          <w:rFonts w:hint="cs"/>
          <w:rtl/>
        </w:rPr>
        <w:t>המגיע</w:t>
      </w:r>
      <w:r w:rsidR="00062EFF">
        <w:rPr>
          <w:rFonts w:hint="cs"/>
          <w:rtl/>
        </w:rPr>
        <w:t>ים</w:t>
      </w:r>
      <w:r>
        <w:rPr>
          <w:rFonts w:hint="cs"/>
          <w:rtl/>
        </w:rPr>
        <w:t xml:space="preserve"> לו על פי חוק,</w:t>
      </w:r>
      <w:r w:rsidR="00444BA8">
        <w:rPr>
          <w:rtl/>
        </w:rPr>
        <w:t xml:space="preserve"> לא יהיה זכאי לקבל</w:t>
      </w:r>
      <w:r w:rsidR="00062EFF">
        <w:rPr>
          <w:rFonts w:hint="cs"/>
          <w:rtl/>
        </w:rPr>
        <w:t>ם</w:t>
      </w:r>
      <w:r w:rsidR="00444BA8">
        <w:rPr>
          <w:rtl/>
        </w:rPr>
        <w:t xml:space="preserve">. אם יגיש את התביעה </w:t>
      </w:r>
      <w:r w:rsidR="00062EFF">
        <w:rPr>
          <w:rFonts w:hint="cs"/>
          <w:rtl/>
        </w:rPr>
        <w:t xml:space="preserve">יותר מ- 12 חודשים לאחר </w:t>
      </w:r>
      <w:r w:rsidR="003421AD">
        <w:rPr>
          <w:rFonts w:hint="cs"/>
          <w:rtl/>
        </w:rPr>
        <w:t xml:space="preserve">תחילת </w:t>
      </w:r>
      <w:r w:rsidR="00062EFF">
        <w:rPr>
          <w:rFonts w:hint="cs"/>
          <w:rtl/>
        </w:rPr>
        <w:t>זכאותו,</w:t>
      </w:r>
      <w:r w:rsidR="00444BA8">
        <w:rPr>
          <w:rtl/>
        </w:rPr>
        <w:t xml:space="preserve"> הוא לא </w:t>
      </w:r>
      <w:r w:rsidR="00062EFF">
        <w:rPr>
          <w:rFonts w:hint="cs"/>
          <w:rtl/>
        </w:rPr>
        <w:t>יהיה זכאי לתשלום</w:t>
      </w:r>
      <w:r w:rsidR="00444BA8">
        <w:rPr>
          <w:rtl/>
        </w:rPr>
        <w:t xml:space="preserve"> </w:t>
      </w:r>
      <w:r>
        <w:rPr>
          <w:rFonts w:hint="cs"/>
          <w:rtl/>
        </w:rPr>
        <w:t>רטרואקטיבית</w:t>
      </w:r>
      <w:r w:rsidR="00444BA8">
        <w:rPr>
          <w:rtl/>
        </w:rPr>
        <w:t>,</w:t>
      </w:r>
      <w:r w:rsidR="00062EFF">
        <w:rPr>
          <w:rFonts w:hint="cs"/>
          <w:rtl/>
        </w:rPr>
        <w:t xml:space="preserve"> אלא רק לתקופה של 12 חודשים אחורה,</w:t>
      </w:r>
      <w:r w:rsidR="00444BA8">
        <w:rPr>
          <w:rtl/>
        </w:rPr>
        <w:t xml:space="preserve"> שכן זכאותו מותנית בכך שיתבע את המגיע</w:t>
      </w:r>
      <w:r w:rsidR="00062EFF">
        <w:rPr>
          <w:rFonts w:hint="cs"/>
          <w:rtl/>
        </w:rPr>
        <w:t xml:space="preserve"> לו מלכתחילה.</w:t>
      </w:r>
      <w:r w:rsidR="00062EFF">
        <w:rPr>
          <w:rStyle w:val="a5"/>
          <w:rtl/>
        </w:rPr>
        <w:footnoteReference w:id="29"/>
      </w:r>
    </w:p>
    <w:p w14:paraId="48D51B54" w14:textId="60D23368" w:rsidR="00ED60BB" w:rsidRDefault="005B34D7" w:rsidP="00ED60BB">
      <w:pPr>
        <w:rPr>
          <w:rtl/>
        </w:rPr>
      </w:pPr>
      <w:r>
        <w:rPr>
          <w:rFonts w:hint="cs"/>
          <w:rtl/>
        </w:rPr>
        <w:t>הדרישה להגשת התביעה לצורך מיצוי הזכות יוצרת בעיה של אי-מיצוי זכויות. רבים מהזכאים עשויים שלא לממש את זכאותם לקבלת תמיכה תקציבית, וזאת רק מתוך חוסר ב</w:t>
      </w:r>
      <w:r w:rsidR="00ED60BB">
        <w:rPr>
          <w:rFonts w:hint="cs"/>
          <w:rtl/>
        </w:rPr>
        <w:t xml:space="preserve">הגשת </w:t>
      </w:r>
      <w:r>
        <w:rPr>
          <w:rFonts w:hint="cs"/>
          <w:rtl/>
        </w:rPr>
        <w:t xml:space="preserve">תביעה לקבל את המגיע להם. יכולות להיות מספר סיבות לחוסר מימוש התביעה לזכות- חסמים בירוקרטיים, חוסר ידיעה על הזכאות, פחד </w:t>
      </w:r>
      <w:r w:rsidR="009C26AB">
        <w:rPr>
          <w:rFonts w:hint="cs"/>
          <w:rtl/>
        </w:rPr>
        <w:t xml:space="preserve">מתיוג חברתי </w:t>
      </w:r>
      <w:r>
        <w:rPr>
          <w:rFonts w:hint="cs"/>
          <w:rtl/>
        </w:rPr>
        <w:t>כנזקקים וכו.</w:t>
      </w:r>
      <w:r w:rsidR="009C26AB">
        <w:rPr>
          <w:rFonts w:hint="cs"/>
          <w:rtl/>
        </w:rPr>
        <w:t xml:space="preserve"> אמנם נעשים ניסיונות לפתור את בעיית חוסר מיצוי הזכות,</w:t>
      </w:r>
      <w:r w:rsidR="009C26AB">
        <w:rPr>
          <w:rStyle w:val="a5"/>
          <w:rtl/>
        </w:rPr>
        <w:footnoteReference w:id="30"/>
      </w:r>
      <w:r w:rsidR="009C26AB">
        <w:rPr>
          <w:rFonts w:hint="cs"/>
          <w:rtl/>
        </w:rPr>
        <w:t xml:space="preserve"> אך אין בהם די בכדי לגשר על כל הפערים שהוזכרו לעיל.</w:t>
      </w:r>
      <w:r w:rsidR="009C26AB">
        <w:rPr>
          <w:rStyle w:val="a5"/>
          <w:rtl/>
        </w:rPr>
        <w:footnoteReference w:id="31"/>
      </w:r>
    </w:p>
    <w:p w14:paraId="7B0AF5B8" w14:textId="381AF9F7" w:rsidR="00ED60BB" w:rsidRDefault="00ED60BB" w:rsidP="00ED60BB">
      <w:pPr>
        <w:rPr>
          <w:rtl/>
        </w:rPr>
      </w:pPr>
      <w:r>
        <w:rPr>
          <w:rFonts w:hint="cs"/>
          <w:rtl/>
        </w:rPr>
        <w:t>במשפט העברי לעומת זאת אנו מוצאים גישה שונה של יחס אל הנזקקים.</w:t>
      </w:r>
      <w:r w:rsidR="009A5E84">
        <w:rPr>
          <w:rFonts w:hint="cs"/>
          <w:rtl/>
        </w:rPr>
        <w:t xml:space="preserve"> הפסיקה במשפט העברי מטילה חובה על הממונים על הצדקה הקהילתית ליזום באופן אקטיבי סיוע לנזקקים, אף אם הם מצידם אינם תובעים זאת כלל. המקור הראשוני לכך הוא </w:t>
      </w:r>
      <w:proofErr w:type="spellStart"/>
      <w:r w:rsidR="009A5E84">
        <w:rPr>
          <w:rFonts w:hint="cs"/>
          <w:rtl/>
        </w:rPr>
        <w:t>התוספתא</w:t>
      </w:r>
      <w:proofErr w:type="spellEnd"/>
      <w:r w:rsidR="009A5E84">
        <w:rPr>
          <w:rFonts w:hint="cs"/>
          <w:rtl/>
        </w:rPr>
        <w:t xml:space="preserve"> על מסכת פאה, פרק ד משנה </w:t>
      </w:r>
      <w:proofErr w:type="spellStart"/>
      <w:r w:rsidR="009A5E84">
        <w:rPr>
          <w:rFonts w:hint="cs"/>
          <w:rtl/>
        </w:rPr>
        <w:t>יב</w:t>
      </w:r>
      <w:proofErr w:type="spellEnd"/>
      <w:r w:rsidR="009A5E84">
        <w:rPr>
          <w:rFonts w:hint="cs"/>
          <w:rtl/>
        </w:rPr>
        <w:t>- "האומר איני מתפרנס משל אחרים- שוקדים עליו ומפרנסים אותו". קביעה זה אף נקבעה הלכה למעשה בספר "בעל הטורים" של רבי יעקב בן אשר- "</w:t>
      </w:r>
      <w:r w:rsidR="00067377">
        <w:rPr>
          <w:rFonts w:hint="cs"/>
          <w:rtl/>
        </w:rPr>
        <w:t>...</w:t>
      </w:r>
      <w:proofErr w:type="spellStart"/>
      <w:r w:rsidR="00067377" w:rsidRPr="00D61227">
        <w:rPr>
          <w:rFonts w:hint="cs"/>
          <w:b/>
          <w:bCs/>
          <w:rtl/>
        </w:rPr>
        <w:t>מערימין</w:t>
      </w:r>
      <w:proofErr w:type="spellEnd"/>
      <w:r w:rsidR="00067377">
        <w:rPr>
          <w:rFonts w:hint="cs"/>
          <w:rtl/>
        </w:rPr>
        <w:t xml:space="preserve"> עליו </w:t>
      </w:r>
      <w:proofErr w:type="spellStart"/>
      <w:r w:rsidR="00067377">
        <w:rPr>
          <w:rFonts w:hint="cs"/>
          <w:rtl/>
        </w:rPr>
        <w:t>ונותנין</w:t>
      </w:r>
      <w:proofErr w:type="spellEnd"/>
      <w:r w:rsidR="00067377">
        <w:rPr>
          <w:rFonts w:hint="cs"/>
          <w:rtl/>
        </w:rPr>
        <w:t xml:space="preserve"> לו".</w:t>
      </w:r>
      <w:r w:rsidR="00067377">
        <w:rPr>
          <w:rStyle w:val="a5"/>
          <w:rtl/>
        </w:rPr>
        <w:footnoteReference w:id="32"/>
      </w:r>
      <w:r w:rsidR="00067377">
        <w:rPr>
          <w:rFonts w:hint="cs"/>
          <w:rtl/>
        </w:rPr>
        <w:t xml:space="preserve"> אנו רואים שממש נדרשת פעולה של רמאות כביכול כדי לגרום לנזקק לקבל כסף, אם הוא מסרב לקבל אותה כצדקה (נתינה דרך הלוואה, או מתנה לשם וכד'). הגדיל לעשות רבי יחיאל מיכל הלוי אפשטיין בספרו ערוך השולחן,</w:t>
      </w:r>
      <w:r w:rsidR="00D61227">
        <w:rPr>
          <w:rStyle w:val="a5"/>
          <w:rtl/>
        </w:rPr>
        <w:footnoteReference w:id="33"/>
      </w:r>
      <w:r w:rsidR="00067377">
        <w:rPr>
          <w:rFonts w:hint="cs"/>
          <w:rtl/>
        </w:rPr>
        <w:t xml:space="preserve"> ופסק- "עני שאינו רוצה לקבל צדקה וידענו שהוא מוכרח לכך- אנחנו מחויבים להתאמץ שיקבל"</w:t>
      </w:r>
      <w:r w:rsidR="00D61227">
        <w:rPr>
          <w:rFonts w:hint="cs"/>
          <w:rtl/>
        </w:rPr>
        <w:t xml:space="preserve">- כלומר יש ממש </w:t>
      </w:r>
      <w:r w:rsidR="00D61227" w:rsidRPr="00D61227">
        <w:rPr>
          <w:rFonts w:hint="cs"/>
          <w:b/>
          <w:bCs/>
          <w:rtl/>
        </w:rPr>
        <w:t>חובה</w:t>
      </w:r>
      <w:r w:rsidR="00D61227">
        <w:rPr>
          <w:rFonts w:hint="cs"/>
          <w:rtl/>
        </w:rPr>
        <w:t xml:space="preserve"> של הממונים על הקופה להתאמץ לתת כסף לנזקקים לכך.</w:t>
      </w:r>
    </w:p>
    <w:p w14:paraId="7DF448FA" w14:textId="0C2982CC" w:rsidR="00D61227" w:rsidRDefault="00D61227" w:rsidP="00D61227">
      <w:pPr>
        <w:rPr>
          <w:rtl/>
        </w:rPr>
      </w:pPr>
      <w:r>
        <w:rPr>
          <w:rFonts w:hint="cs"/>
          <w:rtl/>
        </w:rPr>
        <w:t>אנו רואים</w:t>
      </w:r>
      <w:r>
        <w:rPr>
          <w:rFonts w:hint="cs"/>
          <w:rtl/>
        </w:rPr>
        <w:t xml:space="preserve"> דוגמא נוספת לכך</w:t>
      </w:r>
      <w:r>
        <w:rPr>
          <w:rFonts w:hint="cs"/>
          <w:rtl/>
        </w:rPr>
        <w:t xml:space="preserve"> שעל אף החובה החוקית לשאוב השראה מדיני המשפט העברי, המחוקק הישראלי בחר במקרה של</w:t>
      </w:r>
      <w:r>
        <w:rPr>
          <w:rFonts w:hint="cs"/>
          <w:rtl/>
        </w:rPr>
        <w:t xml:space="preserve"> מיצוי זכויות</w:t>
      </w:r>
      <w:r>
        <w:rPr>
          <w:rFonts w:hint="cs"/>
          <w:rtl/>
        </w:rPr>
        <w:t xml:space="preserve"> לחרוג באופן חד מתפיסת המשפט העברי, </w:t>
      </w:r>
      <w:r>
        <w:rPr>
          <w:rFonts w:hint="cs"/>
          <w:rtl/>
        </w:rPr>
        <w:t>ולייסד מערכת</w:t>
      </w:r>
      <w:r w:rsidR="0083769A">
        <w:rPr>
          <w:rFonts w:hint="cs"/>
          <w:rtl/>
        </w:rPr>
        <w:t xml:space="preserve"> סיוע לנזקקים המושתת על תביעת הזכות על ידי הנזקק שזכאי לה</w:t>
      </w:r>
      <w:r>
        <w:rPr>
          <w:rFonts w:hint="cs"/>
          <w:rtl/>
        </w:rPr>
        <w:t>. במבט מן הצד</w:t>
      </w:r>
      <w:r w:rsidR="0083769A">
        <w:rPr>
          <w:rFonts w:hint="cs"/>
          <w:rtl/>
        </w:rPr>
        <w:t xml:space="preserve">, ניתן לומר כי יש פגיעה מסוימת בגישה של </w:t>
      </w:r>
      <w:r w:rsidR="006F5C59">
        <w:rPr>
          <w:rFonts w:hint="cs"/>
          <w:rtl/>
        </w:rPr>
        <w:t>החוק</w:t>
      </w:r>
      <w:r w:rsidR="0083769A">
        <w:rPr>
          <w:rFonts w:hint="cs"/>
          <w:rtl/>
        </w:rPr>
        <w:t xml:space="preserve"> הישראלי, אשר מונע בלי כוונה באופן עקיף את מתן הסעד לכלל הנזקקים.</w:t>
      </w:r>
    </w:p>
    <w:p w14:paraId="21931554" w14:textId="70373AC6" w:rsidR="006F5C59" w:rsidRDefault="006F5C59" w:rsidP="0035780A">
      <w:pPr>
        <w:rPr>
          <w:rtl/>
        </w:rPr>
      </w:pPr>
      <w:r>
        <w:rPr>
          <w:rFonts w:hint="cs"/>
          <w:rtl/>
        </w:rPr>
        <w:lastRenderedPageBreak/>
        <w:t>בדוגמא הזאת, לעומת הדוגמא הקודמת, היינו חושבים שהתערבותו של המשפט הישראלי כמפרש כוונת המחוקק תהיה דווקא לטובה, וההטיה של המשפט הישראלי לכיוון המשפט העברי כפי הנדרש בחוק יסודות המשפט תוציא לפועל את הצדק והצדקה בצורה טובה ורחבה יותר.</w:t>
      </w:r>
      <w:r w:rsidR="00013E6C">
        <w:rPr>
          <w:rFonts w:hint="cs"/>
          <w:rtl/>
        </w:rPr>
        <w:t xml:space="preserve"> תפיסתו של המשפט העברי אכן ראויה יותר כל זמן שהיא פועלת במודל קהילתי,</w:t>
      </w:r>
      <w:r w:rsidR="00EE7600">
        <w:rPr>
          <w:rStyle w:val="a5"/>
          <w:rtl/>
        </w:rPr>
        <w:footnoteReference w:id="34"/>
      </w:r>
      <w:r w:rsidR="00013E6C">
        <w:rPr>
          <w:rFonts w:hint="cs"/>
          <w:rtl/>
        </w:rPr>
        <w:t xml:space="preserve"> אך עולה השאלה האם היא מתאימה גם למודל מדינתי-לאומי?</w:t>
      </w:r>
      <w:r w:rsidR="00EE7600">
        <w:rPr>
          <w:rFonts w:hint="cs"/>
          <w:rtl/>
        </w:rPr>
        <w:t xml:space="preserve"> במודל קהילתי אכן קל וברור מי נזקק לסיוע כספי, אך ניתן לדעת זאת גם במודל מדינתי-לאומי? האם החשש מפני שקרנים המנסים לעשוק את כספי הצדקה לא </w:t>
      </w:r>
      <w:r w:rsidR="00C63109">
        <w:rPr>
          <w:rFonts w:hint="cs"/>
          <w:rtl/>
        </w:rPr>
        <w:t>עשוי</w:t>
      </w:r>
      <w:r w:rsidR="00EE7600">
        <w:rPr>
          <w:rFonts w:hint="cs"/>
          <w:rtl/>
        </w:rPr>
        <w:t xml:space="preserve"> לגבור על הרצון לסייע לנזקקים? או אפילו חלוקת כספים למי שלא באמת נזקק לכך על חשבון אנשים שכן נזקקים? האם החששות הללו לא מספיקים בכדי להפך את המודל הקהילתי שמציע המשפט העברי למודל המדינתי שמציע המשפט הישראלי? על אף שהם ראויים לדיון ארוך, אין כאן המקום להאריך בדברים, אלא ניתן רק להסיק מהם שהתערבות בתי המשפט במודל הישראלי לא בהכרח תוביל להוצאת הצדק לאור בצורה טובה</w:t>
      </w:r>
      <w:r w:rsidR="0035780A">
        <w:rPr>
          <w:rFonts w:hint="cs"/>
          <w:rtl/>
        </w:rPr>
        <w:t xml:space="preserve"> יותר. </w:t>
      </w:r>
      <w:r w:rsidR="0035780A">
        <w:rPr>
          <w:rFonts w:hint="cs"/>
          <w:rtl/>
        </w:rPr>
        <w:t>מכאן ניתן לחלוק על מסקנתו של כותב המאמר, ולראות איך אקטיביזם ופרשנות שיפוטית לחוק עשויה דווקא לגרוע מהצדק שאותו חוק מנסה להוציא לפועל</w:t>
      </w:r>
      <w:r w:rsidR="0035780A">
        <w:rPr>
          <w:rFonts w:hint="cs"/>
          <w:rtl/>
        </w:rPr>
        <w:t>.</w:t>
      </w:r>
    </w:p>
    <w:p w14:paraId="6EA1381F" w14:textId="35237D0D" w:rsidR="0035780A" w:rsidRPr="0035780A" w:rsidRDefault="0035780A" w:rsidP="0035780A">
      <w:pPr>
        <w:rPr>
          <w:u w:val="single"/>
          <w:rtl/>
        </w:rPr>
      </w:pPr>
      <w:r w:rsidRPr="0035780A">
        <w:rPr>
          <w:rFonts w:hint="cs"/>
          <w:u w:val="single"/>
          <w:rtl/>
        </w:rPr>
        <w:t>סיכום</w:t>
      </w:r>
    </w:p>
    <w:p w14:paraId="2D81302B" w14:textId="477EC942" w:rsidR="0035780A" w:rsidRPr="00444BA8" w:rsidRDefault="0035780A" w:rsidP="0035780A">
      <w:pPr>
        <w:rPr>
          <w:rFonts w:hint="cs"/>
          <w:rtl/>
        </w:rPr>
      </w:pPr>
      <w:r>
        <w:rPr>
          <w:rFonts w:hint="cs"/>
          <w:rtl/>
        </w:rPr>
        <w:t>בתחילה סקרנו את ההשוואה בין תפיסתו של כותב המאמר את התפתחות החוקה למודל שהתקבל במדינת ישראל. ראינו איך סביב אותו מודל התעוררו מחלוקות רבות, וסקרנו לעומק אחת מהן, והיא המחלוקת על ההשראה אותה שואב המשפט הישראלי מהמשפט העברי.</w:t>
      </w:r>
      <w:r w:rsidR="00787527">
        <w:rPr>
          <w:rFonts w:hint="cs"/>
          <w:rtl/>
        </w:rPr>
        <w:t xml:space="preserve"> דרך הדוגמאות בנושא הלנת שכר ובנושא מיצוי זכויות, ראינו איך אקטיביזם ופרשנות שיפוטית</w:t>
      </w:r>
      <w:r w:rsidR="00787527">
        <w:rPr>
          <w:rStyle w:val="a5"/>
          <w:rtl/>
        </w:rPr>
        <w:footnoteReference w:id="35"/>
      </w:r>
      <w:r w:rsidR="00787527">
        <w:rPr>
          <w:rFonts w:hint="cs"/>
          <w:rtl/>
        </w:rPr>
        <w:t xml:space="preserve"> עשויים לגרום דווקא לפגם בעשיית הצדק, או לפחות לעורר תהייה על נכונותו והתאמת</w:t>
      </w:r>
      <w:r w:rsidR="00D2511B">
        <w:rPr>
          <w:rFonts w:hint="cs"/>
          <w:rtl/>
        </w:rPr>
        <w:t>ו.</w:t>
      </w:r>
      <w:r w:rsidR="00787527">
        <w:rPr>
          <w:rFonts w:hint="cs"/>
          <w:rtl/>
        </w:rPr>
        <w:t xml:space="preserve"> לאור זאת יש </w:t>
      </w:r>
      <w:r w:rsidR="00415130">
        <w:rPr>
          <w:rFonts w:hint="cs"/>
          <w:rtl/>
        </w:rPr>
        <w:t xml:space="preserve">לתהות על מסקנתו של כותב המאמר, ומתן האפשרות שהוא נותן לפרשנות השיפוטית לבצע רפורמות בהוראות המחוקק. לעניות דעתי, אין לאפשר </w:t>
      </w:r>
      <w:r w:rsidR="00CB765E">
        <w:rPr>
          <w:rFonts w:hint="cs"/>
          <w:rtl/>
        </w:rPr>
        <w:t>בקלות מתן יד חופשית לשופטים לבצע רפורמות בלשון החוק או לפעול באקטיביזם שיפוטי, אלא אם הדבר נעשה בצורה זהירה ותחת פיקוח של גורם חיצוני. די בלהזכיר את המהפכה החוקתית שביצע אהרן ברק בשבתו על כס הנשיאות בבית המשפט העליון במדינת ישראל,</w:t>
      </w:r>
      <w:r w:rsidR="00CB765E">
        <w:rPr>
          <w:rStyle w:val="a5"/>
          <w:rtl/>
        </w:rPr>
        <w:footnoteReference w:id="36"/>
      </w:r>
      <w:r w:rsidR="00BD4BF5">
        <w:rPr>
          <w:rFonts w:hint="cs"/>
          <w:rtl/>
        </w:rPr>
        <w:t xml:space="preserve"> בכדי לראות את תוצאותיה ואת המריבות שיצרה האפשרות ליד חופשית לפרשנות בקרב שופטי ישראל.</w:t>
      </w:r>
      <w:r w:rsidR="00BD4BF5">
        <w:rPr>
          <w:rStyle w:val="a5"/>
          <w:rtl/>
        </w:rPr>
        <w:footnoteReference w:id="37"/>
      </w:r>
      <w:r w:rsidR="00BD4BF5">
        <w:rPr>
          <w:rFonts w:hint="cs"/>
          <w:rtl/>
        </w:rPr>
        <w:t xml:space="preserve"> אין בדברי קריאה חלילה לביצוע משפט כפעולה טכנית לחלוטין, אך יש לבצע את הפסיקות ש</w:t>
      </w:r>
      <w:r w:rsidR="00D2511B">
        <w:rPr>
          <w:rFonts w:hint="cs"/>
          <w:rtl/>
        </w:rPr>
        <w:t>מ</w:t>
      </w:r>
      <w:r w:rsidR="00BD4BF5">
        <w:rPr>
          <w:rFonts w:hint="cs"/>
          <w:rtl/>
        </w:rPr>
        <w:t>בשרות בחובן רפורמה בכוונת המחוקק בצורה זהירה, ובפסיעה של עקב בצד אגודל, בכדי לא לזעזע את המערכות</w:t>
      </w:r>
      <w:r w:rsidR="00504A86">
        <w:rPr>
          <w:rFonts w:hint="cs"/>
          <w:rtl/>
        </w:rPr>
        <w:t xml:space="preserve"> הקיימות, ובכדי ליצור התפתחות בריאה ומותאמת של לשון החוק וכוונת המחוקק עם יישום הדברים בפועל על ידי מערכת המשפט.</w:t>
      </w:r>
    </w:p>
    <w:sectPr w:rsidR="0035780A" w:rsidRPr="00444BA8" w:rsidSect="0059350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17083" w14:textId="77777777" w:rsidR="004E5478" w:rsidRDefault="004E5478" w:rsidP="00552C7A">
      <w:pPr>
        <w:spacing w:after="0" w:line="240" w:lineRule="auto"/>
      </w:pPr>
      <w:r>
        <w:separator/>
      </w:r>
    </w:p>
  </w:endnote>
  <w:endnote w:type="continuationSeparator" w:id="0">
    <w:p w14:paraId="36451C2B" w14:textId="77777777" w:rsidR="004E5478" w:rsidRDefault="004E5478" w:rsidP="00552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E5EBD" w14:textId="77777777" w:rsidR="004E5478" w:rsidRDefault="004E5478" w:rsidP="00552C7A">
      <w:pPr>
        <w:spacing w:after="0" w:line="240" w:lineRule="auto"/>
      </w:pPr>
      <w:r>
        <w:separator/>
      </w:r>
    </w:p>
  </w:footnote>
  <w:footnote w:type="continuationSeparator" w:id="0">
    <w:p w14:paraId="7BC3BAA6" w14:textId="77777777" w:rsidR="004E5478" w:rsidRDefault="004E5478" w:rsidP="00552C7A">
      <w:pPr>
        <w:spacing w:after="0" w:line="240" w:lineRule="auto"/>
      </w:pPr>
      <w:r>
        <w:continuationSeparator/>
      </w:r>
    </w:p>
  </w:footnote>
  <w:footnote w:id="1">
    <w:p w14:paraId="040B74E8" w14:textId="055BB219" w:rsidR="00552C7A" w:rsidRDefault="00552C7A">
      <w:pPr>
        <w:pStyle w:val="a3"/>
      </w:pPr>
      <w:r>
        <w:rPr>
          <w:rStyle w:val="a5"/>
        </w:rPr>
        <w:footnoteRef/>
      </w:r>
      <w:r>
        <w:rPr>
          <w:rtl/>
        </w:rPr>
        <w:t xml:space="preserve"> </w:t>
      </w:r>
      <w:r>
        <w:rPr>
          <w:rFonts w:hint="cs"/>
          <w:rtl/>
        </w:rPr>
        <w:t>עמוד 3 במאמר.</w:t>
      </w:r>
    </w:p>
  </w:footnote>
  <w:footnote w:id="2">
    <w:p w14:paraId="64CAF313" w14:textId="2023C287" w:rsidR="00D6636C" w:rsidRDefault="00D6636C">
      <w:pPr>
        <w:pStyle w:val="a3"/>
        <w:rPr>
          <w:rtl/>
        </w:rPr>
      </w:pPr>
      <w:r>
        <w:rPr>
          <w:rStyle w:val="a5"/>
        </w:rPr>
        <w:footnoteRef/>
      </w:r>
      <w:r>
        <w:rPr>
          <w:rtl/>
        </w:rPr>
        <w:t xml:space="preserve"> </w:t>
      </w:r>
      <w:r>
        <w:rPr>
          <w:rFonts w:hint="cs"/>
          <w:rtl/>
        </w:rPr>
        <w:t>עמודים 4-6.</w:t>
      </w:r>
    </w:p>
  </w:footnote>
  <w:footnote w:id="3">
    <w:p w14:paraId="4137A9F1" w14:textId="700D00AD" w:rsidR="00550E36" w:rsidRDefault="00550E36">
      <w:pPr>
        <w:pStyle w:val="a3"/>
      </w:pPr>
      <w:r>
        <w:rPr>
          <w:rStyle w:val="a5"/>
        </w:rPr>
        <w:footnoteRef/>
      </w:r>
      <w:r>
        <w:rPr>
          <w:rtl/>
        </w:rPr>
        <w:t xml:space="preserve"> </w:t>
      </w:r>
      <w:r>
        <w:rPr>
          <w:rFonts w:hint="cs"/>
          <w:rtl/>
        </w:rPr>
        <w:t>עמודים 23-24.</w:t>
      </w:r>
    </w:p>
  </w:footnote>
  <w:footnote w:id="4">
    <w:p w14:paraId="5548074A" w14:textId="333D8E39" w:rsidR="00873C0E" w:rsidRDefault="00873C0E">
      <w:pPr>
        <w:pStyle w:val="a3"/>
      </w:pPr>
      <w:r>
        <w:rPr>
          <w:rStyle w:val="a5"/>
        </w:rPr>
        <w:footnoteRef/>
      </w:r>
      <w:r>
        <w:rPr>
          <w:rtl/>
        </w:rPr>
        <w:t xml:space="preserve"> </w:t>
      </w:r>
      <w:r>
        <w:rPr>
          <w:rFonts w:hint="cs"/>
          <w:rtl/>
        </w:rPr>
        <w:t>עמוד 31.</w:t>
      </w:r>
    </w:p>
  </w:footnote>
  <w:footnote w:id="5">
    <w:p w14:paraId="0165EAD7" w14:textId="10204081" w:rsidR="004248AF" w:rsidRDefault="004248AF">
      <w:pPr>
        <w:pStyle w:val="a3"/>
        <w:rPr>
          <w:rtl/>
        </w:rPr>
      </w:pPr>
      <w:r>
        <w:rPr>
          <w:rStyle w:val="a5"/>
        </w:rPr>
        <w:footnoteRef/>
      </w:r>
      <w:r>
        <w:rPr>
          <w:rtl/>
        </w:rPr>
        <w:t xml:space="preserve"> </w:t>
      </w:r>
      <w:r>
        <w:rPr>
          <w:rFonts w:hint="cs"/>
          <w:rtl/>
        </w:rPr>
        <w:t>התופסת את התחזקות מעמד החוקה והסדרתה כדבר שהולך ומתפתח, במיוחד ברובד המהותי שלה ובהסדרתה הפורמלית.</w:t>
      </w:r>
    </w:p>
  </w:footnote>
  <w:footnote w:id="6">
    <w:p w14:paraId="53638CA8" w14:textId="61618785" w:rsidR="001E4AEA" w:rsidRDefault="001E4AEA">
      <w:pPr>
        <w:pStyle w:val="a3"/>
        <w:rPr>
          <w:rtl/>
        </w:rPr>
      </w:pPr>
      <w:r>
        <w:rPr>
          <w:rStyle w:val="a5"/>
        </w:rPr>
        <w:footnoteRef/>
      </w:r>
      <w:r>
        <w:rPr>
          <w:rtl/>
        </w:rPr>
        <w:t xml:space="preserve"> </w:t>
      </w:r>
      <w:r>
        <w:rPr>
          <w:rFonts w:hint="cs"/>
          <w:rtl/>
        </w:rPr>
        <w:t xml:space="preserve">ניתן למתוח שני קווים מרכזיים בוויכוח על החוקה- הקו השמרני סבר שיצירת חוקה היא מהותית לשמירה על איזונים בין רשויות השלטון, לשמירה על זכויות האזרח וכו. לעומתו הקו הליברלי סבר שאפשר להתנהל בלא חוקה [והביאו דוג' מבריטניה של אותם ימים, שממנה ישראל שאבה את ההשראה לשיטת המשפט, והתנהלה ללא חוקה], וכן שאין לקבוע מעכשיו חוקה, כי בהמשך יבואו גלי עלייה </w:t>
      </w:r>
      <w:r w:rsidR="00D15E6A">
        <w:rPr>
          <w:rFonts w:hint="cs"/>
          <w:rtl/>
        </w:rPr>
        <w:t>שיכפילו וישלשו את האוכלוסי</w:t>
      </w:r>
      <w:r w:rsidR="00E402E2">
        <w:rPr>
          <w:rFonts w:hint="cs"/>
          <w:rtl/>
        </w:rPr>
        <w:t>י</w:t>
      </w:r>
      <w:r w:rsidR="00D15E6A">
        <w:rPr>
          <w:rFonts w:hint="cs"/>
          <w:rtl/>
        </w:rPr>
        <w:t>ה</w:t>
      </w:r>
      <w:r w:rsidR="00E402E2">
        <w:rPr>
          <w:rFonts w:hint="cs"/>
          <w:rtl/>
        </w:rPr>
        <w:t>, ואם תיקבע חוקה היא תהיה במהרה לא רלוונטית לאוכלוסייה המתחדשת. כמובן שהיו גם סיבות פוליטיות.</w:t>
      </w:r>
    </w:p>
  </w:footnote>
  <w:footnote w:id="7">
    <w:p w14:paraId="02E0D798" w14:textId="03325326" w:rsidR="00E402E2" w:rsidRDefault="00E402E2">
      <w:pPr>
        <w:pStyle w:val="a3"/>
      </w:pPr>
      <w:r>
        <w:rPr>
          <w:rStyle w:val="a5"/>
        </w:rPr>
        <w:footnoteRef/>
      </w:r>
      <w:r>
        <w:rPr>
          <w:rtl/>
        </w:rPr>
        <w:t xml:space="preserve"> </w:t>
      </w:r>
      <w:r>
        <w:rPr>
          <w:rFonts w:hint="cs"/>
          <w:rtl/>
        </w:rPr>
        <w:t>בהסכם שמכונה עד היום "פשרת הררי".</w:t>
      </w:r>
    </w:p>
  </w:footnote>
  <w:footnote w:id="8">
    <w:p w14:paraId="66062A3A" w14:textId="6120789B" w:rsidR="00EA0743" w:rsidRDefault="00EA0743">
      <w:pPr>
        <w:pStyle w:val="a3"/>
      </w:pPr>
      <w:r>
        <w:rPr>
          <w:rStyle w:val="a5"/>
        </w:rPr>
        <w:footnoteRef/>
      </w:r>
      <w:r>
        <w:rPr>
          <w:rtl/>
        </w:rPr>
        <w:t xml:space="preserve"> </w:t>
      </w:r>
      <w:r>
        <w:rPr>
          <w:rFonts w:hint="cs"/>
          <w:rtl/>
        </w:rPr>
        <w:t>פירוט על השתלשלות האירועים</w:t>
      </w:r>
      <w:r w:rsidR="00E402E2">
        <w:rPr>
          <w:rFonts w:hint="cs"/>
          <w:rtl/>
        </w:rPr>
        <w:t xml:space="preserve"> והרחבה של הנימוקים לשני הצדדים</w:t>
      </w:r>
      <w:r>
        <w:rPr>
          <w:rFonts w:hint="cs"/>
          <w:rtl/>
        </w:rPr>
        <w:t xml:space="preserve"> ניתן למצוא באתר הכנסת, בכתובת- </w:t>
      </w:r>
      <w:hyperlink r:id="rId1" w:history="1">
        <w:r w:rsidRPr="00C13CC3">
          <w:rPr>
            <w:rStyle w:val="Hyperlink"/>
          </w:rPr>
          <w:t>https://main.knesset.gov.il/en/activity/pages/BasicLawsAndConstitution.aspx</w:t>
        </w:r>
      </w:hyperlink>
      <w:r>
        <w:rPr>
          <w:rFonts w:hint="cs"/>
          <w:rtl/>
        </w:rPr>
        <w:t xml:space="preserve"> </w:t>
      </w:r>
    </w:p>
  </w:footnote>
  <w:footnote w:id="9">
    <w:p w14:paraId="0A2BEFEE" w14:textId="0628BC3F" w:rsidR="00C6556D" w:rsidRPr="00C6556D" w:rsidRDefault="00C6556D">
      <w:pPr>
        <w:pStyle w:val="a3"/>
        <w:rPr>
          <w:rtl/>
        </w:rPr>
      </w:pPr>
      <w:r>
        <w:rPr>
          <w:rStyle w:val="a5"/>
        </w:rPr>
        <w:footnoteRef/>
      </w:r>
      <w:r>
        <w:rPr>
          <w:rtl/>
        </w:rPr>
        <w:t xml:space="preserve"> </w:t>
      </w:r>
      <w:hyperlink r:id="rId2" w:history="1">
        <w:r w:rsidRPr="00C13CC3">
          <w:rPr>
            <w:rStyle w:val="Hyperlink"/>
          </w:rPr>
          <w:t>https://www.knesset.gov.il/laws/special/heb/knesset_laws.pdf</w:t>
        </w:r>
      </w:hyperlink>
      <w:r>
        <w:rPr>
          <w:rFonts w:hint="cs"/>
          <w:rtl/>
        </w:rPr>
        <w:t xml:space="preserve"> , עמוד 195</w:t>
      </w:r>
      <w:r w:rsidR="00B2351B">
        <w:rPr>
          <w:rFonts w:hint="cs"/>
          <w:rtl/>
        </w:rPr>
        <w:t>.</w:t>
      </w:r>
    </w:p>
  </w:footnote>
  <w:footnote w:id="10">
    <w:p w14:paraId="354DDCC8" w14:textId="23DA3B7C" w:rsidR="00B2351B" w:rsidRPr="00B2351B" w:rsidRDefault="00B2351B">
      <w:pPr>
        <w:pStyle w:val="a3"/>
        <w:rPr>
          <w:rtl/>
        </w:rPr>
      </w:pPr>
      <w:r>
        <w:rPr>
          <w:rStyle w:val="a5"/>
        </w:rPr>
        <w:footnoteRef/>
      </w:r>
      <w:r>
        <w:rPr>
          <w:rtl/>
        </w:rPr>
        <w:t xml:space="preserve"> </w:t>
      </w:r>
      <w:hyperlink r:id="rId3" w:history="1">
        <w:r w:rsidRPr="00C13CC3">
          <w:rPr>
            <w:rStyle w:val="Hyperlink"/>
          </w:rPr>
          <w:t>https://www.nevo.co.il/law_html/law01/055_007.htm</w:t>
        </w:r>
        <w:r w:rsidRPr="00C13CC3">
          <w:rPr>
            <w:rStyle w:val="Hyperlink"/>
            <w:rFonts w:hint="cs"/>
            <w:rtl/>
          </w:rPr>
          <w:t xml:space="preserve"> סוף סעיף 1</w:t>
        </w:r>
      </w:hyperlink>
      <w:r>
        <w:rPr>
          <w:rFonts w:hint="cs"/>
          <w:rtl/>
        </w:rPr>
        <w:t>, תוספת המילים "המשפט העברי".</w:t>
      </w:r>
    </w:p>
  </w:footnote>
  <w:footnote w:id="11">
    <w:p w14:paraId="78698581" w14:textId="45C65567" w:rsidR="009F0B45" w:rsidRDefault="009F0B45">
      <w:pPr>
        <w:pStyle w:val="a3"/>
        <w:rPr>
          <w:rtl/>
        </w:rPr>
      </w:pPr>
      <w:r>
        <w:rPr>
          <w:rStyle w:val="a5"/>
        </w:rPr>
        <w:footnoteRef/>
      </w:r>
      <w:r>
        <w:rPr>
          <w:rtl/>
        </w:rPr>
        <w:t xml:space="preserve"> </w:t>
      </w:r>
      <w:r>
        <w:rPr>
          <w:rFonts w:hint="cs"/>
          <w:rtl/>
        </w:rPr>
        <w:t>השופט הרב</w:t>
      </w:r>
      <w:r w:rsidR="00607915">
        <w:rPr>
          <w:rFonts w:hint="cs"/>
          <w:rtl/>
        </w:rPr>
        <w:t xml:space="preserve"> פרופ'</w:t>
      </w:r>
      <w:r>
        <w:rPr>
          <w:rFonts w:hint="cs"/>
          <w:rtl/>
        </w:rPr>
        <w:t xml:space="preserve"> שמחה אסף, השופט דוקטור משה </w:t>
      </w:r>
      <w:proofErr w:type="spellStart"/>
      <w:r>
        <w:rPr>
          <w:rFonts w:hint="cs"/>
          <w:rtl/>
        </w:rPr>
        <w:t>זילברג</w:t>
      </w:r>
      <w:proofErr w:type="spellEnd"/>
      <w:r>
        <w:rPr>
          <w:rFonts w:hint="cs"/>
          <w:rtl/>
        </w:rPr>
        <w:t xml:space="preserve">, השופט חיים כהן והשופט ד"ר יצחק </w:t>
      </w:r>
      <w:proofErr w:type="spellStart"/>
      <w:r>
        <w:rPr>
          <w:rFonts w:hint="cs"/>
          <w:rtl/>
        </w:rPr>
        <w:t>קיסטר</w:t>
      </w:r>
      <w:proofErr w:type="spellEnd"/>
      <w:r>
        <w:rPr>
          <w:rFonts w:hint="cs"/>
          <w:rtl/>
        </w:rPr>
        <w:t>.</w:t>
      </w:r>
    </w:p>
  </w:footnote>
  <w:footnote w:id="12">
    <w:p w14:paraId="4A642CA2" w14:textId="295C2208" w:rsidR="0014073D" w:rsidRDefault="0014073D">
      <w:pPr>
        <w:pStyle w:val="a3"/>
      </w:pPr>
      <w:r>
        <w:rPr>
          <w:rStyle w:val="a5"/>
        </w:rPr>
        <w:footnoteRef/>
      </w:r>
      <w:r>
        <w:rPr>
          <w:rtl/>
        </w:rPr>
        <w:t xml:space="preserve"> </w:t>
      </w:r>
      <w:r>
        <w:rPr>
          <w:rFonts w:hint="cs"/>
          <w:rtl/>
        </w:rPr>
        <w:t xml:space="preserve">השופטים משה זמורה, אלפרד ויתקון, יואל זוסמן וצבי </w:t>
      </w:r>
      <w:proofErr w:type="spellStart"/>
      <w:r>
        <w:rPr>
          <w:rFonts w:hint="cs"/>
          <w:rtl/>
        </w:rPr>
        <w:t>ברנזון</w:t>
      </w:r>
      <w:proofErr w:type="spellEnd"/>
      <w:r>
        <w:rPr>
          <w:rFonts w:hint="cs"/>
          <w:rtl/>
        </w:rPr>
        <w:t>.</w:t>
      </w:r>
    </w:p>
  </w:footnote>
  <w:footnote w:id="13">
    <w:p w14:paraId="587B1313" w14:textId="6904263E" w:rsidR="0014073D" w:rsidRDefault="0014073D">
      <w:pPr>
        <w:pStyle w:val="a3"/>
      </w:pPr>
      <w:r>
        <w:rPr>
          <w:rStyle w:val="a5"/>
        </w:rPr>
        <w:footnoteRef/>
      </w:r>
      <w:r>
        <w:rPr>
          <w:rtl/>
        </w:rPr>
        <w:t xml:space="preserve"> </w:t>
      </w:r>
      <w:r>
        <w:rPr>
          <w:rFonts w:hint="cs"/>
          <w:rtl/>
        </w:rPr>
        <w:t>עיין לעיל הערה 6.</w:t>
      </w:r>
    </w:p>
  </w:footnote>
  <w:footnote w:id="14">
    <w:p w14:paraId="2BA7F29B" w14:textId="2156D833" w:rsidR="00644A73" w:rsidRDefault="00644A73">
      <w:pPr>
        <w:pStyle w:val="a3"/>
        <w:rPr>
          <w:rtl/>
        </w:rPr>
      </w:pPr>
      <w:r>
        <w:rPr>
          <w:rStyle w:val="a5"/>
        </w:rPr>
        <w:footnoteRef/>
      </w:r>
      <w:r>
        <w:rPr>
          <w:rtl/>
        </w:rPr>
        <w:t xml:space="preserve"> </w:t>
      </w:r>
      <w:r>
        <w:rPr>
          <w:rFonts w:hint="cs"/>
          <w:rtl/>
        </w:rPr>
        <w:t xml:space="preserve">ביטוי וחידוד לעמדות הצדדים ניתן לראות בפסק דין </w:t>
      </w:r>
      <w:r w:rsidR="0070325F">
        <w:rPr>
          <w:rFonts w:ascii="Arial" w:hAnsi="Arial" w:cs="Arial"/>
          <w:color w:val="202122"/>
          <w:sz w:val="19"/>
          <w:szCs w:val="19"/>
          <w:shd w:val="clear" w:color="auto" w:fill="FFFFFF"/>
        </w:rPr>
        <w:t xml:space="preserve"> </w:t>
      </w:r>
      <w:r>
        <w:rPr>
          <w:rFonts w:ascii="Arial" w:hAnsi="Arial" w:cs="Arial"/>
          <w:color w:val="202122"/>
          <w:sz w:val="19"/>
          <w:szCs w:val="19"/>
          <w:shd w:val="clear" w:color="auto" w:fill="FFFFFF"/>
        </w:rPr>
        <w:t>40/80 </w:t>
      </w:r>
      <w:r>
        <w:rPr>
          <w:rFonts w:ascii="Arial" w:hAnsi="Arial" w:cs="Arial"/>
          <w:b/>
          <w:bCs/>
          <w:color w:val="202122"/>
          <w:sz w:val="19"/>
          <w:szCs w:val="19"/>
          <w:shd w:val="clear" w:color="auto" w:fill="FFFFFF"/>
          <w:rtl/>
        </w:rPr>
        <w:t>קניג נ. כהן</w:t>
      </w:r>
      <w:r>
        <w:rPr>
          <w:rFonts w:ascii="Arial" w:hAnsi="Arial" w:cs="Arial"/>
          <w:color w:val="202122"/>
          <w:sz w:val="19"/>
          <w:szCs w:val="19"/>
          <w:shd w:val="clear" w:color="auto" w:fill="FFFFFF"/>
        </w:rPr>
        <w:t>,</w:t>
      </w:r>
      <w:r>
        <w:rPr>
          <w:rFonts w:ascii="Arial" w:hAnsi="Arial" w:cs="Arial" w:hint="cs"/>
          <w:color w:val="202122"/>
          <w:sz w:val="19"/>
          <w:szCs w:val="19"/>
          <w:shd w:val="clear" w:color="auto" w:fill="FFFFFF"/>
          <w:rtl/>
        </w:rPr>
        <w:t xml:space="preserve"> וכן בפסק דין </w:t>
      </w:r>
      <w:r>
        <w:rPr>
          <w:rFonts w:ascii="Arial" w:hAnsi="Arial" w:cs="Arial"/>
          <w:color w:val="202122"/>
          <w:sz w:val="19"/>
          <w:szCs w:val="19"/>
          <w:shd w:val="clear" w:color="auto" w:fill="FFFFFF"/>
        </w:rPr>
        <w:t xml:space="preserve"> 1635/90 </w:t>
      </w:r>
      <w:proofErr w:type="spellStart"/>
      <w:r>
        <w:rPr>
          <w:rFonts w:ascii="Arial" w:hAnsi="Arial" w:cs="Arial"/>
          <w:b/>
          <w:bCs/>
          <w:color w:val="202122"/>
          <w:sz w:val="19"/>
          <w:szCs w:val="19"/>
          <w:shd w:val="clear" w:color="auto" w:fill="FFFFFF"/>
          <w:rtl/>
        </w:rPr>
        <w:t>ז'רז'בסקי</w:t>
      </w:r>
      <w:proofErr w:type="spellEnd"/>
      <w:r>
        <w:rPr>
          <w:rFonts w:ascii="Arial" w:hAnsi="Arial" w:cs="Arial"/>
          <w:b/>
          <w:bCs/>
          <w:color w:val="202122"/>
          <w:sz w:val="19"/>
          <w:szCs w:val="19"/>
          <w:shd w:val="clear" w:color="auto" w:fill="FFFFFF"/>
          <w:rtl/>
        </w:rPr>
        <w:t xml:space="preserve"> נ. ראש ממשלת ישראל ואחרים</w:t>
      </w:r>
      <w:r>
        <w:rPr>
          <w:rFonts w:ascii="Arial" w:hAnsi="Arial" w:cs="Arial" w:hint="cs"/>
          <w:color w:val="202122"/>
          <w:sz w:val="19"/>
          <w:szCs w:val="19"/>
          <w:shd w:val="clear" w:color="auto" w:fill="FFFFFF"/>
          <w:rtl/>
        </w:rPr>
        <w:t>.</w:t>
      </w:r>
    </w:p>
  </w:footnote>
  <w:footnote w:id="15">
    <w:p w14:paraId="552995C3" w14:textId="3D0A6E54" w:rsidR="002D1473" w:rsidRDefault="002D1473">
      <w:pPr>
        <w:pStyle w:val="a3"/>
        <w:rPr>
          <w:rFonts w:hint="cs"/>
          <w:rtl/>
        </w:rPr>
      </w:pPr>
      <w:r>
        <w:rPr>
          <w:rStyle w:val="a5"/>
        </w:rPr>
        <w:footnoteRef/>
      </w:r>
      <w:r>
        <w:rPr>
          <w:rtl/>
        </w:rPr>
        <w:t xml:space="preserve"> </w:t>
      </w:r>
      <w:r>
        <w:rPr>
          <w:rFonts w:hint="cs"/>
          <w:rtl/>
        </w:rPr>
        <w:t xml:space="preserve">הדוגמא ופירוט המקורות לקוחים ממאמרו של פרופ' בני פורת- "האם תביעת הזכות הכרחית? בין שיח החובות לשיח הזכויות", </w:t>
      </w:r>
      <w:r w:rsidR="009A0CF0">
        <w:rPr>
          <w:rFonts w:hint="cs"/>
          <w:rtl/>
        </w:rPr>
        <w:t>עמודים 18-22.</w:t>
      </w:r>
    </w:p>
  </w:footnote>
  <w:footnote w:id="16">
    <w:p w14:paraId="7532FB23" w14:textId="6AD1F4E5" w:rsidR="0070325F" w:rsidRDefault="0070325F">
      <w:pPr>
        <w:pStyle w:val="a3"/>
        <w:rPr>
          <w:rFonts w:hint="cs"/>
        </w:rPr>
      </w:pPr>
      <w:r>
        <w:rPr>
          <w:rStyle w:val="a5"/>
        </w:rPr>
        <w:footnoteRef/>
      </w:r>
      <w:r>
        <w:rPr>
          <w:rtl/>
        </w:rPr>
        <w:t xml:space="preserve"> </w:t>
      </w:r>
      <w:r>
        <w:rPr>
          <w:rFonts w:hint="cs"/>
          <w:rtl/>
        </w:rPr>
        <w:t>ויקרא</w:t>
      </w:r>
      <w:r>
        <w:rPr>
          <w:rFonts w:hint="cs"/>
          <w:rtl/>
        </w:rPr>
        <w:t xml:space="preserve"> פרק </w:t>
      </w:r>
      <w:proofErr w:type="spellStart"/>
      <w:r>
        <w:rPr>
          <w:rFonts w:hint="cs"/>
          <w:rtl/>
        </w:rPr>
        <w:t>יט</w:t>
      </w:r>
      <w:proofErr w:type="spellEnd"/>
      <w:r>
        <w:rPr>
          <w:rFonts w:hint="cs"/>
          <w:rtl/>
        </w:rPr>
        <w:t xml:space="preserve">, </w:t>
      </w:r>
      <w:r>
        <w:rPr>
          <w:rFonts w:hint="cs"/>
          <w:rtl/>
        </w:rPr>
        <w:t xml:space="preserve">פסוק </w:t>
      </w:r>
      <w:proofErr w:type="spellStart"/>
      <w:r>
        <w:rPr>
          <w:rFonts w:hint="cs"/>
          <w:rtl/>
        </w:rPr>
        <w:t>יג</w:t>
      </w:r>
      <w:proofErr w:type="spellEnd"/>
      <w:r>
        <w:rPr>
          <w:rFonts w:hint="cs"/>
          <w:rtl/>
        </w:rPr>
        <w:t>.</w:t>
      </w:r>
    </w:p>
  </w:footnote>
  <w:footnote w:id="17">
    <w:p w14:paraId="27EAB47B" w14:textId="1BB0DB18" w:rsidR="0070325F" w:rsidRDefault="0070325F">
      <w:pPr>
        <w:pStyle w:val="a3"/>
        <w:rPr>
          <w:rFonts w:hint="cs"/>
          <w:rtl/>
        </w:rPr>
      </w:pPr>
      <w:r>
        <w:rPr>
          <w:rStyle w:val="a5"/>
        </w:rPr>
        <w:footnoteRef/>
      </w:r>
      <w:r>
        <w:rPr>
          <w:rtl/>
        </w:rPr>
        <w:t xml:space="preserve"> </w:t>
      </w:r>
      <w:r>
        <w:rPr>
          <w:rFonts w:hint="cs"/>
          <w:rtl/>
        </w:rPr>
        <w:t xml:space="preserve">דברים </w:t>
      </w:r>
      <w:r>
        <w:rPr>
          <w:rFonts w:hint="cs"/>
          <w:rtl/>
        </w:rPr>
        <w:t xml:space="preserve">פרק </w:t>
      </w:r>
      <w:r>
        <w:rPr>
          <w:rFonts w:hint="cs"/>
          <w:rtl/>
        </w:rPr>
        <w:t xml:space="preserve">כד, </w:t>
      </w:r>
      <w:r>
        <w:rPr>
          <w:rFonts w:hint="cs"/>
          <w:rtl/>
        </w:rPr>
        <w:t xml:space="preserve">פסוקים </w:t>
      </w:r>
      <w:r>
        <w:rPr>
          <w:rFonts w:hint="cs"/>
          <w:rtl/>
        </w:rPr>
        <w:t>יד-טו</w:t>
      </w:r>
      <w:r>
        <w:rPr>
          <w:rFonts w:hint="cs"/>
          <w:rtl/>
        </w:rPr>
        <w:t>.</w:t>
      </w:r>
    </w:p>
  </w:footnote>
  <w:footnote w:id="18">
    <w:p w14:paraId="511E36FE" w14:textId="5E2774AA" w:rsidR="0070325F" w:rsidRDefault="0070325F">
      <w:pPr>
        <w:pStyle w:val="a3"/>
        <w:rPr>
          <w:rFonts w:hint="cs"/>
        </w:rPr>
      </w:pPr>
      <w:r>
        <w:rPr>
          <w:rStyle w:val="a5"/>
        </w:rPr>
        <w:footnoteRef/>
      </w:r>
      <w:r>
        <w:rPr>
          <w:rtl/>
        </w:rPr>
        <w:t xml:space="preserve"> </w:t>
      </w:r>
      <w:hyperlink r:id="rId4" w:history="1">
        <w:r w:rsidRPr="00A70DE6">
          <w:rPr>
            <w:rStyle w:val="Hyperlink"/>
          </w:rPr>
          <w:t>https://www.nevo.co.il/law_html/law01/090_001.htm#Seif1</w:t>
        </w:r>
      </w:hyperlink>
      <w:r>
        <w:rPr>
          <w:rFonts w:hint="cs"/>
          <w:rtl/>
        </w:rPr>
        <w:t xml:space="preserve"> </w:t>
      </w:r>
    </w:p>
  </w:footnote>
  <w:footnote w:id="19">
    <w:p w14:paraId="0DA4F16D" w14:textId="7CDAA291" w:rsidR="00607915" w:rsidRDefault="00607915">
      <w:pPr>
        <w:pStyle w:val="a3"/>
        <w:rPr>
          <w:rFonts w:hint="cs"/>
          <w:rtl/>
        </w:rPr>
      </w:pPr>
      <w:r>
        <w:rPr>
          <w:rStyle w:val="a5"/>
        </w:rPr>
        <w:footnoteRef/>
      </w:r>
      <w:r>
        <w:rPr>
          <w:rtl/>
        </w:rPr>
        <w:t xml:space="preserve"> </w:t>
      </w:r>
      <w:r>
        <w:rPr>
          <w:rFonts w:hint="cs"/>
          <w:rtl/>
        </w:rPr>
        <w:t>סעיף 17 לחוק הגנת השכר.</w:t>
      </w:r>
    </w:p>
  </w:footnote>
  <w:footnote w:id="20">
    <w:p w14:paraId="53DD3AA9" w14:textId="1AC7C4EE" w:rsidR="00607915" w:rsidRDefault="00607915">
      <w:pPr>
        <w:pStyle w:val="a3"/>
        <w:rPr>
          <w:rFonts w:hint="cs"/>
          <w:rtl/>
        </w:rPr>
      </w:pPr>
      <w:r>
        <w:rPr>
          <w:rStyle w:val="a5"/>
        </w:rPr>
        <w:footnoteRef/>
      </w:r>
      <w:r>
        <w:rPr>
          <w:rtl/>
        </w:rPr>
        <w:t xml:space="preserve"> </w:t>
      </w:r>
      <w:r>
        <w:rPr>
          <w:rFonts w:hint="cs"/>
          <w:rtl/>
        </w:rPr>
        <w:t>סעיף 25ב(ב1) לחוק הגנת השכר.</w:t>
      </w:r>
    </w:p>
  </w:footnote>
  <w:footnote w:id="21">
    <w:p w14:paraId="692BDF71" w14:textId="548D4DA8" w:rsidR="002E3335" w:rsidRDefault="002E3335">
      <w:pPr>
        <w:pStyle w:val="a3"/>
        <w:rPr>
          <w:rFonts w:hint="cs"/>
        </w:rPr>
      </w:pPr>
      <w:r>
        <w:rPr>
          <w:rStyle w:val="a5"/>
        </w:rPr>
        <w:footnoteRef/>
      </w:r>
      <w:r>
        <w:rPr>
          <w:rtl/>
        </w:rPr>
        <w:t xml:space="preserve"> </w:t>
      </w:r>
      <w:r>
        <w:rPr>
          <w:rFonts w:ascii="Arial" w:hAnsi="Arial" w:cs="Arial"/>
          <w:color w:val="222222"/>
          <w:shd w:val="clear" w:color="auto" w:fill="FFFFFF"/>
          <w:rtl/>
        </w:rPr>
        <w:t xml:space="preserve">ספרא קדושים ב, סוף פרק ג. במקבילה המופיעה בבבלי, בבא מציעא </w:t>
      </w:r>
      <w:proofErr w:type="spellStart"/>
      <w:r>
        <w:rPr>
          <w:rFonts w:ascii="Arial" w:hAnsi="Arial" w:cs="Arial"/>
          <w:color w:val="222222"/>
          <w:shd w:val="clear" w:color="auto" w:fill="FFFFFF"/>
          <w:rtl/>
        </w:rPr>
        <w:t>קיב</w:t>
      </w:r>
      <w:proofErr w:type="spellEnd"/>
      <w:r>
        <w:rPr>
          <w:rFonts w:ascii="Arial" w:hAnsi="Arial" w:cs="Arial"/>
          <w:color w:val="222222"/>
          <w:shd w:val="clear" w:color="auto" w:fill="FFFFFF"/>
          <w:rtl/>
        </w:rPr>
        <w:t xml:space="preserve">, ע"א מופיע: "אתך, לדעתך". רש"י, בבא מציעא </w:t>
      </w:r>
      <w:proofErr w:type="spellStart"/>
      <w:r>
        <w:rPr>
          <w:rFonts w:ascii="Arial" w:hAnsi="Arial" w:cs="Arial"/>
          <w:color w:val="222222"/>
          <w:shd w:val="clear" w:color="auto" w:fill="FFFFFF"/>
          <w:rtl/>
        </w:rPr>
        <w:t>קיב</w:t>
      </w:r>
      <w:proofErr w:type="spellEnd"/>
      <w:r>
        <w:rPr>
          <w:rFonts w:ascii="Arial" w:hAnsi="Arial" w:cs="Arial"/>
          <w:color w:val="222222"/>
          <w:shd w:val="clear" w:color="auto" w:fill="FFFFFF"/>
          <w:rtl/>
        </w:rPr>
        <w:t xml:space="preserve">, ע"א: "לדעתך – ולא מדעתו". והחפץ חיים ניסח זאת: "אם לא תבעו השכיר... אינו עובר עליו </w:t>
      </w:r>
      <w:r w:rsidR="0059616D">
        <w:rPr>
          <w:rFonts w:ascii="Arial" w:hAnsi="Arial" w:cs="Arial" w:hint="cs"/>
          <w:color w:val="222222"/>
          <w:shd w:val="clear" w:color="auto" w:fill="FFFFFF"/>
          <w:rtl/>
        </w:rPr>
        <w:t>ש</w:t>
      </w:r>
      <w:r>
        <w:rPr>
          <w:rFonts w:ascii="Arial" w:hAnsi="Arial" w:cs="Arial"/>
          <w:color w:val="222222"/>
          <w:shd w:val="clear" w:color="auto" w:fill="FFFFFF"/>
          <w:rtl/>
        </w:rPr>
        <w:t>הרי הוא כאילו מרשהו לזה" (</w:t>
      </w:r>
      <w:r>
        <w:rPr>
          <w:rFonts w:ascii="Arial" w:hAnsi="Arial" w:cs="Arial" w:hint="cs"/>
          <w:color w:val="222222"/>
          <w:shd w:val="clear" w:color="auto" w:fill="FFFFFF"/>
          <w:rtl/>
        </w:rPr>
        <w:t xml:space="preserve">ספר </w:t>
      </w:r>
      <w:r>
        <w:rPr>
          <w:rFonts w:ascii="Arial" w:hAnsi="Arial" w:cs="Arial"/>
          <w:color w:val="222222"/>
          <w:shd w:val="clear" w:color="auto" w:fill="FFFFFF"/>
          <w:rtl/>
        </w:rPr>
        <w:t xml:space="preserve">אהבת חסד, לעיל </w:t>
      </w:r>
      <w:proofErr w:type="spellStart"/>
      <w:r>
        <w:rPr>
          <w:rFonts w:ascii="Arial" w:hAnsi="Arial" w:cs="Arial"/>
          <w:color w:val="222222"/>
          <w:shd w:val="clear" w:color="auto" w:fill="FFFFFF"/>
          <w:rtl/>
        </w:rPr>
        <w:t>ה"ש</w:t>
      </w:r>
      <w:proofErr w:type="spellEnd"/>
      <w:r>
        <w:rPr>
          <w:rFonts w:ascii="Arial" w:hAnsi="Arial" w:cs="Arial"/>
          <w:color w:val="222222"/>
          <w:shd w:val="clear" w:color="auto" w:fill="FFFFFF"/>
          <w:rtl/>
        </w:rPr>
        <w:t xml:space="preserve"> 91 א, פרק ט, סעיף יא). משנה בבא מציעא ט, </w:t>
      </w:r>
      <w:proofErr w:type="spellStart"/>
      <w:r>
        <w:rPr>
          <w:rFonts w:ascii="Arial" w:hAnsi="Arial" w:cs="Arial"/>
          <w:color w:val="222222"/>
          <w:shd w:val="clear" w:color="auto" w:fill="FFFFFF"/>
          <w:rtl/>
        </w:rPr>
        <w:t>יב</w:t>
      </w:r>
      <w:proofErr w:type="spellEnd"/>
      <w:r>
        <w:rPr>
          <w:rFonts w:ascii="Arial" w:hAnsi="Arial" w:cs="Arial"/>
          <w:color w:val="222222"/>
          <w:shd w:val="clear" w:color="auto" w:fill="FFFFFF"/>
          <w:rtl/>
        </w:rPr>
        <w:t>. וכך</w:t>
      </w:r>
      <w:r>
        <w:rPr>
          <w:rFonts w:ascii="Arial" w:hAnsi="Arial" w:cs="Arial" w:hint="cs"/>
          <w:color w:val="222222"/>
          <w:shd w:val="clear" w:color="auto" w:fill="FFFFFF"/>
          <w:rtl/>
        </w:rPr>
        <w:t xml:space="preserve"> גם</w:t>
      </w:r>
      <w:r>
        <w:rPr>
          <w:rFonts w:ascii="Arial" w:hAnsi="Arial" w:cs="Arial"/>
          <w:color w:val="222222"/>
          <w:shd w:val="clear" w:color="auto" w:fill="FFFFFF"/>
          <w:rtl/>
        </w:rPr>
        <w:t xml:space="preserve"> נפסקה </w:t>
      </w:r>
      <w:r>
        <w:rPr>
          <w:rFonts w:ascii="Arial" w:hAnsi="Arial" w:cs="Arial" w:hint="cs"/>
          <w:color w:val="222222"/>
          <w:shd w:val="clear" w:color="auto" w:fill="FFFFFF"/>
          <w:rtl/>
        </w:rPr>
        <w:t>ל</w:t>
      </w:r>
      <w:r>
        <w:rPr>
          <w:rFonts w:ascii="Arial" w:hAnsi="Arial" w:cs="Arial"/>
          <w:color w:val="222222"/>
          <w:shd w:val="clear" w:color="auto" w:fill="FFFFFF"/>
          <w:rtl/>
        </w:rPr>
        <w:t>הלכה</w:t>
      </w:r>
      <w:r>
        <w:rPr>
          <w:rFonts w:ascii="Arial" w:hAnsi="Arial" w:cs="Arial" w:hint="cs"/>
          <w:color w:val="222222"/>
          <w:shd w:val="clear" w:color="auto" w:fill="FFFFFF"/>
          <w:rtl/>
        </w:rPr>
        <w:t>-</w:t>
      </w:r>
      <w:r>
        <w:rPr>
          <w:rFonts w:ascii="Arial" w:hAnsi="Arial" w:cs="Arial"/>
          <w:color w:val="222222"/>
          <w:shd w:val="clear" w:color="auto" w:fill="FFFFFF"/>
          <w:rtl/>
        </w:rPr>
        <w:t xml:space="preserve"> ראו משנה תורה, הלכות שכירות יא, ד; שולחן ערוך, חושן משפט, </w:t>
      </w:r>
      <w:r>
        <w:rPr>
          <w:rFonts w:ascii="Arial" w:hAnsi="Arial" w:cs="Arial" w:hint="cs"/>
          <w:color w:val="222222"/>
          <w:shd w:val="clear" w:color="auto" w:fill="FFFFFF"/>
          <w:rtl/>
        </w:rPr>
        <w:t xml:space="preserve">סימן </w:t>
      </w:r>
      <w:r>
        <w:rPr>
          <w:rFonts w:ascii="Arial" w:hAnsi="Arial" w:cs="Arial"/>
          <w:color w:val="222222"/>
          <w:shd w:val="clear" w:color="auto" w:fill="FFFFFF"/>
          <w:rtl/>
        </w:rPr>
        <w:t>שלט</w:t>
      </w:r>
      <w:r>
        <w:rPr>
          <w:rFonts w:ascii="Arial" w:hAnsi="Arial" w:cs="Arial" w:hint="cs"/>
          <w:color w:val="222222"/>
          <w:shd w:val="clear" w:color="auto" w:fill="FFFFFF"/>
          <w:rtl/>
        </w:rPr>
        <w:t>', סעיף</w:t>
      </w:r>
      <w:r>
        <w:rPr>
          <w:rFonts w:ascii="Arial" w:hAnsi="Arial" w:cs="Arial"/>
          <w:color w:val="222222"/>
          <w:shd w:val="clear" w:color="auto" w:fill="FFFFFF"/>
          <w:rtl/>
        </w:rPr>
        <w:t xml:space="preserve"> י</w:t>
      </w:r>
      <w:r>
        <w:rPr>
          <w:rFonts w:ascii="Arial" w:hAnsi="Arial" w:cs="Arial" w:hint="cs"/>
          <w:color w:val="222222"/>
          <w:shd w:val="clear" w:color="auto" w:fill="FFFFFF"/>
          <w:rtl/>
        </w:rPr>
        <w:t>.</w:t>
      </w:r>
      <w:r w:rsidR="00927EC0">
        <w:rPr>
          <w:rFonts w:hint="cs"/>
          <w:rtl/>
        </w:rPr>
        <w:t xml:space="preserve"> לגבי המחילה הזמנית- ראה </w:t>
      </w:r>
      <w:r w:rsidR="002062F1">
        <w:rPr>
          <w:rFonts w:hint="cs"/>
          <w:rtl/>
        </w:rPr>
        <w:t xml:space="preserve">בהרחבה את דבריו של רבי גרשון אשכנזי בספרו שו"ת עבודת הגרשוני, סימן ז, וכן שילם </w:t>
      </w:r>
      <w:proofErr w:type="spellStart"/>
      <w:r w:rsidR="002062F1">
        <w:rPr>
          <w:rFonts w:hint="cs"/>
          <w:rtl/>
        </w:rPr>
        <w:t>ורהפטיג</w:t>
      </w:r>
      <w:proofErr w:type="spellEnd"/>
      <w:r w:rsidR="002062F1">
        <w:rPr>
          <w:rFonts w:hint="cs"/>
          <w:rtl/>
        </w:rPr>
        <w:t xml:space="preserve"> "ביטול חוזה בשל הפרה לפי המשפט העברי" דיני ישראל ב 155, 165 (</w:t>
      </w:r>
      <w:proofErr w:type="spellStart"/>
      <w:r w:rsidR="002062F1">
        <w:rPr>
          <w:rFonts w:hint="cs"/>
          <w:rtl/>
        </w:rPr>
        <w:t>התשל"א</w:t>
      </w:r>
      <w:proofErr w:type="spellEnd"/>
      <w:r w:rsidR="002062F1">
        <w:rPr>
          <w:rFonts w:hint="cs"/>
          <w:rtl/>
        </w:rPr>
        <w:t>).</w:t>
      </w:r>
    </w:p>
  </w:footnote>
  <w:footnote w:id="22">
    <w:p w14:paraId="4E7BEA21" w14:textId="77777777" w:rsidR="002D1473" w:rsidRDefault="002D1473" w:rsidP="002D1473">
      <w:pPr>
        <w:pStyle w:val="a3"/>
        <w:rPr>
          <w:rFonts w:hint="cs"/>
          <w:rtl/>
        </w:rPr>
      </w:pPr>
      <w:r>
        <w:rPr>
          <w:rStyle w:val="a5"/>
        </w:rPr>
        <w:footnoteRef/>
      </w:r>
      <w:r>
        <w:rPr>
          <w:rtl/>
        </w:rPr>
        <w:t xml:space="preserve"> היום הקובע מוגדר</w:t>
      </w:r>
      <w:r>
        <w:rPr>
          <w:rFonts w:hint="cs"/>
          <w:rtl/>
        </w:rPr>
        <w:t xml:space="preserve"> בחוק הגנת השכר</w:t>
      </w:r>
      <w:r>
        <w:rPr>
          <w:rtl/>
        </w:rPr>
        <w:t xml:space="preserve"> כ"יום התשיעי שלאחר המועד לתשלום שכר העבוד</w:t>
      </w:r>
      <w:r>
        <w:rPr>
          <w:rFonts w:hint="cs"/>
          <w:rtl/>
        </w:rPr>
        <w:t>ה".</w:t>
      </w:r>
    </w:p>
  </w:footnote>
  <w:footnote w:id="23">
    <w:p w14:paraId="668999E2" w14:textId="6796B73A" w:rsidR="00D61716" w:rsidRDefault="00D61716">
      <w:pPr>
        <w:pStyle w:val="a3"/>
        <w:rPr>
          <w:rFonts w:hint="cs"/>
        </w:rPr>
      </w:pPr>
      <w:r>
        <w:rPr>
          <w:rStyle w:val="a5"/>
        </w:rPr>
        <w:footnoteRef/>
      </w:r>
      <w:r>
        <w:rPr>
          <w:rtl/>
        </w:rPr>
        <w:t xml:space="preserve"> </w:t>
      </w:r>
      <w:r>
        <w:rPr>
          <w:rFonts w:ascii="Arial" w:hAnsi="Arial" w:cs="Arial" w:hint="cs"/>
          <w:color w:val="222222"/>
          <w:shd w:val="clear" w:color="auto" w:fill="FFFFFF"/>
          <w:rtl/>
        </w:rPr>
        <w:t xml:space="preserve">ספר </w:t>
      </w:r>
      <w:r>
        <w:rPr>
          <w:rFonts w:ascii="Arial" w:hAnsi="Arial" w:cs="Arial"/>
          <w:color w:val="222222"/>
          <w:shd w:val="clear" w:color="auto" w:fill="FFFFFF"/>
          <w:rtl/>
        </w:rPr>
        <w:t>אהבת חסד</w:t>
      </w:r>
      <w:r w:rsidR="00D80D91">
        <w:rPr>
          <w:rFonts w:ascii="Arial" w:hAnsi="Arial" w:cs="Arial" w:hint="cs"/>
          <w:color w:val="222222"/>
          <w:shd w:val="clear" w:color="auto" w:fill="FFFFFF"/>
          <w:rtl/>
        </w:rPr>
        <w:t xml:space="preserve"> פרק ט סעיף יא, וכן בסעיף קטן </w:t>
      </w:r>
      <w:proofErr w:type="spellStart"/>
      <w:r w:rsidR="00D80D91">
        <w:rPr>
          <w:rFonts w:ascii="Arial" w:hAnsi="Arial" w:cs="Arial" w:hint="cs"/>
          <w:color w:val="222222"/>
          <w:shd w:val="clear" w:color="auto" w:fill="FFFFFF"/>
          <w:rtl/>
        </w:rPr>
        <w:t>כט</w:t>
      </w:r>
      <w:proofErr w:type="spellEnd"/>
      <w:r w:rsidR="00D80D91">
        <w:rPr>
          <w:rFonts w:ascii="Arial" w:hAnsi="Arial" w:cs="Arial" w:hint="cs"/>
          <w:color w:val="222222"/>
          <w:shd w:val="clear" w:color="auto" w:fill="FFFFFF"/>
          <w:rtl/>
        </w:rPr>
        <w:t>.</w:t>
      </w:r>
    </w:p>
  </w:footnote>
  <w:footnote w:id="24">
    <w:p w14:paraId="266EEDCE" w14:textId="22FAF562" w:rsidR="00D61716" w:rsidRDefault="00D61716">
      <w:pPr>
        <w:pStyle w:val="a3"/>
        <w:rPr>
          <w:rFonts w:hint="cs"/>
        </w:rPr>
      </w:pPr>
      <w:r>
        <w:rPr>
          <w:rStyle w:val="a5"/>
        </w:rPr>
        <w:footnoteRef/>
      </w:r>
      <w:r>
        <w:rPr>
          <w:rtl/>
        </w:rPr>
        <w:t xml:space="preserve"> </w:t>
      </w:r>
      <w:r>
        <w:rPr>
          <w:rFonts w:ascii="Arial" w:hAnsi="Arial" w:cs="Arial" w:hint="cs"/>
          <w:color w:val="222222"/>
          <w:shd w:val="clear" w:color="auto" w:fill="FFFFFF"/>
          <w:rtl/>
        </w:rPr>
        <w:t xml:space="preserve">ספר </w:t>
      </w:r>
      <w:r>
        <w:rPr>
          <w:rFonts w:ascii="Arial" w:hAnsi="Arial" w:cs="Arial"/>
          <w:color w:val="222222"/>
          <w:shd w:val="clear" w:color="auto" w:fill="FFFFFF"/>
          <w:rtl/>
        </w:rPr>
        <w:t>גידולי שמואל</w:t>
      </w:r>
      <w:r w:rsidR="00D80D91">
        <w:rPr>
          <w:rFonts w:ascii="Arial" w:hAnsi="Arial" w:cs="Arial" w:hint="cs"/>
          <w:color w:val="222222"/>
          <w:shd w:val="clear" w:color="auto" w:fill="FFFFFF"/>
          <w:rtl/>
        </w:rPr>
        <w:t xml:space="preserve"> על מסכת בבא מציעא, דף קיא עמוד א.</w:t>
      </w:r>
      <w:r>
        <w:rPr>
          <w:rFonts w:ascii="Arial" w:hAnsi="Arial" w:cs="Arial" w:hint="cs"/>
          <w:color w:val="222222"/>
          <w:shd w:val="clear" w:color="auto" w:fill="FFFFFF"/>
          <w:rtl/>
        </w:rPr>
        <w:t>.</w:t>
      </w:r>
    </w:p>
  </w:footnote>
  <w:footnote w:id="25">
    <w:p w14:paraId="691C4BAC" w14:textId="5AFEAF54" w:rsidR="00D61716" w:rsidRDefault="00D61716">
      <w:pPr>
        <w:pStyle w:val="a3"/>
        <w:rPr>
          <w:rFonts w:hint="cs"/>
        </w:rPr>
      </w:pPr>
      <w:r>
        <w:rPr>
          <w:rStyle w:val="a5"/>
        </w:rPr>
        <w:footnoteRef/>
      </w:r>
      <w:r>
        <w:rPr>
          <w:rtl/>
        </w:rPr>
        <w:t xml:space="preserve"> </w:t>
      </w:r>
      <w:r>
        <w:rPr>
          <w:rFonts w:ascii="Arial" w:hAnsi="Arial" w:cs="Arial" w:hint="cs"/>
          <w:color w:val="222222"/>
          <w:shd w:val="clear" w:color="auto" w:fill="FFFFFF"/>
          <w:rtl/>
        </w:rPr>
        <w:t xml:space="preserve">ספר </w:t>
      </w:r>
      <w:r>
        <w:rPr>
          <w:rFonts w:ascii="Arial" w:hAnsi="Arial" w:cs="Arial"/>
          <w:color w:val="222222"/>
          <w:shd w:val="clear" w:color="auto" w:fill="FFFFFF"/>
          <w:rtl/>
        </w:rPr>
        <w:t>יראים</w:t>
      </w:r>
      <w:r>
        <w:rPr>
          <w:rFonts w:ascii="Arial" w:hAnsi="Arial" w:cs="Arial" w:hint="cs"/>
          <w:color w:val="222222"/>
          <w:shd w:val="clear" w:color="auto" w:fill="FFFFFF"/>
          <w:rtl/>
        </w:rPr>
        <w:t>, סימן קלה'.</w:t>
      </w:r>
    </w:p>
  </w:footnote>
  <w:footnote w:id="26">
    <w:p w14:paraId="3D0B73E3" w14:textId="2F8D42BA" w:rsidR="002062F1" w:rsidRDefault="002062F1">
      <w:pPr>
        <w:pStyle w:val="a3"/>
        <w:rPr>
          <w:rFonts w:hint="cs"/>
          <w:rtl/>
        </w:rPr>
      </w:pPr>
      <w:r>
        <w:rPr>
          <w:rStyle w:val="a5"/>
        </w:rPr>
        <w:footnoteRef/>
      </w:r>
      <w:r>
        <w:rPr>
          <w:rtl/>
        </w:rPr>
        <w:t xml:space="preserve"> </w:t>
      </w:r>
      <w:r>
        <w:rPr>
          <w:rFonts w:hint="cs"/>
          <w:rtl/>
        </w:rPr>
        <w:t xml:space="preserve">לגבי היחס להבדל בין המשפטים כנותני משקל לתביעת זכות/תביעת חובה, ראה </w:t>
      </w:r>
      <w:r>
        <w:rPr>
          <w:rtl/>
        </w:rPr>
        <w:t xml:space="preserve">יצחק </w:t>
      </w:r>
      <w:proofErr w:type="spellStart"/>
      <w:r>
        <w:rPr>
          <w:rtl/>
        </w:rPr>
        <w:t>ברויאר</w:t>
      </w:r>
      <w:proofErr w:type="spellEnd"/>
      <w:r>
        <w:rPr>
          <w:rtl/>
        </w:rPr>
        <w:t xml:space="preserve"> "משפט האישה, העבד והנוכרי" ציוני דרך 57 </w:t>
      </w:r>
      <w:r>
        <w:rPr>
          <w:rFonts w:hint="cs"/>
          <w:rtl/>
        </w:rPr>
        <w:t>(</w:t>
      </w:r>
      <w:proofErr w:type="spellStart"/>
      <w:r>
        <w:rPr>
          <w:rtl/>
        </w:rPr>
        <w:t>התשמ"ב</w:t>
      </w:r>
      <w:proofErr w:type="spellEnd"/>
      <w:r>
        <w:rPr>
          <w:rFonts w:hint="cs"/>
          <w:rtl/>
        </w:rPr>
        <w:t>)</w:t>
      </w:r>
      <w:r>
        <w:rPr>
          <w:rtl/>
        </w:rPr>
        <w:t>.</w:t>
      </w:r>
      <w:r w:rsidR="001E7F88">
        <w:rPr>
          <w:rFonts w:hint="cs"/>
          <w:rtl/>
        </w:rPr>
        <w:t xml:space="preserve"> וכן </w:t>
      </w:r>
      <w:r w:rsidR="001E7F88">
        <w:t>Robert Cover, Obligation a</w:t>
      </w:r>
      <w:r w:rsidR="001E7F88">
        <w:t xml:space="preserve"> </w:t>
      </w:r>
      <w:r w:rsidR="001E7F88">
        <w:t>Jewish Jurisprudence of the Social Order, 5 J. L. &amp; RELIGION. 65 (1987)</w:t>
      </w:r>
      <w:r w:rsidR="001E7F88">
        <w:rPr>
          <w:rFonts w:hint="cs"/>
          <w:rtl/>
        </w:rPr>
        <w:t>.</w:t>
      </w:r>
    </w:p>
  </w:footnote>
  <w:footnote w:id="27">
    <w:p w14:paraId="3DA1432F" w14:textId="45359498" w:rsidR="00B936E8" w:rsidRDefault="00B936E8">
      <w:pPr>
        <w:pStyle w:val="a3"/>
        <w:rPr>
          <w:rFonts w:hint="cs"/>
          <w:rtl/>
        </w:rPr>
      </w:pPr>
      <w:r>
        <w:rPr>
          <w:rStyle w:val="a5"/>
        </w:rPr>
        <w:footnoteRef/>
      </w:r>
      <w:r>
        <w:rPr>
          <w:rtl/>
        </w:rPr>
        <w:t xml:space="preserve"> </w:t>
      </w:r>
      <w:r>
        <w:rPr>
          <w:rFonts w:hint="cs"/>
          <w:rtl/>
        </w:rPr>
        <w:t>גם דוגמא זו לקוחה ממאמרו של פרופ' בני פורת שמוזכר לעיל</w:t>
      </w:r>
      <w:r w:rsidR="00444BA8">
        <w:rPr>
          <w:rFonts w:hint="cs"/>
          <w:rtl/>
        </w:rPr>
        <w:t>, עמודים 17-18.</w:t>
      </w:r>
      <w:r>
        <w:rPr>
          <w:rFonts w:hint="cs"/>
          <w:rtl/>
        </w:rPr>
        <w:t xml:space="preserve"> וכן ניתן לראות סוגייה זו בהרחבה במאמר אחר של פורת </w:t>
      </w:r>
      <w:r>
        <w:t>"</w:t>
      </w:r>
      <w:r>
        <w:rPr>
          <w:rtl/>
        </w:rPr>
        <w:t xml:space="preserve">הזכות לקיום בכבוד בראי המשפט העברי: מעמדה החוקתי" משפטים נא, סעיף </w:t>
      </w:r>
      <w:r>
        <w:rPr>
          <w:rFonts w:hint="cs"/>
          <w:rtl/>
        </w:rPr>
        <w:t>7.1.</w:t>
      </w:r>
    </w:p>
  </w:footnote>
  <w:footnote w:id="28">
    <w:p w14:paraId="4CDB9617" w14:textId="3CD995D5" w:rsidR="00B72CD9" w:rsidRDefault="00B72CD9">
      <w:pPr>
        <w:pStyle w:val="a3"/>
        <w:rPr>
          <w:rFonts w:hint="cs"/>
          <w:rtl/>
        </w:rPr>
      </w:pPr>
      <w:r>
        <w:rPr>
          <w:rStyle w:val="a5"/>
        </w:rPr>
        <w:footnoteRef/>
      </w:r>
      <w:r>
        <w:rPr>
          <w:rtl/>
        </w:rPr>
        <w:t xml:space="preserve"> </w:t>
      </w:r>
      <w:r>
        <w:rPr>
          <w:rtl/>
        </w:rPr>
        <w:t xml:space="preserve">כך, לדוגמה, נאמר בתקנות שירותי הסעד: "רשות </w:t>
      </w:r>
      <w:r>
        <w:rPr>
          <w:rFonts w:hint="cs"/>
          <w:rtl/>
        </w:rPr>
        <w:t>ה</w:t>
      </w:r>
      <w:r>
        <w:rPr>
          <w:rtl/>
        </w:rPr>
        <w:t>סעד תגיש סעד וטיפול סוציאלי לנזקק שפנה אליה בבקשה לכך"</w:t>
      </w:r>
      <w:r>
        <w:rPr>
          <w:rFonts w:hint="cs"/>
          <w:rtl/>
        </w:rPr>
        <w:t>- סעיף 2 לתקנות שירותי הסעד (טיפול בנזקקים) התשמ"ו-1986.</w:t>
      </w:r>
      <w:r>
        <w:rPr>
          <w:rtl/>
        </w:rPr>
        <w:t>.</w:t>
      </w:r>
      <w:r>
        <w:rPr>
          <w:rFonts w:hint="cs"/>
          <w:rtl/>
        </w:rPr>
        <w:t xml:space="preserve"> </w:t>
      </w:r>
    </w:p>
  </w:footnote>
  <w:footnote w:id="29">
    <w:p w14:paraId="58932F44" w14:textId="3C4F8F67" w:rsidR="00062EFF" w:rsidRDefault="00062EFF">
      <w:pPr>
        <w:pStyle w:val="a3"/>
        <w:rPr>
          <w:rFonts w:hint="cs"/>
          <w:rtl/>
        </w:rPr>
      </w:pPr>
      <w:r>
        <w:rPr>
          <w:rStyle w:val="a5"/>
        </w:rPr>
        <w:footnoteRef/>
      </w:r>
      <w:r>
        <w:rPr>
          <w:rtl/>
        </w:rPr>
        <w:t xml:space="preserve"> </w:t>
      </w:r>
      <w:r>
        <w:rPr>
          <w:rFonts w:hint="cs"/>
          <w:rtl/>
        </w:rPr>
        <w:t>דוג' לתביעה בעניין ניתן לראות ב</w:t>
      </w:r>
      <w:r w:rsidRPr="00062EFF">
        <w:rPr>
          <w:rtl/>
        </w:rPr>
        <w:t xml:space="preserve"> </w:t>
      </w:r>
      <w:r>
        <w:rPr>
          <w:rtl/>
        </w:rPr>
        <w:t xml:space="preserve">עב"ל 08/628 אליעזר גלעדי – המוסד לביטוח לאומי </w:t>
      </w:r>
      <w:r>
        <w:rPr>
          <w:rFonts w:hint="cs"/>
          <w:rtl/>
        </w:rPr>
        <w:t>(</w:t>
      </w:r>
      <w:r>
        <w:rPr>
          <w:rtl/>
        </w:rPr>
        <w:t>נבו 2010.4.15</w:t>
      </w:r>
      <w:r>
        <w:t xml:space="preserve"> .</w:t>
      </w:r>
      <w:r>
        <w:t>(</w:t>
      </w:r>
    </w:p>
  </w:footnote>
  <w:footnote w:id="30">
    <w:p w14:paraId="775E4EE5" w14:textId="4DC42AB5" w:rsidR="009C26AB" w:rsidRDefault="009C26AB">
      <w:pPr>
        <w:pStyle w:val="a3"/>
        <w:rPr>
          <w:rFonts w:hint="cs"/>
        </w:rPr>
      </w:pPr>
      <w:r>
        <w:rPr>
          <w:rStyle w:val="a5"/>
        </w:rPr>
        <w:footnoteRef/>
      </w:r>
      <w:r>
        <w:rPr>
          <w:rtl/>
        </w:rPr>
        <w:t xml:space="preserve"> </w:t>
      </w:r>
      <w:r>
        <w:rPr>
          <w:rFonts w:hint="cs"/>
          <w:rtl/>
        </w:rPr>
        <w:t>לדוגמא- חובת היידוע של הביטוח הלאומי לזכאים לקצבאות. דוגמא לחובת יידוע ניתן לראות בסעיף 2ב שהתווסף לחוק לשירותי הסעד (תיקון מספר 8), התשע"ח-2018.</w:t>
      </w:r>
    </w:p>
  </w:footnote>
  <w:footnote w:id="31">
    <w:p w14:paraId="2D81AFFB" w14:textId="4C923A65" w:rsidR="009C26AB" w:rsidRDefault="009C26AB">
      <w:pPr>
        <w:pStyle w:val="a3"/>
        <w:rPr>
          <w:rFonts w:hint="cs"/>
        </w:rPr>
      </w:pPr>
      <w:r>
        <w:rPr>
          <w:rStyle w:val="a5"/>
        </w:rPr>
        <w:footnoteRef/>
      </w:r>
      <w:r>
        <w:rPr>
          <w:rtl/>
        </w:rPr>
        <w:t xml:space="preserve"> </w:t>
      </w:r>
      <w:r>
        <w:rPr>
          <w:rFonts w:hint="cs"/>
          <w:rtl/>
        </w:rPr>
        <w:t>חובת יידוע לא פותרת חסמים בירוקרטיים או פסיכולוגיים.</w:t>
      </w:r>
    </w:p>
  </w:footnote>
  <w:footnote w:id="32">
    <w:p w14:paraId="1709F481" w14:textId="58D42E87" w:rsidR="00067377" w:rsidRDefault="00067377">
      <w:pPr>
        <w:pStyle w:val="a3"/>
        <w:rPr>
          <w:rFonts w:hint="cs"/>
        </w:rPr>
      </w:pPr>
      <w:r>
        <w:rPr>
          <w:rStyle w:val="a5"/>
        </w:rPr>
        <w:footnoteRef/>
      </w:r>
      <w:r>
        <w:rPr>
          <w:rtl/>
        </w:rPr>
        <w:t xml:space="preserve"> </w:t>
      </w:r>
      <w:r>
        <w:rPr>
          <w:rFonts w:hint="cs"/>
          <w:rtl/>
        </w:rPr>
        <w:t xml:space="preserve">יורה דעה, סימן </w:t>
      </w:r>
      <w:proofErr w:type="spellStart"/>
      <w:r>
        <w:rPr>
          <w:rFonts w:hint="cs"/>
          <w:rtl/>
        </w:rPr>
        <w:t>רנג</w:t>
      </w:r>
      <w:proofErr w:type="spellEnd"/>
      <w:r>
        <w:rPr>
          <w:rFonts w:hint="cs"/>
          <w:rtl/>
        </w:rPr>
        <w:t>'.</w:t>
      </w:r>
    </w:p>
  </w:footnote>
  <w:footnote w:id="33">
    <w:p w14:paraId="037BE0AD" w14:textId="678B64F1" w:rsidR="00D61227" w:rsidRDefault="00D61227">
      <w:pPr>
        <w:pStyle w:val="a3"/>
        <w:rPr>
          <w:rFonts w:hint="cs"/>
        </w:rPr>
      </w:pPr>
      <w:r>
        <w:rPr>
          <w:rStyle w:val="a5"/>
        </w:rPr>
        <w:footnoteRef/>
      </w:r>
      <w:r>
        <w:rPr>
          <w:rtl/>
        </w:rPr>
        <w:t xml:space="preserve"> </w:t>
      </w:r>
      <w:r>
        <w:rPr>
          <w:rFonts w:hint="cs"/>
          <w:rtl/>
        </w:rPr>
        <w:t xml:space="preserve">יורה דעה, סימן </w:t>
      </w:r>
      <w:proofErr w:type="spellStart"/>
      <w:r>
        <w:rPr>
          <w:rFonts w:hint="cs"/>
          <w:rtl/>
        </w:rPr>
        <w:t>רנג</w:t>
      </w:r>
      <w:proofErr w:type="spellEnd"/>
      <w:r>
        <w:rPr>
          <w:rFonts w:hint="cs"/>
          <w:rtl/>
        </w:rPr>
        <w:t xml:space="preserve">', סעיף </w:t>
      </w:r>
      <w:proofErr w:type="spellStart"/>
      <w:r>
        <w:rPr>
          <w:rFonts w:hint="cs"/>
          <w:rtl/>
        </w:rPr>
        <w:t>יז</w:t>
      </w:r>
      <w:proofErr w:type="spellEnd"/>
      <w:r>
        <w:rPr>
          <w:rFonts w:hint="cs"/>
          <w:rtl/>
        </w:rPr>
        <w:t>'.</w:t>
      </w:r>
    </w:p>
  </w:footnote>
  <w:footnote w:id="34">
    <w:p w14:paraId="49B70FCF" w14:textId="2464B99A" w:rsidR="00EE7600" w:rsidRDefault="00EE7600">
      <w:pPr>
        <w:pStyle w:val="a3"/>
        <w:rPr>
          <w:rFonts w:hint="cs"/>
          <w:rtl/>
        </w:rPr>
      </w:pPr>
      <w:r>
        <w:rPr>
          <w:rStyle w:val="a5"/>
        </w:rPr>
        <w:footnoteRef/>
      </w:r>
      <w:r>
        <w:rPr>
          <w:rtl/>
        </w:rPr>
        <w:t xml:space="preserve"> </w:t>
      </w:r>
      <w:r>
        <w:rPr>
          <w:rFonts w:hint="cs"/>
          <w:rtl/>
        </w:rPr>
        <w:t>מודל של בתי כנסת וקהילות סגורות, כפי שחיו היהודים לאורך מאות שנים ללא מדינת-לאום רשמית.</w:t>
      </w:r>
    </w:p>
  </w:footnote>
  <w:footnote w:id="35">
    <w:p w14:paraId="59C4FA14" w14:textId="26EF7B18" w:rsidR="00787527" w:rsidRPr="00787527" w:rsidRDefault="00787527" w:rsidP="00787527">
      <w:pPr>
        <w:rPr>
          <w:rFonts w:hint="cs"/>
          <w:sz w:val="20"/>
          <w:szCs w:val="20"/>
        </w:rPr>
      </w:pPr>
      <w:r w:rsidRPr="00787527">
        <w:rPr>
          <w:rStyle w:val="a5"/>
          <w:sz w:val="20"/>
          <w:szCs w:val="20"/>
        </w:rPr>
        <w:footnoteRef/>
      </w:r>
      <w:r w:rsidRPr="00787527">
        <w:rPr>
          <w:sz w:val="20"/>
          <w:szCs w:val="20"/>
          <w:rtl/>
        </w:rPr>
        <w:t xml:space="preserve"> </w:t>
      </w:r>
      <w:r w:rsidRPr="00787527">
        <w:rPr>
          <w:rFonts w:hint="cs"/>
          <w:sz w:val="20"/>
          <w:szCs w:val="20"/>
          <w:rtl/>
        </w:rPr>
        <w:t>שיובילו להטיית החוק הישראלי לכיוונו של המשפט העברי כנדרש בחוק</w:t>
      </w:r>
      <w:r>
        <w:rPr>
          <w:rFonts w:hint="cs"/>
          <w:sz w:val="20"/>
          <w:szCs w:val="20"/>
          <w:rtl/>
        </w:rPr>
        <w:t>.</w:t>
      </w:r>
    </w:p>
  </w:footnote>
  <w:footnote w:id="36">
    <w:p w14:paraId="35586F0A" w14:textId="700CD286" w:rsidR="00CB765E" w:rsidRDefault="00CB765E">
      <w:pPr>
        <w:pStyle w:val="a3"/>
        <w:rPr>
          <w:rFonts w:hint="cs"/>
        </w:rPr>
      </w:pPr>
      <w:r>
        <w:rPr>
          <w:rStyle w:val="a5"/>
        </w:rPr>
        <w:footnoteRef/>
      </w:r>
      <w:hyperlink r:id="rId5" w:history="1">
        <w:r w:rsidRPr="00FC7949">
          <w:rPr>
            <w:rStyle w:val="Hyperlink"/>
          </w:rPr>
          <w:t>https://he.wikipedia.org/wiki/%D7%94%D7%9E%D7%94%D7%A4%D7%9B%D7%94_%D7%94%D7%97%D7%95%D7%A7%D7%AA%D7%99%D7%AA</w:t>
        </w:r>
      </w:hyperlink>
      <w:r>
        <w:rPr>
          <w:rFonts w:hint="cs"/>
          <w:rtl/>
        </w:rPr>
        <w:t xml:space="preserve"> </w:t>
      </w:r>
    </w:p>
  </w:footnote>
  <w:footnote w:id="37">
    <w:p w14:paraId="358BEBCC" w14:textId="091BEE79" w:rsidR="00BD4BF5" w:rsidRDefault="00BD4BF5">
      <w:pPr>
        <w:pStyle w:val="a3"/>
        <w:rPr>
          <w:rFonts w:hint="cs"/>
        </w:rPr>
      </w:pPr>
      <w:r>
        <w:rPr>
          <w:rStyle w:val="a5"/>
        </w:rPr>
        <w:footnoteRef/>
      </w:r>
      <w:r>
        <w:rPr>
          <w:rtl/>
        </w:rPr>
        <w:t xml:space="preserve"> </w:t>
      </w:r>
      <w:r>
        <w:rPr>
          <w:rFonts w:hint="cs"/>
          <w:rtl/>
        </w:rPr>
        <w:t xml:space="preserve">ניתן לראות איך </w:t>
      </w:r>
      <w:proofErr w:type="spellStart"/>
      <w:r>
        <w:rPr>
          <w:rFonts w:hint="cs"/>
          <w:rtl/>
        </w:rPr>
        <w:t>הויכוח</w:t>
      </w:r>
      <w:proofErr w:type="spellEnd"/>
      <w:r>
        <w:rPr>
          <w:rFonts w:hint="cs"/>
          <w:rtl/>
        </w:rPr>
        <w:t xml:space="preserve"> מתפוצץ בכל המקצועות המשפטיים, ובמיוחד ניתן לראות איך עד היום הוא מתגלגל בפס"ד </w:t>
      </w:r>
      <w:proofErr w:type="spellStart"/>
      <w:r>
        <w:rPr>
          <w:rFonts w:hint="cs"/>
          <w:rtl/>
        </w:rPr>
        <w:t>אפרופים</w:t>
      </w:r>
      <w:proofErr w:type="spellEnd"/>
      <w:r>
        <w:rPr>
          <w:rFonts w:hint="cs"/>
          <w:rtl/>
        </w:rPr>
        <w:t>, שטרם הגיע לידי הכרעה סופית.</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617A9"/>
    <w:multiLevelType w:val="multilevel"/>
    <w:tmpl w:val="E0804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AA"/>
    <w:rsid w:val="00013E6C"/>
    <w:rsid w:val="00016768"/>
    <w:rsid w:val="00045EB4"/>
    <w:rsid w:val="00062EFF"/>
    <w:rsid w:val="00067377"/>
    <w:rsid w:val="001268CC"/>
    <w:rsid w:val="001309B9"/>
    <w:rsid w:val="0014073D"/>
    <w:rsid w:val="00160CAB"/>
    <w:rsid w:val="001E4AEA"/>
    <w:rsid w:val="001E7F88"/>
    <w:rsid w:val="002062F1"/>
    <w:rsid w:val="002A0402"/>
    <w:rsid w:val="002D1473"/>
    <w:rsid w:val="002E3335"/>
    <w:rsid w:val="003421AD"/>
    <w:rsid w:val="0035780A"/>
    <w:rsid w:val="003A3403"/>
    <w:rsid w:val="003A607A"/>
    <w:rsid w:val="00415130"/>
    <w:rsid w:val="00422A66"/>
    <w:rsid w:val="004248AF"/>
    <w:rsid w:val="00440383"/>
    <w:rsid w:val="00444BA8"/>
    <w:rsid w:val="004745D1"/>
    <w:rsid w:val="004D013C"/>
    <w:rsid w:val="004E1F6B"/>
    <w:rsid w:val="004E5478"/>
    <w:rsid w:val="00504A86"/>
    <w:rsid w:val="00550E36"/>
    <w:rsid w:val="00552C7A"/>
    <w:rsid w:val="00553DBC"/>
    <w:rsid w:val="00577BF3"/>
    <w:rsid w:val="00592F60"/>
    <w:rsid w:val="0059350D"/>
    <w:rsid w:val="0059616D"/>
    <w:rsid w:val="005B34D7"/>
    <w:rsid w:val="00607915"/>
    <w:rsid w:val="00644A73"/>
    <w:rsid w:val="00675719"/>
    <w:rsid w:val="006F5C59"/>
    <w:rsid w:val="00700EC6"/>
    <w:rsid w:val="0070325F"/>
    <w:rsid w:val="00787527"/>
    <w:rsid w:val="007C0188"/>
    <w:rsid w:val="00807C99"/>
    <w:rsid w:val="0083769A"/>
    <w:rsid w:val="00873C0E"/>
    <w:rsid w:val="008B71AD"/>
    <w:rsid w:val="008D6CE6"/>
    <w:rsid w:val="0091509A"/>
    <w:rsid w:val="00923429"/>
    <w:rsid w:val="00927EC0"/>
    <w:rsid w:val="009A0CF0"/>
    <w:rsid w:val="009A5E84"/>
    <w:rsid w:val="009C26AB"/>
    <w:rsid w:val="009D5B12"/>
    <w:rsid w:val="009F0B45"/>
    <w:rsid w:val="00A76A4F"/>
    <w:rsid w:val="00AB0452"/>
    <w:rsid w:val="00B2351B"/>
    <w:rsid w:val="00B72CD9"/>
    <w:rsid w:val="00B936E8"/>
    <w:rsid w:val="00B95AF0"/>
    <w:rsid w:val="00BB1EB9"/>
    <w:rsid w:val="00BD4BF5"/>
    <w:rsid w:val="00C63109"/>
    <w:rsid w:val="00C6556D"/>
    <w:rsid w:val="00CB3A50"/>
    <w:rsid w:val="00CB765E"/>
    <w:rsid w:val="00CC2000"/>
    <w:rsid w:val="00CF13CD"/>
    <w:rsid w:val="00D15E6A"/>
    <w:rsid w:val="00D23E12"/>
    <w:rsid w:val="00D2511B"/>
    <w:rsid w:val="00D61227"/>
    <w:rsid w:val="00D61716"/>
    <w:rsid w:val="00D6636C"/>
    <w:rsid w:val="00D80D91"/>
    <w:rsid w:val="00DD185D"/>
    <w:rsid w:val="00DE6B3C"/>
    <w:rsid w:val="00E0718B"/>
    <w:rsid w:val="00E402E2"/>
    <w:rsid w:val="00E95EAA"/>
    <w:rsid w:val="00EA0743"/>
    <w:rsid w:val="00ED60BB"/>
    <w:rsid w:val="00EE167F"/>
    <w:rsid w:val="00EE7600"/>
    <w:rsid w:val="00F42384"/>
    <w:rsid w:val="00F46E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75D5F"/>
  <w15:chartTrackingRefBased/>
  <w15:docId w15:val="{7CEE0F86-50C1-42DA-9F2E-92D5BEF2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52C7A"/>
    <w:pPr>
      <w:spacing w:after="0" w:line="240" w:lineRule="auto"/>
    </w:pPr>
    <w:rPr>
      <w:sz w:val="20"/>
      <w:szCs w:val="20"/>
    </w:rPr>
  </w:style>
  <w:style w:type="character" w:customStyle="1" w:styleId="a4">
    <w:name w:val="טקסט הערת שוליים תו"/>
    <w:basedOn w:val="a0"/>
    <w:link w:val="a3"/>
    <w:uiPriority w:val="99"/>
    <w:semiHidden/>
    <w:rsid w:val="00552C7A"/>
    <w:rPr>
      <w:sz w:val="20"/>
      <w:szCs w:val="20"/>
    </w:rPr>
  </w:style>
  <w:style w:type="character" w:styleId="a5">
    <w:name w:val="footnote reference"/>
    <w:basedOn w:val="a0"/>
    <w:uiPriority w:val="99"/>
    <w:semiHidden/>
    <w:unhideWhenUsed/>
    <w:rsid w:val="00552C7A"/>
    <w:rPr>
      <w:vertAlign w:val="superscript"/>
    </w:rPr>
  </w:style>
  <w:style w:type="character" w:styleId="Hyperlink">
    <w:name w:val="Hyperlink"/>
    <w:basedOn w:val="a0"/>
    <w:uiPriority w:val="99"/>
    <w:unhideWhenUsed/>
    <w:rsid w:val="00EA0743"/>
    <w:rPr>
      <w:color w:val="0563C1" w:themeColor="hyperlink"/>
      <w:u w:val="single"/>
    </w:rPr>
  </w:style>
  <w:style w:type="character" w:styleId="a6">
    <w:name w:val="Unresolved Mention"/>
    <w:basedOn w:val="a0"/>
    <w:uiPriority w:val="99"/>
    <w:semiHidden/>
    <w:unhideWhenUsed/>
    <w:rsid w:val="00EA07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87438">
      <w:bodyDiv w:val="1"/>
      <w:marLeft w:val="0"/>
      <w:marRight w:val="0"/>
      <w:marTop w:val="0"/>
      <w:marBottom w:val="0"/>
      <w:divBdr>
        <w:top w:val="none" w:sz="0" w:space="0" w:color="auto"/>
        <w:left w:val="none" w:sz="0" w:space="0" w:color="auto"/>
        <w:bottom w:val="none" w:sz="0" w:space="0" w:color="auto"/>
        <w:right w:val="none" w:sz="0" w:space="0" w:color="auto"/>
      </w:divBdr>
      <w:divsChild>
        <w:div w:id="70542733">
          <w:marLeft w:val="0"/>
          <w:marRight w:val="0"/>
          <w:marTop w:val="0"/>
          <w:marBottom w:val="0"/>
          <w:divBdr>
            <w:top w:val="none" w:sz="0" w:space="0" w:color="auto"/>
            <w:left w:val="none" w:sz="0" w:space="0" w:color="auto"/>
            <w:bottom w:val="none" w:sz="0" w:space="0" w:color="auto"/>
            <w:right w:val="none" w:sz="0" w:space="0" w:color="auto"/>
          </w:divBdr>
        </w:div>
        <w:div w:id="1985155427">
          <w:marLeft w:val="0"/>
          <w:marRight w:val="0"/>
          <w:marTop w:val="0"/>
          <w:marBottom w:val="0"/>
          <w:divBdr>
            <w:top w:val="none" w:sz="0" w:space="0" w:color="auto"/>
            <w:left w:val="none" w:sz="0" w:space="0" w:color="auto"/>
            <w:bottom w:val="none" w:sz="0" w:space="0" w:color="auto"/>
            <w:right w:val="none" w:sz="0" w:space="0" w:color="auto"/>
          </w:divBdr>
        </w:div>
      </w:divsChild>
    </w:div>
    <w:div w:id="1236428926">
      <w:bodyDiv w:val="1"/>
      <w:marLeft w:val="0"/>
      <w:marRight w:val="0"/>
      <w:marTop w:val="0"/>
      <w:marBottom w:val="0"/>
      <w:divBdr>
        <w:top w:val="none" w:sz="0" w:space="0" w:color="auto"/>
        <w:left w:val="none" w:sz="0" w:space="0" w:color="auto"/>
        <w:bottom w:val="none" w:sz="0" w:space="0" w:color="auto"/>
        <w:right w:val="none" w:sz="0" w:space="0" w:color="auto"/>
      </w:divBdr>
    </w:div>
    <w:div w:id="1755080321">
      <w:bodyDiv w:val="1"/>
      <w:marLeft w:val="0"/>
      <w:marRight w:val="0"/>
      <w:marTop w:val="0"/>
      <w:marBottom w:val="0"/>
      <w:divBdr>
        <w:top w:val="none" w:sz="0" w:space="0" w:color="auto"/>
        <w:left w:val="none" w:sz="0" w:space="0" w:color="auto"/>
        <w:bottom w:val="none" w:sz="0" w:space="0" w:color="auto"/>
        <w:right w:val="none" w:sz="0" w:space="0" w:color="auto"/>
      </w:divBdr>
      <w:divsChild>
        <w:div w:id="551233052">
          <w:marLeft w:val="0"/>
          <w:marRight w:val="0"/>
          <w:marTop w:val="0"/>
          <w:marBottom w:val="0"/>
          <w:divBdr>
            <w:top w:val="none" w:sz="0" w:space="0" w:color="auto"/>
            <w:left w:val="none" w:sz="0" w:space="0" w:color="auto"/>
            <w:bottom w:val="none" w:sz="0" w:space="0" w:color="auto"/>
            <w:right w:val="none" w:sz="0" w:space="0" w:color="auto"/>
          </w:divBdr>
        </w:div>
        <w:div w:id="231474339">
          <w:marLeft w:val="0"/>
          <w:marRight w:val="0"/>
          <w:marTop w:val="0"/>
          <w:marBottom w:val="0"/>
          <w:divBdr>
            <w:top w:val="none" w:sz="0" w:space="0" w:color="auto"/>
            <w:left w:val="none" w:sz="0" w:space="0" w:color="auto"/>
            <w:bottom w:val="none" w:sz="0" w:space="0" w:color="auto"/>
            <w:right w:val="none" w:sz="0" w:space="0" w:color="auto"/>
          </w:divBdr>
        </w:div>
      </w:divsChild>
    </w:div>
    <w:div w:id="203942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evo.co.il/law_html/law01/055_007.htm%20&#1505;&#1493;&#1507;%20&#1505;&#1506;&#1497;&#1507;%201" TargetMode="External"/><Relationship Id="rId2" Type="http://schemas.openxmlformats.org/officeDocument/2006/relationships/hyperlink" Target="https://www.knesset.gov.il/laws/special/heb/knesset_laws.pdf" TargetMode="External"/><Relationship Id="rId1" Type="http://schemas.openxmlformats.org/officeDocument/2006/relationships/hyperlink" Target="https://main.knesset.gov.il/en/activity/pages/BasicLawsAndConstitution.aspx" TargetMode="External"/><Relationship Id="rId5" Type="http://schemas.openxmlformats.org/officeDocument/2006/relationships/hyperlink" Target="https://he.wikipedia.org/wiki/%D7%94%D7%9E%D7%94%D7%A4%D7%9B%D7%94_%D7%94%D7%97%D7%95%D7%A7%D7%AA%D7%99%D7%AA" TargetMode="External"/><Relationship Id="rId4" Type="http://schemas.openxmlformats.org/officeDocument/2006/relationships/hyperlink" Target="https://www.nevo.co.il/law_html/law01/090_001.htm#Seif1"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0069A-02F8-4B1A-9158-505B7F6E8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6048</TotalTime>
  <Pages>5</Pages>
  <Words>1894</Words>
  <Characters>9474</Characters>
  <Application>Microsoft Office Word</Application>
  <DocSecurity>0</DocSecurity>
  <Lines>78</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123</cp:revision>
  <dcterms:created xsi:type="dcterms:W3CDTF">2021-12-22T09:36:00Z</dcterms:created>
  <dcterms:modified xsi:type="dcterms:W3CDTF">2021-12-29T10:27:00Z</dcterms:modified>
</cp:coreProperties>
</file>