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93F84" w14:textId="77777777" w:rsidR="001624CA" w:rsidRPr="00FD222B" w:rsidRDefault="001624CA" w:rsidP="001624CA">
      <w:pPr>
        <w:pStyle w:val="BodyText"/>
        <w:adjustRightInd/>
        <w:ind w:firstLine="0"/>
        <w:jc w:val="both"/>
        <w:rPr>
          <w:b/>
          <w:color w:val="000000"/>
          <w:sz w:val="22"/>
          <w:szCs w:val="24"/>
        </w:rPr>
      </w:pPr>
      <w:r w:rsidRPr="00FD222B">
        <w:rPr>
          <w:b/>
          <w:color w:val="000000"/>
          <w:sz w:val="22"/>
          <w:szCs w:val="24"/>
        </w:rPr>
        <w:t xml:space="preserve">ISRAELI TAXATION </w:t>
      </w:r>
    </w:p>
    <w:p w14:paraId="41A69BF2" w14:textId="77777777" w:rsidR="001624CA" w:rsidRPr="00FD222B" w:rsidRDefault="001624CA" w:rsidP="001624CA">
      <w:pPr>
        <w:widowControl w:val="0"/>
        <w:adjustRightInd/>
        <w:spacing w:after="240" w:line="240" w:lineRule="atLeast"/>
        <w:ind w:firstLine="720"/>
        <w:jc w:val="both"/>
        <w:rPr>
          <w:sz w:val="22"/>
          <w:szCs w:val="24"/>
        </w:rPr>
      </w:pPr>
      <w:r w:rsidRPr="00FD222B">
        <w:rPr>
          <w:sz w:val="22"/>
          <w:szCs w:val="24"/>
        </w:rPr>
        <w:t xml:space="preserve">The following summary describes the current tax structure applicable to companies in Israel, with special reference to its effect on us. It also discusses Israeli tax consequences material to persons purchasing our ordinary shares. We recommend that you consult your tax advisor as to the </w:t>
      </w:r>
      <w:proofErr w:type="gramStart"/>
      <w:r w:rsidRPr="00FD222B">
        <w:rPr>
          <w:sz w:val="22"/>
          <w:szCs w:val="24"/>
        </w:rPr>
        <w:t>particular tax</w:t>
      </w:r>
      <w:proofErr w:type="gramEnd"/>
      <w:r w:rsidRPr="00FD222B">
        <w:rPr>
          <w:sz w:val="22"/>
          <w:szCs w:val="24"/>
        </w:rPr>
        <w:t xml:space="preserve"> consequences of an investment in our ordinary shares. </w:t>
      </w:r>
    </w:p>
    <w:p w14:paraId="2FB96975" w14:textId="77777777" w:rsidR="001624CA" w:rsidRPr="00FD222B" w:rsidRDefault="001624CA" w:rsidP="001624CA">
      <w:pPr>
        <w:widowControl w:val="0"/>
        <w:adjustRightInd/>
        <w:spacing w:after="240" w:line="240" w:lineRule="atLeast"/>
        <w:ind w:left="720" w:right="720" w:hanging="720"/>
        <w:jc w:val="both"/>
        <w:rPr>
          <w:b/>
          <w:sz w:val="22"/>
          <w:szCs w:val="24"/>
        </w:rPr>
      </w:pPr>
      <w:r w:rsidRPr="00FD222B">
        <w:rPr>
          <w:b/>
          <w:sz w:val="22"/>
          <w:szCs w:val="24"/>
        </w:rPr>
        <w:t>General Corporate Tax Structure</w:t>
      </w:r>
    </w:p>
    <w:p w14:paraId="770F7F79" w14:textId="77777777" w:rsidR="001624CA" w:rsidRPr="00FD222B" w:rsidRDefault="001624CA" w:rsidP="001624CA">
      <w:pPr>
        <w:widowControl w:val="0"/>
        <w:adjustRightInd/>
        <w:ind w:firstLine="720"/>
        <w:jc w:val="both"/>
        <w:rPr>
          <w:sz w:val="22"/>
          <w:szCs w:val="24"/>
        </w:rPr>
      </w:pPr>
      <w:r w:rsidRPr="00FD222B">
        <w:rPr>
          <w:sz w:val="22"/>
          <w:szCs w:val="24"/>
        </w:rPr>
        <w:t xml:space="preserve">The </w:t>
      </w:r>
      <w:r>
        <w:rPr>
          <w:sz w:val="22"/>
          <w:szCs w:val="24"/>
        </w:rPr>
        <w:t xml:space="preserve">regular </w:t>
      </w:r>
      <w:r w:rsidRPr="00FD222B">
        <w:rPr>
          <w:sz w:val="22"/>
          <w:szCs w:val="24"/>
        </w:rPr>
        <w:t xml:space="preserve">corporate tax rate applicable in </w:t>
      </w:r>
      <w:r>
        <w:rPr>
          <w:sz w:val="22"/>
          <w:szCs w:val="24"/>
        </w:rPr>
        <w:t xml:space="preserve">2020 </w:t>
      </w:r>
      <w:r w:rsidRPr="00FD222B">
        <w:rPr>
          <w:sz w:val="22"/>
          <w:szCs w:val="24"/>
        </w:rPr>
        <w:t xml:space="preserve">and </w:t>
      </w:r>
      <w:r>
        <w:rPr>
          <w:sz w:val="22"/>
          <w:szCs w:val="24"/>
        </w:rPr>
        <w:t>2021</w:t>
      </w:r>
      <w:r>
        <w:rPr>
          <w:rFonts w:hint="cs"/>
          <w:sz w:val="22"/>
          <w:szCs w:val="24"/>
          <w:rtl/>
        </w:rPr>
        <w:t xml:space="preserve"> </w:t>
      </w:r>
      <w:r w:rsidRPr="00D602B2">
        <w:rPr>
          <w:sz w:val="22"/>
          <w:szCs w:val="24"/>
        </w:rPr>
        <w:t xml:space="preserve">is </w:t>
      </w:r>
      <w:r w:rsidRPr="00801360">
        <w:rPr>
          <w:sz w:val="22"/>
          <w:szCs w:val="22"/>
        </w:rPr>
        <w:t>_</w:t>
      </w:r>
      <w:r w:rsidRPr="00C241EB">
        <w:rPr>
          <w:sz w:val="22"/>
          <w:szCs w:val="22"/>
        </w:rPr>
        <w:t>23</w:t>
      </w:r>
      <w:r w:rsidRPr="00D602B2">
        <w:rPr>
          <w:sz w:val="22"/>
          <w:szCs w:val="22"/>
        </w:rPr>
        <w:t>%</w:t>
      </w:r>
      <w:r w:rsidRPr="00801360">
        <w:rPr>
          <w:sz w:val="22"/>
          <w:szCs w:val="24"/>
        </w:rPr>
        <w:t>.</w:t>
      </w:r>
    </w:p>
    <w:p w14:paraId="289A3A39" w14:textId="77777777" w:rsidR="001624CA" w:rsidRPr="00FD222B" w:rsidRDefault="001624CA" w:rsidP="001624CA">
      <w:pPr>
        <w:widowControl w:val="0"/>
        <w:adjustRightInd/>
        <w:ind w:firstLine="720"/>
        <w:jc w:val="both"/>
        <w:rPr>
          <w:sz w:val="22"/>
          <w:szCs w:val="24"/>
        </w:rPr>
      </w:pPr>
      <w:r w:rsidRPr="00FD222B">
        <w:rPr>
          <w:sz w:val="22"/>
          <w:szCs w:val="24"/>
        </w:rPr>
        <w:t xml:space="preserve"> </w:t>
      </w:r>
    </w:p>
    <w:p w14:paraId="3FB85A86" w14:textId="77777777" w:rsidR="001624CA" w:rsidRPr="00FD222B" w:rsidRDefault="001624CA" w:rsidP="001624CA">
      <w:pPr>
        <w:widowControl w:val="0"/>
        <w:adjustRightInd/>
        <w:spacing w:after="240" w:line="240" w:lineRule="atLeast"/>
        <w:ind w:firstLine="720"/>
        <w:jc w:val="both"/>
        <w:rPr>
          <w:sz w:val="22"/>
          <w:szCs w:val="24"/>
        </w:rPr>
      </w:pPr>
      <w:r w:rsidRPr="00FD222B">
        <w:rPr>
          <w:sz w:val="22"/>
          <w:szCs w:val="24"/>
        </w:rPr>
        <w:t>However, the effective tax rate payable by a company that derives income from a preferred enterprise, discussed further below, may be considerably less. See below in Item 10.E - “</w:t>
      </w:r>
      <w:r w:rsidRPr="00FD222B">
        <w:rPr>
          <w:b/>
          <w:i/>
          <w:sz w:val="22"/>
          <w:szCs w:val="24"/>
        </w:rPr>
        <w:t>Taxation - Tax Benefits under the Law for the Encouragement of Capital Investments, 1959</w:t>
      </w:r>
      <w:r w:rsidRPr="00FD222B">
        <w:rPr>
          <w:sz w:val="22"/>
          <w:szCs w:val="24"/>
        </w:rPr>
        <w:t xml:space="preserve">”. </w:t>
      </w:r>
    </w:p>
    <w:p w14:paraId="1E759AE7" w14:textId="77777777" w:rsidR="001624CA" w:rsidRPr="00FD222B" w:rsidRDefault="001624CA" w:rsidP="001624CA">
      <w:pPr>
        <w:widowControl w:val="0"/>
        <w:adjustRightInd/>
        <w:ind w:left="550" w:hanging="567"/>
        <w:jc w:val="both"/>
        <w:rPr>
          <w:b/>
          <w:sz w:val="22"/>
          <w:szCs w:val="24"/>
        </w:rPr>
      </w:pPr>
      <w:r w:rsidRPr="00FD222B">
        <w:rPr>
          <w:b/>
          <w:sz w:val="22"/>
          <w:szCs w:val="24"/>
        </w:rPr>
        <w:t xml:space="preserve">Tax benefits under the Law for the Encouragement of Capital Investments, 1959 (the “Investment Law”) </w:t>
      </w:r>
    </w:p>
    <w:p w14:paraId="20C449B1" w14:textId="77777777" w:rsidR="001624CA" w:rsidRPr="00FD222B" w:rsidRDefault="001624CA" w:rsidP="001624CA">
      <w:pPr>
        <w:widowControl w:val="0"/>
        <w:adjustRightInd/>
        <w:ind w:left="550" w:hanging="567"/>
        <w:jc w:val="both"/>
        <w:rPr>
          <w:b/>
          <w:sz w:val="22"/>
          <w:szCs w:val="24"/>
        </w:rPr>
      </w:pPr>
    </w:p>
    <w:p w14:paraId="254BC080" w14:textId="77777777" w:rsidR="001624CA" w:rsidRPr="00FD222B" w:rsidRDefault="001624CA" w:rsidP="001624CA">
      <w:pPr>
        <w:widowControl w:val="0"/>
        <w:adjustRightInd/>
        <w:spacing w:after="240" w:line="240" w:lineRule="atLeast"/>
        <w:ind w:firstLine="720"/>
        <w:jc w:val="both"/>
        <w:rPr>
          <w:sz w:val="22"/>
          <w:szCs w:val="24"/>
        </w:rPr>
      </w:pPr>
      <w:r w:rsidRPr="00FD222B">
        <w:rPr>
          <w:sz w:val="22"/>
          <w:szCs w:val="24"/>
        </w:rPr>
        <w:t xml:space="preserve">The Company’s production facility has been granted “Approved Enterprise” status under the Investment Law. The Company participates in the Alternative Benefits Program and, accordingly, income from its approved enterprises will be tax exempt for a period of 10 years (or up to 14 years commencing in the year in which the company was granted “Approved Enterprise” status), commencing in the first year in which the Approved Enterprise first generates taxable income; this is due to the fact that the Company operates in </w:t>
      </w:r>
      <w:proofErr w:type="gramStart"/>
      <w:r w:rsidRPr="00FD222B">
        <w:rPr>
          <w:sz w:val="22"/>
          <w:szCs w:val="24"/>
        </w:rPr>
        <w:t>Zone ”A</w:t>
      </w:r>
      <w:proofErr w:type="gramEnd"/>
      <w:r w:rsidRPr="00FD222B">
        <w:rPr>
          <w:sz w:val="22"/>
          <w:szCs w:val="24"/>
        </w:rPr>
        <w:t>” in Israel.</w:t>
      </w:r>
    </w:p>
    <w:p w14:paraId="6624C6FD" w14:textId="77777777" w:rsidR="001624CA" w:rsidRPr="00FD222B" w:rsidRDefault="001624CA" w:rsidP="001624CA">
      <w:pPr>
        <w:widowControl w:val="0"/>
        <w:adjustRightInd/>
        <w:spacing w:after="240" w:line="240" w:lineRule="atLeast"/>
        <w:ind w:firstLine="720"/>
        <w:jc w:val="both"/>
        <w:rPr>
          <w:sz w:val="22"/>
          <w:szCs w:val="24"/>
        </w:rPr>
      </w:pPr>
      <w:r w:rsidRPr="00FD222B">
        <w:rPr>
          <w:sz w:val="22"/>
          <w:szCs w:val="24"/>
        </w:rPr>
        <w:t>On April 1, 2005, an amendment to the Investment Law came into effect (the “</w:t>
      </w:r>
      <w:r w:rsidRPr="00FD222B">
        <w:rPr>
          <w:b/>
          <w:sz w:val="22"/>
          <w:szCs w:val="24"/>
        </w:rPr>
        <w:t>Amendment</w:t>
      </w:r>
      <w:r w:rsidRPr="00FD222B">
        <w:rPr>
          <w:sz w:val="22"/>
          <w:szCs w:val="24"/>
        </w:rPr>
        <w:t xml:space="preserve">”) and has significantly changed the provisions of the Investment Law. The Amendment limits the scope of enterprises which may be approved by the Investment Center by setting criteria for the approval of a facility as a “Beneficiary Enterprise”, such as provisions generally requiring that at least 25% of the Beneficiary Enterprise’s income will be derived from export. Additionally, the Amendment enacted major changes in the </w:t>
      </w:r>
      <w:proofErr w:type="gramStart"/>
      <w:r w:rsidRPr="00FD222B">
        <w:rPr>
          <w:sz w:val="22"/>
          <w:szCs w:val="24"/>
        </w:rPr>
        <w:t>manner in which</w:t>
      </w:r>
      <w:proofErr w:type="gramEnd"/>
      <w:r w:rsidRPr="00FD222B">
        <w:rPr>
          <w:sz w:val="22"/>
          <w:szCs w:val="24"/>
        </w:rPr>
        <w:t xml:space="preserve"> tax benefits are awarded under the Investment Law so that companies no longer require Investment Center approval in order to qualify for tax benefits. </w:t>
      </w:r>
    </w:p>
    <w:p w14:paraId="2BF2C59B" w14:textId="77777777" w:rsidR="001624CA" w:rsidRPr="00FD222B" w:rsidRDefault="001624CA" w:rsidP="001624CA">
      <w:pPr>
        <w:widowControl w:val="0"/>
        <w:tabs>
          <w:tab w:val="left" w:pos="550"/>
        </w:tabs>
        <w:adjustRightInd/>
        <w:spacing w:line="80" w:lineRule="exact"/>
        <w:jc w:val="both"/>
        <w:rPr>
          <w:sz w:val="22"/>
          <w:szCs w:val="24"/>
        </w:rPr>
      </w:pPr>
    </w:p>
    <w:p w14:paraId="1B93A227" w14:textId="77777777" w:rsidR="001624CA" w:rsidRPr="00FD222B" w:rsidRDefault="001624CA" w:rsidP="001624CA">
      <w:pPr>
        <w:widowControl w:val="0"/>
        <w:adjustRightInd/>
        <w:spacing w:after="240" w:line="240" w:lineRule="atLeast"/>
        <w:ind w:firstLine="720"/>
        <w:jc w:val="both"/>
        <w:rPr>
          <w:sz w:val="22"/>
          <w:szCs w:val="24"/>
        </w:rPr>
      </w:pPr>
      <w:r w:rsidRPr="00FD222B">
        <w:rPr>
          <w:sz w:val="22"/>
          <w:szCs w:val="24"/>
        </w:rPr>
        <w:t xml:space="preserve">In addition, the Amendment provides that terms and benefits included in any certificate of approval already granted will remain subject to the provisions of the law as they were on the date of such approval. Therefore, the Company’s existing Approved Enterprise will generally not be subject to the provisions of the Amendment. As a result of the Amendment, tax-exempt income generated under the provisions of the Amendment, as part of a new Beneficiary Enterprise, will subject the Company to taxes upon distribution or liquidation. </w:t>
      </w:r>
    </w:p>
    <w:p w14:paraId="09C079A7" w14:textId="77777777" w:rsidR="001624CA" w:rsidRPr="00FD222B" w:rsidRDefault="001624CA" w:rsidP="001624CA">
      <w:pPr>
        <w:widowControl w:val="0"/>
        <w:tabs>
          <w:tab w:val="left" w:pos="550"/>
        </w:tabs>
        <w:adjustRightInd/>
        <w:spacing w:line="80" w:lineRule="exact"/>
        <w:jc w:val="both"/>
        <w:rPr>
          <w:sz w:val="22"/>
          <w:szCs w:val="24"/>
        </w:rPr>
      </w:pPr>
    </w:p>
    <w:p w14:paraId="3807BA16" w14:textId="77777777" w:rsidR="001624CA" w:rsidRPr="00FD222B" w:rsidRDefault="001624CA" w:rsidP="001624CA">
      <w:pPr>
        <w:widowControl w:val="0"/>
        <w:adjustRightInd/>
        <w:ind w:firstLine="550"/>
        <w:jc w:val="both"/>
        <w:rPr>
          <w:color w:val="000000"/>
          <w:sz w:val="22"/>
          <w:szCs w:val="24"/>
        </w:rPr>
      </w:pPr>
      <w:bookmarkStart w:id="0" w:name="OLE_LINK261"/>
      <w:bookmarkStart w:id="1" w:name="OLE_LINK262"/>
      <w:bookmarkStart w:id="2" w:name="OLE_LINK316"/>
      <w:r w:rsidRPr="00FD222B">
        <w:rPr>
          <w:color w:val="000000"/>
          <w:sz w:val="22"/>
          <w:szCs w:val="24"/>
        </w:rPr>
        <w:t xml:space="preserve">The Company has been granted the status of Approved Enterprises, under the Investment Law, for investment programs for the periods which ended in 2007 and 2010, and the status of Beneficiary Enterprise according to the Amendment, for a period ending in 2014. In </w:t>
      </w:r>
      <w:proofErr w:type="gramStart"/>
      <w:r w:rsidRPr="00FD222B">
        <w:rPr>
          <w:color w:val="000000"/>
          <w:sz w:val="22"/>
          <w:szCs w:val="24"/>
        </w:rPr>
        <w:t>addition</w:t>
      </w:r>
      <w:proofErr w:type="gramEnd"/>
      <w:r w:rsidRPr="00FD222B">
        <w:rPr>
          <w:color w:val="000000"/>
          <w:sz w:val="22"/>
          <w:szCs w:val="24"/>
        </w:rPr>
        <w:t xml:space="preserve"> </w:t>
      </w:r>
      <w:proofErr w:type="spellStart"/>
      <w:r w:rsidRPr="00FD222B">
        <w:rPr>
          <w:color w:val="000000"/>
          <w:sz w:val="22"/>
          <w:szCs w:val="24"/>
        </w:rPr>
        <w:t>Camtek</w:t>
      </w:r>
      <w:proofErr w:type="spellEnd"/>
      <w:r w:rsidRPr="00FD222B">
        <w:rPr>
          <w:color w:val="000000"/>
          <w:sz w:val="22"/>
          <w:szCs w:val="24"/>
        </w:rPr>
        <w:t xml:space="preserve"> has elected 2010 as the year of election for a period ending 2021 (collectively, “</w:t>
      </w:r>
      <w:r w:rsidRPr="00FD222B">
        <w:rPr>
          <w:b/>
          <w:color w:val="000000"/>
          <w:sz w:val="22"/>
          <w:szCs w:val="24"/>
        </w:rPr>
        <w:t>Programs</w:t>
      </w:r>
      <w:r w:rsidRPr="00FD222B">
        <w:rPr>
          <w:color w:val="000000"/>
          <w:sz w:val="22"/>
          <w:szCs w:val="24"/>
        </w:rPr>
        <w:t xml:space="preserve">”). </w:t>
      </w:r>
    </w:p>
    <w:bookmarkEnd w:id="0"/>
    <w:bookmarkEnd w:id="1"/>
    <w:bookmarkEnd w:id="2"/>
    <w:p w14:paraId="1B7A9D3C" w14:textId="77777777" w:rsidR="001624CA" w:rsidRPr="00FD222B" w:rsidRDefault="001624CA" w:rsidP="001624CA">
      <w:pPr>
        <w:widowControl w:val="0"/>
        <w:adjustRightInd/>
        <w:ind w:firstLine="550"/>
        <w:jc w:val="both"/>
        <w:rPr>
          <w:color w:val="000000"/>
          <w:sz w:val="22"/>
          <w:szCs w:val="24"/>
        </w:rPr>
      </w:pPr>
    </w:p>
    <w:p w14:paraId="49EEC5F6" w14:textId="77777777" w:rsidR="001624CA" w:rsidRPr="00FD222B" w:rsidRDefault="001624CA" w:rsidP="001624CA">
      <w:pPr>
        <w:widowControl w:val="0"/>
        <w:adjustRightInd/>
        <w:spacing w:after="240" w:line="240" w:lineRule="atLeast"/>
        <w:ind w:firstLine="720"/>
        <w:jc w:val="both"/>
        <w:rPr>
          <w:sz w:val="22"/>
          <w:szCs w:val="24"/>
        </w:rPr>
      </w:pPr>
      <w:r w:rsidRPr="00FD222B">
        <w:rPr>
          <w:sz w:val="22"/>
          <w:szCs w:val="24"/>
        </w:rPr>
        <w:t>The Investment Law and the criteria for receiving an “Approved Enterprise” or “Beneficiary Enterprise” status may be amended from time to time and there is no assurance that we will be able to obtain additional benefits under the Investment Law.</w:t>
      </w:r>
    </w:p>
    <w:p w14:paraId="682D4CED" w14:textId="77777777" w:rsidR="001624CA" w:rsidRPr="00FD222B" w:rsidRDefault="001624CA" w:rsidP="001624CA">
      <w:pPr>
        <w:widowControl w:val="0"/>
        <w:adjustRightInd/>
        <w:spacing w:after="240" w:line="240" w:lineRule="atLeast"/>
        <w:ind w:firstLine="720"/>
        <w:jc w:val="both"/>
        <w:rPr>
          <w:sz w:val="22"/>
          <w:szCs w:val="24"/>
        </w:rPr>
      </w:pPr>
      <w:r w:rsidRPr="00FD222B">
        <w:rPr>
          <w:sz w:val="22"/>
          <w:szCs w:val="24"/>
        </w:rPr>
        <w:t>On December 29, 2010, the Investment Law was amended to significantly revise the tax incentive regime in Israel commencing on January 1, 2011 (the “</w:t>
      </w:r>
      <w:r w:rsidRPr="00FD222B">
        <w:rPr>
          <w:b/>
          <w:sz w:val="22"/>
          <w:szCs w:val="24"/>
        </w:rPr>
        <w:t>December 2010 Amendment</w:t>
      </w:r>
      <w:r w:rsidRPr="00FD222B">
        <w:rPr>
          <w:sz w:val="22"/>
          <w:szCs w:val="24"/>
        </w:rPr>
        <w:t xml:space="preserve">”). The December 2010 Amendment introduced a new status of “Preferred Enterprise,” replacing the existing status of “Beneficiary Enterprise.” </w:t>
      </w:r>
      <w:proofErr w:type="gramStart"/>
      <w:r w:rsidRPr="00FD222B">
        <w:rPr>
          <w:sz w:val="22"/>
          <w:szCs w:val="24"/>
        </w:rPr>
        <w:t>Similarly</w:t>
      </w:r>
      <w:proofErr w:type="gramEnd"/>
      <w:r w:rsidRPr="00FD222B">
        <w:rPr>
          <w:sz w:val="22"/>
          <w:szCs w:val="24"/>
        </w:rPr>
        <w:t xml:space="preserve"> to “Beneficiary Enterprise,” a Preferred Enterprise is an industrial company meeting certain conditions, including deriving a minimum of 25% of its income </w:t>
      </w:r>
      <w:r w:rsidRPr="00FD222B">
        <w:rPr>
          <w:sz w:val="22"/>
          <w:szCs w:val="24"/>
        </w:rPr>
        <w:lastRenderedPageBreak/>
        <w:t xml:space="preserve">from export activities. However, under the December 2010 Amendment, the requirement for a minimum investment in production assets </w:t>
      </w:r>
      <w:proofErr w:type="gramStart"/>
      <w:r w:rsidRPr="00FD222B">
        <w:rPr>
          <w:sz w:val="22"/>
          <w:szCs w:val="24"/>
        </w:rPr>
        <w:t>in order to</w:t>
      </w:r>
      <w:proofErr w:type="gramEnd"/>
      <w:r w:rsidRPr="00FD222B">
        <w:rPr>
          <w:sz w:val="22"/>
          <w:szCs w:val="24"/>
        </w:rPr>
        <w:t xml:space="preserve"> be eligible for the benefits granted under the Investments Law was cancelled. A Preferred Enterprise is entitled to a reduced flat tax rate with respect to preferred enterprise income at the following rates:</w:t>
      </w:r>
    </w:p>
    <w:tbl>
      <w:tblPr>
        <w:tblW w:w="4500" w:type="pct"/>
        <w:tblCellSpacing w:w="0" w:type="dxa"/>
        <w:tblInd w:w="30" w:type="dxa"/>
        <w:tblBorders>
          <w:top w:val="single" w:sz="4" w:space="0" w:color="auto"/>
          <w:left w:val="single" w:sz="4" w:space="0" w:color="auto"/>
          <w:bottom w:val="single" w:sz="4" w:space="0" w:color="auto"/>
          <w:right w:val="single" w:sz="4" w:space="0" w:color="auto"/>
        </w:tblBorders>
        <w:tblCellMar>
          <w:left w:w="24" w:type="dxa"/>
          <w:right w:w="24" w:type="dxa"/>
        </w:tblCellMar>
        <w:tblLook w:val="00A0" w:firstRow="1" w:lastRow="0" w:firstColumn="1" w:lastColumn="0" w:noHBand="0" w:noVBand="0"/>
      </w:tblPr>
      <w:tblGrid>
        <w:gridCol w:w="1987"/>
        <w:gridCol w:w="2089"/>
        <w:gridCol w:w="1995"/>
        <w:gridCol w:w="2043"/>
      </w:tblGrid>
      <w:tr w:rsidR="001624CA" w:rsidRPr="00FD222B" w14:paraId="6A7F312D" w14:textId="77777777" w:rsidTr="00B22AEC">
        <w:trPr>
          <w:tblCellSpacing w:w="0" w:type="dxa"/>
        </w:trPr>
        <w:tc>
          <w:tcPr>
            <w:tcW w:w="2242" w:type="dxa"/>
            <w:tcBorders>
              <w:top w:val="single" w:sz="4" w:space="0" w:color="auto"/>
              <w:bottom w:val="single" w:sz="4" w:space="0" w:color="auto"/>
              <w:right w:val="single" w:sz="4" w:space="0" w:color="auto"/>
            </w:tcBorders>
          </w:tcPr>
          <w:p w14:paraId="2CED02C8" w14:textId="77777777" w:rsidR="001624CA" w:rsidRPr="00FD222B" w:rsidRDefault="001624CA" w:rsidP="00B22AEC">
            <w:pPr>
              <w:autoSpaceDE/>
              <w:adjustRightInd/>
              <w:spacing w:line="276" w:lineRule="auto"/>
              <w:jc w:val="both"/>
              <w:rPr>
                <w:sz w:val="22"/>
                <w:szCs w:val="24"/>
              </w:rPr>
            </w:pPr>
            <w:r w:rsidRPr="00FD222B">
              <w:rPr>
                <w:sz w:val="22"/>
                <w:szCs w:val="24"/>
              </w:rPr>
              <w:t>Tax Year</w:t>
            </w:r>
          </w:p>
        </w:tc>
        <w:tc>
          <w:tcPr>
            <w:tcW w:w="2241" w:type="dxa"/>
            <w:tcBorders>
              <w:top w:val="single" w:sz="4" w:space="0" w:color="auto"/>
              <w:left w:val="single" w:sz="4" w:space="0" w:color="auto"/>
              <w:bottom w:val="single" w:sz="4" w:space="0" w:color="auto"/>
              <w:right w:val="single" w:sz="4" w:space="0" w:color="auto"/>
            </w:tcBorders>
          </w:tcPr>
          <w:p w14:paraId="1B906E9A" w14:textId="77777777" w:rsidR="001624CA" w:rsidRPr="00FD222B" w:rsidRDefault="001624CA" w:rsidP="00B22AEC">
            <w:pPr>
              <w:autoSpaceDE/>
              <w:adjustRightInd/>
              <w:spacing w:line="276" w:lineRule="auto"/>
              <w:jc w:val="both"/>
              <w:rPr>
                <w:sz w:val="22"/>
                <w:szCs w:val="24"/>
              </w:rPr>
            </w:pPr>
            <w:r w:rsidRPr="00FD222B">
              <w:rPr>
                <w:sz w:val="22"/>
                <w:szCs w:val="24"/>
              </w:rPr>
              <w:t>Development “Zone A”</w:t>
            </w:r>
          </w:p>
        </w:tc>
        <w:tc>
          <w:tcPr>
            <w:tcW w:w="2241" w:type="dxa"/>
            <w:tcBorders>
              <w:top w:val="single" w:sz="4" w:space="0" w:color="auto"/>
              <w:left w:val="single" w:sz="4" w:space="0" w:color="auto"/>
              <w:bottom w:val="single" w:sz="4" w:space="0" w:color="auto"/>
              <w:right w:val="single" w:sz="4" w:space="0" w:color="auto"/>
            </w:tcBorders>
          </w:tcPr>
          <w:p w14:paraId="0EEFC96A" w14:textId="77777777" w:rsidR="001624CA" w:rsidRPr="00FD222B" w:rsidRDefault="001624CA" w:rsidP="00B22AEC">
            <w:pPr>
              <w:autoSpaceDE/>
              <w:adjustRightInd/>
              <w:spacing w:line="276" w:lineRule="auto"/>
              <w:jc w:val="both"/>
              <w:rPr>
                <w:sz w:val="22"/>
                <w:szCs w:val="24"/>
              </w:rPr>
            </w:pPr>
            <w:r w:rsidRPr="00FD222B">
              <w:rPr>
                <w:sz w:val="22"/>
                <w:szCs w:val="24"/>
              </w:rPr>
              <w:t>Other Areas within Israel</w:t>
            </w:r>
          </w:p>
        </w:tc>
        <w:tc>
          <w:tcPr>
            <w:tcW w:w="2241" w:type="dxa"/>
            <w:tcBorders>
              <w:top w:val="single" w:sz="4" w:space="0" w:color="auto"/>
              <w:left w:val="single" w:sz="4" w:space="0" w:color="auto"/>
              <w:bottom w:val="single" w:sz="4" w:space="0" w:color="auto"/>
            </w:tcBorders>
          </w:tcPr>
          <w:p w14:paraId="200E9537" w14:textId="77777777" w:rsidR="001624CA" w:rsidRPr="00FD222B" w:rsidRDefault="001624CA" w:rsidP="00B22AEC">
            <w:pPr>
              <w:autoSpaceDE/>
              <w:adjustRightInd/>
              <w:spacing w:line="276" w:lineRule="auto"/>
              <w:jc w:val="both"/>
              <w:rPr>
                <w:sz w:val="22"/>
                <w:szCs w:val="24"/>
              </w:rPr>
            </w:pPr>
            <w:r w:rsidRPr="00FD222B">
              <w:rPr>
                <w:sz w:val="22"/>
                <w:szCs w:val="24"/>
              </w:rPr>
              <w:t>Regular Corporate Tax Rate</w:t>
            </w:r>
          </w:p>
        </w:tc>
      </w:tr>
      <w:tr w:rsidR="001624CA" w:rsidRPr="00FD222B" w14:paraId="7AE0DEB3" w14:textId="77777777" w:rsidTr="00B22AEC">
        <w:trPr>
          <w:tblCellSpacing w:w="0" w:type="dxa"/>
        </w:trPr>
        <w:tc>
          <w:tcPr>
            <w:tcW w:w="2242" w:type="dxa"/>
            <w:tcBorders>
              <w:top w:val="single" w:sz="4" w:space="0" w:color="auto"/>
              <w:bottom w:val="single" w:sz="4" w:space="0" w:color="auto"/>
              <w:right w:val="single" w:sz="4" w:space="0" w:color="auto"/>
            </w:tcBorders>
            <w:shd w:val="clear" w:color="000000" w:fill="DAEEF3"/>
          </w:tcPr>
          <w:p w14:paraId="2C8E6F27" w14:textId="77777777" w:rsidR="001624CA" w:rsidRPr="00FD222B" w:rsidRDefault="001624CA" w:rsidP="00B22AEC">
            <w:pPr>
              <w:autoSpaceDE/>
              <w:adjustRightInd/>
              <w:spacing w:line="276" w:lineRule="auto"/>
              <w:jc w:val="both"/>
              <w:rPr>
                <w:sz w:val="22"/>
                <w:szCs w:val="24"/>
              </w:rPr>
            </w:pPr>
            <w:r w:rsidRPr="00FD222B">
              <w:rPr>
                <w:sz w:val="22"/>
                <w:szCs w:val="24"/>
              </w:rPr>
              <w:t>2011-2012</w:t>
            </w:r>
          </w:p>
        </w:tc>
        <w:tc>
          <w:tcPr>
            <w:tcW w:w="2241" w:type="dxa"/>
            <w:tcBorders>
              <w:top w:val="single" w:sz="4" w:space="0" w:color="auto"/>
              <w:left w:val="single" w:sz="4" w:space="0" w:color="auto"/>
              <w:bottom w:val="single" w:sz="4" w:space="0" w:color="auto"/>
              <w:right w:val="single" w:sz="4" w:space="0" w:color="auto"/>
            </w:tcBorders>
            <w:shd w:val="clear" w:color="000000" w:fill="DAEEF3"/>
          </w:tcPr>
          <w:p w14:paraId="6F4B02E8" w14:textId="77777777" w:rsidR="001624CA" w:rsidRPr="00FD222B" w:rsidRDefault="001624CA" w:rsidP="00B22AEC">
            <w:pPr>
              <w:autoSpaceDE/>
              <w:adjustRightInd/>
              <w:spacing w:line="276" w:lineRule="auto"/>
              <w:jc w:val="both"/>
              <w:rPr>
                <w:sz w:val="22"/>
                <w:szCs w:val="24"/>
              </w:rPr>
            </w:pPr>
            <w:r w:rsidRPr="00FD222B">
              <w:rPr>
                <w:sz w:val="22"/>
                <w:szCs w:val="24"/>
              </w:rPr>
              <w:t>10%</w:t>
            </w:r>
          </w:p>
        </w:tc>
        <w:tc>
          <w:tcPr>
            <w:tcW w:w="2241" w:type="dxa"/>
            <w:tcBorders>
              <w:top w:val="single" w:sz="4" w:space="0" w:color="auto"/>
              <w:left w:val="single" w:sz="4" w:space="0" w:color="auto"/>
              <w:bottom w:val="single" w:sz="4" w:space="0" w:color="auto"/>
              <w:right w:val="single" w:sz="4" w:space="0" w:color="auto"/>
            </w:tcBorders>
            <w:shd w:val="clear" w:color="000000" w:fill="DAEEF3"/>
          </w:tcPr>
          <w:p w14:paraId="2BBB7305" w14:textId="77777777" w:rsidR="001624CA" w:rsidRPr="00FD222B" w:rsidRDefault="001624CA" w:rsidP="00B22AEC">
            <w:pPr>
              <w:autoSpaceDE/>
              <w:adjustRightInd/>
              <w:spacing w:line="276" w:lineRule="auto"/>
              <w:jc w:val="both"/>
              <w:rPr>
                <w:sz w:val="22"/>
                <w:szCs w:val="24"/>
              </w:rPr>
            </w:pPr>
            <w:r w:rsidRPr="00FD222B">
              <w:rPr>
                <w:sz w:val="22"/>
                <w:szCs w:val="24"/>
              </w:rPr>
              <w:t>15%</w:t>
            </w:r>
          </w:p>
        </w:tc>
        <w:tc>
          <w:tcPr>
            <w:tcW w:w="2241" w:type="dxa"/>
            <w:tcBorders>
              <w:top w:val="single" w:sz="4" w:space="0" w:color="auto"/>
              <w:left w:val="single" w:sz="4" w:space="0" w:color="auto"/>
              <w:bottom w:val="single" w:sz="4" w:space="0" w:color="auto"/>
            </w:tcBorders>
            <w:shd w:val="clear" w:color="000000" w:fill="DAEEF3"/>
          </w:tcPr>
          <w:p w14:paraId="513860A8" w14:textId="77777777" w:rsidR="001624CA" w:rsidRPr="00FD222B" w:rsidRDefault="001624CA" w:rsidP="00B22AEC">
            <w:pPr>
              <w:autoSpaceDE/>
              <w:adjustRightInd/>
              <w:spacing w:line="276" w:lineRule="auto"/>
              <w:jc w:val="both"/>
              <w:rPr>
                <w:sz w:val="22"/>
                <w:szCs w:val="24"/>
              </w:rPr>
            </w:pPr>
            <w:r w:rsidRPr="00FD222B">
              <w:rPr>
                <w:sz w:val="22"/>
                <w:szCs w:val="24"/>
              </w:rPr>
              <w:t>24%-25%</w:t>
            </w:r>
          </w:p>
        </w:tc>
      </w:tr>
      <w:tr w:rsidR="001624CA" w:rsidRPr="00FD222B" w14:paraId="03715FDD" w14:textId="77777777" w:rsidTr="00B22AEC">
        <w:trPr>
          <w:tblCellSpacing w:w="0" w:type="dxa"/>
        </w:trPr>
        <w:tc>
          <w:tcPr>
            <w:tcW w:w="2242" w:type="dxa"/>
            <w:tcBorders>
              <w:top w:val="single" w:sz="4" w:space="0" w:color="auto"/>
              <w:bottom w:val="single" w:sz="4" w:space="0" w:color="auto"/>
              <w:right w:val="single" w:sz="4" w:space="0" w:color="auto"/>
            </w:tcBorders>
            <w:shd w:val="clear" w:color="000000" w:fill="FFFFFF"/>
          </w:tcPr>
          <w:p w14:paraId="1FCC78C8" w14:textId="77777777" w:rsidR="001624CA" w:rsidRPr="00FD222B" w:rsidRDefault="001624CA" w:rsidP="00B22AEC">
            <w:pPr>
              <w:autoSpaceDE/>
              <w:adjustRightInd/>
              <w:spacing w:line="276" w:lineRule="auto"/>
              <w:jc w:val="both"/>
              <w:rPr>
                <w:sz w:val="22"/>
                <w:szCs w:val="24"/>
              </w:rPr>
            </w:pPr>
            <w:r w:rsidRPr="00FD222B">
              <w:rPr>
                <w:sz w:val="22"/>
                <w:szCs w:val="24"/>
              </w:rPr>
              <w:t>2013</w:t>
            </w:r>
          </w:p>
        </w:tc>
        <w:tc>
          <w:tcPr>
            <w:tcW w:w="2241" w:type="dxa"/>
            <w:tcBorders>
              <w:top w:val="single" w:sz="4" w:space="0" w:color="auto"/>
              <w:left w:val="single" w:sz="4" w:space="0" w:color="auto"/>
              <w:bottom w:val="single" w:sz="4" w:space="0" w:color="auto"/>
              <w:right w:val="single" w:sz="4" w:space="0" w:color="auto"/>
            </w:tcBorders>
            <w:shd w:val="clear" w:color="000000" w:fill="FFFFFF"/>
          </w:tcPr>
          <w:p w14:paraId="02425EF6" w14:textId="77777777" w:rsidR="001624CA" w:rsidRPr="00FD222B" w:rsidRDefault="001624CA" w:rsidP="00B22AEC">
            <w:pPr>
              <w:autoSpaceDE/>
              <w:adjustRightInd/>
              <w:spacing w:line="276" w:lineRule="auto"/>
              <w:jc w:val="both"/>
              <w:rPr>
                <w:sz w:val="22"/>
                <w:szCs w:val="24"/>
              </w:rPr>
            </w:pPr>
            <w:r w:rsidRPr="00FD222B">
              <w:rPr>
                <w:sz w:val="22"/>
                <w:szCs w:val="24"/>
              </w:rPr>
              <w:t>7%</w:t>
            </w:r>
          </w:p>
        </w:tc>
        <w:tc>
          <w:tcPr>
            <w:tcW w:w="2241" w:type="dxa"/>
            <w:tcBorders>
              <w:top w:val="single" w:sz="4" w:space="0" w:color="auto"/>
              <w:left w:val="single" w:sz="4" w:space="0" w:color="auto"/>
              <w:bottom w:val="single" w:sz="4" w:space="0" w:color="auto"/>
              <w:right w:val="single" w:sz="4" w:space="0" w:color="auto"/>
            </w:tcBorders>
            <w:shd w:val="clear" w:color="000000" w:fill="FFFFFF"/>
          </w:tcPr>
          <w:p w14:paraId="4741AFBA" w14:textId="77777777" w:rsidR="001624CA" w:rsidRPr="00FD222B" w:rsidRDefault="001624CA" w:rsidP="00B22AEC">
            <w:pPr>
              <w:autoSpaceDE/>
              <w:adjustRightInd/>
              <w:spacing w:line="276" w:lineRule="auto"/>
              <w:jc w:val="both"/>
              <w:rPr>
                <w:sz w:val="22"/>
                <w:szCs w:val="24"/>
              </w:rPr>
            </w:pPr>
            <w:r w:rsidRPr="00FD222B">
              <w:rPr>
                <w:sz w:val="22"/>
                <w:szCs w:val="24"/>
              </w:rPr>
              <w:t>12.5%</w:t>
            </w:r>
          </w:p>
        </w:tc>
        <w:tc>
          <w:tcPr>
            <w:tcW w:w="2241" w:type="dxa"/>
            <w:tcBorders>
              <w:top w:val="single" w:sz="4" w:space="0" w:color="auto"/>
              <w:left w:val="single" w:sz="4" w:space="0" w:color="auto"/>
              <w:bottom w:val="single" w:sz="4" w:space="0" w:color="auto"/>
            </w:tcBorders>
            <w:shd w:val="clear" w:color="000000" w:fill="FFFFFF"/>
          </w:tcPr>
          <w:p w14:paraId="3DFF3A6E" w14:textId="77777777" w:rsidR="001624CA" w:rsidRPr="00FD222B" w:rsidRDefault="001624CA" w:rsidP="00B22AEC">
            <w:pPr>
              <w:autoSpaceDE/>
              <w:adjustRightInd/>
              <w:spacing w:line="276" w:lineRule="auto"/>
              <w:jc w:val="both"/>
              <w:rPr>
                <w:sz w:val="22"/>
                <w:szCs w:val="24"/>
              </w:rPr>
            </w:pPr>
            <w:r w:rsidRPr="00FD222B">
              <w:rPr>
                <w:sz w:val="22"/>
                <w:szCs w:val="24"/>
              </w:rPr>
              <w:t>25%</w:t>
            </w:r>
          </w:p>
        </w:tc>
      </w:tr>
      <w:tr w:rsidR="001624CA" w:rsidRPr="00FD222B" w14:paraId="7591E5B4" w14:textId="77777777" w:rsidTr="00B22AEC">
        <w:trPr>
          <w:tblCellSpacing w:w="0" w:type="dxa"/>
        </w:trPr>
        <w:tc>
          <w:tcPr>
            <w:tcW w:w="2242" w:type="dxa"/>
            <w:tcBorders>
              <w:top w:val="single" w:sz="4" w:space="0" w:color="auto"/>
              <w:bottom w:val="single" w:sz="4" w:space="0" w:color="auto"/>
              <w:right w:val="single" w:sz="4" w:space="0" w:color="auto"/>
            </w:tcBorders>
            <w:shd w:val="clear" w:color="000000" w:fill="DAEEF3"/>
          </w:tcPr>
          <w:p w14:paraId="2F7742DB" w14:textId="77777777" w:rsidR="001624CA" w:rsidRPr="00FD222B" w:rsidRDefault="001624CA" w:rsidP="00B22AEC">
            <w:pPr>
              <w:autoSpaceDE/>
              <w:adjustRightInd/>
              <w:spacing w:line="276" w:lineRule="auto"/>
              <w:jc w:val="both"/>
              <w:rPr>
                <w:sz w:val="22"/>
                <w:szCs w:val="24"/>
              </w:rPr>
            </w:pPr>
            <w:r w:rsidRPr="00FD222B">
              <w:rPr>
                <w:sz w:val="22"/>
                <w:szCs w:val="24"/>
              </w:rPr>
              <w:t>2014-2015</w:t>
            </w:r>
          </w:p>
        </w:tc>
        <w:tc>
          <w:tcPr>
            <w:tcW w:w="2241" w:type="dxa"/>
            <w:tcBorders>
              <w:top w:val="single" w:sz="4" w:space="0" w:color="auto"/>
              <w:left w:val="single" w:sz="4" w:space="0" w:color="auto"/>
              <w:bottom w:val="single" w:sz="4" w:space="0" w:color="auto"/>
              <w:right w:val="single" w:sz="4" w:space="0" w:color="auto"/>
            </w:tcBorders>
            <w:shd w:val="clear" w:color="000000" w:fill="DAEEF3"/>
          </w:tcPr>
          <w:p w14:paraId="0D4C8D6D" w14:textId="77777777" w:rsidR="001624CA" w:rsidRPr="00FD222B" w:rsidRDefault="001624CA" w:rsidP="00B22AEC">
            <w:pPr>
              <w:autoSpaceDE/>
              <w:adjustRightInd/>
              <w:spacing w:line="276" w:lineRule="auto"/>
              <w:jc w:val="both"/>
              <w:rPr>
                <w:sz w:val="22"/>
                <w:szCs w:val="24"/>
              </w:rPr>
            </w:pPr>
            <w:r w:rsidRPr="00FD222B">
              <w:rPr>
                <w:sz w:val="22"/>
                <w:szCs w:val="24"/>
              </w:rPr>
              <w:t>9%</w:t>
            </w:r>
          </w:p>
        </w:tc>
        <w:tc>
          <w:tcPr>
            <w:tcW w:w="2241" w:type="dxa"/>
            <w:tcBorders>
              <w:top w:val="single" w:sz="4" w:space="0" w:color="auto"/>
              <w:left w:val="single" w:sz="4" w:space="0" w:color="auto"/>
              <w:bottom w:val="single" w:sz="4" w:space="0" w:color="auto"/>
              <w:right w:val="single" w:sz="4" w:space="0" w:color="auto"/>
            </w:tcBorders>
            <w:shd w:val="clear" w:color="000000" w:fill="DAEEF3"/>
          </w:tcPr>
          <w:p w14:paraId="4CDA351C" w14:textId="77777777" w:rsidR="001624CA" w:rsidRPr="00FD222B" w:rsidRDefault="001624CA" w:rsidP="00B22AEC">
            <w:pPr>
              <w:autoSpaceDE/>
              <w:adjustRightInd/>
              <w:spacing w:line="276" w:lineRule="auto"/>
              <w:jc w:val="both"/>
              <w:rPr>
                <w:sz w:val="22"/>
                <w:szCs w:val="24"/>
              </w:rPr>
            </w:pPr>
            <w:r w:rsidRPr="00FD222B">
              <w:rPr>
                <w:sz w:val="22"/>
                <w:szCs w:val="24"/>
              </w:rPr>
              <w:t>16%</w:t>
            </w:r>
          </w:p>
        </w:tc>
        <w:tc>
          <w:tcPr>
            <w:tcW w:w="2241" w:type="dxa"/>
            <w:tcBorders>
              <w:top w:val="single" w:sz="4" w:space="0" w:color="auto"/>
              <w:left w:val="single" w:sz="4" w:space="0" w:color="auto"/>
              <w:bottom w:val="single" w:sz="4" w:space="0" w:color="auto"/>
            </w:tcBorders>
            <w:shd w:val="clear" w:color="000000" w:fill="DAEEF3"/>
          </w:tcPr>
          <w:p w14:paraId="6A345AF2" w14:textId="77777777" w:rsidR="001624CA" w:rsidRPr="00FD222B" w:rsidRDefault="001624CA" w:rsidP="00B22AEC">
            <w:pPr>
              <w:autoSpaceDE/>
              <w:adjustRightInd/>
              <w:spacing w:line="276" w:lineRule="auto"/>
              <w:jc w:val="both"/>
              <w:rPr>
                <w:sz w:val="22"/>
                <w:szCs w:val="24"/>
              </w:rPr>
            </w:pPr>
            <w:r w:rsidRPr="00FD222B">
              <w:rPr>
                <w:sz w:val="22"/>
                <w:szCs w:val="24"/>
              </w:rPr>
              <w:t>26.5%</w:t>
            </w:r>
          </w:p>
        </w:tc>
      </w:tr>
      <w:tr w:rsidR="001624CA" w:rsidRPr="00FD222B" w14:paraId="4EB6545C" w14:textId="77777777" w:rsidTr="00B22AEC">
        <w:trPr>
          <w:tblCellSpacing w:w="0" w:type="dxa"/>
        </w:trPr>
        <w:tc>
          <w:tcPr>
            <w:tcW w:w="2242" w:type="dxa"/>
            <w:tcBorders>
              <w:top w:val="single" w:sz="4" w:space="0" w:color="auto"/>
              <w:bottom w:val="single" w:sz="4" w:space="0" w:color="auto"/>
              <w:right w:val="single" w:sz="4" w:space="0" w:color="auto"/>
            </w:tcBorders>
          </w:tcPr>
          <w:p w14:paraId="79262AE4" w14:textId="77777777" w:rsidR="001624CA" w:rsidRPr="00FD222B" w:rsidRDefault="001624CA" w:rsidP="00B22AEC">
            <w:pPr>
              <w:autoSpaceDE/>
              <w:adjustRightInd/>
              <w:spacing w:line="276" w:lineRule="auto"/>
              <w:jc w:val="both"/>
              <w:rPr>
                <w:sz w:val="22"/>
                <w:szCs w:val="24"/>
              </w:rPr>
            </w:pPr>
            <w:r w:rsidRPr="00FD222B">
              <w:rPr>
                <w:sz w:val="22"/>
                <w:szCs w:val="24"/>
              </w:rPr>
              <w:t>2016</w:t>
            </w:r>
          </w:p>
        </w:tc>
        <w:tc>
          <w:tcPr>
            <w:tcW w:w="2241" w:type="dxa"/>
            <w:tcBorders>
              <w:top w:val="single" w:sz="4" w:space="0" w:color="auto"/>
              <w:left w:val="single" w:sz="4" w:space="0" w:color="auto"/>
              <w:bottom w:val="single" w:sz="4" w:space="0" w:color="auto"/>
              <w:right w:val="single" w:sz="4" w:space="0" w:color="auto"/>
            </w:tcBorders>
          </w:tcPr>
          <w:p w14:paraId="48485A73" w14:textId="77777777" w:rsidR="001624CA" w:rsidRPr="00FD222B" w:rsidRDefault="001624CA" w:rsidP="00B22AEC">
            <w:pPr>
              <w:autoSpaceDE/>
              <w:adjustRightInd/>
              <w:spacing w:line="276" w:lineRule="auto"/>
              <w:jc w:val="both"/>
              <w:rPr>
                <w:sz w:val="22"/>
                <w:szCs w:val="24"/>
              </w:rPr>
            </w:pPr>
            <w:r w:rsidRPr="00FD222B">
              <w:rPr>
                <w:sz w:val="22"/>
                <w:szCs w:val="24"/>
              </w:rPr>
              <w:t>9%</w:t>
            </w:r>
          </w:p>
        </w:tc>
        <w:tc>
          <w:tcPr>
            <w:tcW w:w="2241" w:type="dxa"/>
            <w:tcBorders>
              <w:top w:val="single" w:sz="4" w:space="0" w:color="auto"/>
              <w:left w:val="single" w:sz="4" w:space="0" w:color="auto"/>
              <w:bottom w:val="single" w:sz="4" w:space="0" w:color="auto"/>
              <w:right w:val="single" w:sz="4" w:space="0" w:color="auto"/>
            </w:tcBorders>
          </w:tcPr>
          <w:p w14:paraId="1AC2BDBA" w14:textId="77777777" w:rsidR="001624CA" w:rsidRPr="00FD222B" w:rsidRDefault="001624CA" w:rsidP="00B22AEC">
            <w:pPr>
              <w:autoSpaceDE/>
              <w:adjustRightInd/>
              <w:spacing w:line="276" w:lineRule="auto"/>
              <w:jc w:val="both"/>
              <w:rPr>
                <w:sz w:val="22"/>
                <w:szCs w:val="24"/>
              </w:rPr>
            </w:pPr>
            <w:r w:rsidRPr="00FD222B">
              <w:rPr>
                <w:sz w:val="22"/>
                <w:szCs w:val="24"/>
              </w:rPr>
              <w:t>16%</w:t>
            </w:r>
          </w:p>
        </w:tc>
        <w:tc>
          <w:tcPr>
            <w:tcW w:w="2241" w:type="dxa"/>
            <w:tcBorders>
              <w:top w:val="single" w:sz="4" w:space="0" w:color="auto"/>
              <w:left w:val="single" w:sz="4" w:space="0" w:color="auto"/>
              <w:bottom w:val="single" w:sz="4" w:space="0" w:color="auto"/>
            </w:tcBorders>
          </w:tcPr>
          <w:p w14:paraId="3BF55B24" w14:textId="77777777" w:rsidR="001624CA" w:rsidRPr="00FD222B" w:rsidRDefault="001624CA" w:rsidP="00B22AEC">
            <w:pPr>
              <w:autoSpaceDE/>
              <w:adjustRightInd/>
              <w:spacing w:line="276" w:lineRule="auto"/>
              <w:jc w:val="both"/>
              <w:rPr>
                <w:sz w:val="22"/>
                <w:szCs w:val="24"/>
              </w:rPr>
            </w:pPr>
            <w:r w:rsidRPr="00FD222B">
              <w:rPr>
                <w:sz w:val="22"/>
                <w:szCs w:val="24"/>
              </w:rPr>
              <w:t>25%</w:t>
            </w:r>
          </w:p>
        </w:tc>
      </w:tr>
      <w:tr w:rsidR="001624CA" w:rsidRPr="00FD222B" w14:paraId="1074E543" w14:textId="77777777" w:rsidTr="00B22AEC">
        <w:trPr>
          <w:tblCellSpacing w:w="0" w:type="dxa"/>
        </w:trPr>
        <w:tc>
          <w:tcPr>
            <w:tcW w:w="2242" w:type="dxa"/>
            <w:tcBorders>
              <w:top w:val="single" w:sz="4" w:space="0" w:color="auto"/>
              <w:bottom w:val="single" w:sz="4" w:space="0" w:color="auto"/>
              <w:right w:val="single" w:sz="4" w:space="0" w:color="auto"/>
            </w:tcBorders>
            <w:shd w:val="clear" w:color="000000" w:fill="DAEEF3"/>
          </w:tcPr>
          <w:p w14:paraId="43CF36EC" w14:textId="77777777" w:rsidR="001624CA" w:rsidRPr="00FD222B" w:rsidRDefault="001624CA" w:rsidP="00B22AEC">
            <w:pPr>
              <w:autoSpaceDE/>
              <w:adjustRightInd/>
              <w:spacing w:line="276" w:lineRule="auto"/>
              <w:jc w:val="both"/>
              <w:rPr>
                <w:sz w:val="22"/>
                <w:szCs w:val="22"/>
                <w:rtl/>
              </w:rPr>
            </w:pPr>
            <w:r w:rsidRPr="00FD222B">
              <w:rPr>
                <w:sz w:val="22"/>
                <w:szCs w:val="24"/>
              </w:rPr>
              <w:t>2017</w:t>
            </w:r>
          </w:p>
        </w:tc>
        <w:tc>
          <w:tcPr>
            <w:tcW w:w="2241" w:type="dxa"/>
            <w:tcBorders>
              <w:top w:val="single" w:sz="4" w:space="0" w:color="auto"/>
              <w:left w:val="single" w:sz="4" w:space="0" w:color="auto"/>
              <w:bottom w:val="single" w:sz="4" w:space="0" w:color="auto"/>
              <w:right w:val="single" w:sz="4" w:space="0" w:color="auto"/>
            </w:tcBorders>
            <w:shd w:val="clear" w:color="000000" w:fill="DAEEF3"/>
          </w:tcPr>
          <w:p w14:paraId="7F7ACBFB" w14:textId="77777777" w:rsidR="001624CA" w:rsidRPr="00FD222B" w:rsidRDefault="001624CA" w:rsidP="00B22AEC">
            <w:pPr>
              <w:autoSpaceDE/>
              <w:adjustRightInd/>
              <w:spacing w:line="276" w:lineRule="auto"/>
              <w:jc w:val="both"/>
              <w:rPr>
                <w:sz w:val="22"/>
                <w:szCs w:val="24"/>
              </w:rPr>
            </w:pPr>
            <w:r w:rsidRPr="00FD222B">
              <w:rPr>
                <w:sz w:val="22"/>
                <w:szCs w:val="24"/>
              </w:rPr>
              <w:t>7.5%</w:t>
            </w:r>
          </w:p>
        </w:tc>
        <w:tc>
          <w:tcPr>
            <w:tcW w:w="2241" w:type="dxa"/>
            <w:tcBorders>
              <w:top w:val="single" w:sz="4" w:space="0" w:color="auto"/>
              <w:left w:val="single" w:sz="4" w:space="0" w:color="auto"/>
              <w:bottom w:val="single" w:sz="4" w:space="0" w:color="auto"/>
              <w:right w:val="single" w:sz="4" w:space="0" w:color="auto"/>
            </w:tcBorders>
            <w:shd w:val="clear" w:color="000000" w:fill="DAEEF3"/>
          </w:tcPr>
          <w:p w14:paraId="24F04AA1" w14:textId="77777777" w:rsidR="001624CA" w:rsidRPr="00FD222B" w:rsidRDefault="001624CA" w:rsidP="00B22AEC">
            <w:pPr>
              <w:autoSpaceDE/>
              <w:adjustRightInd/>
              <w:spacing w:line="276" w:lineRule="auto"/>
              <w:jc w:val="both"/>
              <w:rPr>
                <w:sz w:val="22"/>
                <w:szCs w:val="24"/>
              </w:rPr>
            </w:pPr>
            <w:r w:rsidRPr="00FD222B">
              <w:rPr>
                <w:sz w:val="22"/>
                <w:szCs w:val="24"/>
              </w:rPr>
              <w:t>16%</w:t>
            </w:r>
          </w:p>
        </w:tc>
        <w:tc>
          <w:tcPr>
            <w:tcW w:w="2241" w:type="dxa"/>
            <w:tcBorders>
              <w:top w:val="single" w:sz="4" w:space="0" w:color="auto"/>
              <w:left w:val="single" w:sz="4" w:space="0" w:color="auto"/>
              <w:bottom w:val="single" w:sz="4" w:space="0" w:color="auto"/>
            </w:tcBorders>
            <w:shd w:val="clear" w:color="000000" w:fill="DAEEF3"/>
          </w:tcPr>
          <w:p w14:paraId="316BD270" w14:textId="77777777" w:rsidR="001624CA" w:rsidRPr="00FD222B" w:rsidRDefault="001624CA" w:rsidP="00B22AEC">
            <w:pPr>
              <w:autoSpaceDE/>
              <w:adjustRightInd/>
              <w:spacing w:line="276" w:lineRule="auto"/>
              <w:jc w:val="both"/>
              <w:rPr>
                <w:sz w:val="22"/>
                <w:szCs w:val="24"/>
              </w:rPr>
            </w:pPr>
            <w:r w:rsidRPr="00FD222B">
              <w:rPr>
                <w:sz w:val="22"/>
                <w:szCs w:val="24"/>
              </w:rPr>
              <w:t>24%</w:t>
            </w:r>
          </w:p>
        </w:tc>
      </w:tr>
      <w:tr w:rsidR="001624CA" w:rsidRPr="00FD222B" w14:paraId="1350B810" w14:textId="77777777" w:rsidTr="00B22AEC">
        <w:trPr>
          <w:tblCellSpacing w:w="0" w:type="dxa"/>
        </w:trPr>
        <w:tc>
          <w:tcPr>
            <w:tcW w:w="2242" w:type="dxa"/>
            <w:tcBorders>
              <w:top w:val="single" w:sz="4" w:space="0" w:color="auto"/>
              <w:bottom w:val="single" w:sz="4" w:space="0" w:color="auto"/>
              <w:right w:val="single" w:sz="4" w:space="0" w:color="auto"/>
            </w:tcBorders>
          </w:tcPr>
          <w:p w14:paraId="6F8BF542" w14:textId="77777777" w:rsidR="001624CA" w:rsidRPr="00FD222B" w:rsidRDefault="001624CA" w:rsidP="00B22AEC">
            <w:pPr>
              <w:autoSpaceDE/>
              <w:adjustRightInd/>
              <w:spacing w:line="276" w:lineRule="auto"/>
              <w:jc w:val="both"/>
              <w:rPr>
                <w:sz w:val="22"/>
                <w:szCs w:val="24"/>
              </w:rPr>
            </w:pPr>
            <w:r w:rsidRPr="00FD222B">
              <w:rPr>
                <w:sz w:val="22"/>
                <w:szCs w:val="24"/>
              </w:rPr>
              <w:t>201</w:t>
            </w:r>
            <w:r w:rsidRPr="00FD222B">
              <w:rPr>
                <w:sz w:val="22"/>
                <w:szCs w:val="22"/>
                <w:rtl/>
              </w:rPr>
              <w:t>8</w:t>
            </w:r>
          </w:p>
        </w:tc>
        <w:tc>
          <w:tcPr>
            <w:tcW w:w="2241" w:type="dxa"/>
            <w:tcBorders>
              <w:top w:val="single" w:sz="4" w:space="0" w:color="auto"/>
              <w:left w:val="single" w:sz="4" w:space="0" w:color="auto"/>
              <w:bottom w:val="single" w:sz="4" w:space="0" w:color="auto"/>
              <w:right w:val="single" w:sz="4" w:space="0" w:color="auto"/>
            </w:tcBorders>
          </w:tcPr>
          <w:p w14:paraId="674CCE79" w14:textId="77777777" w:rsidR="001624CA" w:rsidRPr="00FD222B" w:rsidRDefault="001624CA" w:rsidP="00B22AEC">
            <w:pPr>
              <w:autoSpaceDE/>
              <w:adjustRightInd/>
              <w:spacing w:line="276" w:lineRule="auto"/>
              <w:jc w:val="both"/>
              <w:rPr>
                <w:sz w:val="22"/>
                <w:szCs w:val="24"/>
              </w:rPr>
            </w:pPr>
            <w:r w:rsidRPr="00FD222B">
              <w:rPr>
                <w:sz w:val="22"/>
                <w:szCs w:val="22"/>
                <w:rtl/>
              </w:rPr>
              <w:t>7.5</w:t>
            </w:r>
            <w:r w:rsidRPr="00FD222B">
              <w:rPr>
                <w:sz w:val="22"/>
                <w:szCs w:val="24"/>
              </w:rPr>
              <w:t>%</w:t>
            </w:r>
          </w:p>
        </w:tc>
        <w:tc>
          <w:tcPr>
            <w:tcW w:w="2241" w:type="dxa"/>
            <w:tcBorders>
              <w:top w:val="single" w:sz="4" w:space="0" w:color="auto"/>
              <w:left w:val="single" w:sz="4" w:space="0" w:color="auto"/>
              <w:bottom w:val="single" w:sz="4" w:space="0" w:color="auto"/>
              <w:right w:val="single" w:sz="4" w:space="0" w:color="auto"/>
            </w:tcBorders>
          </w:tcPr>
          <w:p w14:paraId="0899EE92" w14:textId="77777777" w:rsidR="001624CA" w:rsidRPr="00FD222B" w:rsidRDefault="001624CA" w:rsidP="00B22AEC">
            <w:pPr>
              <w:autoSpaceDE/>
              <w:adjustRightInd/>
              <w:spacing w:line="276" w:lineRule="auto"/>
              <w:jc w:val="both"/>
              <w:rPr>
                <w:sz w:val="22"/>
                <w:szCs w:val="24"/>
              </w:rPr>
            </w:pPr>
            <w:r w:rsidRPr="00FD222B">
              <w:rPr>
                <w:sz w:val="22"/>
                <w:szCs w:val="24"/>
              </w:rPr>
              <w:t>16%</w:t>
            </w:r>
          </w:p>
        </w:tc>
        <w:tc>
          <w:tcPr>
            <w:tcW w:w="2241" w:type="dxa"/>
            <w:tcBorders>
              <w:top w:val="single" w:sz="4" w:space="0" w:color="auto"/>
              <w:left w:val="single" w:sz="4" w:space="0" w:color="auto"/>
              <w:bottom w:val="single" w:sz="4" w:space="0" w:color="auto"/>
            </w:tcBorders>
          </w:tcPr>
          <w:p w14:paraId="14621F20" w14:textId="77777777" w:rsidR="001624CA" w:rsidRPr="00FD222B" w:rsidRDefault="001624CA" w:rsidP="00B22AEC">
            <w:pPr>
              <w:autoSpaceDE/>
              <w:adjustRightInd/>
              <w:spacing w:line="276" w:lineRule="auto"/>
              <w:jc w:val="both"/>
              <w:rPr>
                <w:sz w:val="22"/>
                <w:szCs w:val="24"/>
              </w:rPr>
            </w:pPr>
            <w:r w:rsidRPr="00FD222B">
              <w:rPr>
                <w:sz w:val="22"/>
                <w:szCs w:val="24"/>
              </w:rPr>
              <w:t>2</w:t>
            </w:r>
            <w:r w:rsidRPr="00FD222B">
              <w:rPr>
                <w:sz w:val="22"/>
                <w:szCs w:val="22"/>
                <w:rtl/>
              </w:rPr>
              <w:t>3</w:t>
            </w:r>
            <w:r w:rsidRPr="00FD222B">
              <w:rPr>
                <w:sz w:val="22"/>
                <w:szCs w:val="24"/>
              </w:rPr>
              <w:t>%</w:t>
            </w:r>
          </w:p>
        </w:tc>
      </w:tr>
      <w:tr w:rsidR="001624CA" w:rsidRPr="00FD222B" w14:paraId="2FCFB99D" w14:textId="77777777" w:rsidTr="00B22AEC">
        <w:trPr>
          <w:trHeight w:val="160"/>
          <w:tblCellSpacing w:w="0" w:type="dxa"/>
        </w:trPr>
        <w:tc>
          <w:tcPr>
            <w:tcW w:w="2242" w:type="dxa"/>
            <w:tcBorders>
              <w:top w:val="single" w:sz="4" w:space="0" w:color="auto"/>
              <w:bottom w:val="single" w:sz="4" w:space="0" w:color="auto"/>
              <w:right w:val="single" w:sz="4" w:space="0" w:color="auto"/>
            </w:tcBorders>
            <w:shd w:val="clear" w:color="000000" w:fill="DAEEF3"/>
          </w:tcPr>
          <w:p w14:paraId="1AB20273" w14:textId="77777777" w:rsidR="001624CA" w:rsidRPr="00FD222B" w:rsidRDefault="001624CA" w:rsidP="00B22AEC">
            <w:pPr>
              <w:autoSpaceDE/>
              <w:adjustRightInd/>
              <w:spacing w:line="276" w:lineRule="auto"/>
              <w:jc w:val="both"/>
              <w:rPr>
                <w:sz w:val="22"/>
                <w:szCs w:val="24"/>
              </w:rPr>
            </w:pPr>
            <w:r w:rsidRPr="00FD222B">
              <w:rPr>
                <w:sz w:val="22"/>
                <w:szCs w:val="22"/>
                <w:rtl/>
              </w:rPr>
              <w:t>2019</w:t>
            </w:r>
          </w:p>
        </w:tc>
        <w:tc>
          <w:tcPr>
            <w:tcW w:w="2241" w:type="dxa"/>
            <w:tcBorders>
              <w:top w:val="single" w:sz="4" w:space="0" w:color="auto"/>
              <w:left w:val="single" w:sz="4" w:space="0" w:color="auto"/>
              <w:bottom w:val="single" w:sz="4" w:space="0" w:color="auto"/>
              <w:right w:val="single" w:sz="4" w:space="0" w:color="auto"/>
            </w:tcBorders>
            <w:shd w:val="clear" w:color="000000" w:fill="DAEEF3"/>
          </w:tcPr>
          <w:p w14:paraId="3A14B7F1" w14:textId="77777777" w:rsidR="001624CA" w:rsidRPr="00FD222B" w:rsidRDefault="001624CA" w:rsidP="00B22AEC">
            <w:pPr>
              <w:autoSpaceDE/>
              <w:adjustRightInd/>
              <w:spacing w:line="276" w:lineRule="auto"/>
              <w:jc w:val="both"/>
              <w:rPr>
                <w:sz w:val="22"/>
                <w:szCs w:val="22"/>
                <w:rtl/>
              </w:rPr>
            </w:pPr>
            <w:r w:rsidRPr="00FD222B">
              <w:rPr>
                <w:sz w:val="22"/>
                <w:szCs w:val="24"/>
              </w:rPr>
              <w:t>7.5%</w:t>
            </w:r>
          </w:p>
        </w:tc>
        <w:tc>
          <w:tcPr>
            <w:tcW w:w="2241" w:type="dxa"/>
            <w:tcBorders>
              <w:top w:val="single" w:sz="4" w:space="0" w:color="auto"/>
              <w:left w:val="single" w:sz="4" w:space="0" w:color="auto"/>
              <w:bottom w:val="single" w:sz="4" w:space="0" w:color="auto"/>
              <w:right w:val="single" w:sz="4" w:space="0" w:color="auto"/>
            </w:tcBorders>
            <w:shd w:val="clear" w:color="000000" w:fill="DAEEF3"/>
          </w:tcPr>
          <w:p w14:paraId="47E15AF0" w14:textId="77777777" w:rsidR="001624CA" w:rsidRPr="00FD222B" w:rsidRDefault="001624CA" w:rsidP="00B22AEC">
            <w:pPr>
              <w:autoSpaceDE/>
              <w:adjustRightInd/>
              <w:spacing w:line="276" w:lineRule="auto"/>
              <w:jc w:val="both"/>
              <w:rPr>
                <w:sz w:val="22"/>
                <w:szCs w:val="24"/>
              </w:rPr>
            </w:pPr>
            <w:r w:rsidRPr="00FD222B">
              <w:rPr>
                <w:sz w:val="22"/>
                <w:szCs w:val="24"/>
              </w:rPr>
              <w:t>16%</w:t>
            </w:r>
          </w:p>
        </w:tc>
        <w:tc>
          <w:tcPr>
            <w:tcW w:w="2241" w:type="dxa"/>
            <w:tcBorders>
              <w:top w:val="single" w:sz="4" w:space="0" w:color="auto"/>
              <w:left w:val="single" w:sz="4" w:space="0" w:color="auto"/>
              <w:bottom w:val="single" w:sz="4" w:space="0" w:color="auto"/>
            </w:tcBorders>
            <w:shd w:val="clear" w:color="000000" w:fill="DAEEF3"/>
          </w:tcPr>
          <w:p w14:paraId="2B6A807B" w14:textId="77777777" w:rsidR="001624CA" w:rsidRPr="00FD222B" w:rsidRDefault="001624CA" w:rsidP="00B22AEC">
            <w:pPr>
              <w:autoSpaceDE/>
              <w:adjustRightInd/>
              <w:spacing w:line="276" w:lineRule="auto"/>
              <w:jc w:val="both"/>
              <w:rPr>
                <w:sz w:val="22"/>
                <w:szCs w:val="24"/>
              </w:rPr>
            </w:pPr>
            <w:r w:rsidRPr="00FD222B">
              <w:rPr>
                <w:sz w:val="22"/>
                <w:szCs w:val="24"/>
              </w:rPr>
              <w:t>23%</w:t>
            </w:r>
          </w:p>
        </w:tc>
      </w:tr>
      <w:tr w:rsidR="001624CA" w:rsidRPr="00FD222B" w14:paraId="4190FEAE" w14:textId="77777777" w:rsidTr="00B22AEC">
        <w:trPr>
          <w:trHeight w:val="160"/>
          <w:tblCellSpacing w:w="0" w:type="dxa"/>
        </w:trPr>
        <w:tc>
          <w:tcPr>
            <w:tcW w:w="2242" w:type="dxa"/>
            <w:tcBorders>
              <w:top w:val="single" w:sz="4" w:space="0" w:color="auto"/>
              <w:bottom w:val="single" w:sz="4" w:space="0" w:color="auto"/>
              <w:right w:val="single" w:sz="4" w:space="0" w:color="auto"/>
            </w:tcBorders>
            <w:shd w:val="clear" w:color="000000" w:fill="FFFFFF"/>
          </w:tcPr>
          <w:p w14:paraId="4F108816" w14:textId="77777777" w:rsidR="001624CA" w:rsidRPr="00FD222B" w:rsidRDefault="001624CA" w:rsidP="00B22AEC">
            <w:pPr>
              <w:autoSpaceDE/>
              <w:adjustRightInd/>
              <w:spacing w:line="276" w:lineRule="auto"/>
              <w:jc w:val="both"/>
              <w:rPr>
                <w:sz w:val="22"/>
                <w:szCs w:val="22"/>
                <w:rtl/>
              </w:rPr>
            </w:pPr>
            <w:r w:rsidRPr="00FD222B">
              <w:rPr>
                <w:sz w:val="22"/>
                <w:szCs w:val="22"/>
                <w:rtl/>
              </w:rPr>
              <w:t>2020</w:t>
            </w:r>
          </w:p>
        </w:tc>
        <w:tc>
          <w:tcPr>
            <w:tcW w:w="2241" w:type="dxa"/>
            <w:tcBorders>
              <w:top w:val="single" w:sz="4" w:space="0" w:color="auto"/>
              <w:left w:val="single" w:sz="4" w:space="0" w:color="auto"/>
              <w:bottom w:val="single" w:sz="4" w:space="0" w:color="auto"/>
              <w:right w:val="single" w:sz="4" w:space="0" w:color="auto"/>
            </w:tcBorders>
            <w:shd w:val="clear" w:color="000000" w:fill="FFFFFF"/>
          </w:tcPr>
          <w:p w14:paraId="48419BD8" w14:textId="77777777" w:rsidR="001624CA" w:rsidRPr="00FD222B" w:rsidRDefault="001624CA" w:rsidP="00B22AEC">
            <w:pPr>
              <w:autoSpaceDE/>
              <w:adjustRightInd/>
              <w:spacing w:line="276" w:lineRule="auto"/>
              <w:jc w:val="both"/>
              <w:rPr>
                <w:sz w:val="22"/>
                <w:szCs w:val="24"/>
              </w:rPr>
            </w:pPr>
            <w:r w:rsidRPr="00FD222B">
              <w:rPr>
                <w:sz w:val="22"/>
                <w:szCs w:val="24"/>
              </w:rPr>
              <w:t>7.5%</w:t>
            </w:r>
          </w:p>
        </w:tc>
        <w:tc>
          <w:tcPr>
            <w:tcW w:w="2241" w:type="dxa"/>
            <w:tcBorders>
              <w:top w:val="single" w:sz="4" w:space="0" w:color="auto"/>
              <w:left w:val="single" w:sz="4" w:space="0" w:color="auto"/>
              <w:bottom w:val="single" w:sz="4" w:space="0" w:color="auto"/>
              <w:right w:val="single" w:sz="4" w:space="0" w:color="auto"/>
            </w:tcBorders>
            <w:shd w:val="clear" w:color="000000" w:fill="FFFFFF"/>
          </w:tcPr>
          <w:p w14:paraId="18047DDF" w14:textId="77777777" w:rsidR="001624CA" w:rsidRPr="00FD222B" w:rsidRDefault="001624CA" w:rsidP="00B22AEC">
            <w:pPr>
              <w:autoSpaceDE/>
              <w:adjustRightInd/>
              <w:spacing w:line="276" w:lineRule="auto"/>
              <w:jc w:val="both"/>
              <w:rPr>
                <w:sz w:val="22"/>
                <w:szCs w:val="24"/>
              </w:rPr>
            </w:pPr>
            <w:r w:rsidRPr="00FD222B">
              <w:rPr>
                <w:sz w:val="22"/>
                <w:szCs w:val="24"/>
              </w:rPr>
              <w:t>16%</w:t>
            </w:r>
          </w:p>
        </w:tc>
        <w:tc>
          <w:tcPr>
            <w:tcW w:w="2241" w:type="dxa"/>
            <w:tcBorders>
              <w:top w:val="single" w:sz="4" w:space="0" w:color="auto"/>
              <w:left w:val="single" w:sz="4" w:space="0" w:color="auto"/>
              <w:bottom w:val="single" w:sz="4" w:space="0" w:color="auto"/>
            </w:tcBorders>
            <w:shd w:val="clear" w:color="000000" w:fill="FFFFFF"/>
          </w:tcPr>
          <w:p w14:paraId="7F5D83AA" w14:textId="77777777" w:rsidR="001624CA" w:rsidRPr="00FD222B" w:rsidRDefault="001624CA" w:rsidP="00B22AEC">
            <w:pPr>
              <w:autoSpaceDE/>
              <w:adjustRightInd/>
              <w:spacing w:line="276" w:lineRule="auto"/>
              <w:jc w:val="both"/>
              <w:rPr>
                <w:sz w:val="22"/>
                <w:szCs w:val="24"/>
              </w:rPr>
            </w:pPr>
            <w:r w:rsidRPr="00FD222B">
              <w:rPr>
                <w:sz w:val="22"/>
                <w:szCs w:val="24"/>
              </w:rPr>
              <w:t>23%</w:t>
            </w:r>
          </w:p>
        </w:tc>
      </w:tr>
    </w:tbl>
    <w:p w14:paraId="72871EAB" w14:textId="77777777" w:rsidR="001624CA" w:rsidRPr="00FD222B" w:rsidRDefault="001624CA" w:rsidP="001624CA">
      <w:pPr>
        <w:autoSpaceDE/>
        <w:adjustRightInd/>
        <w:jc w:val="both"/>
        <w:rPr>
          <w:szCs w:val="24"/>
        </w:rPr>
      </w:pPr>
      <w:r w:rsidRPr="00FD222B">
        <w:rPr>
          <w:szCs w:val="24"/>
        </w:rPr>
        <w:t> </w:t>
      </w:r>
    </w:p>
    <w:p w14:paraId="44B06E92" w14:textId="77777777" w:rsidR="001624CA" w:rsidRPr="00FD222B" w:rsidRDefault="001624CA" w:rsidP="001624CA">
      <w:pPr>
        <w:widowControl w:val="0"/>
        <w:adjustRightInd/>
        <w:spacing w:after="240" w:line="240" w:lineRule="atLeast"/>
        <w:ind w:firstLine="720"/>
        <w:jc w:val="both"/>
        <w:rPr>
          <w:sz w:val="22"/>
          <w:szCs w:val="24"/>
        </w:rPr>
      </w:pPr>
      <w:r w:rsidRPr="00FD222B">
        <w:rPr>
          <w:sz w:val="22"/>
          <w:szCs w:val="24"/>
        </w:rPr>
        <w:t>Dividends distributed from income which is attributed to “Preferred Enterprise” will be subject to withholding tax at source at the following rates: (</w:t>
      </w:r>
      <w:proofErr w:type="spellStart"/>
      <w:r w:rsidRPr="00FD222B">
        <w:rPr>
          <w:sz w:val="22"/>
          <w:szCs w:val="24"/>
        </w:rPr>
        <w:t>i</w:t>
      </w:r>
      <w:proofErr w:type="spellEnd"/>
      <w:r w:rsidRPr="00FD222B">
        <w:rPr>
          <w:sz w:val="22"/>
          <w:szCs w:val="24"/>
        </w:rPr>
        <w:t>) Israeli resident corporation at 0%; (ii) Israeli resident individual at 20%; and (iii) non-Israeli resident at 20%, such withholding</w:t>
      </w:r>
      <w:r>
        <w:rPr>
          <w:sz w:val="22"/>
          <w:szCs w:val="24"/>
        </w:rPr>
        <w:t xml:space="preserve"> tax</w:t>
      </w:r>
      <w:r w:rsidRPr="00FD222B">
        <w:rPr>
          <w:sz w:val="22"/>
          <w:szCs w:val="24"/>
        </w:rPr>
        <w:t xml:space="preserve"> rate can be reduced subject to a reduced tax rate under the provisions of an applicable double tax treaty.</w:t>
      </w:r>
    </w:p>
    <w:p w14:paraId="3F8EB8F8" w14:textId="77777777" w:rsidR="001624CA" w:rsidRPr="00FD222B" w:rsidRDefault="001624CA" w:rsidP="001624CA">
      <w:pPr>
        <w:widowControl w:val="0"/>
        <w:adjustRightInd/>
        <w:spacing w:after="240" w:line="240" w:lineRule="atLeast"/>
        <w:ind w:firstLine="720"/>
        <w:jc w:val="both"/>
        <w:rPr>
          <w:sz w:val="22"/>
          <w:szCs w:val="24"/>
        </w:rPr>
      </w:pPr>
      <w:r w:rsidRPr="00FD222B">
        <w:rPr>
          <w:sz w:val="22"/>
          <w:szCs w:val="24"/>
        </w:rPr>
        <w:t>The December 2010 Amendment was also revised to allow financial assistance to companies located in development Zone A to be granted not only as a cash grant but also as a loan. The rates for grants and loans could be up to 20% of the amount of the approved investment.</w:t>
      </w:r>
    </w:p>
    <w:p w14:paraId="615AEB71" w14:textId="77777777" w:rsidR="001624CA" w:rsidRPr="00FD222B" w:rsidRDefault="001624CA" w:rsidP="001624CA">
      <w:pPr>
        <w:widowControl w:val="0"/>
        <w:adjustRightInd/>
        <w:spacing w:after="240" w:line="240" w:lineRule="atLeast"/>
        <w:ind w:firstLine="720"/>
        <w:jc w:val="both"/>
        <w:rPr>
          <w:sz w:val="22"/>
          <w:szCs w:val="24"/>
        </w:rPr>
      </w:pPr>
      <w:r w:rsidRPr="00FD222B">
        <w:rPr>
          <w:sz w:val="22"/>
          <w:szCs w:val="24"/>
        </w:rPr>
        <w:t xml:space="preserve">In </w:t>
      </w:r>
      <w:proofErr w:type="gramStart"/>
      <w:r w:rsidRPr="00FD222B">
        <w:rPr>
          <w:sz w:val="22"/>
          <w:szCs w:val="24"/>
        </w:rPr>
        <w:t>December,</w:t>
      </w:r>
      <w:proofErr w:type="gramEnd"/>
      <w:r w:rsidRPr="00FD222B">
        <w:rPr>
          <w:sz w:val="22"/>
          <w:szCs w:val="24"/>
        </w:rPr>
        <w:t xml:space="preserve"> 2016, the Economic Efficiency Law (Legislative Amendments for Applying the Economic Policy for the 2017 and 2018 Budget Years), 2016 which includes Amendment 73 to the Investment Law (the “December 2016 Amendment”) was published. The investment law was amended to introduce a new tax incentive regime for intellectual property (IP) based companies. Effective January 1, 2017, the December 2016 Amendment enhanced tax incentives for certain industrial companies by reducing the corporate tax rate and tax withholding obligation. </w:t>
      </w:r>
    </w:p>
    <w:p w14:paraId="780736B9" w14:textId="77777777" w:rsidR="001624CA" w:rsidRPr="00FD222B" w:rsidRDefault="001624CA" w:rsidP="001624CA">
      <w:pPr>
        <w:widowControl w:val="0"/>
        <w:shd w:val="clear" w:color="auto" w:fill="FFFFFF"/>
        <w:adjustRightInd/>
        <w:spacing w:after="120"/>
        <w:ind w:firstLine="720"/>
        <w:jc w:val="both"/>
        <w:rPr>
          <w:sz w:val="22"/>
          <w:szCs w:val="24"/>
          <w:shd w:val="clear" w:color="auto" w:fill="FFFFFF"/>
        </w:rPr>
      </w:pPr>
      <w:r w:rsidRPr="00FD222B">
        <w:rPr>
          <w:sz w:val="22"/>
          <w:szCs w:val="24"/>
          <w:shd w:val="clear" w:color="auto" w:fill="FFFFFF"/>
        </w:rPr>
        <w:t xml:space="preserve">According to the December 2016 Amendment, a Preferred Enterprise located in development Zone A will be subject to a tax rate of 7.5% instead of 9% effective from January 1, 2017 and thereafter (the tax rate applicable to preferred enterprises located in other areas remains at 16%). The December 2016 Amendment also prescribes special tax tracks for Technological Enterprises, which are subject to regulation issued by the Minister of Finance on May 28, 2017. </w:t>
      </w:r>
    </w:p>
    <w:p w14:paraId="47CB4DE5" w14:textId="77777777" w:rsidR="001624CA" w:rsidRPr="00FD222B" w:rsidRDefault="001624CA" w:rsidP="001624CA">
      <w:pPr>
        <w:widowControl w:val="0"/>
        <w:shd w:val="clear" w:color="auto" w:fill="FFFFFF"/>
        <w:adjustRightInd/>
        <w:spacing w:after="120"/>
        <w:ind w:firstLine="720"/>
        <w:jc w:val="both"/>
        <w:rPr>
          <w:sz w:val="22"/>
          <w:szCs w:val="22"/>
        </w:rPr>
      </w:pPr>
      <w:r w:rsidRPr="00FD222B">
        <w:rPr>
          <w:sz w:val="22"/>
          <w:szCs w:val="22"/>
        </w:rPr>
        <w:t xml:space="preserve">In 2019 the Company filed a notice to the Israeli Tax Authorities regarding the implementation of the Preferred Enterprise for its 2019 preferred income (instead of a Beneficiary Enterprise). As the Company </w:t>
      </w:r>
      <w:proofErr w:type="gramStart"/>
      <w:r w:rsidRPr="00FD222B">
        <w:rPr>
          <w:sz w:val="22"/>
          <w:szCs w:val="22"/>
        </w:rPr>
        <w:t>is located in</w:t>
      </w:r>
      <w:proofErr w:type="gramEnd"/>
      <w:r w:rsidRPr="00FD222B">
        <w:rPr>
          <w:sz w:val="22"/>
          <w:szCs w:val="22"/>
        </w:rPr>
        <w:t xml:space="preserve"> Development Area A, the applied corporate tax rate is 7.5%.</w:t>
      </w:r>
    </w:p>
    <w:p w14:paraId="5D78193D" w14:textId="77777777" w:rsidR="001624CA" w:rsidRPr="00FD222B" w:rsidRDefault="001624CA" w:rsidP="001624CA">
      <w:pPr>
        <w:widowControl w:val="0"/>
        <w:shd w:val="clear" w:color="auto" w:fill="FFFFFF"/>
        <w:adjustRightInd/>
        <w:spacing w:after="120"/>
        <w:ind w:firstLine="720"/>
        <w:jc w:val="both"/>
        <w:rPr>
          <w:sz w:val="22"/>
          <w:szCs w:val="24"/>
          <w:shd w:val="clear" w:color="auto" w:fill="FFFFFF"/>
        </w:rPr>
      </w:pPr>
    </w:p>
    <w:p w14:paraId="636D2B33" w14:textId="77777777" w:rsidR="001624CA" w:rsidRPr="00FD222B" w:rsidRDefault="001624CA" w:rsidP="001624CA">
      <w:pPr>
        <w:widowControl w:val="0"/>
        <w:shd w:val="clear" w:color="auto" w:fill="FFFFFF"/>
        <w:adjustRightInd/>
        <w:spacing w:after="120"/>
        <w:ind w:firstLine="720"/>
        <w:jc w:val="both"/>
        <w:rPr>
          <w:rFonts w:ascii="David" w:hAnsi="David" w:cs="David"/>
          <w:sz w:val="22"/>
          <w:szCs w:val="22"/>
          <w:shd w:val="clear" w:color="auto" w:fill="FFFFFF"/>
          <w:rtl/>
        </w:rPr>
      </w:pPr>
      <w:r w:rsidRPr="00FD222B">
        <w:rPr>
          <w:sz w:val="22"/>
          <w:szCs w:val="24"/>
          <w:shd w:val="clear" w:color="auto" w:fill="FFFFFF"/>
        </w:rPr>
        <w:t>The new tax tracks under the December 2016 Amendment are as follows:</w:t>
      </w:r>
    </w:p>
    <w:p w14:paraId="6E1F2EE6" w14:textId="77777777" w:rsidR="001624CA" w:rsidRPr="00FD222B" w:rsidRDefault="001624CA" w:rsidP="001624CA">
      <w:pPr>
        <w:widowControl w:val="0"/>
        <w:shd w:val="clear" w:color="auto" w:fill="FFFFFF"/>
        <w:adjustRightInd/>
        <w:spacing w:after="120"/>
        <w:ind w:firstLine="720"/>
        <w:jc w:val="both"/>
        <w:rPr>
          <w:sz w:val="22"/>
          <w:szCs w:val="24"/>
          <w:shd w:val="clear" w:color="auto" w:fill="FFFFFF"/>
        </w:rPr>
      </w:pPr>
      <w:r w:rsidRPr="00FD222B">
        <w:rPr>
          <w:sz w:val="22"/>
          <w:szCs w:val="24"/>
          <w:shd w:val="clear" w:color="auto" w:fill="FFFFFF"/>
        </w:rPr>
        <w:t>Preferred Technological Enterprise - an enterprise for which total consolidated revenues of its parent company and all subsidiaries are less than NIS 10 billion. A</w:t>
      </w:r>
      <w:r w:rsidRPr="00EC6B49">
        <w:rPr>
          <w:sz w:val="22"/>
          <w:szCs w:val="24"/>
          <w:shd w:val="clear" w:color="auto" w:fill="FFFFFF"/>
        </w:rPr>
        <w:t xml:space="preserve"> </w:t>
      </w:r>
      <w:r w:rsidRPr="00FD222B">
        <w:rPr>
          <w:sz w:val="22"/>
          <w:szCs w:val="24"/>
          <w:shd w:val="clear" w:color="auto" w:fill="FFFFFF"/>
        </w:rPr>
        <w:t xml:space="preserve">Preferred Technological Enterprise, as defined in the Law, which </w:t>
      </w:r>
      <w:proofErr w:type="gramStart"/>
      <w:r w:rsidRPr="00FD222B">
        <w:rPr>
          <w:sz w:val="22"/>
          <w:szCs w:val="24"/>
          <w:shd w:val="clear" w:color="auto" w:fill="FFFFFF"/>
        </w:rPr>
        <w:t>is located in</w:t>
      </w:r>
      <w:proofErr w:type="gramEnd"/>
      <w:r w:rsidRPr="00FD222B">
        <w:rPr>
          <w:sz w:val="22"/>
          <w:szCs w:val="24"/>
          <w:shd w:val="clear" w:color="auto" w:fill="FFFFFF"/>
        </w:rPr>
        <w:t xml:space="preserve"> the center of Israel will be subject to tax at a rate of 12% on profits deriving from intellectual property (in development zone A - a tax rate of 7.5%).</w:t>
      </w:r>
    </w:p>
    <w:p w14:paraId="3D57128F" w14:textId="77777777" w:rsidR="001624CA" w:rsidRPr="00FD222B" w:rsidRDefault="001624CA" w:rsidP="001624CA">
      <w:pPr>
        <w:widowControl w:val="0"/>
        <w:shd w:val="clear" w:color="auto" w:fill="FFFFFF"/>
        <w:adjustRightInd/>
        <w:spacing w:after="120"/>
        <w:ind w:firstLine="720"/>
        <w:jc w:val="both"/>
        <w:rPr>
          <w:sz w:val="22"/>
          <w:szCs w:val="24"/>
          <w:shd w:val="clear" w:color="auto" w:fill="FFFFFF"/>
        </w:rPr>
      </w:pPr>
      <w:r w:rsidRPr="00FD222B">
        <w:rPr>
          <w:sz w:val="22"/>
          <w:szCs w:val="24"/>
          <w:shd w:val="clear" w:color="auto" w:fill="FFFFFF"/>
        </w:rPr>
        <w:t>Special</w:t>
      </w:r>
      <w:r w:rsidRPr="00EC6B49">
        <w:rPr>
          <w:sz w:val="22"/>
          <w:szCs w:val="24"/>
          <w:shd w:val="clear" w:color="auto" w:fill="FFFFFF"/>
        </w:rPr>
        <w:t xml:space="preserve"> </w:t>
      </w:r>
      <w:r w:rsidRPr="00FD222B">
        <w:rPr>
          <w:sz w:val="22"/>
          <w:szCs w:val="24"/>
          <w:shd w:val="clear" w:color="auto" w:fill="FFFFFF"/>
        </w:rPr>
        <w:t>Preferred Technological Enterprise - an enterprise for which total consolidated revenues of its parent company and all subsidiaries exceed NIS 10 billion. Such enterprise will be subject to tax at a rate of 6% on profits deriving from intellectual property, regardless of the enterprise’s geographical location.</w:t>
      </w:r>
    </w:p>
    <w:p w14:paraId="506FCC18" w14:textId="77777777" w:rsidR="001624CA" w:rsidRPr="00FD222B" w:rsidRDefault="001624CA" w:rsidP="001624CA">
      <w:pPr>
        <w:autoSpaceDE/>
        <w:bidi/>
        <w:adjustRightInd/>
        <w:jc w:val="right"/>
        <w:rPr>
          <w:sz w:val="22"/>
          <w:szCs w:val="24"/>
        </w:rPr>
      </w:pPr>
      <w:r w:rsidRPr="00FD222B">
        <w:rPr>
          <w:sz w:val="22"/>
          <w:szCs w:val="24"/>
        </w:rPr>
        <w:lastRenderedPageBreak/>
        <w:t xml:space="preserve">In summary, as of 2019, the applicable tax rates are as follows: </w:t>
      </w:r>
      <w:r w:rsidRPr="00FD222B">
        <w:rPr>
          <w:sz w:val="22"/>
          <w:szCs w:val="24"/>
        </w:rPr>
        <w:tab/>
      </w:r>
      <w:r w:rsidRPr="00FD222B">
        <w:rPr>
          <w:sz w:val="22"/>
          <w:szCs w:val="24"/>
        </w:rPr>
        <w:tab/>
      </w:r>
    </w:p>
    <w:p w14:paraId="6BF58DE2" w14:textId="77777777" w:rsidR="001624CA" w:rsidRPr="00FD222B" w:rsidRDefault="001624CA" w:rsidP="001624CA">
      <w:pPr>
        <w:autoSpaceDE/>
        <w:bidi/>
        <w:adjustRightInd/>
        <w:jc w:val="right"/>
        <w:rPr>
          <w:rFonts w:ascii="David" w:hAnsi="David" w:cs="David"/>
          <w:sz w:val="22"/>
          <w:szCs w:val="22"/>
          <w:rtl/>
        </w:rPr>
      </w:pPr>
    </w:p>
    <w:tbl>
      <w:tblPr>
        <w:tblW w:w="4946" w:type="pct"/>
        <w:tblCellSpacing w:w="0" w:type="dxa"/>
        <w:tblInd w:w="34" w:type="dxa"/>
        <w:tblBorders>
          <w:top w:val="single" w:sz="4" w:space="0" w:color="auto"/>
          <w:left w:val="single" w:sz="4" w:space="0" w:color="auto"/>
          <w:bottom w:val="single" w:sz="4" w:space="0" w:color="auto"/>
          <w:right w:val="single" w:sz="4" w:space="0" w:color="auto"/>
        </w:tblBorders>
        <w:tblCellMar>
          <w:left w:w="24" w:type="dxa"/>
          <w:right w:w="24" w:type="dxa"/>
        </w:tblCellMar>
        <w:tblLook w:val="00A0" w:firstRow="1" w:lastRow="0" w:firstColumn="1" w:lastColumn="0" w:noHBand="0" w:noVBand="0"/>
      </w:tblPr>
      <w:tblGrid>
        <w:gridCol w:w="4046"/>
        <w:gridCol w:w="1469"/>
        <w:gridCol w:w="1541"/>
        <w:gridCol w:w="1863"/>
      </w:tblGrid>
      <w:tr w:rsidR="001624CA" w:rsidRPr="00FD222B" w14:paraId="5047E96F" w14:textId="77777777" w:rsidTr="00B22AEC">
        <w:trPr>
          <w:tblCellSpacing w:w="0" w:type="dxa"/>
        </w:trPr>
        <w:tc>
          <w:tcPr>
            <w:tcW w:w="4580" w:type="dxa"/>
            <w:tcBorders>
              <w:top w:val="single" w:sz="4" w:space="0" w:color="auto"/>
              <w:bottom w:val="single" w:sz="4" w:space="0" w:color="auto"/>
              <w:right w:val="single" w:sz="4" w:space="0" w:color="auto"/>
            </w:tcBorders>
          </w:tcPr>
          <w:p w14:paraId="4650F6C9" w14:textId="77777777" w:rsidR="001624CA" w:rsidRPr="00FD222B" w:rsidRDefault="001624CA" w:rsidP="00B22AEC">
            <w:pPr>
              <w:autoSpaceDE/>
              <w:adjustRightInd/>
              <w:spacing w:line="276" w:lineRule="auto"/>
              <w:jc w:val="both"/>
              <w:rPr>
                <w:sz w:val="22"/>
                <w:szCs w:val="24"/>
              </w:rPr>
            </w:pPr>
            <w:r w:rsidRPr="00FD222B">
              <w:rPr>
                <w:sz w:val="22"/>
                <w:szCs w:val="24"/>
              </w:rPr>
              <w:t>Enterprise type</w:t>
            </w:r>
          </w:p>
        </w:tc>
        <w:tc>
          <w:tcPr>
            <w:tcW w:w="1511" w:type="dxa"/>
            <w:tcBorders>
              <w:top w:val="single" w:sz="4" w:space="0" w:color="auto"/>
              <w:left w:val="single" w:sz="4" w:space="0" w:color="auto"/>
              <w:bottom w:val="single" w:sz="4" w:space="0" w:color="auto"/>
              <w:right w:val="single" w:sz="4" w:space="0" w:color="auto"/>
            </w:tcBorders>
          </w:tcPr>
          <w:p w14:paraId="2B185536" w14:textId="77777777" w:rsidR="001624CA" w:rsidRPr="00FD222B" w:rsidRDefault="001624CA" w:rsidP="00B22AEC">
            <w:pPr>
              <w:autoSpaceDE/>
              <w:adjustRightInd/>
              <w:spacing w:line="276" w:lineRule="auto"/>
              <w:jc w:val="both"/>
              <w:rPr>
                <w:sz w:val="22"/>
                <w:szCs w:val="24"/>
              </w:rPr>
            </w:pPr>
            <w:r w:rsidRPr="00FD222B">
              <w:rPr>
                <w:sz w:val="22"/>
                <w:szCs w:val="24"/>
              </w:rPr>
              <w:t>Development “Zone A”</w:t>
            </w:r>
          </w:p>
        </w:tc>
        <w:tc>
          <w:tcPr>
            <w:tcW w:w="1720" w:type="dxa"/>
            <w:tcBorders>
              <w:top w:val="single" w:sz="4" w:space="0" w:color="auto"/>
              <w:left w:val="single" w:sz="4" w:space="0" w:color="auto"/>
              <w:bottom w:val="single" w:sz="4" w:space="0" w:color="auto"/>
              <w:right w:val="single" w:sz="4" w:space="0" w:color="auto"/>
            </w:tcBorders>
          </w:tcPr>
          <w:p w14:paraId="5F89CA70" w14:textId="77777777" w:rsidR="001624CA" w:rsidRPr="00FD222B" w:rsidRDefault="001624CA" w:rsidP="00B22AEC">
            <w:pPr>
              <w:autoSpaceDE/>
              <w:adjustRightInd/>
              <w:spacing w:line="276" w:lineRule="auto"/>
              <w:jc w:val="both"/>
              <w:rPr>
                <w:sz w:val="22"/>
                <w:szCs w:val="24"/>
              </w:rPr>
            </w:pPr>
            <w:r w:rsidRPr="00FD222B">
              <w:rPr>
                <w:sz w:val="22"/>
                <w:szCs w:val="24"/>
              </w:rPr>
              <w:t>Other Areas within Israel</w:t>
            </w:r>
          </w:p>
        </w:tc>
        <w:tc>
          <w:tcPr>
            <w:tcW w:w="2042" w:type="dxa"/>
            <w:tcBorders>
              <w:top w:val="single" w:sz="4" w:space="0" w:color="auto"/>
              <w:left w:val="single" w:sz="4" w:space="0" w:color="auto"/>
              <w:bottom w:val="single" w:sz="4" w:space="0" w:color="auto"/>
            </w:tcBorders>
          </w:tcPr>
          <w:p w14:paraId="44281204" w14:textId="77777777" w:rsidR="001624CA" w:rsidRPr="00FD222B" w:rsidRDefault="001624CA" w:rsidP="00B22AEC">
            <w:pPr>
              <w:autoSpaceDE/>
              <w:adjustRightInd/>
              <w:spacing w:line="276" w:lineRule="auto"/>
              <w:jc w:val="both"/>
              <w:rPr>
                <w:sz w:val="22"/>
                <w:szCs w:val="24"/>
              </w:rPr>
            </w:pPr>
            <w:r w:rsidRPr="00FD222B">
              <w:rPr>
                <w:sz w:val="22"/>
                <w:szCs w:val="24"/>
              </w:rPr>
              <w:t>Regular Corporate Tax Rate</w:t>
            </w:r>
          </w:p>
        </w:tc>
      </w:tr>
      <w:tr w:rsidR="001624CA" w:rsidRPr="00FD222B" w14:paraId="5023453B" w14:textId="77777777" w:rsidTr="00B22AEC">
        <w:trPr>
          <w:tblCellSpacing w:w="0" w:type="dxa"/>
        </w:trPr>
        <w:tc>
          <w:tcPr>
            <w:tcW w:w="4580" w:type="dxa"/>
            <w:tcBorders>
              <w:top w:val="single" w:sz="4" w:space="0" w:color="auto"/>
              <w:bottom w:val="single" w:sz="4" w:space="0" w:color="auto"/>
              <w:right w:val="single" w:sz="4" w:space="0" w:color="auto"/>
            </w:tcBorders>
            <w:shd w:val="clear" w:color="000000" w:fill="DAEEF3"/>
          </w:tcPr>
          <w:p w14:paraId="71D33A30" w14:textId="77777777" w:rsidR="001624CA" w:rsidRPr="00FD222B" w:rsidRDefault="001624CA" w:rsidP="00B22AEC">
            <w:pPr>
              <w:autoSpaceDE/>
              <w:adjustRightInd/>
              <w:spacing w:line="276" w:lineRule="auto"/>
              <w:jc w:val="both"/>
              <w:rPr>
                <w:sz w:val="22"/>
                <w:szCs w:val="24"/>
              </w:rPr>
            </w:pPr>
            <w:r w:rsidRPr="00FD222B">
              <w:rPr>
                <w:sz w:val="22"/>
                <w:szCs w:val="24"/>
              </w:rPr>
              <w:t>Preferred Enterprise</w:t>
            </w:r>
          </w:p>
        </w:tc>
        <w:tc>
          <w:tcPr>
            <w:tcW w:w="1511" w:type="dxa"/>
            <w:tcBorders>
              <w:top w:val="single" w:sz="4" w:space="0" w:color="auto"/>
              <w:left w:val="single" w:sz="4" w:space="0" w:color="auto"/>
              <w:bottom w:val="single" w:sz="4" w:space="0" w:color="auto"/>
              <w:right w:val="single" w:sz="4" w:space="0" w:color="auto"/>
            </w:tcBorders>
            <w:shd w:val="clear" w:color="000000" w:fill="DAEEF3"/>
          </w:tcPr>
          <w:p w14:paraId="4F6C2EBC" w14:textId="77777777" w:rsidR="001624CA" w:rsidRPr="00FD222B" w:rsidRDefault="001624CA" w:rsidP="00B22AEC">
            <w:pPr>
              <w:autoSpaceDE/>
              <w:adjustRightInd/>
              <w:spacing w:line="276" w:lineRule="auto"/>
              <w:jc w:val="both"/>
              <w:rPr>
                <w:sz w:val="22"/>
                <w:szCs w:val="24"/>
              </w:rPr>
            </w:pPr>
            <w:r w:rsidRPr="00FD222B">
              <w:rPr>
                <w:sz w:val="22"/>
                <w:szCs w:val="24"/>
              </w:rPr>
              <w:t>7.5%</w:t>
            </w:r>
          </w:p>
        </w:tc>
        <w:tc>
          <w:tcPr>
            <w:tcW w:w="1720" w:type="dxa"/>
            <w:tcBorders>
              <w:top w:val="single" w:sz="4" w:space="0" w:color="auto"/>
              <w:left w:val="single" w:sz="4" w:space="0" w:color="auto"/>
              <w:bottom w:val="single" w:sz="4" w:space="0" w:color="auto"/>
              <w:right w:val="single" w:sz="4" w:space="0" w:color="auto"/>
            </w:tcBorders>
            <w:shd w:val="clear" w:color="000000" w:fill="DAEEF3"/>
          </w:tcPr>
          <w:p w14:paraId="0449C056" w14:textId="77777777" w:rsidR="001624CA" w:rsidRPr="00FD222B" w:rsidRDefault="001624CA" w:rsidP="00B22AEC">
            <w:pPr>
              <w:autoSpaceDE/>
              <w:adjustRightInd/>
              <w:spacing w:line="276" w:lineRule="auto"/>
              <w:jc w:val="both"/>
              <w:rPr>
                <w:sz w:val="22"/>
                <w:szCs w:val="24"/>
              </w:rPr>
            </w:pPr>
            <w:r w:rsidRPr="00FD222B">
              <w:rPr>
                <w:sz w:val="22"/>
                <w:szCs w:val="24"/>
              </w:rPr>
              <w:t>16%</w:t>
            </w:r>
          </w:p>
        </w:tc>
        <w:tc>
          <w:tcPr>
            <w:tcW w:w="2042" w:type="dxa"/>
            <w:tcBorders>
              <w:top w:val="single" w:sz="4" w:space="0" w:color="auto"/>
              <w:left w:val="single" w:sz="4" w:space="0" w:color="auto"/>
              <w:bottom w:val="single" w:sz="4" w:space="0" w:color="auto"/>
            </w:tcBorders>
            <w:shd w:val="clear" w:color="000000" w:fill="DAEEF3"/>
          </w:tcPr>
          <w:p w14:paraId="1C645526" w14:textId="77777777" w:rsidR="001624CA" w:rsidRPr="00FD222B" w:rsidRDefault="001624CA" w:rsidP="00B22AEC">
            <w:pPr>
              <w:autoSpaceDE/>
              <w:adjustRightInd/>
              <w:spacing w:line="276" w:lineRule="auto"/>
              <w:jc w:val="both"/>
              <w:rPr>
                <w:sz w:val="22"/>
                <w:szCs w:val="24"/>
              </w:rPr>
            </w:pPr>
            <w:r w:rsidRPr="00FD222B">
              <w:rPr>
                <w:sz w:val="22"/>
                <w:szCs w:val="24"/>
              </w:rPr>
              <w:t>23%</w:t>
            </w:r>
          </w:p>
        </w:tc>
      </w:tr>
      <w:tr w:rsidR="001624CA" w:rsidRPr="00FD222B" w14:paraId="7B3FA6DC" w14:textId="77777777" w:rsidTr="00B22AEC">
        <w:trPr>
          <w:tblCellSpacing w:w="0" w:type="dxa"/>
        </w:trPr>
        <w:tc>
          <w:tcPr>
            <w:tcW w:w="4580" w:type="dxa"/>
            <w:tcBorders>
              <w:top w:val="single" w:sz="4" w:space="0" w:color="auto"/>
              <w:bottom w:val="single" w:sz="4" w:space="0" w:color="auto"/>
              <w:right w:val="single" w:sz="4" w:space="0" w:color="auto"/>
            </w:tcBorders>
            <w:shd w:val="clear" w:color="000000" w:fill="FFFFFF"/>
          </w:tcPr>
          <w:p w14:paraId="7423CBA3" w14:textId="77777777" w:rsidR="001624CA" w:rsidRPr="00FD222B" w:rsidRDefault="001624CA" w:rsidP="00B22AEC">
            <w:pPr>
              <w:autoSpaceDE/>
              <w:adjustRightInd/>
              <w:spacing w:line="276" w:lineRule="auto"/>
              <w:jc w:val="both"/>
              <w:rPr>
                <w:sz w:val="22"/>
                <w:szCs w:val="24"/>
              </w:rPr>
            </w:pPr>
            <w:r w:rsidRPr="00FD222B">
              <w:rPr>
                <w:sz w:val="22"/>
                <w:szCs w:val="24"/>
              </w:rPr>
              <w:t xml:space="preserve">Special </w:t>
            </w:r>
            <w:r>
              <w:rPr>
                <w:sz w:val="22"/>
                <w:szCs w:val="24"/>
              </w:rPr>
              <w:t>P</w:t>
            </w:r>
            <w:r w:rsidRPr="00FD222B">
              <w:rPr>
                <w:sz w:val="22"/>
                <w:szCs w:val="24"/>
              </w:rPr>
              <w:t>referred Enterprise</w:t>
            </w:r>
          </w:p>
        </w:tc>
        <w:tc>
          <w:tcPr>
            <w:tcW w:w="1511" w:type="dxa"/>
            <w:tcBorders>
              <w:top w:val="single" w:sz="4" w:space="0" w:color="auto"/>
              <w:left w:val="single" w:sz="4" w:space="0" w:color="auto"/>
              <w:bottom w:val="single" w:sz="4" w:space="0" w:color="auto"/>
              <w:right w:val="single" w:sz="4" w:space="0" w:color="auto"/>
            </w:tcBorders>
            <w:shd w:val="clear" w:color="000000" w:fill="FFFFFF"/>
          </w:tcPr>
          <w:p w14:paraId="1C4818F0" w14:textId="77777777" w:rsidR="001624CA" w:rsidRPr="00FD222B" w:rsidRDefault="001624CA" w:rsidP="00B22AEC">
            <w:pPr>
              <w:autoSpaceDE/>
              <w:adjustRightInd/>
              <w:spacing w:line="276" w:lineRule="auto"/>
              <w:jc w:val="both"/>
              <w:rPr>
                <w:sz w:val="22"/>
                <w:szCs w:val="24"/>
              </w:rPr>
            </w:pPr>
            <w:r w:rsidRPr="00FD222B">
              <w:rPr>
                <w:sz w:val="22"/>
                <w:szCs w:val="24"/>
              </w:rPr>
              <w:t>5%</w:t>
            </w:r>
          </w:p>
        </w:tc>
        <w:tc>
          <w:tcPr>
            <w:tcW w:w="1720" w:type="dxa"/>
            <w:tcBorders>
              <w:top w:val="single" w:sz="4" w:space="0" w:color="auto"/>
              <w:left w:val="single" w:sz="4" w:space="0" w:color="auto"/>
              <w:bottom w:val="single" w:sz="4" w:space="0" w:color="auto"/>
              <w:right w:val="single" w:sz="4" w:space="0" w:color="auto"/>
            </w:tcBorders>
            <w:shd w:val="clear" w:color="000000" w:fill="FFFFFF"/>
          </w:tcPr>
          <w:p w14:paraId="14F1783F" w14:textId="77777777" w:rsidR="001624CA" w:rsidRPr="00FD222B" w:rsidRDefault="001624CA" w:rsidP="00B22AEC">
            <w:pPr>
              <w:autoSpaceDE/>
              <w:adjustRightInd/>
              <w:spacing w:line="276" w:lineRule="auto"/>
              <w:jc w:val="both"/>
              <w:rPr>
                <w:sz w:val="22"/>
                <w:szCs w:val="24"/>
              </w:rPr>
            </w:pPr>
            <w:r w:rsidRPr="00FD222B">
              <w:rPr>
                <w:sz w:val="22"/>
                <w:szCs w:val="24"/>
              </w:rPr>
              <w:t>8%</w:t>
            </w:r>
          </w:p>
        </w:tc>
        <w:tc>
          <w:tcPr>
            <w:tcW w:w="2042" w:type="dxa"/>
            <w:tcBorders>
              <w:top w:val="single" w:sz="4" w:space="0" w:color="auto"/>
              <w:left w:val="single" w:sz="4" w:space="0" w:color="auto"/>
              <w:bottom w:val="single" w:sz="4" w:space="0" w:color="auto"/>
            </w:tcBorders>
            <w:shd w:val="clear" w:color="000000" w:fill="FFFFFF"/>
          </w:tcPr>
          <w:p w14:paraId="0E9EC030" w14:textId="77777777" w:rsidR="001624CA" w:rsidRPr="00FD222B" w:rsidRDefault="001624CA" w:rsidP="00B22AEC">
            <w:pPr>
              <w:autoSpaceDE/>
              <w:adjustRightInd/>
              <w:spacing w:line="276" w:lineRule="auto"/>
              <w:jc w:val="both"/>
              <w:rPr>
                <w:sz w:val="22"/>
                <w:szCs w:val="24"/>
              </w:rPr>
            </w:pPr>
            <w:r w:rsidRPr="00FD222B">
              <w:rPr>
                <w:sz w:val="22"/>
                <w:szCs w:val="24"/>
              </w:rPr>
              <w:t>23%</w:t>
            </w:r>
          </w:p>
        </w:tc>
      </w:tr>
      <w:tr w:rsidR="001624CA" w:rsidRPr="00FD222B" w14:paraId="0FD24535" w14:textId="77777777" w:rsidTr="00B22AEC">
        <w:trPr>
          <w:tblCellSpacing w:w="0" w:type="dxa"/>
        </w:trPr>
        <w:tc>
          <w:tcPr>
            <w:tcW w:w="4580" w:type="dxa"/>
            <w:tcBorders>
              <w:top w:val="single" w:sz="4" w:space="0" w:color="auto"/>
              <w:bottom w:val="single" w:sz="4" w:space="0" w:color="auto"/>
              <w:right w:val="single" w:sz="4" w:space="0" w:color="auto"/>
            </w:tcBorders>
            <w:shd w:val="clear" w:color="000000" w:fill="DAEEF3"/>
          </w:tcPr>
          <w:p w14:paraId="53F13351" w14:textId="77777777" w:rsidR="001624CA" w:rsidRPr="00FD222B" w:rsidRDefault="001624CA" w:rsidP="00B22AEC">
            <w:pPr>
              <w:autoSpaceDE/>
              <w:adjustRightInd/>
              <w:spacing w:line="276" w:lineRule="auto"/>
              <w:jc w:val="both"/>
              <w:rPr>
                <w:sz w:val="22"/>
                <w:szCs w:val="24"/>
              </w:rPr>
            </w:pPr>
            <w:r w:rsidRPr="00FD222B">
              <w:rPr>
                <w:sz w:val="22"/>
                <w:szCs w:val="24"/>
              </w:rPr>
              <w:t>Preferred Technological Enterprise</w:t>
            </w:r>
          </w:p>
        </w:tc>
        <w:tc>
          <w:tcPr>
            <w:tcW w:w="1511" w:type="dxa"/>
            <w:tcBorders>
              <w:top w:val="single" w:sz="4" w:space="0" w:color="auto"/>
              <w:left w:val="single" w:sz="4" w:space="0" w:color="auto"/>
              <w:bottom w:val="single" w:sz="4" w:space="0" w:color="auto"/>
              <w:right w:val="single" w:sz="4" w:space="0" w:color="auto"/>
            </w:tcBorders>
            <w:shd w:val="clear" w:color="000000" w:fill="DAEEF3"/>
          </w:tcPr>
          <w:p w14:paraId="674A8BC1" w14:textId="77777777" w:rsidR="001624CA" w:rsidRPr="00FD222B" w:rsidRDefault="001624CA" w:rsidP="00B22AEC">
            <w:pPr>
              <w:autoSpaceDE/>
              <w:adjustRightInd/>
              <w:spacing w:line="276" w:lineRule="auto"/>
              <w:jc w:val="both"/>
              <w:rPr>
                <w:sz w:val="22"/>
                <w:szCs w:val="24"/>
              </w:rPr>
            </w:pPr>
            <w:r w:rsidRPr="00FD222B">
              <w:rPr>
                <w:sz w:val="22"/>
                <w:szCs w:val="24"/>
              </w:rPr>
              <w:t>7.5%</w:t>
            </w:r>
          </w:p>
        </w:tc>
        <w:tc>
          <w:tcPr>
            <w:tcW w:w="1720" w:type="dxa"/>
            <w:tcBorders>
              <w:top w:val="single" w:sz="4" w:space="0" w:color="auto"/>
              <w:left w:val="single" w:sz="4" w:space="0" w:color="auto"/>
              <w:bottom w:val="single" w:sz="4" w:space="0" w:color="auto"/>
              <w:right w:val="single" w:sz="4" w:space="0" w:color="auto"/>
            </w:tcBorders>
            <w:shd w:val="clear" w:color="000000" w:fill="DAEEF3"/>
          </w:tcPr>
          <w:p w14:paraId="31E06972" w14:textId="77777777" w:rsidR="001624CA" w:rsidRPr="00FD222B" w:rsidRDefault="001624CA" w:rsidP="00B22AEC">
            <w:pPr>
              <w:autoSpaceDE/>
              <w:adjustRightInd/>
              <w:spacing w:line="276" w:lineRule="auto"/>
              <w:jc w:val="both"/>
              <w:rPr>
                <w:sz w:val="22"/>
                <w:szCs w:val="24"/>
              </w:rPr>
            </w:pPr>
            <w:r w:rsidRPr="00FD222B">
              <w:rPr>
                <w:sz w:val="22"/>
                <w:szCs w:val="24"/>
              </w:rPr>
              <w:t>12%</w:t>
            </w:r>
          </w:p>
        </w:tc>
        <w:tc>
          <w:tcPr>
            <w:tcW w:w="2042" w:type="dxa"/>
            <w:tcBorders>
              <w:top w:val="single" w:sz="4" w:space="0" w:color="auto"/>
              <w:left w:val="single" w:sz="4" w:space="0" w:color="auto"/>
              <w:bottom w:val="single" w:sz="4" w:space="0" w:color="auto"/>
            </w:tcBorders>
            <w:shd w:val="clear" w:color="000000" w:fill="DAEEF3"/>
          </w:tcPr>
          <w:p w14:paraId="0939F756" w14:textId="77777777" w:rsidR="001624CA" w:rsidRPr="00FD222B" w:rsidRDefault="001624CA" w:rsidP="00B22AEC">
            <w:pPr>
              <w:autoSpaceDE/>
              <w:adjustRightInd/>
              <w:spacing w:line="276" w:lineRule="auto"/>
              <w:jc w:val="both"/>
              <w:rPr>
                <w:sz w:val="22"/>
                <w:szCs w:val="24"/>
              </w:rPr>
            </w:pPr>
            <w:r w:rsidRPr="00FD222B">
              <w:rPr>
                <w:sz w:val="22"/>
                <w:szCs w:val="24"/>
              </w:rPr>
              <w:t>23%</w:t>
            </w:r>
          </w:p>
        </w:tc>
      </w:tr>
      <w:tr w:rsidR="001624CA" w:rsidRPr="00FD222B" w14:paraId="7F6F16F8" w14:textId="77777777" w:rsidTr="00B22AEC">
        <w:trPr>
          <w:tblCellSpacing w:w="0" w:type="dxa"/>
        </w:trPr>
        <w:tc>
          <w:tcPr>
            <w:tcW w:w="4580" w:type="dxa"/>
            <w:tcBorders>
              <w:top w:val="single" w:sz="4" w:space="0" w:color="auto"/>
              <w:bottom w:val="single" w:sz="4" w:space="0" w:color="auto"/>
              <w:right w:val="single" w:sz="4" w:space="0" w:color="auto"/>
            </w:tcBorders>
          </w:tcPr>
          <w:p w14:paraId="10B5C71E" w14:textId="77777777" w:rsidR="001624CA" w:rsidRPr="00FD222B" w:rsidRDefault="001624CA" w:rsidP="00B22AEC">
            <w:pPr>
              <w:autoSpaceDE/>
              <w:adjustRightInd/>
              <w:spacing w:line="276" w:lineRule="auto"/>
              <w:jc w:val="both"/>
              <w:rPr>
                <w:sz w:val="22"/>
                <w:szCs w:val="24"/>
              </w:rPr>
            </w:pPr>
            <w:r w:rsidRPr="00FD222B">
              <w:rPr>
                <w:sz w:val="22"/>
                <w:szCs w:val="24"/>
              </w:rPr>
              <w:t>Special Preferred Technological Enterprise</w:t>
            </w:r>
          </w:p>
        </w:tc>
        <w:tc>
          <w:tcPr>
            <w:tcW w:w="1511" w:type="dxa"/>
            <w:tcBorders>
              <w:top w:val="single" w:sz="4" w:space="0" w:color="auto"/>
              <w:left w:val="single" w:sz="4" w:space="0" w:color="auto"/>
              <w:bottom w:val="single" w:sz="4" w:space="0" w:color="auto"/>
              <w:right w:val="single" w:sz="4" w:space="0" w:color="auto"/>
            </w:tcBorders>
          </w:tcPr>
          <w:p w14:paraId="28A47A9B" w14:textId="77777777" w:rsidR="001624CA" w:rsidRPr="00FD222B" w:rsidRDefault="001624CA" w:rsidP="00B22AEC">
            <w:pPr>
              <w:autoSpaceDE/>
              <w:adjustRightInd/>
              <w:spacing w:line="276" w:lineRule="auto"/>
              <w:jc w:val="both"/>
              <w:rPr>
                <w:sz w:val="22"/>
                <w:szCs w:val="24"/>
              </w:rPr>
            </w:pPr>
            <w:r w:rsidRPr="00FD222B">
              <w:rPr>
                <w:sz w:val="22"/>
                <w:szCs w:val="24"/>
              </w:rPr>
              <w:t>6%</w:t>
            </w:r>
          </w:p>
        </w:tc>
        <w:tc>
          <w:tcPr>
            <w:tcW w:w="1720" w:type="dxa"/>
            <w:tcBorders>
              <w:top w:val="single" w:sz="4" w:space="0" w:color="auto"/>
              <w:left w:val="single" w:sz="4" w:space="0" w:color="auto"/>
              <w:bottom w:val="single" w:sz="4" w:space="0" w:color="auto"/>
              <w:right w:val="single" w:sz="4" w:space="0" w:color="auto"/>
            </w:tcBorders>
          </w:tcPr>
          <w:p w14:paraId="49004255" w14:textId="77777777" w:rsidR="001624CA" w:rsidRPr="00FD222B" w:rsidRDefault="001624CA" w:rsidP="00B22AEC">
            <w:pPr>
              <w:autoSpaceDE/>
              <w:adjustRightInd/>
              <w:spacing w:line="276" w:lineRule="auto"/>
              <w:jc w:val="both"/>
              <w:rPr>
                <w:sz w:val="22"/>
                <w:szCs w:val="24"/>
              </w:rPr>
            </w:pPr>
            <w:r w:rsidRPr="00FD222B">
              <w:rPr>
                <w:sz w:val="22"/>
                <w:szCs w:val="24"/>
              </w:rPr>
              <w:t>6%</w:t>
            </w:r>
          </w:p>
        </w:tc>
        <w:tc>
          <w:tcPr>
            <w:tcW w:w="2042" w:type="dxa"/>
            <w:tcBorders>
              <w:top w:val="single" w:sz="4" w:space="0" w:color="auto"/>
              <w:left w:val="single" w:sz="4" w:space="0" w:color="auto"/>
              <w:bottom w:val="single" w:sz="4" w:space="0" w:color="auto"/>
            </w:tcBorders>
          </w:tcPr>
          <w:p w14:paraId="29FD8F4C" w14:textId="77777777" w:rsidR="001624CA" w:rsidRPr="00FD222B" w:rsidRDefault="001624CA" w:rsidP="00B22AEC">
            <w:pPr>
              <w:autoSpaceDE/>
              <w:adjustRightInd/>
              <w:spacing w:line="276" w:lineRule="auto"/>
              <w:jc w:val="both"/>
              <w:rPr>
                <w:sz w:val="22"/>
                <w:szCs w:val="24"/>
              </w:rPr>
            </w:pPr>
            <w:r w:rsidRPr="00FD222B">
              <w:rPr>
                <w:sz w:val="22"/>
                <w:szCs w:val="24"/>
              </w:rPr>
              <w:t>23%</w:t>
            </w:r>
          </w:p>
        </w:tc>
      </w:tr>
    </w:tbl>
    <w:p w14:paraId="63D1296B" w14:textId="77777777" w:rsidR="001624CA" w:rsidRPr="00FD222B" w:rsidRDefault="001624CA" w:rsidP="001624CA">
      <w:pPr>
        <w:widowControl w:val="0"/>
        <w:adjustRightInd/>
        <w:spacing w:after="240" w:line="240" w:lineRule="atLeast"/>
        <w:ind w:firstLine="720"/>
        <w:jc w:val="both"/>
        <w:rPr>
          <w:sz w:val="22"/>
          <w:szCs w:val="24"/>
        </w:rPr>
      </w:pPr>
    </w:p>
    <w:p w14:paraId="6A2EDB7D" w14:textId="77777777" w:rsidR="001624CA" w:rsidRPr="00FD222B" w:rsidRDefault="001624CA" w:rsidP="001624CA">
      <w:pPr>
        <w:autoSpaceDE/>
        <w:adjustRightInd/>
        <w:ind w:firstLine="720"/>
        <w:jc w:val="both"/>
        <w:rPr>
          <w:sz w:val="22"/>
          <w:szCs w:val="24"/>
        </w:rPr>
      </w:pPr>
      <w:r w:rsidRPr="00FD222B">
        <w:rPr>
          <w:sz w:val="22"/>
          <w:szCs w:val="24"/>
        </w:rPr>
        <w:t>In addition, any dividend distributed from a Preferred Technological Enterprise to foreign companies holding at least 90% of the share capital will be subject to a reduced tax rate of 4%.</w:t>
      </w:r>
    </w:p>
    <w:p w14:paraId="22A740A6" w14:textId="77777777" w:rsidR="001624CA" w:rsidRPr="00FD222B" w:rsidRDefault="001624CA" w:rsidP="001624CA">
      <w:pPr>
        <w:autoSpaceDE/>
        <w:adjustRightInd/>
        <w:jc w:val="both"/>
        <w:rPr>
          <w:sz w:val="22"/>
          <w:szCs w:val="24"/>
        </w:rPr>
      </w:pPr>
      <w:r w:rsidRPr="00FD222B">
        <w:rPr>
          <w:sz w:val="22"/>
          <w:szCs w:val="24"/>
        </w:rPr>
        <w:t xml:space="preserve"> </w:t>
      </w:r>
    </w:p>
    <w:p w14:paraId="0567EBE9" w14:textId="77777777" w:rsidR="001624CA" w:rsidRPr="00FD222B" w:rsidRDefault="001624CA" w:rsidP="001624CA">
      <w:pPr>
        <w:widowControl w:val="0"/>
        <w:adjustRightInd/>
        <w:spacing w:after="240" w:line="240" w:lineRule="atLeast"/>
        <w:ind w:firstLine="720"/>
        <w:jc w:val="both"/>
        <w:rPr>
          <w:sz w:val="22"/>
          <w:szCs w:val="24"/>
        </w:rPr>
      </w:pPr>
      <w:bookmarkStart w:id="3" w:name="OLE_LINK367"/>
      <w:bookmarkStart w:id="4" w:name="OLE_LINK368"/>
      <w:r w:rsidRPr="00FD222B">
        <w:rPr>
          <w:sz w:val="22"/>
          <w:szCs w:val="24"/>
        </w:rPr>
        <w:t>Neither the provisions of the December 2010 Amendment nor the December 2016 Amendment apply to companies currently having an “Approved Enterprise” or “Beneficiary Enterprise” status, which will continue to be entitled to the tax benefits according to the provisions of the Investment Law prior to the aforementioned amendments, unless the company having the benefits of such status has elected by filing with the Israeli Tax Authority not later than the date prescribed for the filing of the company’s annual tax return for the respective year, to adopt the provisions of the December 2010 Amendment. Such election cannot be later rescinded. A company having the status of “</w:t>
      </w:r>
      <w:bookmarkStart w:id="5" w:name="OLE_LINK403"/>
      <w:bookmarkStart w:id="6" w:name="OLE_LINK404"/>
      <w:r w:rsidRPr="00FD222B">
        <w:rPr>
          <w:sz w:val="22"/>
          <w:szCs w:val="24"/>
        </w:rPr>
        <w:t xml:space="preserve">Beneficiary Enterprise” or </w:t>
      </w:r>
      <w:bookmarkEnd w:id="5"/>
      <w:bookmarkEnd w:id="6"/>
      <w:r w:rsidRPr="00FD222B">
        <w:rPr>
          <w:sz w:val="22"/>
          <w:szCs w:val="24"/>
        </w:rPr>
        <w:t>“Approved Enterprise” making such election by June 30, 2015 will be entitled to distribute income generated by the Beneficiary Enterprise” or “Approved Enterprise,” subject to withholding tax at source at the following rates: (</w:t>
      </w:r>
      <w:proofErr w:type="spellStart"/>
      <w:r w:rsidRPr="00FD222B">
        <w:rPr>
          <w:sz w:val="22"/>
          <w:szCs w:val="24"/>
        </w:rPr>
        <w:t>i</w:t>
      </w:r>
      <w:proofErr w:type="spellEnd"/>
      <w:r w:rsidRPr="00FD222B">
        <w:rPr>
          <w:sz w:val="22"/>
          <w:szCs w:val="24"/>
        </w:rPr>
        <w:t>) Israeli resident corporations at 0%; (ii) Israeli resident individuals at 20%; and (iii) non-Israeli residents at 20%,</w:t>
      </w:r>
      <w:r>
        <w:rPr>
          <w:sz w:val="22"/>
          <w:szCs w:val="24"/>
        </w:rPr>
        <w:t xml:space="preserve"> such withholding tax rate can be reduced</w:t>
      </w:r>
      <w:r w:rsidRPr="00FD222B">
        <w:rPr>
          <w:sz w:val="22"/>
          <w:szCs w:val="24"/>
        </w:rPr>
        <w:t xml:space="preserve"> subject to a reduced tax rate under the provisions of an applicable double tax treaty.</w:t>
      </w:r>
    </w:p>
    <w:p w14:paraId="7ED207AF" w14:textId="77777777" w:rsidR="001624CA" w:rsidRPr="00FD222B" w:rsidRDefault="001624CA" w:rsidP="001624CA">
      <w:pPr>
        <w:widowControl w:val="0"/>
        <w:adjustRightInd/>
        <w:spacing w:after="240" w:line="240" w:lineRule="atLeast"/>
        <w:ind w:firstLine="720"/>
        <w:jc w:val="both"/>
        <w:rPr>
          <w:sz w:val="22"/>
          <w:szCs w:val="22"/>
        </w:rPr>
      </w:pPr>
      <w:r w:rsidRPr="00FD222B">
        <w:rPr>
          <w:sz w:val="22"/>
          <w:szCs w:val="24"/>
        </w:rPr>
        <w:t xml:space="preserve">During the years 1998-2006 </w:t>
      </w:r>
      <w:proofErr w:type="spellStart"/>
      <w:r w:rsidRPr="00FD222B">
        <w:rPr>
          <w:sz w:val="22"/>
          <w:szCs w:val="24"/>
        </w:rPr>
        <w:t>Camtek</w:t>
      </w:r>
      <w:proofErr w:type="spellEnd"/>
      <w:r w:rsidRPr="00FD222B">
        <w:rPr>
          <w:sz w:val="22"/>
          <w:szCs w:val="24"/>
        </w:rPr>
        <w:t xml:space="preserve"> was subject to tax in accordance with the Approved and Beneficiary Enterprise provisions under the Law for the Encouragement of Capital Investments. As such, </w:t>
      </w:r>
      <w:proofErr w:type="spellStart"/>
      <w:r w:rsidRPr="00FD222B">
        <w:rPr>
          <w:sz w:val="22"/>
          <w:szCs w:val="24"/>
        </w:rPr>
        <w:t>Camtek</w:t>
      </w:r>
      <w:proofErr w:type="spellEnd"/>
      <w:r w:rsidRPr="00FD222B">
        <w:rPr>
          <w:sz w:val="22"/>
          <w:szCs w:val="24"/>
        </w:rPr>
        <w:t xml:space="preserve"> has income that was exempt from tax. If </w:t>
      </w:r>
      <w:proofErr w:type="spellStart"/>
      <w:r w:rsidRPr="00FD222B">
        <w:rPr>
          <w:sz w:val="22"/>
          <w:szCs w:val="24"/>
        </w:rPr>
        <w:t>Camtek</w:t>
      </w:r>
      <w:proofErr w:type="spellEnd"/>
      <w:r w:rsidRPr="00FD222B">
        <w:rPr>
          <w:sz w:val="22"/>
          <w:szCs w:val="24"/>
        </w:rPr>
        <w:t xml:space="preserve"> </w:t>
      </w:r>
      <w:r>
        <w:rPr>
          <w:sz w:val="22"/>
          <w:szCs w:val="24"/>
        </w:rPr>
        <w:t>will</w:t>
      </w:r>
      <w:r w:rsidRPr="00FD222B">
        <w:rPr>
          <w:sz w:val="22"/>
          <w:szCs w:val="24"/>
        </w:rPr>
        <w:t xml:space="preserve"> distribute dividends from the exempt income it will be required to pay income tax on the amount of the dividend distributed at the tax rate that would have been applicable to it in the year the income was produced if it had not been exempt from tax.</w:t>
      </w:r>
      <w:r w:rsidRPr="00FD222B" w:rsidDel="00C5007F">
        <w:rPr>
          <w:sz w:val="22"/>
          <w:szCs w:val="22"/>
        </w:rPr>
        <w:t xml:space="preserve"> </w:t>
      </w:r>
    </w:p>
    <w:bookmarkEnd w:id="3"/>
    <w:bookmarkEnd w:id="4"/>
    <w:p w14:paraId="36DC590F" w14:textId="77777777" w:rsidR="008E01E4" w:rsidRDefault="008E01E4"/>
    <w:sectPr w:rsidR="008E01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altName w:val="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CA"/>
    <w:rsid w:val="001624CA"/>
    <w:rsid w:val="008E01E4"/>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621EB"/>
  <w15:chartTrackingRefBased/>
  <w15:docId w15:val="{4E772F62-53AE-403B-9C65-64DFA17A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4CA"/>
    <w:pPr>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RS1Body Text,b,bt,âåó èºñè"/>
    <w:basedOn w:val="Normal"/>
    <w:link w:val="BodyTextChar"/>
    <w:uiPriority w:val="99"/>
    <w:rsid w:val="001624CA"/>
    <w:pPr>
      <w:spacing w:after="240"/>
      <w:ind w:firstLine="720"/>
    </w:pPr>
  </w:style>
  <w:style w:type="character" w:customStyle="1" w:styleId="BodyTextChar">
    <w:name w:val="Body Text Char"/>
    <w:aliases w:val="*RS1Body Text Char,b Char,bt Char,âåó èºñè Char"/>
    <w:basedOn w:val="DefaultParagraphFont"/>
    <w:link w:val="BodyText"/>
    <w:uiPriority w:val="99"/>
    <w:rsid w:val="001624CA"/>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1381</Words>
  <Characters>7873</Characters>
  <Application>Microsoft Office Word</Application>
  <DocSecurity>0</DocSecurity>
  <Lines>65</Lines>
  <Paragraphs>18</Paragraphs>
  <ScaleCrop>false</ScaleCrop>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Atzatz</dc:creator>
  <cp:keywords/>
  <dc:description/>
  <cp:lastModifiedBy>Atzatz</cp:lastModifiedBy>
  <cp:revision>1</cp:revision>
  <dcterms:created xsi:type="dcterms:W3CDTF">2021-03-08T07:12:00Z</dcterms:created>
  <dcterms:modified xsi:type="dcterms:W3CDTF">2021-03-08T07:12:00Z</dcterms:modified>
</cp:coreProperties>
</file>