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9D" w:rsidRPr="00C11B55" w:rsidRDefault="009E6D9D" w:rsidP="00856324">
      <w:pPr>
        <w:autoSpaceDE w:val="0"/>
        <w:autoSpaceDN w:val="0"/>
        <w:bidi/>
        <w:adjustRightInd w:val="0"/>
        <w:spacing w:after="0" w:line="276" w:lineRule="auto"/>
        <w:rPr>
          <w:rFonts w:asciiTheme="minorBidi" w:hAnsiTheme="minorBidi"/>
          <w:b/>
          <w:bCs/>
          <w:sz w:val="28"/>
          <w:szCs w:val="28"/>
        </w:rPr>
      </w:pPr>
      <w:r w:rsidRPr="00C11B55">
        <w:rPr>
          <w:rFonts w:asciiTheme="minorBidi" w:hAnsiTheme="minorBidi"/>
          <w:b/>
          <w:bCs/>
          <w:sz w:val="28"/>
          <w:szCs w:val="28"/>
          <w:rtl/>
        </w:rPr>
        <w:t>חומרת ותדירות ההתקפים במטופלים עם טרשת נפוצה התקפית</w:t>
      </w:r>
      <w:r w:rsidRPr="00C11B55">
        <w:rPr>
          <w:rFonts w:asciiTheme="minorBidi" w:hAnsiTheme="minorBidi"/>
          <w:b/>
          <w:bCs/>
          <w:sz w:val="28"/>
          <w:szCs w:val="28"/>
          <w:rtl/>
          <w:lang w:bidi="he"/>
        </w:rPr>
        <w:t>-</w:t>
      </w:r>
      <w:r w:rsidRPr="00C11B55">
        <w:rPr>
          <w:rFonts w:asciiTheme="minorBidi" w:hAnsiTheme="minorBidi"/>
          <w:b/>
          <w:bCs/>
          <w:sz w:val="28"/>
          <w:szCs w:val="28"/>
          <w:rtl/>
        </w:rPr>
        <w:t xml:space="preserve">הפוגתית שטופלו בטבליות קלדריבין במחקר </w:t>
      </w:r>
      <w:r w:rsidRPr="00C11B55">
        <w:rPr>
          <w:rFonts w:asciiTheme="minorBidi" w:hAnsiTheme="minorBidi"/>
          <w:b/>
          <w:bCs/>
          <w:sz w:val="28"/>
          <w:szCs w:val="28"/>
        </w:rPr>
        <w:t>CLARITY</w:t>
      </w:r>
      <w:r w:rsidRPr="00C11B55">
        <w:rPr>
          <w:rFonts w:asciiTheme="minorBidi" w:hAnsiTheme="minorBidi"/>
          <w:b/>
          <w:bCs/>
          <w:sz w:val="28"/>
          <w:szCs w:val="28"/>
          <w:rtl/>
          <w:lang w:bidi="he"/>
        </w:rPr>
        <w:t xml:space="preserve">, </w:t>
      </w:r>
      <w:r w:rsidRPr="00C11B55">
        <w:rPr>
          <w:rFonts w:asciiTheme="minorBidi" w:hAnsiTheme="minorBidi"/>
          <w:b/>
          <w:bCs/>
          <w:sz w:val="28"/>
          <w:szCs w:val="28"/>
          <w:rtl/>
        </w:rPr>
        <w:t xml:space="preserve">ובפלצבו במחקר ההארכה </w:t>
      </w:r>
      <w:r w:rsidRPr="00C11B55">
        <w:rPr>
          <w:rFonts w:asciiTheme="minorBidi" w:hAnsiTheme="minorBidi"/>
          <w:b/>
          <w:bCs/>
          <w:sz w:val="28"/>
          <w:szCs w:val="28"/>
        </w:rPr>
        <w:t>CLARITY</w:t>
      </w:r>
    </w:p>
    <w:p w:rsidR="009E6D9D" w:rsidRPr="00C11B55" w:rsidRDefault="009E6D9D" w:rsidP="00856324">
      <w:pPr>
        <w:autoSpaceDE w:val="0"/>
        <w:autoSpaceDN w:val="0"/>
        <w:bidi/>
        <w:adjustRightInd w:val="0"/>
        <w:spacing w:after="0" w:line="276" w:lineRule="auto"/>
        <w:rPr>
          <w:rFonts w:asciiTheme="minorBidi" w:hAnsiTheme="minorBidi" w:hint="cs"/>
          <w:b/>
          <w:bCs/>
          <w:sz w:val="28"/>
          <w:szCs w:val="28"/>
        </w:rPr>
      </w:pPr>
    </w:p>
    <w:p w:rsidR="00051053" w:rsidRPr="00C11B55" w:rsidRDefault="00051053" w:rsidP="00856324">
      <w:pPr>
        <w:autoSpaceDE w:val="0"/>
        <w:autoSpaceDN w:val="0"/>
        <w:bidi/>
        <w:adjustRightInd w:val="0"/>
        <w:spacing w:after="0" w:line="276" w:lineRule="auto"/>
        <w:rPr>
          <w:rFonts w:asciiTheme="minorBidi" w:hAnsiTheme="minorBidi"/>
          <w:b/>
          <w:bCs/>
          <w:sz w:val="28"/>
          <w:szCs w:val="28"/>
        </w:rPr>
      </w:pPr>
    </w:p>
    <w:p w:rsidR="009E6D9D" w:rsidRPr="00C11B55" w:rsidRDefault="009E6D9D" w:rsidP="00856324">
      <w:pPr>
        <w:autoSpaceDE w:val="0"/>
        <w:autoSpaceDN w:val="0"/>
        <w:bidi/>
        <w:adjustRightInd w:val="0"/>
        <w:spacing w:after="0" w:line="276" w:lineRule="auto"/>
        <w:rPr>
          <w:rFonts w:asciiTheme="minorBidi" w:hAnsiTheme="minorBidi"/>
          <w:sz w:val="25"/>
          <w:szCs w:val="25"/>
        </w:rPr>
      </w:pPr>
      <w:r w:rsidRPr="00C11B55">
        <w:rPr>
          <w:rFonts w:asciiTheme="minorBidi" w:hAnsiTheme="minorBidi"/>
          <w:b/>
          <w:bCs/>
          <w:sz w:val="25"/>
          <w:szCs w:val="25"/>
          <w:rtl/>
        </w:rPr>
        <w:t>רקע ומטרות</w:t>
      </w:r>
      <w:r w:rsidRPr="00C11B55">
        <w:rPr>
          <w:rFonts w:asciiTheme="minorBidi" w:hAnsiTheme="minorBidi"/>
          <w:b/>
          <w:bCs/>
          <w:sz w:val="25"/>
          <w:szCs w:val="25"/>
          <w:rtl/>
          <w:lang w:bidi="he"/>
        </w:rPr>
        <w:t xml:space="preserve">: </w:t>
      </w:r>
      <w:r w:rsidRPr="00C11B55">
        <w:rPr>
          <w:rFonts w:asciiTheme="minorBidi" w:hAnsiTheme="minorBidi"/>
          <w:sz w:val="25"/>
          <w:szCs w:val="25"/>
          <w:rtl/>
        </w:rPr>
        <w:t xml:space="preserve">מטופלים עם טרשת נפוצה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(</w:t>
      </w:r>
      <w:r w:rsidRPr="00C11B55">
        <w:rPr>
          <w:rFonts w:asciiTheme="minorBidi" w:hAnsiTheme="minorBidi"/>
          <w:sz w:val="25"/>
          <w:szCs w:val="25"/>
        </w:rPr>
        <w:t>MS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) </w:t>
      </w:r>
      <w:r w:rsidRPr="00C11B55">
        <w:rPr>
          <w:rFonts w:asciiTheme="minorBidi" w:hAnsiTheme="minorBidi"/>
          <w:sz w:val="25"/>
          <w:szCs w:val="25"/>
          <w:rtl/>
        </w:rPr>
        <w:t>התקפית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-</w:t>
      </w:r>
      <w:r w:rsidRPr="00C11B55">
        <w:rPr>
          <w:rFonts w:asciiTheme="minorBidi" w:hAnsiTheme="minorBidi"/>
          <w:sz w:val="25"/>
          <w:szCs w:val="25"/>
          <w:rtl/>
        </w:rPr>
        <w:t xml:space="preserve">הפוגתית שטופלו במשך שנתיים בטבליות קלדריבין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(</w:t>
      </w:r>
      <w:r w:rsidRPr="00C11B55">
        <w:rPr>
          <w:rFonts w:asciiTheme="minorBidi" w:hAnsiTheme="minorBidi"/>
          <w:sz w:val="25"/>
          <w:szCs w:val="25"/>
        </w:rPr>
        <w:t>CT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) 10 </w:t>
      </w:r>
      <w:r w:rsidRPr="00C11B55">
        <w:rPr>
          <w:rFonts w:asciiTheme="minorBidi" w:hAnsiTheme="minorBidi"/>
          <w:sz w:val="25"/>
          <w:szCs w:val="25"/>
          <w:rtl/>
        </w:rPr>
        <w:t>מ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"</w:t>
      </w:r>
      <w:r w:rsidRPr="00C11B55">
        <w:rPr>
          <w:rFonts w:asciiTheme="minorBidi" w:hAnsiTheme="minorBidi"/>
          <w:sz w:val="25"/>
          <w:szCs w:val="25"/>
          <w:rtl/>
        </w:rPr>
        <w:t xml:space="preserve">ג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(</w:t>
      </w:r>
      <w:r w:rsidRPr="00C11B55">
        <w:rPr>
          <w:rFonts w:asciiTheme="minorBidi" w:hAnsiTheme="minorBidi"/>
          <w:sz w:val="25"/>
          <w:szCs w:val="25"/>
          <w:rtl/>
        </w:rPr>
        <w:t xml:space="preserve">מינון מצטבר של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3.5 </w:t>
      </w:r>
      <w:r w:rsidRPr="00C11B55">
        <w:rPr>
          <w:rFonts w:asciiTheme="minorBidi" w:hAnsiTheme="minorBidi"/>
          <w:sz w:val="25"/>
          <w:szCs w:val="25"/>
          <w:rtl/>
        </w:rPr>
        <w:t>מ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"</w:t>
      </w:r>
      <w:r w:rsidRPr="00C11B55">
        <w:rPr>
          <w:rFonts w:asciiTheme="minorBidi" w:hAnsiTheme="minorBidi"/>
          <w:sz w:val="25"/>
          <w:szCs w:val="25"/>
          <w:rtl/>
        </w:rPr>
        <w:t>ג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/</w:t>
      </w:r>
      <w:r w:rsidRPr="00C11B55">
        <w:rPr>
          <w:rFonts w:asciiTheme="minorBidi" w:hAnsiTheme="minorBidi"/>
          <w:sz w:val="25"/>
          <w:szCs w:val="25"/>
          <w:rtl/>
        </w:rPr>
        <w:t>ק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"</w:t>
      </w:r>
      <w:r w:rsidRPr="00C11B55">
        <w:rPr>
          <w:rFonts w:asciiTheme="minorBidi" w:hAnsiTheme="minorBidi"/>
          <w:sz w:val="25"/>
          <w:szCs w:val="25"/>
          <w:rtl/>
        </w:rPr>
        <w:t xml:space="preserve">ג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[</w:t>
      </w:r>
      <w:r w:rsidRPr="00C11B55">
        <w:rPr>
          <w:rFonts w:asciiTheme="minorBidi" w:hAnsiTheme="minorBidi"/>
          <w:sz w:val="25"/>
          <w:szCs w:val="25"/>
        </w:rPr>
        <w:t>CT3.5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]) </w:t>
      </w:r>
      <w:r w:rsidRPr="00C11B55">
        <w:rPr>
          <w:rFonts w:asciiTheme="minorBidi" w:hAnsiTheme="minorBidi"/>
          <w:sz w:val="25"/>
          <w:szCs w:val="25"/>
          <w:rtl/>
        </w:rPr>
        <w:t xml:space="preserve">במחקר </w:t>
      </w:r>
      <w:r w:rsidRPr="00C11B55">
        <w:rPr>
          <w:rFonts w:asciiTheme="minorBidi" w:hAnsiTheme="minorBidi"/>
          <w:sz w:val="25"/>
          <w:szCs w:val="25"/>
        </w:rPr>
        <w:t>CLARITY</w:t>
      </w:r>
      <w:r w:rsidRPr="00C11B55">
        <w:rPr>
          <w:rFonts w:asciiTheme="minorBidi" w:hAnsiTheme="minorBidi"/>
          <w:sz w:val="25"/>
          <w:szCs w:val="25"/>
          <w:rtl/>
        </w:rPr>
        <w:t xml:space="preserve"> ולאחר מכן טופלו במשך שנתיים בפלצבו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(</w:t>
      </w:r>
      <w:r w:rsidRPr="00C11B55">
        <w:rPr>
          <w:rFonts w:asciiTheme="minorBidi" w:hAnsiTheme="minorBidi"/>
          <w:sz w:val="25"/>
          <w:szCs w:val="25"/>
        </w:rPr>
        <w:t>PBO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) </w:t>
      </w:r>
      <w:r w:rsidRPr="00C11B55">
        <w:rPr>
          <w:rFonts w:asciiTheme="minorBidi" w:hAnsiTheme="minorBidi"/>
          <w:sz w:val="25"/>
          <w:szCs w:val="25"/>
          <w:rtl/>
        </w:rPr>
        <w:t xml:space="preserve">במחקר ההארכה </w:t>
      </w:r>
      <w:r w:rsidRPr="00C11B55">
        <w:rPr>
          <w:rFonts w:asciiTheme="minorBidi" w:hAnsiTheme="minorBidi"/>
          <w:sz w:val="25"/>
          <w:szCs w:val="25"/>
        </w:rPr>
        <w:t>CLARITY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 (</w:t>
      </w:r>
      <w:r w:rsidRPr="00C11B55">
        <w:rPr>
          <w:rFonts w:asciiTheme="minorBidi" w:hAnsiTheme="minorBidi"/>
          <w:sz w:val="25"/>
          <w:szCs w:val="25"/>
        </w:rPr>
        <w:t>CP3.5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) </w:t>
      </w:r>
      <w:r w:rsidRPr="00C11B55">
        <w:rPr>
          <w:rFonts w:asciiTheme="minorBidi" w:hAnsiTheme="minorBidi"/>
          <w:sz w:val="25"/>
          <w:szCs w:val="25"/>
          <w:rtl/>
        </w:rPr>
        <w:t>חוו תועלת קלינית יציבה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. </w:t>
      </w:r>
      <w:r w:rsidRPr="00C11B55">
        <w:rPr>
          <w:rFonts w:asciiTheme="minorBidi" w:hAnsiTheme="minorBidi"/>
          <w:sz w:val="25"/>
          <w:szCs w:val="25"/>
          <w:rtl/>
        </w:rPr>
        <w:t xml:space="preserve">הוערכו שיעור וחומרת ההתקפים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(</w:t>
      </w:r>
      <w:r w:rsidRPr="00C11B55">
        <w:rPr>
          <w:rFonts w:asciiTheme="minorBidi" w:hAnsiTheme="minorBidi"/>
          <w:sz w:val="25"/>
          <w:szCs w:val="25"/>
          <w:rtl/>
        </w:rPr>
        <w:t>סמנים עקיפים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: </w:t>
      </w:r>
      <w:r w:rsidRPr="00C11B55">
        <w:rPr>
          <w:rFonts w:asciiTheme="minorBidi" w:hAnsiTheme="minorBidi"/>
          <w:sz w:val="25"/>
          <w:szCs w:val="25"/>
          <w:rtl/>
        </w:rPr>
        <w:t>אשפוז ושימוש בסטרואידים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).</w:t>
      </w:r>
    </w:p>
    <w:p w:rsidR="009E6D9D" w:rsidRPr="00C11B55" w:rsidRDefault="009E6D9D" w:rsidP="00856324">
      <w:pPr>
        <w:autoSpaceDE w:val="0"/>
        <w:autoSpaceDN w:val="0"/>
        <w:bidi/>
        <w:adjustRightInd w:val="0"/>
        <w:spacing w:after="0" w:line="276" w:lineRule="auto"/>
        <w:rPr>
          <w:rFonts w:asciiTheme="minorBidi" w:hAnsiTheme="minorBidi"/>
          <w:sz w:val="25"/>
          <w:szCs w:val="25"/>
        </w:rPr>
      </w:pPr>
      <w:r w:rsidRPr="00C11B55">
        <w:rPr>
          <w:rFonts w:asciiTheme="minorBidi" w:hAnsiTheme="minorBidi"/>
          <w:b/>
          <w:bCs/>
          <w:sz w:val="25"/>
          <w:szCs w:val="25"/>
          <w:rtl/>
        </w:rPr>
        <w:t>שיטות</w:t>
      </w:r>
      <w:r w:rsidRPr="00C11B55">
        <w:rPr>
          <w:rFonts w:asciiTheme="minorBidi" w:hAnsiTheme="minorBidi"/>
          <w:b/>
          <w:bCs/>
          <w:sz w:val="25"/>
          <w:szCs w:val="25"/>
          <w:rtl/>
          <w:lang w:bidi="he"/>
        </w:rPr>
        <w:t xml:space="preserve">: </w:t>
      </w:r>
      <w:r w:rsidRPr="00C11B55">
        <w:rPr>
          <w:rFonts w:asciiTheme="minorBidi" w:hAnsiTheme="minorBidi"/>
          <w:sz w:val="25"/>
          <w:szCs w:val="25"/>
          <w:rtl/>
        </w:rPr>
        <w:t>התקף המתאים להיכלל במחקר הוגדר לפי ציון המצב התפקודי בסולם קוּרצקה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, </w:t>
      </w:r>
      <w:r w:rsidRPr="00C11B55">
        <w:rPr>
          <w:rFonts w:asciiTheme="minorBidi" w:hAnsiTheme="minorBidi"/>
          <w:sz w:val="25"/>
          <w:szCs w:val="25"/>
          <w:rtl/>
        </w:rPr>
        <w:t>ולפי מדדים קליניים מוגדרים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. </w:t>
      </w:r>
      <w:r w:rsidRPr="00C11B55">
        <w:rPr>
          <w:rFonts w:asciiTheme="minorBidi" w:hAnsiTheme="minorBidi"/>
          <w:sz w:val="25"/>
          <w:szCs w:val="25"/>
          <w:rtl/>
        </w:rPr>
        <w:t xml:space="preserve">שיעור ההתקפים השנתי הבלתי מותאם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(</w:t>
      </w:r>
      <w:r w:rsidRPr="00C11B55">
        <w:rPr>
          <w:rFonts w:asciiTheme="minorBidi" w:hAnsiTheme="minorBidi"/>
          <w:sz w:val="25"/>
          <w:szCs w:val="25"/>
          <w:rtl/>
        </w:rPr>
        <w:t>שיעור ההתקפים השנתי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; </w:t>
      </w:r>
      <w:r w:rsidRPr="00C11B55">
        <w:rPr>
          <w:rFonts w:asciiTheme="minorBidi" w:hAnsiTheme="minorBidi"/>
          <w:sz w:val="25"/>
          <w:szCs w:val="25"/>
          <w:rtl/>
        </w:rPr>
        <w:t xml:space="preserve">שבוע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96) </w:t>
      </w:r>
      <w:r w:rsidRPr="00C11B55">
        <w:rPr>
          <w:rFonts w:asciiTheme="minorBidi" w:hAnsiTheme="minorBidi"/>
          <w:sz w:val="25"/>
          <w:szCs w:val="25"/>
          <w:rtl/>
        </w:rPr>
        <w:t xml:space="preserve">חושב לגבי מטופלים שקיבלו </w:t>
      </w:r>
      <w:r w:rsidRPr="00C11B55">
        <w:rPr>
          <w:rFonts w:asciiTheme="minorBidi" w:hAnsiTheme="minorBidi"/>
          <w:sz w:val="25"/>
          <w:szCs w:val="25"/>
        </w:rPr>
        <w:t>CP3.5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 (</w:t>
      </w:r>
      <w:r w:rsidRPr="00C11B55">
        <w:rPr>
          <w:rFonts w:asciiTheme="minorBidi" w:hAnsiTheme="minorBidi"/>
          <w:sz w:val="25"/>
          <w:szCs w:val="25"/>
        </w:rPr>
        <w:t>N=98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). </w:t>
      </w:r>
      <w:r w:rsidRPr="00C11B55">
        <w:rPr>
          <w:rFonts w:asciiTheme="minorBidi" w:hAnsiTheme="minorBidi"/>
          <w:sz w:val="25"/>
          <w:szCs w:val="25"/>
          <w:rtl/>
        </w:rPr>
        <w:t>שיעור ההתקפים השנתי הבלתי מותאם חושב גם לגבי התקפים המתאימים להיכלל במחקר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, </w:t>
      </w:r>
      <w:r w:rsidRPr="00C11B55">
        <w:rPr>
          <w:rFonts w:asciiTheme="minorBidi" w:hAnsiTheme="minorBidi"/>
          <w:sz w:val="25"/>
          <w:szCs w:val="25"/>
          <w:rtl/>
        </w:rPr>
        <w:t>וגם לגבי התקפים המחייבים אשפוז או טיפול בסטרואידים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. </w:t>
      </w:r>
      <w:r w:rsidRPr="00C11B55">
        <w:rPr>
          <w:rFonts w:asciiTheme="minorBidi" w:hAnsiTheme="minorBidi"/>
          <w:sz w:val="25"/>
          <w:szCs w:val="25"/>
          <w:rtl/>
        </w:rPr>
        <w:t xml:space="preserve">כל הניתוחים היו ניתוחי המשך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(</w:t>
      </w:r>
      <w:r w:rsidRPr="00C11B55">
        <w:rPr>
          <w:rFonts w:asciiTheme="minorBidi" w:hAnsiTheme="minorBidi"/>
          <w:sz w:val="25"/>
          <w:szCs w:val="25"/>
          <w:rtl/>
        </w:rPr>
        <w:t>פוסט הוק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) </w:t>
      </w:r>
      <w:r w:rsidRPr="00C11B55">
        <w:rPr>
          <w:rFonts w:asciiTheme="minorBidi" w:hAnsiTheme="minorBidi"/>
          <w:sz w:val="25"/>
          <w:szCs w:val="25"/>
          <w:rtl/>
        </w:rPr>
        <w:t>ותיאוריים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.</w:t>
      </w:r>
    </w:p>
    <w:p w:rsidR="009E6D9D" w:rsidRPr="00C11B55" w:rsidRDefault="009E6D9D" w:rsidP="00856324">
      <w:pPr>
        <w:autoSpaceDE w:val="0"/>
        <w:autoSpaceDN w:val="0"/>
        <w:bidi/>
        <w:adjustRightInd w:val="0"/>
        <w:spacing w:after="0" w:line="276" w:lineRule="auto"/>
        <w:rPr>
          <w:rFonts w:asciiTheme="minorBidi" w:hAnsiTheme="minorBidi"/>
          <w:sz w:val="25"/>
          <w:szCs w:val="25"/>
        </w:rPr>
      </w:pPr>
      <w:r w:rsidRPr="00C11B55">
        <w:rPr>
          <w:rFonts w:asciiTheme="minorBidi" w:hAnsiTheme="minorBidi"/>
          <w:b/>
          <w:bCs/>
          <w:sz w:val="25"/>
          <w:szCs w:val="25"/>
          <w:rtl/>
        </w:rPr>
        <w:t>תוצאות</w:t>
      </w:r>
      <w:r w:rsidRPr="00C11B55">
        <w:rPr>
          <w:rFonts w:asciiTheme="minorBidi" w:hAnsiTheme="minorBidi"/>
          <w:b/>
          <w:bCs/>
          <w:sz w:val="25"/>
          <w:szCs w:val="25"/>
          <w:rtl/>
          <w:lang w:bidi="he"/>
        </w:rPr>
        <w:t xml:space="preserve">: </w:t>
      </w:r>
      <w:r w:rsidRPr="00C11B55">
        <w:rPr>
          <w:rFonts w:asciiTheme="minorBidi" w:hAnsiTheme="minorBidi"/>
          <w:sz w:val="25"/>
          <w:szCs w:val="25"/>
          <w:rtl/>
        </w:rPr>
        <w:t xml:space="preserve">שיעור ההתקפים השנתי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(</w:t>
      </w:r>
      <w:r w:rsidRPr="00C11B55">
        <w:rPr>
          <w:rFonts w:asciiTheme="minorBidi" w:hAnsiTheme="minorBidi"/>
          <w:sz w:val="25"/>
          <w:szCs w:val="25"/>
        </w:rPr>
        <w:t>CLARITY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: </w:t>
      </w:r>
      <w:r w:rsidRPr="00C11B55">
        <w:rPr>
          <w:rFonts w:asciiTheme="minorBidi" w:hAnsiTheme="minorBidi"/>
          <w:sz w:val="25"/>
          <w:szCs w:val="25"/>
        </w:rPr>
        <w:t>CT3.5</w:t>
      </w:r>
      <w:r w:rsidRPr="00C11B55">
        <w:rPr>
          <w:rFonts w:asciiTheme="minorBidi" w:hAnsiTheme="minorBidi"/>
          <w:sz w:val="25"/>
          <w:szCs w:val="25"/>
          <w:rtl/>
        </w:rPr>
        <w:t xml:space="preserve"> ופלצבו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, </w:t>
      </w:r>
      <w:r w:rsidRPr="00C11B55">
        <w:rPr>
          <w:rFonts w:asciiTheme="minorBidi" w:hAnsiTheme="minorBidi"/>
          <w:sz w:val="25"/>
          <w:szCs w:val="25"/>
          <w:rtl/>
        </w:rPr>
        <w:t xml:space="preserve">מחקר ההארכה </w:t>
      </w:r>
      <w:r w:rsidRPr="00C11B55">
        <w:rPr>
          <w:rFonts w:asciiTheme="minorBidi" w:hAnsiTheme="minorBidi"/>
          <w:sz w:val="25"/>
          <w:szCs w:val="25"/>
        </w:rPr>
        <w:t>CLARITY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: </w:t>
      </w:r>
      <w:r w:rsidRPr="00C11B55">
        <w:rPr>
          <w:rFonts w:asciiTheme="minorBidi" w:hAnsiTheme="minorBidi"/>
          <w:sz w:val="25"/>
          <w:szCs w:val="25"/>
        </w:rPr>
        <w:t>CP3.5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) </w:t>
      </w:r>
      <w:r w:rsidRPr="00C11B55">
        <w:rPr>
          <w:rFonts w:asciiTheme="minorBidi" w:hAnsiTheme="minorBidi"/>
          <w:sz w:val="25"/>
          <w:szCs w:val="25"/>
          <w:rtl/>
        </w:rPr>
        <w:t>המתאים להיכלל במחקר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, </w:t>
      </w:r>
      <w:r w:rsidRPr="00C11B55">
        <w:rPr>
          <w:rFonts w:asciiTheme="minorBidi" w:hAnsiTheme="minorBidi"/>
          <w:sz w:val="25"/>
          <w:szCs w:val="25"/>
          <w:rtl/>
        </w:rPr>
        <w:t>וכל</w:t>
      </w:r>
      <w:bookmarkStart w:id="0" w:name="_GoBack"/>
      <w:bookmarkEnd w:id="0"/>
      <w:r w:rsidRPr="00C11B55">
        <w:rPr>
          <w:rFonts w:asciiTheme="minorBidi" w:hAnsiTheme="minorBidi"/>
          <w:sz w:val="25"/>
          <w:szCs w:val="25"/>
          <w:rtl/>
        </w:rPr>
        <w:t xml:space="preserve"> ההתקפים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(</w:t>
      </w:r>
      <w:r w:rsidRPr="00C11B55">
        <w:rPr>
          <w:rFonts w:asciiTheme="minorBidi" w:hAnsiTheme="minorBidi"/>
          <w:sz w:val="25"/>
          <w:szCs w:val="25"/>
          <w:rtl/>
        </w:rPr>
        <w:t>המתאימים ושאינם מתאימים להיכלל במחקר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) </w:t>
      </w:r>
      <w:r w:rsidRPr="00C11B55">
        <w:rPr>
          <w:rFonts w:asciiTheme="minorBidi" w:hAnsiTheme="minorBidi"/>
          <w:sz w:val="25"/>
          <w:szCs w:val="25"/>
          <w:rtl/>
        </w:rPr>
        <w:t xml:space="preserve">שהתרחשו עד שבוע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96 </w:t>
      </w:r>
      <w:r w:rsidRPr="00C11B55">
        <w:rPr>
          <w:rFonts w:asciiTheme="minorBidi" w:hAnsiTheme="minorBidi"/>
          <w:sz w:val="25"/>
          <w:szCs w:val="25"/>
          <w:rtl/>
        </w:rPr>
        <w:t xml:space="preserve">וההתקפים המחייבים אשפוז או טיפול בסטרואידים מוצגים בטבלה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1. </w:t>
      </w:r>
      <w:r w:rsidRPr="00C11B55">
        <w:rPr>
          <w:rFonts w:asciiTheme="minorBidi" w:hAnsiTheme="minorBidi"/>
          <w:sz w:val="25"/>
          <w:szCs w:val="25"/>
          <w:rtl/>
        </w:rPr>
        <w:t xml:space="preserve">במחקר </w:t>
      </w:r>
      <w:r w:rsidRPr="00C11B55">
        <w:rPr>
          <w:rFonts w:asciiTheme="minorBidi" w:hAnsiTheme="minorBidi"/>
          <w:sz w:val="25"/>
          <w:szCs w:val="25"/>
        </w:rPr>
        <w:t>CLARITY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 (</w:t>
      </w:r>
      <w:r w:rsidRPr="00C11B55">
        <w:rPr>
          <w:rFonts w:asciiTheme="minorBidi" w:hAnsiTheme="minorBidi"/>
          <w:sz w:val="25"/>
          <w:szCs w:val="25"/>
        </w:rPr>
        <w:t>CT3.5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; </w:t>
      </w:r>
      <w:r w:rsidRPr="00C11B55">
        <w:rPr>
          <w:rFonts w:asciiTheme="minorBidi" w:hAnsiTheme="minorBidi"/>
          <w:sz w:val="25"/>
          <w:szCs w:val="25"/>
        </w:rPr>
        <w:t>N=433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), </w:t>
      </w:r>
      <w:r w:rsidRPr="00C11B55">
        <w:rPr>
          <w:rFonts w:asciiTheme="minorBidi" w:hAnsiTheme="minorBidi"/>
          <w:sz w:val="25"/>
          <w:szCs w:val="25"/>
          <w:rtl/>
        </w:rPr>
        <w:t xml:space="preserve">שיעור ההתקפים השנתי עבור התקפים המתאימים להיכלל במחקר היה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0.15; </w:t>
      </w:r>
      <w:r w:rsidRPr="00C11B55">
        <w:rPr>
          <w:rFonts w:asciiTheme="minorBidi" w:hAnsiTheme="minorBidi"/>
          <w:sz w:val="25"/>
          <w:szCs w:val="25"/>
          <w:rtl/>
        </w:rPr>
        <w:t xml:space="preserve">ועבור פלצבו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(</w:t>
      </w:r>
      <w:r w:rsidRPr="00C11B55">
        <w:rPr>
          <w:rFonts w:asciiTheme="minorBidi" w:hAnsiTheme="minorBidi"/>
          <w:sz w:val="25"/>
          <w:szCs w:val="25"/>
        </w:rPr>
        <w:t>N=437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) </w:t>
      </w:r>
      <w:r w:rsidRPr="00C11B55">
        <w:rPr>
          <w:rFonts w:asciiTheme="minorBidi" w:hAnsiTheme="minorBidi"/>
          <w:sz w:val="25"/>
          <w:szCs w:val="25"/>
          <w:rtl/>
        </w:rPr>
        <w:t xml:space="preserve">היה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0.35. </w:t>
      </w:r>
      <w:r w:rsidRPr="00C11B55">
        <w:rPr>
          <w:rFonts w:asciiTheme="minorBidi" w:hAnsiTheme="minorBidi"/>
          <w:sz w:val="25"/>
          <w:szCs w:val="25"/>
          <w:rtl/>
        </w:rPr>
        <w:t xml:space="preserve">מחקר ההארכה </w:t>
      </w:r>
      <w:r w:rsidRPr="00C11B55">
        <w:rPr>
          <w:rFonts w:asciiTheme="minorBidi" w:hAnsiTheme="minorBidi"/>
          <w:sz w:val="25"/>
          <w:szCs w:val="25"/>
        </w:rPr>
        <w:t>CLARITY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: </w:t>
      </w:r>
      <w:r w:rsidRPr="00C11B55">
        <w:rPr>
          <w:rFonts w:asciiTheme="minorBidi" w:hAnsiTheme="minorBidi"/>
          <w:sz w:val="25"/>
          <w:szCs w:val="25"/>
          <w:rtl/>
        </w:rPr>
        <w:t xml:space="preserve">שיעור ההתקפים השנתי עבור התקפים המתאימים להיכלל במחקר ושהתרחשו במטופלים שקיבלו </w:t>
      </w:r>
      <w:r w:rsidRPr="00C11B55">
        <w:rPr>
          <w:rFonts w:asciiTheme="minorBidi" w:hAnsiTheme="minorBidi"/>
          <w:sz w:val="25"/>
          <w:szCs w:val="25"/>
        </w:rPr>
        <w:t>CP3.5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 (</w:t>
      </w:r>
      <w:r w:rsidRPr="00C11B55">
        <w:rPr>
          <w:rFonts w:asciiTheme="minorBidi" w:hAnsiTheme="minorBidi"/>
          <w:sz w:val="25"/>
          <w:szCs w:val="25"/>
        </w:rPr>
        <w:t>N=98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) </w:t>
      </w:r>
      <w:r w:rsidRPr="00C11B55">
        <w:rPr>
          <w:rFonts w:asciiTheme="minorBidi" w:hAnsiTheme="minorBidi"/>
          <w:sz w:val="25"/>
          <w:szCs w:val="25"/>
          <w:rtl/>
        </w:rPr>
        <w:t xml:space="preserve">עד שבוע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96 </w:t>
      </w:r>
      <w:r w:rsidRPr="00C11B55">
        <w:rPr>
          <w:rFonts w:asciiTheme="minorBidi" w:hAnsiTheme="minorBidi"/>
          <w:sz w:val="25"/>
          <w:szCs w:val="25"/>
          <w:rtl/>
        </w:rPr>
        <w:t xml:space="preserve">היה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0.14. </w:t>
      </w:r>
      <w:r w:rsidRPr="00C11B55">
        <w:rPr>
          <w:rFonts w:asciiTheme="minorBidi" w:hAnsiTheme="minorBidi"/>
          <w:sz w:val="25"/>
          <w:szCs w:val="25"/>
          <w:rtl/>
        </w:rPr>
        <w:t xml:space="preserve">במטופלים שקיבלו </w:t>
      </w:r>
      <w:r w:rsidRPr="00C11B55">
        <w:rPr>
          <w:rFonts w:asciiTheme="minorBidi" w:hAnsiTheme="minorBidi"/>
          <w:sz w:val="25"/>
          <w:szCs w:val="25"/>
        </w:rPr>
        <w:t>CT3.5</w:t>
      </w:r>
      <w:r w:rsidRPr="00C11B55">
        <w:rPr>
          <w:rFonts w:asciiTheme="minorBidi" w:hAnsiTheme="minorBidi"/>
          <w:sz w:val="25"/>
          <w:szCs w:val="25"/>
          <w:rtl/>
        </w:rPr>
        <w:t xml:space="preserve"> במחקר </w:t>
      </w:r>
      <w:r w:rsidRPr="00C11B55">
        <w:rPr>
          <w:rFonts w:asciiTheme="minorBidi" w:hAnsiTheme="minorBidi"/>
          <w:sz w:val="25"/>
          <w:szCs w:val="25"/>
        </w:rPr>
        <w:t>CLARITY</w:t>
      </w:r>
      <w:r w:rsidRPr="00C11B55">
        <w:rPr>
          <w:rFonts w:asciiTheme="minorBidi" w:hAnsiTheme="minorBidi"/>
          <w:sz w:val="25"/>
          <w:szCs w:val="25"/>
          <w:rtl/>
        </w:rPr>
        <w:t xml:space="preserve"> ושקיבלו </w:t>
      </w:r>
      <w:r w:rsidRPr="00C11B55">
        <w:rPr>
          <w:rFonts w:asciiTheme="minorBidi" w:hAnsiTheme="minorBidi"/>
          <w:sz w:val="25"/>
          <w:szCs w:val="25"/>
        </w:rPr>
        <w:t>CP3.5</w:t>
      </w:r>
      <w:r w:rsidRPr="00C11B55">
        <w:rPr>
          <w:rFonts w:asciiTheme="minorBidi" w:hAnsiTheme="minorBidi"/>
          <w:sz w:val="25"/>
          <w:szCs w:val="25"/>
          <w:rtl/>
        </w:rPr>
        <w:t xml:space="preserve"> במחקר ההארכה </w:t>
      </w:r>
      <w:r w:rsidRPr="00C11B55">
        <w:rPr>
          <w:rFonts w:asciiTheme="minorBidi" w:hAnsiTheme="minorBidi"/>
          <w:sz w:val="25"/>
          <w:szCs w:val="25"/>
        </w:rPr>
        <w:t>CLARITY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, </w:t>
      </w:r>
      <w:r w:rsidRPr="00C11B55">
        <w:rPr>
          <w:rFonts w:asciiTheme="minorBidi" w:hAnsiTheme="minorBidi"/>
          <w:sz w:val="25"/>
          <w:szCs w:val="25"/>
          <w:rtl/>
        </w:rPr>
        <w:t>שיעור ההתקפים השנתי לגבי כל ההתקפים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, </w:t>
      </w:r>
      <w:r w:rsidRPr="00C11B55">
        <w:rPr>
          <w:rFonts w:asciiTheme="minorBidi" w:hAnsiTheme="minorBidi"/>
          <w:sz w:val="25"/>
          <w:szCs w:val="25"/>
          <w:rtl/>
        </w:rPr>
        <w:t>וכן לגבי ההתקפים שגרמו לאשפוז או חייבו טיפול בסטרואידים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, </w:t>
      </w:r>
      <w:r w:rsidRPr="00C11B55">
        <w:rPr>
          <w:rFonts w:asciiTheme="minorBidi" w:hAnsiTheme="minorBidi"/>
          <w:sz w:val="25"/>
          <w:szCs w:val="25"/>
          <w:rtl/>
        </w:rPr>
        <w:t xml:space="preserve">היה נמוך יחסית לשיעורים שנמצאו לגבי פלצבו במחקר </w:t>
      </w:r>
      <w:r w:rsidRPr="00C11B55">
        <w:rPr>
          <w:rFonts w:asciiTheme="minorBidi" w:hAnsiTheme="minorBidi"/>
          <w:sz w:val="25"/>
          <w:szCs w:val="25"/>
        </w:rPr>
        <w:t>CLARITY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.</w:t>
      </w:r>
    </w:p>
    <w:p w:rsidR="009E6D9D" w:rsidRPr="00C11B55" w:rsidRDefault="009E6D9D" w:rsidP="00856324">
      <w:pPr>
        <w:autoSpaceDE w:val="0"/>
        <w:autoSpaceDN w:val="0"/>
        <w:bidi/>
        <w:adjustRightInd w:val="0"/>
        <w:spacing w:after="0" w:line="276" w:lineRule="auto"/>
        <w:rPr>
          <w:rFonts w:asciiTheme="minorBidi" w:hAnsiTheme="minorBidi"/>
          <w:sz w:val="25"/>
          <w:szCs w:val="25"/>
        </w:rPr>
      </w:pPr>
      <w:r w:rsidRPr="00C11B55">
        <w:rPr>
          <w:rFonts w:asciiTheme="minorBidi" w:hAnsiTheme="minorBidi"/>
          <w:b/>
          <w:bCs/>
          <w:sz w:val="25"/>
          <w:szCs w:val="25"/>
          <w:rtl/>
        </w:rPr>
        <w:t>מסקנה</w:t>
      </w:r>
      <w:r w:rsidRPr="00C11B55">
        <w:rPr>
          <w:rFonts w:asciiTheme="minorBidi" w:hAnsiTheme="minorBidi"/>
          <w:b/>
          <w:bCs/>
          <w:sz w:val="25"/>
          <w:szCs w:val="25"/>
          <w:rtl/>
          <w:lang w:bidi="he"/>
        </w:rPr>
        <w:t xml:space="preserve">: </w:t>
      </w:r>
      <w:r w:rsidRPr="00C11B55">
        <w:rPr>
          <w:rFonts w:asciiTheme="minorBidi" w:hAnsiTheme="minorBidi"/>
          <w:sz w:val="25"/>
          <w:szCs w:val="25"/>
          <w:rtl/>
        </w:rPr>
        <w:t xml:space="preserve">במחקר </w:t>
      </w:r>
      <w:r w:rsidRPr="00C11B55">
        <w:rPr>
          <w:rFonts w:asciiTheme="minorBidi" w:hAnsiTheme="minorBidi"/>
          <w:sz w:val="25"/>
          <w:szCs w:val="25"/>
        </w:rPr>
        <w:t>CLARITY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, </w:t>
      </w:r>
      <w:r w:rsidRPr="00C11B55">
        <w:rPr>
          <w:rFonts w:asciiTheme="minorBidi" w:hAnsiTheme="minorBidi"/>
          <w:sz w:val="25"/>
          <w:szCs w:val="25"/>
        </w:rPr>
        <w:t>CT3.5</w:t>
      </w:r>
      <w:r w:rsidRPr="00C11B55">
        <w:rPr>
          <w:rFonts w:asciiTheme="minorBidi" w:hAnsiTheme="minorBidi"/>
          <w:sz w:val="25"/>
          <w:szCs w:val="25"/>
          <w:rtl/>
        </w:rPr>
        <w:t xml:space="preserve"> היה יעיל נגד התקפים לעומת פלצבו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, </w:t>
      </w:r>
      <w:r w:rsidRPr="00C11B55">
        <w:rPr>
          <w:rFonts w:asciiTheme="minorBidi" w:hAnsiTheme="minorBidi"/>
          <w:sz w:val="25"/>
          <w:szCs w:val="25"/>
          <w:rtl/>
        </w:rPr>
        <w:t>בלי קשר לסוג ההתקף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. </w:t>
      </w:r>
      <w:r w:rsidRPr="00C11B55">
        <w:rPr>
          <w:rFonts w:asciiTheme="minorBidi" w:hAnsiTheme="minorBidi"/>
          <w:sz w:val="25"/>
          <w:szCs w:val="25"/>
          <w:rtl/>
        </w:rPr>
        <w:t xml:space="preserve">תדירות ההתקפים בשבוע 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96 </w:t>
      </w:r>
      <w:r w:rsidRPr="00C11B55">
        <w:rPr>
          <w:rFonts w:asciiTheme="minorBidi" w:hAnsiTheme="minorBidi"/>
          <w:sz w:val="25"/>
          <w:szCs w:val="25"/>
          <w:rtl/>
        </w:rPr>
        <w:t xml:space="preserve">במחקר ההארכה </w:t>
      </w:r>
      <w:r w:rsidRPr="00C11B55">
        <w:rPr>
          <w:rFonts w:asciiTheme="minorBidi" w:hAnsiTheme="minorBidi"/>
          <w:sz w:val="25"/>
          <w:szCs w:val="25"/>
        </w:rPr>
        <w:t>CLARITY</w:t>
      </w:r>
      <w:r w:rsidRPr="00C11B55">
        <w:rPr>
          <w:rFonts w:asciiTheme="minorBidi" w:hAnsiTheme="minorBidi"/>
          <w:sz w:val="25"/>
          <w:szCs w:val="25"/>
          <w:rtl/>
        </w:rPr>
        <w:t xml:space="preserve"> הייתה דומה לתדירותם במטופלים שקיבלו </w:t>
      </w:r>
      <w:r w:rsidRPr="00C11B55">
        <w:rPr>
          <w:rFonts w:asciiTheme="minorBidi" w:hAnsiTheme="minorBidi"/>
          <w:sz w:val="25"/>
          <w:szCs w:val="25"/>
        </w:rPr>
        <w:t>CT3.5</w:t>
      </w:r>
      <w:r w:rsidRPr="00C11B55">
        <w:rPr>
          <w:rFonts w:asciiTheme="minorBidi" w:hAnsiTheme="minorBidi"/>
          <w:sz w:val="25"/>
          <w:szCs w:val="25"/>
          <w:rtl/>
        </w:rPr>
        <w:t xml:space="preserve"> במחקר </w:t>
      </w:r>
      <w:r w:rsidRPr="00C11B55">
        <w:rPr>
          <w:rFonts w:asciiTheme="minorBidi" w:hAnsiTheme="minorBidi"/>
          <w:sz w:val="25"/>
          <w:szCs w:val="25"/>
        </w:rPr>
        <w:t>CLARITY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 (</w:t>
      </w:r>
      <w:r w:rsidRPr="00C11B55">
        <w:rPr>
          <w:rFonts w:asciiTheme="minorBidi" w:hAnsiTheme="minorBidi"/>
          <w:sz w:val="25"/>
          <w:szCs w:val="25"/>
          <w:rtl/>
        </w:rPr>
        <w:t>אין השוואה רשמית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).</w:t>
      </w:r>
    </w:p>
    <w:p w:rsidR="009E6D9D" w:rsidRPr="00C11B55" w:rsidRDefault="009E6D9D" w:rsidP="00856324">
      <w:pPr>
        <w:autoSpaceDE w:val="0"/>
        <w:autoSpaceDN w:val="0"/>
        <w:bidi/>
        <w:adjustRightInd w:val="0"/>
        <w:spacing w:after="0" w:line="276" w:lineRule="auto"/>
        <w:rPr>
          <w:rFonts w:asciiTheme="minorBidi" w:hAnsiTheme="minorBidi"/>
          <w:sz w:val="32"/>
          <w:szCs w:val="32"/>
        </w:rPr>
      </w:pPr>
      <w:r w:rsidRPr="00C11B55">
        <w:rPr>
          <w:rFonts w:asciiTheme="minorBidi" w:hAnsiTheme="minorBidi"/>
          <w:sz w:val="25"/>
          <w:szCs w:val="25"/>
          <w:rtl/>
        </w:rPr>
        <w:t xml:space="preserve">שיעור ההתקפים במטופלים שקיבלו </w:t>
      </w:r>
      <w:r w:rsidRPr="00C11B55">
        <w:rPr>
          <w:rFonts w:asciiTheme="minorBidi" w:hAnsiTheme="minorBidi"/>
          <w:sz w:val="25"/>
          <w:szCs w:val="25"/>
        </w:rPr>
        <w:t>CP3.5</w:t>
      </w:r>
      <w:r w:rsidRPr="00C11B55">
        <w:rPr>
          <w:rFonts w:asciiTheme="minorBidi" w:hAnsiTheme="minorBidi"/>
          <w:sz w:val="25"/>
          <w:szCs w:val="25"/>
          <w:rtl/>
        </w:rPr>
        <w:t xml:space="preserve"> במחקר ההארכה </w:t>
      </w:r>
      <w:r w:rsidRPr="00C11B55">
        <w:rPr>
          <w:rFonts w:asciiTheme="minorBidi" w:hAnsiTheme="minorBidi"/>
          <w:sz w:val="25"/>
          <w:szCs w:val="25"/>
        </w:rPr>
        <w:t>CLARITY</w:t>
      </w:r>
      <w:r w:rsidRPr="00C11B55">
        <w:rPr>
          <w:rFonts w:asciiTheme="minorBidi" w:hAnsiTheme="minorBidi"/>
          <w:sz w:val="25"/>
          <w:szCs w:val="25"/>
          <w:rtl/>
        </w:rPr>
        <w:t xml:space="preserve"> היה נמוך במיוחד לעומת שיעור ההתקפים במטופלים שקיבלו פלצבו במחקר </w:t>
      </w:r>
      <w:r w:rsidRPr="00C11B55">
        <w:rPr>
          <w:rFonts w:asciiTheme="minorBidi" w:hAnsiTheme="minorBidi"/>
          <w:sz w:val="25"/>
          <w:szCs w:val="25"/>
        </w:rPr>
        <w:t>CLARITY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. </w:t>
      </w:r>
      <w:r w:rsidRPr="00C11B55">
        <w:rPr>
          <w:rFonts w:asciiTheme="minorBidi" w:hAnsiTheme="minorBidi"/>
          <w:sz w:val="25"/>
          <w:szCs w:val="25"/>
          <w:rtl/>
        </w:rPr>
        <w:t xml:space="preserve">מכאן עולה שהיעילות שהודגמה במחקר </w:t>
      </w:r>
      <w:r w:rsidRPr="00C11B55">
        <w:rPr>
          <w:rFonts w:asciiTheme="minorBidi" w:hAnsiTheme="minorBidi"/>
          <w:sz w:val="25"/>
          <w:szCs w:val="25"/>
        </w:rPr>
        <w:t>CLARITY</w:t>
      </w:r>
      <w:r w:rsidRPr="00C11B55">
        <w:rPr>
          <w:rFonts w:asciiTheme="minorBidi" w:hAnsiTheme="minorBidi"/>
          <w:sz w:val="25"/>
          <w:szCs w:val="25"/>
          <w:rtl/>
        </w:rPr>
        <w:t xml:space="preserve"> נשמרה לגבי כל סוג של התקף במחקר ההארכה </w:t>
      </w:r>
      <w:r w:rsidRPr="00C11B55">
        <w:rPr>
          <w:rFonts w:asciiTheme="minorBidi" w:hAnsiTheme="minorBidi"/>
          <w:sz w:val="25"/>
          <w:szCs w:val="25"/>
        </w:rPr>
        <w:t>CLARITY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 xml:space="preserve">, </w:t>
      </w:r>
      <w:r w:rsidRPr="00C11B55">
        <w:rPr>
          <w:rFonts w:asciiTheme="minorBidi" w:hAnsiTheme="minorBidi"/>
          <w:sz w:val="25"/>
          <w:szCs w:val="25"/>
          <w:rtl/>
        </w:rPr>
        <w:t>ללא טיפול נוסף</w:t>
      </w:r>
      <w:r w:rsidRPr="00C11B55">
        <w:rPr>
          <w:rFonts w:asciiTheme="minorBidi" w:hAnsiTheme="minorBidi"/>
          <w:sz w:val="25"/>
          <w:szCs w:val="25"/>
          <w:rtl/>
          <w:lang w:bidi="he"/>
        </w:rPr>
        <w:t>.</w:t>
      </w:r>
    </w:p>
    <w:sectPr w:rsidR="009E6D9D" w:rsidRPr="00C11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9D"/>
    <w:rsid w:val="000234BB"/>
    <w:rsid w:val="00051053"/>
    <w:rsid w:val="00260FDB"/>
    <w:rsid w:val="00481899"/>
    <w:rsid w:val="00856324"/>
    <w:rsid w:val="009E3BA5"/>
    <w:rsid w:val="009E6D9D"/>
    <w:rsid w:val="00AE7412"/>
    <w:rsid w:val="00C1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8BC2B-86AA-4C5A-BD32-4E40D968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329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Avivit Pilosof</dc:creator>
  <cp:keywords/>
  <dc:description/>
  <cp:lastModifiedBy>Linguist</cp:lastModifiedBy>
  <cp:revision>6</cp:revision>
  <dcterms:created xsi:type="dcterms:W3CDTF">2019-06-26T10:53:00Z</dcterms:created>
  <dcterms:modified xsi:type="dcterms:W3CDTF">2019-11-12T16:07:00Z</dcterms:modified>
</cp:coreProperties>
</file>