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E653" w14:textId="7912EEDB" w:rsidR="00E0759C" w:rsidRDefault="00E0759C" w:rsidP="00E0759C">
      <w:pPr>
        <w:pBdr>
          <w:bottom w:val="single" w:sz="4" w:space="1" w:color="auto"/>
        </w:pBdr>
        <w:jc w:val="both"/>
        <w:rPr>
          <w:rFonts w:ascii="Calibri" w:hAnsi="Calibri" w:cs="Calibri"/>
          <w:b/>
          <w:bCs/>
          <w:lang w:val="en-US"/>
        </w:rPr>
      </w:pPr>
      <w:r>
        <w:rPr>
          <w:rFonts w:ascii="Calibri" w:hAnsi="Calibri" w:cs="Calibri"/>
          <w:b/>
          <w:bCs/>
          <w:lang w:val="en-US"/>
        </w:rPr>
        <w:t>2021-16 T_</w:t>
      </w:r>
      <w:r w:rsidR="00345C40">
        <w:rPr>
          <w:rFonts w:ascii="Calibri" w:hAnsi="Calibri" w:cs="Calibri"/>
          <w:b/>
          <w:bCs/>
          <w:lang w:val="en-US"/>
        </w:rPr>
        <w:t>RL</w:t>
      </w:r>
      <w:r>
        <w:rPr>
          <w:rFonts w:ascii="Calibri" w:hAnsi="Calibri" w:cs="Calibri"/>
          <w:b/>
          <w:bCs/>
          <w:lang w:val="en-US"/>
        </w:rPr>
        <w:t xml:space="preserve"> – additional text sent with ‘Abstract Jake Lynch’ – October 2021</w:t>
      </w:r>
      <w:r w:rsidR="00345C40">
        <w:rPr>
          <w:rFonts w:ascii="Calibri" w:hAnsi="Calibri" w:cs="Calibri"/>
          <w:b/>
          <w:bCs/>
          <w:lang w:val="en-US"/>
        </w:rPr>
        <w:t xml:space="preserve"> – SOURCE</w:t>
      </w:r>
    </w:p>
    <w:p w14:paraId="0440FA23" w14:textId="77777777" w:rsidR="00E0759C" w:rsidRDefault="00E0759C" w:rsidP="00E0759C">
      <w:pPr>
        <w:jc w:val="both"/>
        <w:rPr>
          <w:rFonts w:ascii="Calibri" w:hAnsi="Calibri" w:cs="Calibri"/>
          <w:b/>
          <w:bCs/>
          <w:lang w:val="en-US"/>
        </w:rPr>
      </w:pPr>
    </w:p>
    <w:p w14:paraId="1714DE7B" w14:textId="7DFCB3FF" w:rsidR="00E0759C" w:rsidRPr="00686F79" w:rsidRDefault="00E0759C" w:rsidP="00E0759C">
      <w:pPr>
        <w:jc w:val="both"/>
        <w:rPr>
          <w:rFonts w:ascii="Calibri" w:hAnsi="Calibri" w:cs="Calibri"/>
          <w:b/>
          <w:bCs/>
          <w:lang w:val="en-US"/>
        </w:rPr>
      </w:pPr>
      <w:commentRangeStart w:id="0"/>
      <w:r w:rsidRPr="00686F79">
        <w:rPr>
          <w:rFonts w:ascii="Calibri" w:hAnsi="Calibri" w:cs="Calibri"/>
          <w:b/>
          <w:bCs/>
          <w:lang w:val="en-US"/>
        </w:rPr>
        <w:t xml:space="preserve">Kintsugi als Sinnbild für Vergangenheistarbeit </w:t>
      </w:r>
      <w:commentRangeEnd w:id="0"/>
      <w:r>
        <w:rPr>
          <w:rStyle w:val="CommentReference"/>
        </w:rPr>
        <w:commentReference w:id="0"/>
      </w:r>
    </w:p>
    <w:p w14:paraId="16A7D161" w14:textId="77777777" w:rsidR="00E0759C" w:rsidRPr="00686F79" w:rsidRDefault="00E0759C" w:rsidP="00E0759C">
      <w:pPr>
        <w:jc w:val="both"/>
        <w:rPr>
          <w:rFonts w:ascii="Calibri" w:hAnsi="Calibri" w:cs="Calibri"/>
          <w:lang w:val="en-US"/>
        </w:rPr>
      </w:pPr>
    </w:p>
    <w:p w14:paraId="3F182EA9" w14:textId="77777777" w:rsidR="00E0759C" w:rsidRPr="00686F79" w:rsidRDefault="00E0759C" w:rsidP="00E0759C">
      <w:pPr>
        <w:jc w:val="both"/>
        <w:rPr>
          <w:rFonts w:ascii="Calibri" w:hAnsi="Calibri" w:cs="Calibri"/>
          <w:lang w:val="en-US"/>
        </w:rPr>
      </w:pPr>
      <w:r w:rsidRPr="00686F79">
        <w:rPr>
          <w:rFonts w:ascii="Calibri" w:hAnsi="Calibri" w:cs="Calibri"/>
          <w:lang w:val="en-US"/>
        </w:rPr>
        <w:t xml:space="preserve">Den Praktiken des Kintsugi wohnt ein schönes Sinnbild für den Umgang mit Brüchen in der Vergangenheit inne. Vor 500 Jahren wurde diese Kustform nach den ästhetischen Prinizipien der Wabi Sabi (Zen-Buddhiusmus) entwickelt und sucht die unperfekte und verhüllte Schönheit sichtbar zu machen: </w:t>
      </w:r>
    </w:p>
    <w:p w14:paraId="1DC2DA9F" w14:textId="77777777" w:rsidR="00E0759C" w:rsidRPr="00686F79" w:rsidRDefault="00E0759C" w:rsidP="00E0759C">
      <w:pPr>
        <w:jc w:val="both"/>
        <w:rPr>
          <w:rFonts w:ascii="Calibri" w:hAnsi="Calibri" w:cs="Calibri"/>
          <w:lang w:val="en-US"/>
        </w:rPr>
      </w:pPr>
    </w:p>
    <w:p w14:paraId="5749B557" w14:textId="77777777" w:rsidR="00E0759C" w:rsidRPr="00686F79" w:rsidRDefault="00E0759C" w:rsidP="00E0759C">
      <w:pPr>
        <w:jc w:val="both"/>
        <w:rPr>
          <w:rFonts w:ascii="Calibri" w:hAnsi="Calibri" w:cs="Calibri"/>
          <w:lang w:val="en-US"/>
        </w:rPr>
      </w:pPr>
      <w:r w:rsidRPr="00686F79">
        <w:rPr>
          <w:rFonts w:ascii="Calibri" w:hAnsi="Calibri" w:cs="Calibri"/>
          <w:lang w:val="en-US"/>
        </w:rPr>
        <w:t>Die Scherben einer in der Vergangenheit zerbrochenen Vase werden mit Urushi-Lack wieder zusammengefügt, wobei diesem Gold, Silber oder Platin als feinem Pulver beigemengt sind.</w:t>
      </w:r>
    </w:p>
    <w:p w14:paraId="41BEB18F" w14:textId="77777777" w:rsidR="00E0759C" w:rsidRPr="00686F79" w:rsidRDefault="00E0759C" w:rsidP="00E0759C">
      <w:pPr>
        <w:jc w:val="both"/>
        <w:rPr>
          <w:rFonts w:ascii="Calibri" w:hAnsi="Calibri" w:cs="Calibri"/>
          <w:lang w:val="en-US"/>
        </w:rPr>
      </w:pPr>
    </w:p>
    <w:p w14:paraId="4BAE8474" w14:textId="77777777" w:rsidR="00E0759C" w:rsidRPr="00686F79" w:rsidRDefault="00E0759C" w:rsidP="00E0759C">
      <w:pPr>
        <w:jc w:val="both"/>
        <w:rPr>
          <w:rFonts w:ascii="Calibri" w:hAnsi="Calibri" w:cs="Calibri"/>
          <w:lang w:val="en-US"/>
        </w:rPr>
      </w:pPr>
      <w:r w:rsidRPr="00686F79">
        <w:rPr>
          <w:rFonts w:ascii="Calibri" w:hAnsi="Calibri" w:cs="Calibri"/>
          <w:lang w:val="en-US"/>
        </w:rPr>
        <w:t>So werden nicht nur frühere - sinnbildliche – Wunden sichtbar gemacht und verschlossen, sondern sie werden darüberhinaus als vertvoll für das weitere Leben anerkannt und gefeiert.</w:t>
      </w:r>
    </w:p>
    <w:p w14:paraId="011C3740" w14:textId="77777777" w:rsidR="00E0759C" w:rsidRPr="00686F79" w:rsidRDefault="00E0759C" w:rsidP="00E0759C">
      <w:pPr>
        <w:jc w:val="both"/>
        <w:rPr>
          <w:rFonts w:ascii="Calibri" w:hAnsi="Calibri" w:cs="Calibri"/>
          <w:lang w:val="en-US"/>
        </w:rPr>
      </w:pPr>
    </w:p>
    <w:p w14:paraId="32805550" w14:textId="77777777" w:rsidR="00E0759C" w:rsidRPr="00686F79" w:rsidRDefault="00E0759C" w:rsidP="00E0759C">
      <w:pPr>
        <w:jc w:val="both"/>
        <w:rPr>
          <w:rFonts w:ascii="Calibri" w:hAnsi="Calibri" w:cs="Calibri"/>
          <w:lang w:val="en-US"/>
        </w:rPr>
      </w:pPr>
      <w:r w:rsidRPr="00686F79">
        <w:rPr>
          <w:rFonts w:ascii="Calibri" w:hAnsi="Calibri" w:cs="Calibri"/>
          <w:lang w:val="en-US"/>
        </w:rPr>
        <w:t>Anstatt eine Rückkehr zu einem vermeindlich ursprünglichen Zustand zu postulieren, macht uns die erneut zusammengefügte Vase nun in ihrer schönen Unperfektheit Freude und erzählt mit ihren vergoldeten Narben von ihrer Vergangengeit.</w:t>
      </w:r>
    </w:p>
    <w:p w14:paraId="0055A759" w14:textId="77777777" w:rsidR="00E0759C" w:rsidRPr="00686F79" w:rsidRDefault="00E0759C" w:rsidP="00E0759C">
      <w:pPr>
        <w:jc w:val="both"/>
        <w:rPr>
          <w:rFonts w:ascii="Calibri" w:hAnsi="Calibri" w:cs="Calibri"/>
          <w:lang w:val="en-US"/>
        </w:rPr>
      </w:pPr>
    </w:p>
    <w:p w14:paraId="7101B2AB" w14:textId="77777777" w:rsidR="00E0759C" w:rsidRPr="00686F79" w:rsidRDefault="00E0759C" w:rsidP="00E0759C">
      <w:pPr>
        <w:jc w:val="both"/>
        <w:rPr>
          <w:rFonts w:ascii="Calibri" w:hAnsi="Calibri" w:cs="Calibri"/>
          <w:lang w:val="en-US"/>
        </w:rPr>
      </w:pPr>
      <w:r w:rsidRPr="00686F79">
        <w:rPr>
          <w:rFonts w:ascii="Calibri" w:hAnsi="Calibri" w:cs="Calibri"/>
          <w:lang w:val="en-US"/>
        </w:rPr>
        <w:t>Auch im Umgang mit in der Vergangenheit erlebten Gewalt innerhalb von (bewaffneten) Konflikten, ihrer Entwicklungsgeschichte und Ursachenkonstellation kann nichts ungeschehen gemacht – nicht zu einer “Normalität – zurückgekehrt werden. Vielmehr geht es darum, wie in der Konflikttransformation im Allgemeinen, lebensbejahende Formen zu finden, die es erlauben mit den politischen Konsequenzen und tiefgeschlagenen Wunden im menschlichen Miteinander konstruktiver umzugehen. Den Narben bzw. den Erfahrungen aus der Konfliktvergangenheit inherhänt sind Lessons Learned, neue Perspektiven und kreative Ansätze für friedenspolitisches Design und praktische Massnahmen.</w:t>
      </w:r>
    </w:p>
    <w:p w14:paraId="69304E8E" w14:textId="77777777" w:rsidR="00E0759C" w:rsidRPr="00686F79" w:rsidRDefault="00E0759C" w:rsidP="00E0759C">
      <w:pPr>
        <w:jc w:val="both"/>
        <w:rPr>
          <w:rFonts w:ascii="Calibri" w:hAnsi="Calibri" w:cs="Calibri"/>
          <w:lang w:val="en-US"/>
        </w:rPr>
      </w:pPr>
    </w:p>
    <w:p w14:paraId="7D429AF0" w14:textId="77777777" w:rsidR="00E0759C" w:rsidRPr="00686F79" w:rsidRDefault="00E0759C" w:rsidP="00E0759C">
      <w:pPr>
        <w:jc w:val="both"/>
        <w:rPr>
          <w:rFonts w:ascii="Calibri" w:hAnsi="Calibri" w:cs="Calibri"/>
          <w:b/>
          <w:bCs/>
          <w:lang w:val="en-US"/>
        </w:rPr>
      </w:pPr>
      <w:r w:rsidRPr="00686F79">
        <w:rPr>
          <w:rFonts w:ascii="Calibri" w:hAnsi="Calibri" w:cs="Calibri"/>
          <w:b/>
          <w:bCs/>
          <w:lang w:val="en-US"/>
        </w:rPr>
        <w:t>Vergangenheitsarbeit als Friedensinstrument</w:t>
      </w:r>
    </w:p>
    <w:p w14:paraId="7F3EE4F7" w14:textId="77777777" w:rsidR="00E0759C" w:rsidRPr="00686F79" w:rsidRDefault="00E0759C" w:rsidP="00E0759C">
      <w:pPr>
        <w:jc w:val="both"/>
        <w:rPr>
          <w:rFonts w:ascii="Calibri" w:eastAsia="Times New Roman" w:hAnsi="Calibri" w:cs="Calibri"/>
          <w:lang w:val="en-US"/>
        </w:rPr>
      </w:pPr>
      <w:r w:rsidRPr="00686F79">
        <w:rPr>
          <w:rFonts w:ascii="Calibri" w:hAnsi="Calibri" w:cs="Calibri"/>
          <w:lang w:val="en-US"/>
        </w:rPr>
        <w:t xml:space="preserve">Beim Rückblick auf die Fortschritte, die Vergangenheitsarbeit (DwP) als Instrument des </w:t>
      </w:r>
      <w:r w:rsidRPr="00686F79">
        <w:rPr>
          <w:rFonts w:ascii="Calibri" w:hAnsi="Calibri" w:cs="Calibri"/>
          <w:lang w:val="de-DE"/>
        </w:rPr>
        <w:t>weltweiten Friedensengagements durchlief, sollte auf die relativ kurze Dauer verwiesen werden, die dieses Handlungsfeld brauchte, um sich zu etablieren.</w:t>
      </w:r>
      <w:r w:rsidRPr="00686F79">
        <w:rPr>
          <w:rStyle w:val="FootnoteReference"/>
          <w:rFonts w:ascii="Calibri" w:hAnsi="Calibri" w:cs="Calibri"/>
          <w:lang w:val="de-DE"/>
        </w:rPr>
        <w:footnoteReference w:id="1"/>
      </w:r>
    </w:p>
    <w:p w14:paraId="2AE2DAA2" w14:textId="77777777" w:rsidR="00E0759C" w:rsidRPr="00686F79" w:rsidRDefault="00E0759C" w:rsidP="00E0759C">
      <w:pPr>
        <w:jc w:val="both"/>
        <w:rPr>
          <w:rFonts w:ascii="Calibri" w:eastAsia="Times New Roman" w:hAnsi="Calibri" w:cs="Calibri"/>
          <w:lang w:val="en-US"/>
        </w:rPr>
      </w:pPr>
    </w:p>
    <w:p w14:paraId="5BEA38EA" w14:textId="77777777" w:rsidR="00E0759C" w:rsidRPr="00686F79" w:rsidRDefault="00E0759C" w:rsidP="00E0759C">
      <w:pPr>
        <w:jc w:val="both"/>
        <w:rPr>
          <w:rFonts w:ascii="Calibri" w:eastAsia="Times New Roman" w:hAnsi="Calibri" w:cs="Calibri"/>
          <w:lang w:val="en-US"/>
        </w:rPr>
      </w:pPr>
      <w:r w:rsidRPr="00686F79">
        <w:rPr>
          <w:rFonts w:ascii="Calibri" w:eastAsia="Times New Roman" w:hAnsi="Calibri" w:cs="Calibri"/>
          <w:lang w:val="en-US"/>
        </w:rPr>
        <w:t xml:space="preserve">Nicht nur bewirkten die im Bereich der </w:t>
      </w:r>
      <w:r w:rsidRPr="00686F79">
        <w:rPr>
          <w:rFonts w:ascii="Calibri" w:hAnsi="Calibri" w:cs="Calibri"/>
          <w:lang w:val="de-DE"/>
        </w:rPr>
        <w:t xml:space="preserve">DwP und Transitional Justice (TJ) geführten </w:t>
      </w:r>
      <w:r w:rsidRPr="00686F79">
        <w:rPr>
          <w:rFonts w:ascii="Calibri" w:eastAsia="Times New Roman" w:hAnsi="Calibri" w:cs="Calibri"/>
          <w:lang w:val="en-US"/>
        </w:rPr>
        <w:t xml:space="preserve">Diskussionen und Erfahrungen </w:t>
      </w:r>
      <w:r>
        <w:rPr>
          <w:rFonts w:ascii="Calibri" w:eastAsia="Times New Roman" w:hAnsi="Calibri" w:cs="Calibri"/>
          <w:lang w:val="en-US"/>
        </w:rPr>
        <w:t xml:space="preserve">zu </w:t>
      </w:r>
      <w:r w:rsidRPr="00686F79">
        <w:rPr>
          <w:rFonts w:ascii="Calibri" w:hAnsi="Calibri" w:cs="Calibri"/>
          <w:lang w:val="de-DE"/>
        </w:rPr>
        <w:t>eine</w:t>
      </w:r>
      <w:r>
        <w:rPr>
          <w:rFonts w:ascii="Calibri" w:hAnsi="Calibri" w:cs="Calibri"/>
          <w:lang w:val="de-DE"/>
        </w:rPr>
        <w:t>m</w:t>
      </w:r>
      <w:r w:rsidRPr="00686F79">
        <w:rPr>
          <w:rFonts w:ascii="Calibri" w:hAnsi="Calibri" w:cs="Calibri"/>
          <w:lang w:val="de-DE"/>
        </w:rPr>
        <w:t xml:space="preserve"> politischen Normenwandel in der internationalen Friedenspolitik, indem sie sich u.a. in </w:t>
      </w:r>
      <w:hyperlink r:id="rId10" w:history="1">
        <w:r w:rsidRPr="00686F79">
          <w:rPr>
            <w:rStyle w:val="Hyperlink"/>
            <w:rFonts w:ascii="Calibri" w:hAnsi="Calibri" w:cs="Calibri"/>
            <w:lang w:val="de-DE"/>
          </w:rPr>
          <w:t>Konzepten</w:t>
        </w:r>
      </w:hyperlink>
      <w:r w:rsidRPr="00686F79">
        <w:rPr>
          <w:rFonts w:ascii="Calibri" w:hAnsi="Calibri" w:cs="Calibri"/>
          <w:lang w:val="de-DE"/>
        </w:rPr>
        <w:t xml:space="preserve"> und internationalen Resolutionen niederschlugen, sondern sie materialisieren sich auch in der alltäglichen Praxis der Konflikttransformation.</w:t>
      </w:r>
      <w:r w:rsidRPr="00686F79">
        <w:rPr>
          <w:rStyle w:val="FootnoteReference"/>
          <w:rFonts w:ascii="Calibri" w:hAnsi="Calibri" w:cs="Calibri"/>
          <w:lang w:val="de-DE"/>
        </w:rPr>
        <w:footnoteReference w:id="2"/>
      </w:r>
      <w:r w:rsidRPr="00686F79">
        <w:rPr>
          <w:rFonts w:ascii="Calibri" w:hAnsi="Calibri" w:cs="Calibri"/>
          <w:lang w:val="de-DE"/>
        </w:rPr>
        <w:t xml:space="preserve"> </w:t>
      </w:r>
    </w:p>
    <w:p w14:paraId="43964E76" w14:textId="77777777" w:rsidR="00E0759C" w:rsidRPr="00686F79" w:rsidRDefault="00E0759C" w:rsidP="00E0759C">
      <w:pPr>
        <w:jc w:val="both"/>
        <w:rPr>
          <w:rFonts w:ascii="Calibri" w:hAnsi="Calibri" w:cs="Calibri"/>
          <w:lang w:val="de-DE"/>
        </w:rPr>
      </w:pPr>
    </w:p>
    <w:p w14:paraId="784CDC75" w14:textId="77777777" w:rsidR="00E0759C" w:rsidRPr="00686F79" w:rsidRDefault="00E0759C" w:rsidP="00E0759C">
      <w:pPr>
        <w:jc w:val="both"/>
        <w:rPr>
          <w:rFonts w:ascii="Calibri" w:hAnsi="Calibri" w:cs="Calibri"/>
          <w:lang w:val="de-DE"/>
        </w:rPr>
      </w:pPr>
      <w:r w:rsidRPr="00686F79">
        <w:rPr>
          <w:rFonts w:ascii="Calibri" w:hAnsi="Calibri" w:cs="Calibri"/>
          <w:lang w:val="de-DE"/>
        </w:rPr>
        <w:lastRenderedPageBreak/>
        <w:t>….</w:t>
      </w:r>
    </w:p>
    <w:p w14:paraId="37B25B4E" w14:textId="77777777" w:rsidR="00E0759C" w:rsidRPr="00686F79" w:rsidRDefault="00E0759C" w:rsidP="00E0759C">
      <w:pPr>
        <w:jc w:val="both"/>
        <w:rPr>
          <w:rFonts w:ascii="Calibri" w:hAnsi="Calibri" w:cs="Calibri"/>
          <w:lang w:val="de-DE"/>
        </w:rPr>
      </w:pPr>
    </w:p>
    <w:p w14:paraId="5065A144" w14:textId="77777777" w:rsidR="00E0759C" w:rsidRPr="00686F79" w:rsidRDefault="00E0759C" w:rsidP="00E0759C">
      <w:pPr>
        <w:jc w:val="both"/>
        <w:rPr>
          <w:rFonts w:ascii="Calibri" w:hAnsi="Calibri" w:cs="Calibri"/>
          <w:b/>
          <w:bCs/>
          <w:lang w:val="de-DE"/>
        </w:rPr>
      </w:pPr>
      <w:r w:rsidRPr="00686F79">
        <w:rPr>
          <w:rFonts w:ascii="Calibri" w:hAnsi="Calibri" w:cs="Calibri"/>
          <w:b/>
          <w:bCs/>
          <w:lang w:val="de-DE"/>
        </w:rPr>
        <w:t>Impulse für die Vergangenheitsarbeit</w:t>
      </w:r>
    </w:p>
    <w:p w14:paraId="65E8970D" w14:textId="77777777" w:rsidR="00E0759C" w:rsidRPr="00686F79" w:rsidRDefault="00E0759C" w:rsidP="00E0759C">
      <w:pPr>
        <w:pStyle w:val="NormalWeb"/>
        <w:spacing w:before="0" w:beforeAutospacing="0" w:after="0" w:afterAutospacing="0"/>
        <w:jc w:val="both"/>
        <w:rPr>
          <w:rFonts w:ascii="Calibri" w:hAnsi="Calibri" w:cs="Calibri"/>
          <w:lang w:val="de-DE"/>
        </w:rPr>
      </w:pPr>
    </w:p>
    <w:p w14:paraId="26F7B666" w14:textId="77777777" w:rsidR="00E0759C" w:rsidRPr="00686F79" w:rsidRDefault="00E0759C" w:rsidP="00E0759C">
      <w:pPr>
        <w:pStyle w:val="NormalWeb"/>
        <w:spacing w:before="0" w:beforeAutospacing="0" w:after="0" w:afterAutospacing="0"/>
        <w:jc w:val="both"/>
        <w:rPr>
          <w:rFonts w:ascii="Calibri" w:hAnsi="Calibri" w:cs="Calibri"/>
          <w:lang w:val="en-US"/>
        </w:rPr>
      </w:pPr>
      <w:r w:rsidRPr="00686F79">
        <w:rPr>
          <w:rFonts w:ascii="Calibri" w:hAnsi="Calibri" w:cs="Calibri"/>
          <w:lang w:val="en-US"/>
        </w:rPr>
        <w:t>Jene thematischen Arbeitslinen, Programme und Projekte, die dem Handlungsfeld dealing with the past inhaltlich seine Form geben, können allerdings ein sehr staatszentriertes und Institutionen-verliebtes Unterfangen beschreiben. In der Praxis wirft dies mindestens drei Probleme auf:</w:t>
      </w:r>
    </w:p>
    <w:p w14:paraId="081D3762" w14:textId="77777777" w:rsidR="00E0759C" w:rsidRPr="00686F79" w:rsidRDefault="00E0759C" w:rsidP="00E0759C">
      <w:pPr>
        <w:pStyle w:val="NormalWeb"/>
        <w:spacing w:before="0" w:beforeAutospacing="0" w:after="0" w:afterAutospacing="0"/>
        <w:jc w:val="both"/>
        <w:rPr>
          <w:rFonts w:ascii="Calibri" w:hAnsi="Calibri" w:cs="Calibri"/>
          <w:lang w:val="en-US"/>
        </w:rPr>
      </w:pPr>
    </w:p>
    <w:p w14:paraId="63E25349" w14:textId="77777777" w:rsidR="00E0759C" w:rsidRPr="00686F79" w:rsidRDefault="00E0759C" w:rsidP="00E0759C">
      <w:pPr>
        <w:pStyle w:val="NormalWeb"/>
        <w:spacing w:before="0" w:beforeAutospacing="0" w:after="0" w:afterAutospacing="0"/>
        <w:jc w:val="both"/>
        <w:rPr>
          <w:rFonts w:ascii="Calibri" w:hAnsi="Calibri" w:cs="Calibri"/>
          <w:lang w:val="de-DE"/>
        </w:rPr>
      </w:pPr>
      <w:r w:rsidRPr="00686F79">
        <w:rPr>
          <w:rFonts w:ascii="Calibri" w:hAnsi="Calibri" w:cs="Calibri"/>
          <w:lang w:val="en-US"/>
        </w:rPr>
        <w:tab/>
        <w:t xml:space="preserve">Die Wirkung von DwP-Instrumenten wird von den gesellschaftlichen Kontexten </w:t>
      </w:r>
      <w:hyperlink r:id="rId11" w:history="1">
        <w:r w:rsidRPr="00686F79">
          <w:rPr>
            <w:rStyle w:val="Hyperlink"/>
            <w:rFonts w:ascii="Calibri" w:hAnsi="Calibri" w:cs="Calibri"/>
            <w:lang w:val="en-US"/>
          </w:rPr>
          <w:t>determiniert</w:t>
        </w:r>
      </w:hyperlink>
      <w:r w:rsidRPr="00686F79">
        <w:rPr>
          <w:rFonts w:ascii="Calibri" w:hAnsi="Calibri" w:cs="Calibri"/>
          <w:lang w:val="en-US"/>
        </w:rPr>
        <w:t xml:space="preserve">, in denen sie ansetzen. In manchen </w:t>
      </w:r>
      <w:r w:rsidRPr="00686F79">
        <w:rPr>
          <w:rFonts w:ascii="Calibri" w:hAnsi="Calibri" w:cs="Calibri"/>
          <w:lang w:val="de-DE"/>
        </w:rPr>
        <w:t>sogenannten “post-autoritären” Transitionsprozessen bestehen institutionelle Vorbedingungen für den erfolgreichen Einsatz von vergangenheitspolitischen Maßnahmen noch, wie z.B. eine</w:t>
      </w:r>
      <w:r>
        <w:rPr>
          <w:rFonts w:ascii="Calibri" w:hAnsi="Calibri" w:cs="Calibri"/>
          <w:lang w:val="de-DE"/>
        </w:rPr>
        <w:t xml:space="preserve"> relativ </w:t>
      </w:r>
      <w:r w:rsidRPr="00686F79">
        <w:rPr>
          <w:rFonts w:ascii="Calibri" w:hAnsi="Calibri" w:cs="Calibri"/>
          <w:lang w:val="de-DE"/>
        </w:rPr>
        <w:t>funktion</w:t>
      </w:r>
      <w:r>
        <w:rPr>
          <w:rFonts w:ascii="Calibri" w:hAnsi="Calibri" w:cs="Calibri"/>
          <w:lang w:val="de-DE"/>
        </w:rPr>
        <w:t>stüchtige</w:t>
      </w:r>
      <w:r w:rsidRPr="00686F79">
        <w:rPr>
          <w:rFonts w:ascii="Calibri" w:hAnsi="Calibri" w:cs="Calibri"/>
          <w:lang w:val="de-DE"/>
        </w:rPr>
        <w:t xml:space="preserve"> Justiz und Strafrechtsbehörden. In Ländern, in denen langanhaltende bewaffnete Konflikte stattfanden, sind diese administrativen Strukturen z.T. </w:t>
      </w:r>
      <w:r>
        <w:rPr>
          <w:rFonts w:ascii="Calibri" w:hAnsi="Calibri" w:cs="Calibri"/>
          <w:lang w:val="de-DE"/>
        </w:rPr>
        <w:t xml:space="preserve">in ihrer Funktionsweise so ausgehöhlt, dass sie keine brauchbaren Ergebnisse mehr zeitigen können oder </w:t>
      </w:r>
      <w:r w:rsidRPr="00686F79">
        <w:rPr>
          <w:rFonts w:ascii="Calibri" w:hAnsi="Calibri" w:cs="Calibri"/>
          <w:lang w:val="de-DE"/>
        </w:rPr>
        <w:t>gar nicht mehr vorhanden</w:t>
      </w:r>
      <w:r>
        <w:rPr>
          <w:rFonts w:ascii="Calibri" w:hAnsi="Calibri" w:cs="Calibri"/>
          <w:lang w:val="de-DE"/>
        </w:rPr>
        <w:t xml:space="preserve"> sind</w:t>
      </w:r>
      <w:r w:rsidRPr="00686F79">
        <w:rPr>
          <w:rFonts w:ascii="Calibri" w:hAnsi="Calibri" w:cs="Calibri"/>
          <w:lang w:val="de-DE"/>
        </w:rPr>
        <w:t>.</w:t>
      </w:r>
    </w:p>
    <w:p w14:paraId="7CA2098F" w14:textId="77777777" w:rsidR="00E0759C" w:rsidRPr="007D4D36" w:rsidRDefault="00E0759C" w:rsidP="00E0759C">
      <w:pPr>
        <w:pStyle w:val="NormalWeb"/>
        <w:spacing w:before="0" w:beforeAutospacing="0" w:after="0" w:afterAutospacing="0"/>
        <w:jc w:val="both"/>
        <w:rPr>
          <w:rFonts w:ascii="Calibri" w:hAnsi="Calibri" w:cs="Calibri"/>
          <w:lang w:val="de-DE"/>
        </w:rPr>
      </w:pPr>
    </w:p>
    <w:p w14:paraId="6F559E52" w14:textId="77777777" w:rsidR="00E0759C" w:rsidRPr="00686F79" w:rsidRDefault="00E0759C" w:rsidP="00E0759C">
      <w:pPr>
        <w:pStyle w:val="NormalWeb"/>
        <w:spacing w:before="0" w:beforeAutospacing="0" w:after="0" w:afterAutospacing="0"/>
        <w:ind w:firstLine="720"/>
        <w:jc w:val="both"/>
        <w:rPr>
          <w:rFonts w:ascii="Calibri" w:hAnsi="Calibri" w:cs="Calibri"/>
          <w:lang w:val="en-US"/>
        </w:rPr>
      </w:pPr>
      <w:r w:rsidRPr="00686F79">
        <w:rPr>
          <w:rFonts w:ascii="Calibri" w:hAnsi="Calibri" w:cs="Calibri"/>
          <w:lang w:val="en-US"/>
        </w:rPr>
        <w:t xml:space="preserve">Häufig scheint in einer Konflikttransformation der Fokus auf der Zusammenarbeit mit Institutionen zu liegen – in der Hoffnung, politische Instrumente der Vergangenheitsarbeit nachhaltiger und funktionsfähiger etablieren zu können. Allerdings steht diesem Vorgehen die Beobachtung der politischen Vereinnahmung gegenüber. Turnusmässige Personalwechsel und direktive Leitlinien in eben diesen neu geschaffenen, mit Vergangenheitsarbeit beauftragten, Institutionen können vorherige Erfolge Stück für Stück demontieren. Zum Beispiel die Arbeit von Gerichtshöfen, Wahrheitskommissionen, Ministerien, Erinnerungszentren, Museen usw. </w:t>
      </w:r>
    </w:p>
    <w:p w14:paraId="42A794DE" w14:textId="77777777" w:rsidR="00E0759C" w:rsidRPr="00686F79" w:rsidRDefault="00E0759C" w:rsidP="00E0759C">
      <w:pPr>
        <w:jc w:val="both"/>
        <w:rPr>
          <w:rFonts w:ascii="Calibri" w:hAnsi="Calibri" w:cs="Calibri"/>
          <w:lang w:val="en-US"/>
        </w:rPr>
      </w:pPr>
    </w:p>
    <w:p w14:paraId="3206E3D6" w14:textId="77777777" w:rsidR="00E0759C" w:rsidRPr="00686F79" w:rsidRDefault="00E0759C" w:rsidP="00E0759C">
      <w:pPr>
        <w:ind w:firstLine="720"/>
        <w:jc w:val="both"/>
        <w:rPr>
          <w:rFonts w:ascii="Calibri" w:hAnsi="Calibri" w:cs="Calibri"/>
          <w:lang w:val="en-US"/>
        </w:rPr>
      </w:pPr>
      <w:r w:rsidRPr="00686F79">
        <w:rPr>
          <w:rFonts w:ascii="Calibri" w:hAnsi="Calibri" w:cs="Calibri"/>
          <w:lang w:val="en-US"/>
        </w:rPr>
        <w:t>Vor dem letzterwähnten Hintergrund, ist es wichtig zu unterstreichen, dass eine Vielzahl von Impulsgeber*innen für Vergangenheitsarbeit nicht in staatlichen Institutionen zu finden sind, sondern aus der Zivilgesellschaft</w:t>
      </w:r>
      <w:r>
        <w:rPr>
          <w:rFonts w:ascii="Calibri" w:hAnsi="Calibri" w:cs="Calibri"/>
          <w:lang w:val="en-US"/>
        </w:rPr>
        <w:t xml:space="preserve">, </w:t>
      </w:r>
      <w:r w:rsidRPr="00686F79">
        <w:rPr>
          <w:rFonts w:ascii="Calibri" w:hAnsi="Calibri" w:cs="Calibri"/>
          <w:lang w:val="en-US"/>
        </w:rPr>
        <w:t>den Wissenschaft</w:t>
      </w:r>
      <w:r>
        <w:rPr>
          <w:rFonts w:ascii="Calibri" w:hAnsi="Calibri" w:cs="Calibri"/>
          <w:lang w:val="en-US"/>
        </w:rPr>
        <w:t>en oder engangierten Gemeinden</w:t>
      </w:r>
      <w:r w:rsidRPr="00686F79">
        <w:rPr>
          <w:rFonts w:ascii="Calibri" w:hAnsi="Calibri" w:cs="Calibri"/>
          <w:lang w:val="en-US"/>
        </w:rPr>
        <w:t xml:space="preserve"> kommen. Ein Potential für die Stärkung von DwP Prozessen, d</w:t>
      </w:r>
      <w:r>
        <w:rPr>
          <w:rFonts w:ascii="Calibri" w:hAnsi="Calibri" w:cs="Calibri"/>
          <w:lang w:val="en-US"/>
        </w:rPr>
        <w:t>as</w:t>
      </w:r>
      <w:r w:rsidRPr="00686F79">
        <w:rPr>
          <w:rFonts w:ascii="Calibri" w:hAnsi="Calibri" w:cs="Calibri"/>
          <w:lang w:val="en-US"/>
        </w:rPr>
        <w:t xml:space="preserve"> durch eine Überbetonung </w:t>
      </w:r>
      <w:r>
        <w:rPr>
          <w:rFonts w:ascii="Calibri" w:hAnsi="Calibri" w:cs="Calibri"/>
          <w:lang w:val="en-US"/>
        </w:rPr>
        <w:t xml:space="preserve">von </w:t>
      </w:r>
      <w:r w:rsidRPr="00686F79">
        <w:rPr>
          <w:rFonts w:ascii="Calibri" w:hAnsi="Calibri" w:cs="Calibri"/>
          <w:lang w:val="en-US"/>
        </w:rPr>
        <w:t>staatliche</w:t>
      </w:r>
      <w:r>
        <w:rPr>
          <w:rFonts w:ascii="Calibri" w:hAnsi="Calibri" w:cs="Calibri"/>
          <w:lang w:val="en-US"/>
        </w:rPr>
        <w:t>n</w:t>
      </w:r>
      <w:r w:rsidRPr="00686F79">
        <w:rPr>
          <w:rFonts w:ascii="Calibri" w:hAnsi="Calibri" w:cs="Calibri"/>
          <w:lang w:val="en-US"/>
        </w:rPr>
        <w:t xml:space="preserve"> Akteure</w:t>
      </w:r>
      <w:r>
        <w:rPr>
          <w:rFonts w:ascii="Calibri" w:hAnsi="Calibri" w:cs="Calibri"/>
          <w:lang w:val="en-US"/>
        </w:rPr>
        <w:t>n</w:t>
      </w:r>
      <w:r w:rsidRPr="00686F79">
        <w:rPr>
          <w:rFonts w:ascii="Calibri" w:hAnsi="Calibri" w:cs="Calibri"/>
          <w:lang w:val="en-US"/>
        </w:rPr>
        <w:t xml:space="preserve"> in der vergangenheitspolitischen Zusammenarbeit ungenutzt bleiben würde.</w:t>
      </w:r>
    </w:p>
    <w:p w14:paraId="4D5F64C1" w14:textId="77777777" w:rsidR="00E0759C" w:rsidRPr="00686F79" w:rsidRDefault="00E0759C" w:rsidP="00E0759C">
      <w:pPr>
        <w:jc w:val="both"/>
        <w:rPr>
          <w:rFonts w:ascii="Calibri" w:hAnsi="Calibri" w:cs="Calibri"/>
          <w:lang w:val="en-US"/>
        </w:rPr>
      </w:pPr>
    </w:p>
    <w:p w14:paraId="5FA91C0C" w14:textId="77777777" w:rsidR="00E0759C" w:rsidRPr="007D4D36" w:rsidRDefault="00E0759C" w:rsidP="00E0759C">
      <w:pPr>
        <w:jc w:val="both"/>
        <w:rPr>
          <w:rFonts w:ascii="Calibri" w:hAnsi="Calibri" w:cs="Calibri"/>
          <w:lang w:val="en-US"/>
        </w:rPr>
      </w:pPr>
      <w:r w:rsidRPr="007D4D36">
        <w:rPr>
          <w:rFonts w:ascii="Calibri" w:hAnsi="Calibri" w:cs="Calibri"/>
          <w:lang w:val="en-US"/>
        </w:rPr>
        <w:t xml:space="preserve">…. </w:t>
      </w:r>
    </w:p>
    <w:p w14:paraId="75A5F3B0" w14:textId="77777777" w:rsidR="00E0759C" w:rsidRPr="007D4D36" w:rsidRDefault="00E0759C" w:rsidP="00E0759C">
      <w:pPr>
        <w:jc w:val="both"/>
        <w:rPr>
          <w:rFonts w:ascii="Calibri" w:hAnsi="Calibri" w:cs="Calibri"/>
          <w:lang w:val="en-US"/>
        </w:rPr>
      </w:pPr>
    </w:p>
    <w:p w14:paraId="7A82A663" w14:textId="77777777" w:rsidR="00E0759C" w:rsidRPr="00686F79" w:rsidRDefault="00E0759C" w:rsidP="00E0759C">
      <w:pPr>
        <w:jc w:val="both"/>
        <w:rPr>
          <w:rFonts w:ascii="Calibri" w:hAnsi="Calibri" w:cs="Calibri"/>
        </w:rPr>
      </w:pPr>
      <w:r>
        <w:rPr>
          <w:rFonts w:ascii="Calibri" w:hAnsi="Calibri" w:cs="Calibri"/>
          <w:lang w:val="de-DE"/>
        </w:rPr>
        <w:t xml:space="preserve">Die Bedeutung von </w:t>
      </w:r>
      <w:r w:rsidRPr="00686F79">
        <w:rPr>
          <w:rFonts w:ascii="Calibri" w:hAnsi="Calibri" w:cs="Calibri"/>
        </w:rPr>
        <w:t>Erinnerungsarbeit</w:t>
      </w:r>
      <w:r w:rsidRPr="00A06D5B">
        <w:rPr>
          <w:rFonts w:ascii="Calibri" w:hAnsi="Calibri" w:cs="Calibri"/>
          <w:lang w:val="en-US"/>
        </w:rPr>
        <w:t xml:space="preserve"> </w:t>
      </w:r>
      <w:r w:rsidRPr="00686F79">
        <w:rPr>
          <w:rFonts w:ascii="Calibri" w:hAnsi="Calibri" w:cs="Calibri"/>
          <w:lang w:val="en-US"/>
        </w:rPr>
        <w:t>als wichtige Komponente der Konflikttransformation und damit des Peacebuildings auf ein sogenanntes “</w:t>
      </w:r>
      <w:r w:rsidRPr="00686F79">
        <w:rPr>
          <w:rFonts w:ascii="Calibri" w:hAnsi="Calibri" w:cs="Calibri"/>
          <w:lang w:val="de-DE"/>
        </w:rPr>
        <w:t>Querschnittsthema“ zu reduzieren</w:t>
      </w:r>
      <w:r>
        <w:rPr>
          <w:rFonts w:ascii="Calibri" w:hAnsi="Calibri" w:cs="Calibri"/>
          <w:lang w:val="de-DE"/>
        </w:rPr>
        <w:t>,</w:t>
      </w:r>
      <w:r w:rsidRPr="00686F79">
        <w:rPr>
          <w:rFonts w:ascii="Calibri" w:hAnsi="Calibri" w:cs="Calibri"/>
          <w:lang w:val="de-DE"/>
        </w:rPr>
        <w:t xml:space="preserve"> muss vermieden werden. Zu groß ist die Gefahr, dass es damit in politischen Entscheidungsprozessen nachranging behandelt wird. Erinnerungsarbeit </w:t>
      </w:r>
      <w:r>
        <w:rPr>
          <w:rFonts w:ascii="Calibri" w:hAnsi="Calibri" w:cs="Calibri"/>
          <w:lang w:val="de-DE"/>
        </w:rPr>
        <w:t xml:space="preserve">sollte vielmehr </w:t>
      </w:r>
      <w:r w:rsidRPr="00686F79">
        <w:rPr>
          <w:rFonts w:ascii="Calibri" w:hAnsi="Calibri" w:cs="Calibri"/>
        </w:rPr>
        <w:t xml:space="preserve">als ein dezidiertes Handlunsgfeld innerhalb von Vergangenheitsarbeit und TJ definiert und explizit </w:t>
      </w:r>
      <w:r w:rsidRPr="00686F79">
        <w:rPr>
          <w:rFonts w:ascii="Calibri" w:hAnsi="Calibri" w:cs="Calibri"/>
          <w:lang w:val="en-US"/>
        </w:rPr>
        <w:t xml:space="preserve">in die entsprechende </w:t>
      </w:r>
      <w:r w:rsidRPr="00686F79">
        <w:rPr>
          <w:rFonts w:ascii="Calibri" w:hAnsi="Calibri" w:cs="Calibri"/>
          <w:lang w:val="de-DE"/>
        </w:rPr>
        <w:t>– sprich mit anderen Handlungsfeldern des Peacebuildings gleichwertige</w:t>
      </w:r>
      <w:r w:rsidRPr="00686F79">
        <w:rPr>
          <w:rFonts w:ascii="Calibri" w:hAnsi="Calibri" w:cs="Calibri"/>
        </w:rPr>
        <w:t xml:space="preserve"> </w:t>
      </w:r>
      <w:r w:rsidRPr="00686F79">
        <w:rPr>
          <w:rFonts w:ascii="Calibri" w:hAnsi="Calibri" w:cs="Calibri"/>
          <w:lang w:val="de-DE"/>
        </w:rPr>
        <w:t xml:space="preserve">- </w:t>
      </w:r>
      <w:r w:rsidRPr="00686F79">
        <w:rPr>
          <w:rFonts w:ascii="Calibri" w:hAnsi="Calibri" w:cs="Calibri"/>
        </w:rPr>
        <w:t>Ressourcenzuweisung einbezogen werden.</w:t>
      </w:r>
    </w:p>
    <w:p w14:paraId="3DA209FB" w14:textId="77777777" w:rsidR="009A16FF" w:rsidRPr="00E0759C" w:rsidRDefault="009A16FF">
      <w:pPr>
        <w:rPr>
          <w:b/>
          <w:bCs/>
        </w:rPr>
      </w:pPr>
    </w:p>
    <w:sectPr w:rsidR="009A16FF" w:rsidRPr="00E0759C">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usbeh Legatis" w:date="2021-10-22T09:54:00Z" w:initials="RL">
    <w:p w14:paraId="0136231F" w14:textId="77777777" w:rsidR="00E0759C" w:rsidRPr="00686F79" w:rsidRDefault="00E0759C" w:rsidP="00E0759C">
      <w:pPr>
        <w:pStyle w:val="CommentText"/>
        <w:rPr>
          <w:lang w:val="en-US"/>
        </w:rPr>
      </w:pPr>
      <w:r>
        <w:rPr>
          <w:rStyle w:val="CommentReference"/>
        </w:rPr>
        <w:annotationRef/>
      </w:r>
      <w:r w:rsidRPr="00686F79">
        <w:rPr>
          <w:lang w:val="en-US"/>
        </w:rPr>
        <w:t>Diese folgenden Textteile bitte auch übersezten, da</w:t>
      </w:r>
      <w:r>
        <w:rPr>
          <w:lang w:val="en-US"/>
        </w:rPr>
        <w:t>mit ich so schon einmal auf Englisch habe.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3623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C35CA" w16cex:dateUtc="2021-10-21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36231F" w16cid:durableId="251C35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EAB4" w14:textId="77777777" w:rsidR="009A140D" w:rsidRDefault="009A140D" w:rsidP="00E0759C">
      <w:r>
        <w:separator/>
      </w:r>
    </w:p>
  </w:endnote>
  <w:endnote w:type="continuationSeparator" w:id="0">
    <w:p w14:paraId="20665AFA" w14:textId="77777777" w:rsidR="009A140D" w:rsidRDefault="009A140D" w:rsidP="00E0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D3125" w14:textId="77777777" w:rsidR="009A140D" w:rsidRDefault="009A140D" w:rsidP="00E0759C">
      <w:r>
        <w:separator/>
      </w:r>
    </w:p>
  </w:footnote>
  <w:footnote w:type="continuationSeparator" w:id="0">
    <w:p w14:paraId="2CF316D4" w14:textId="77777777" w:rsidR="009A140D" w:rsidRDefault="009A140D" w:rsidP="00E0759C">
      <w:r>
        <w:continuationSeparator/>
      </w:r>
    </w:p>
  </w:footnote>
  <w:footnote w:id="1">
    <w:p w14:paraId="14EE192E" w14:textId="77777777" w:rsidR="00E0759C" w:rsidRPr="009829BB" w:rsidRDefault="00E0759C" w:rsidP="00E0759C">
      <w:pPr>
        <w:pStyle w:val="FootnoteText"/>
        <w:jc w:val="both"/>
        <w:rPr>
          <w:lang w:val="en-US"/>
        </w:rPr>
      </w:pPr>
      <w:r w:rsidRPr="009829BB">
        <w:rPr>
          <w:rStyle w:val="FootnoteReference"/>
        </w:rPr>
        <w:footnoteRef/>
      </w:r>
      <w:r w:rsidRPr="009829BB">
        <w:t xml:space="preserve"> </w:t>
      </w:r>
      <w:r w:rsidRPr="009829BB">
        <w:rPr>
          <w:lang w:val="en-US"/>
        </w:rPr>
        <w:t>S</w:t>
      </w:r>
      <w:r w:rsidRPr="009829BB">
        <w:t xml:space="preserve">o erläutert Pablo de Greiff, ehemaliger UN-Sonderberichterstatter für die Förderung von Wahrheit, Gerechtigkeit, Wiedergutmachung und Garantie der Nichtwiederholung, </w:t>
      </w:r>
      <w:r w:rsidRPr="009829BB">
        <w:rPr>
          <w:lang w:val="en-US"/>
        </w:rPr>
        <w:t xml:space="preserve">2019 </w:t>
      </w:r>
      <w:r w:rsidRPr="009829BB">
        <w:t>in einer Gastvorlesung an der NYU New York (https://www.law.nyu.edu/news/emilio-mignone-lecture-transitional-justice-pablo-de-greiff).</w:t>
      </w:r>
    </w:p>
  </w:footnote>
  <w:footnote w:id="2">
    <w:p w14:paraId="0D48C70B" w14:textId="77777777" w:rsidR="00E0759C" w:rsidRPr="009829BB" w:rsidRDefault="00E0759C" w:rsidP="00E0759C">
      <w:pPr>
        <w:pStyle w:val="FootnoteText"/>
        <w:jc w:val="both"/>
        <w:rPr>
          <w:lang w:val="en-US"/>
        </w:rPr>
      </w:pPr>
      <w:r w:rsidRPr="009829BB">
        <w:rPr>
          <w:rStyle w:val="FootnoteReference"/>
        </w:rPr>
        <w:footnoteRef/>
      </w:r>
      <w:r w:rsidRPr="009829BB">
        <w:t xml:space="preserve"> </w:t>
      </w:r>
      <w:r w:rsidRPr="009829BB">
        <w:rPr>
          <w:lang w:val="en-US"/>
        </w:rPr>
        <w:t>T</w:t>
      </w:r>
      <w:r w:rsidRPr="009829BB">
        <w:t>rotz konzeptioneller Unterschiede</w:t>
      </w:r>
      <w:r w:rsidRPr="009829BB">
        <w:rPr>
          <w:lang w:val="en-US"/>
        </w:rPr>
        <w:t xml:space="preserve"> werden die Begriffe </w:t>
      </w:r>
      <w:r w:rsidRPr="009829BB">
        <w:t xml:space="preserve">Vergangenheitsarbeit (Dealing with the Past, DwP) und Transitional Justice (TJ) im Folgenden </w:t>
      </w:r>
      <w:r w:rsidRPr="009829BB">
        <w:rPr>
          <w:lang w:val="en-US"/>
        </w:rPr>
        <w:t xml:space="preserve">aus Gründen der </w:t>
      </w:r>
      <w:r w:rsidRPr="009829BB">
        <w:t>Lesbarkeit gleich behandelt</w:t>
      </w:r>
      <w:r w:rsidRPr="009829BB">
        <w:rPr>
          <w:lang w:val="en-US"/>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usbeh Legatis">
    <w15:presenceInfo w15:providerId="Windows Live" w15:userId="18066bccea21e0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9C"/>
    <w:rsid w:val="002F1619"/>
    <w:rsid w:val="00303B08"/>
    <w:rsid w:val="00345C40"/>
    <w:rsid w:val="003B753C"/>
    <w:rsid w:val="00674F7C"/>
    <w:rsid w:val="006C3A58"/>
    <w:rsid w:val="009A140D"/>
    <w:rsid w:val="009A16FF"/>
    <w:rsid w:val="00D77A24"/>
    <w:rsid w:val="00E0759C"/>
    <w:rsid w:val="00EF0621"/>
    <w:rsid w:val="00F461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CDFF"/>
  <w15:chartTrackingRefBased/>
  <w15:docId w15:val="{EE74F450-DAA2-4C27-943E-16AE964A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59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59C"/>
    <w:rPr>
      <w:color w:val="0563C1" w:themeColor="hyperlink"/>
      <w:u w:val="single"/>
    </w:rPr>
  </w:style>
  <w:style w:type="paragraph" w:styleId="FootnoteText">
    <w:name w:val="footnote text"/>
    <w:basedOn w:val="Normal"/>
    <w:link w:val="FootnoteTextChar"/>
    <w:uiPriority w:val="99"/>
    <w:semiHidden/>
    <w:unhideWhenUsed/>
    <w:rsid w:val="00E0759C"/>
    <w:rPr>
      <w:sz w:val="20"/>
      <w:szCs w:val="20"/>
    </w:rPr>
  </w:style>
  <w:style w:type="character" w:customStyle="1" w:styleId="FootnoteTextChar">
    <w:name w:val="Footnote Text Char"/>
    <w:basedOn w:val="DefaultParagraphFont"/>
    <w:link w:val="FootnoteText"/>
    <w:uiPriority w:val="99"/>
    <w:semiHidden/>
    <w:rsid w:val="00E0759C"/>
    <w:rPr>
      <w:sz w:val="20"/>
      <w:szCs w:val="20"/>
    </w:rPr>
  </w:style>
  <w:style w:type="character" w:styleId="FootnoteReference">
    <w:name w:val="footnote reference"/>
    <w:basedOn w:val="DefaultParagraphFont"/>
    <w:uiPriority w:val="99"/>
    <w:semiHidden/>
    <w:unhideWhenUsed/>
    <w:rsid w:val="00E0759C"/>
    <w:rPr>
      <w:vertAlign w:val="superscript"/>
    </w:rPr>
  </w:style>
  <w:style w:type="paragraph" w:styleId="NormalWeb">
    <w:name w:val="Normal (Web)"/>
    <w:basedOn w:val="Normal"/>
    <w:uiPriority w:val="99"/>
    <w:unhideWhenUsed/>
    <w:rsid w:val="00E0759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0759C"/>
    <w:rPr>
      <w:sz w:val="16"/>
      <w:szCs w:val="16"/>
    </w:rPr>
  </w:style>
  <w:style w:type="paragraph" w:styleId="CommentText">
    <w:name w:val="annotation text"/>
    <w:basedOn w:val="Normal"/>
    <w:link w:val="CommentTextChar"/>
    <w:uiPriority w:val="99"/>
    <w:unhideWhenUsed/>
    <w:rsid w:val="00E0759C"/>
    <w:rPr>
      <w:sz w:val="20"/>
      <w:szCs w:val="20"/>
    </w:rPr>
  </w:style>
  <w:style w:type="character" w:customStyle="1" w:styleId="CommentTextChar">
    <w:name w:val="Comment Text Char"/>
    <w:basedOn w:val="DefaultParagraphFont"/>
    <w:link w:val="CommentText"/>
    <w:uiPriority w:val="99"/>
    <w:rsid w:val="00E075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www.ictj.org/justice-mosaics" TargetMode="External"/><Relationship Id="rId5" Type="http://schemas.openxmlformats.org/officeDocument/2006/relationships/endnotes" Target="endnotes.xml"/><Relationship Id="rId10" Type="http://schemas.openxmlformats.org/officeDocument/2006/relationships/hyperlink" Target="https://www.google.com/url?sa=t&amp;rct=j&amp;q=&amp;esrc=s&amp;source=web&amp;cd=&amp;ved=2ahUKEwiIr5Hp4M7wAhVSh-AKHcflAX8QFjAAegQIAxAD&amp;url=https%3A%2F%2Farchivesproject.swisspeace.ch%2Ffileadmin%2Fuser_upload%2Farchivesproject%2FPublications%2FDwP_Conceptual_Framework_October2012.pdf&amp;usg=AOvVaw2UebDi3B1daORrVBIbGdVT"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Elegant Owl</dc:creator>
  <cp:keywords/>
  <dc:description/>
  <cp:lastModifiedBy>The Elegant Owl</cp:lastModifiedBy>
  <cp:revision>2</cp:revision>
  <dcterms:created xsi:type="dcterms:W3CDTF">2021-10-26T00:38:00Z</dcterms:created>
  <dcterms:modified xsi:type="dcterms:W3CDTF">2022-02-10T06:17:00Z</dcterms:modified>
</cp:coreProperties>
</file>