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4D42" w14:textId="063B7506" w:rsidR="00E51475" w:rsidRPr="00E51475" w:rsidRDefault="00C338CC" w:rsidP="00E51475">
      <w:pPr>
        <w:pBdr>
          <w:bottom w:val="single" w:sz="6" w:space="1" w:color="auto"/>
        </w:pBdr>
        <w:spacing w:after="0"/>
        <w:rPr>
          <w:b/>
          <w:bCs/>
          <w:smallCaps/>
        </w:rPr>
      </w:pPr>
      <w:r>
        <w:rPr>
          <w:b/>
          <w:bCs/>
          <w:smallCaps/>
        </w:rPr>
        <w:t>portfolio</w:t>
      </w:r>
    </w:p>
    <w:p w14:paraId="74492407" w14:textId="34F82697" w:rsidR="00E51475" w:rsidRDefault="00E51475" w:rsidP="00E51475">
      <w:pPr>
        <w:spacing w:after="0"/>
      </w:pPr>
    </w:p>
    <w:p w14:paraId="3EE2A4F7" w14:textId="50A99D66" w:rsidR="00E51475" w:rsidRDefault="00E51475" w:rsidP="00E51475">
      <w:pPr>
        <w:spacing w:after="0"/>
      </w:pPr>
      <w:r>
        <w:t xml:space="preserve">All texts shared with permission. </w:t>
      </w:r>
    </w:p>
    <w:p w14:paraId="1B474FC5" w14:textId="39D577F2" w:rsidR="00E51475" w:rsidRDefault="00E51475" w:rsidP="00E51475">
      <w:pPr>
        <w:spacing w:after="0"/>
      </w:pPr>
    </w:p>
    <w:tbl>
      <w:tblPr>
        <w:tblStyle w:val="TableGrid"/>
        <w:tblW w:w="0" w:type="auto"/>
        <w:tblLook w:val="04A0" w:firstRow="1" w:lastRow="0" w:firstColumn="1" w:lastColumn="0" w:noHBand="0" w:noVBand="1"/>
      </w:tblPr>
      <w:tblGrid>
        <w:gridCol w:w="1838"/>
        <w:gridCol w:w="284"/>
        <w:gridCol w:w="1701"/>
      </w:tblGrid>
      <w:tr w:rsidR="002F2DA3" w14:paraId="06388323" w14:textId="77777777" w:rsidTr="002F2DA3">
        <w:trPr>
          <w:trHeight w:val="343"/>
        </w:trPr>
        <w:tc>
          <w:tcPr>
            <w:tcW w:w="1838" w:type="dxa"/>
            <w:vAlign w:val="center"/>
          </w:tcPr>
          <w:p w14:paraId="5F62773F" w14:textId="18455709" w:rsidR="002F2DA3" w:rsidRPr="002F2DA3" w:rsidRDefault="002F2DA3" w:rsidP="002F2DA3">
            <w:pPr>
              <w:jc w:val="center"/>
              <w:rPr>
                <w:sz w:val="18"/>
                <w:szCs w:val="18"/>
              </w:rPr>
            </w:pPr>
            <w:r w:rsidRPr="002F2DA3">
              <w:rPr>
                <w:sz w:val="18"/>
                <w:szCs w:val="18"/>
              </w:rPr>
              <w:t>FRENCH TO ENGLISH</w:t>
            </w:r>
          </w:p>
        </w:tc>
        <w:tc>
          <w:tcPr>
            <w:tcW w:w="284" w:type="dxa"/>
            <w:tcBorders>
              <w:top w:val="nil"/>
              <w:bottom w:val="nil"/>
            </w:tcBorders>
          </w:tcPr>
          <w:p w14:paraId="5F858A5F" w14:textId="77777777" w:rsidR="002F2DA3" w:rsidRPr="002F2DA3" w:rsidRDefault="002F2DA3" w:rsidP="002F2DA3">
            <w:pPr>
              <w:jc w:val="center"/>
              <w:rPr>
                <w:sz w:val="18"/>
                <w:szCs w:val="18"/>
              </w:rPr>
            </w:pPr>
          </w:p>
        </w:tc>
        <w:tc>
          <w:tcPr>
            <w:tcW w:w="1701" w:type="dxa"/>
            <w:vAlign w:val="center"/>
          </w:tcPr>
          <w:p w14:paraId="211A3A3A" w14:textId="4B78D35B" w:rsidR="002F2DA3" w:rsidRPr="002F2DA3" w:rsidRDefault="002F2DA3" w:rsidP="002F2DA3">
            <w:pPr>
              <w:jc w:val="center"/>
              <w:rPr>
                <w:sz w:val="18"/>
                <w:szCs w:val="18"/>
              </w:rPr>
            </w:pPr>
            <w:r w:rsidRPr="002F2DA3">
              <w:rPr>
                <w:sz w:val="18"/>
                <w:szCs w:val="18"/>
              </w:rPr>
              <w:t>MEDICAL</w:t>
            </w:r>
          </w:p>
        </w:tc>
      </w:tr>
    </w:tbl>
    <w:p w14:paraId="6FA8CD36" w14:textId="77777777" w:rsidR="002F2DA3" w:rsidRPr="004605E6" w:rsidRDefault="002F2DA3" w:rsidP="00E51475">
      <w:pPr>
        <w:spacing w:after="0"/>
        <w:rPr>
          <w:sz w:val="10"/>
          <w:szCs w:val="10"/>
        </w:rPr>
      </w:pPr>
    </w:p>
    <w:tbl>
      <w:tblPr>
        <w:tblStyle w:val="TableGrid"/>
        <w:tblW w:w="0" w:type="auto"/>
        <w:tblLook w:val="04A0" w:firstRow="1" w:lastRow="0" w:firstColumn="1" w:lastColumn="0" w:noHBand="0" w:noVBand="1"/>
      </w:tblPr>
      <w:tblGrid>
        <w:gridCol w:w="6974"/>
        <w:gridCol w:w="6974"/>
      </w:tblGrid>
      <w:tr w:rsidR="00E51475" w14:paraId="2FCF7539" w14:textId="77777777" w:rsidTr="007C20A9">
        <w:tc>
          <w:tcPr>
            <w:tcW w:w="6974" w:type="dxa"/>
          </w:tcPr>
          <w:p w14:paraId="3EAE22D6" w14:textId="5B03865B" w:rsidR="00D20EDB" w:rsidRDefault="00565B55" w:rsidP="007C20A9">
            <w:pPr>
              <w:rPr>
                <w:rFonts w:cstheme="minorHAnsi"/>
                <w:b/>
                <w:bCs/>
                <w:sz w:val="18"/>
                <w:szCs w:val="18"/>
                <w:lang w:val="fr-FR"/>
              </w:rPr>
            </w:pPr>
            <w:r>
              <w:rPr>
                <w:rFonts w:cstheme="minorHAnsi"/>
                <w:b/>
                <w:bCs/>
                <w:sz w:val="18"/>
                <w:szCs w:val="18"/>
                <w:lang w:val="fr-FR"/>
              </w:rPr>
              <w:t xml:space="preserve">Écho abdominale </w:t>
            </w:r>
          </w:p>
          <w:p w14:paraId="31464187" w14:textId="77777777" w:rsidR="00030C53" w:rsidRPr="00B651CD" w:rsidRDefault="00030C53" w:rsidP="007C20A9">
            <w:pPr>
              <w:rPr>
                <w:rFonts w:cstheme="minorHAnsi"/>
                <w:b/>
                <w:bCs/>
                <w:sz w:val="18"/>
                <w:szCs w:val="18"/>
                <w:lang w:val="fr-FR"/>
              </w:rPr>
            </w:pPr>
          </w:p>
          <w:p w14:paraId="33ACEE5F" w14:textId="77777777" w:rsidR="00E51475" w:rsidRPr="00D315D6" w:rsidRDefault="00E51475" w:rsidP="007C20A9">
            <w:pPr>
              <w:rPr>
                <w:rFonts w:cstheme="minorHAnsi"/>
                <w:i/>
                <w:iCs/>
                <w:sz w:val="18"/>
                <w:szCs w:val="18"/>
                <w:lang w:val="fr-FR"/>
              </w:rPr>
            </w:pPr>
            <w:r w:rsidRPr="00D315D6">
              <w:rPr>
                <w:rFonts w:cstheme="minorHAnsi"/>
                <w:i/>
                <w:iCs/>
                <w:sz w:val="18"/>
                <w:szCs w:val="18"/>
                <w:lang w:val="fr-FR"/>
              </w:rPr>
              <w:t>Examen réalisé avec un Échographe de marque GE Healthcare, modèle Logic E9, installé en ao</w:t>
            </w:r>
            <w:r>
              <w:rPr>
                <w:rFonts w:cstheme="minorHAnsi"/>
                <w:i/>
                <w:iCs/>
                <w:sz w:val="18"/>
                <w:szCs w:val="18"/>
                <w:lang w:val="fr-FR"/>
              </w:rPr>
              <w:t>û</w:t>
            </w:r>
            <w:r w:rsidRPr="00D315D6">
              <w:rPr>
                <w:rFonts w:cstheme="minorHAnsi"/>
                <w:i/>
                <w:iCs/>
                <w:sz w:val="18"/>
                <w:szCs w:val="18"/>
                <w:lang w:val="fr-FR"/>
              </w:rPr>
              <w:t xml:space="preserve">t 2013. </w:t>
            </w:r>
          </w:p>
          <w:p w14:paraId="0C418370" w14:textId="77777777" w:rsidR="00E51475" w:rsidRPr="00B651CD" w:rsidRDefault="00E51475" w:rsidP="007C20A9">
            <w:pPr>
              <w:rPr>
                <w:rFonts w:cstheme="minorHAnsi"/>
                <w:b/>
                <w:bCs/>
                <w:sz w:val="18"/>
                <w:szCs w:val="18"/>
                <w:lang w:val="fr-FR"/>
              </w:rPr>
            </w:pPr>
            <w:r w:rsidRPr="00B651CD">
              <w:rPr>
                <w:rFonts w:cstheme="minorHAnsi"/>
                <w:b/>
                <w:bCs/>
                <w:sz w:val="18"/>
                <w:szCs w:val="18"/>
                <w:lang w:val="fr-FR"/>
              </w:rPr>
              <w:t xml:space="preserve">Indication </w:t>
            </w:r>
          </w:p>
          <w:p w14:paraId="485C19C2"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Découverte de diabète. </w:t>
            </w:r>
          </w:p>
          <w:p w14:paraId="1054F88D" w14:textId="77777777" w:rsidR="00E51475" w:rsidRPr="00B651CD" w:rsidRDefault="00E51475" w:rsidP="007C20A9">
            <w:pPr>
              <w:rPr>
                <w:rFonts w:cstheme="minorHAnsi"/>
                <w:b/>
                <w:bCs/>
                <w:sz w:val="18"/>
                <w:szCs w:val="18"/>
                <w:lang w:val="fr-FR"/>
              </w:rPr>
            </w:pPr>
            <w:r w:rsidRPr="00B651CD">
              <w:rPr>
                <w:rFonts w:cstheme="minorHAnsi"/>
                <w:b/>
                <w:bCs/>
                <w:sz w:val="18"/>
                <w:szCs w:val="18"/>
                <w:lang w:val="fr-FR"/>
              </w:rPr>
              <w:t xml:space="preserve">Résultats </w:t>
            </w:r>
          </w:p>
          <w:p w14:paraId="26D0013B"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Foie homogène, de taille normale, présentant des bords réguliers sans lésion focale visible. </w:t>
            </w:r>
          </w:p>
          <w:p w14:paraId="14CBFD44" w14:textId="77777777" w:rsidR="00E51475" w:rsidRPr="00D315D6" w:rsidRDefault="00E51475" w:rsidP="007C20A9">
            <w:pPr>
              <w:rPr>
                <w:rFonts w:cstheme="minorHAnsi"/>
                <w:sz w:val="18"/>
                <w:szCs w:val="18"/>
                <w:lang w:val="fr-FR"/>
              </w:rPr>
            </w:pPr>
            <w:r w:rsidRPr="00D315D6">
              <w:rPr>
                <w:rFonts w:cstheme="minorHAnsi"/>
                <w:sz w:val="18"/>
                <w:szCs w:val="18"/>
                <w:lang w:val="fr-FR"/>
              </w:rPr>
              <w:t>La vésicule biliaire est alithiasique, a paroi</w:t>
            </w:r>
            <w:r>
              <w:rPr>
                <w:rFonts w:cstheme="minorHAnsi"/>
                <w:sz w:val="18"/>
                <w:szCs w:val="18"/>
                <w:lang w:val="fr-FR"/>
              </w:rPr>
              <w:t xml:space="preserve"> fine</w:t>
            </w:r>
            <w:r w:rsidRPr="00D315D6">
              <w:rPr>
                <w:rFonts w:cstheme="minorHAnsi"/>
                <w:sz w:val="18"/>
                <w:szCs w:val="18"/>
                <w:lang w:val="fr-FR"/>
              </w:rPr>
              <w:t xml:space="preserve"> et a contenu liquidien.</w:t>
            </w:r>
          </w:p>
          <w:p w14:paraId="70BFE275"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Les voies biliaires intra et extra-hépatiques ne sont pas dilatées. </w:t>
            </w:r>
          </w:p>
          <w:p w14:paraId="0C5F8AA8"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Le pancréas est homogène, présentant des bords réguliers sans dilatation du canal de Wirsung. </w:t>
            </w:r>
          </w:p>
          <w:p w14:paraId="48571517" w14:textId="6A6BE553" w:rsidR="00E51475" w:rsidRPr="00D315D6" w:rsidRDefault="00E51475" w:rsidP="007C20A9">
            <w:pPr>
              <w:rPr>
                <w:rFonts w:cstheme="minorHAnsi"/>
                <w:sz w:val="18"/>
                <w:szCs w:val="18"/>
                <w:lang w:val="fr-FR"/>
              </w:rPr>
            </w:pPr>
            <w:r w:rsidRPr="00D315D6">
              <w:rPr>
                <w:rFonts w:cstheme="minorHAnsi"/>
                <w:sz w:val="18"/>
                <w:szCs w:val="18"/>
                <w:lang w:val="fr-FR"/>
              </w:rPr>
              <w:t>Perméabilité du tronc porte</w:t>
            </w:r>
            <w:r w:rsidR="007D6295">
              <w:rPr>
                <w:rFonts w:cstheme="minorHAnsi"/>
                <w:sz w:val="18"/>
                <w:szCs w:val="18"/>
                <w:lang w:val="fr-FR"/>
              </w:rPr>
              <w:t>.</w:t>
            </w:r>
          </w:p>
          <w:p w14:paraId="4FD0E6D3"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Les deux reins sont de taille et situation normales, bien différenciés non dilates. </w:t>
            </w:r>
          </w:p>
          <w:p w14:paraId="1C3413D5" w14:textId="77777777" w:rsidR="00E51475" w:rsidRPr="00D315D6" w:rsidRDefault="00E51475" w:rsidP="007C20A9">
            <w:pPr>
              <w:rPr>
                <w:rFonts w:cstheme="minorHAnsi"/>
                <w:sz w:val="18"/>
                <w:szCs w:val="18"/>
                <w:lang w:val="fr-FR"/>
              </w:rPr>
            </w:pPr>
            <w:r w:rsidRPr="00D315D6">
              <w:rPr>
                <w:rFonts w:cstheme="minorHAnsi"/>
                <w:sz w:val="18"/>
                <w:szCs w:val="18"/>
                <w:lang w:val="fr-FR"/>
              </w:rPr>
              <w:t xml:space="preserve">Pas d’anomalie visible au niveau de la rate. Calibre normal de l’aorte abdominale et de ses branches de division. </w:t>
            </w:r>
          </w:p>
          <w:p w14:paraId="14E98A6E" w14:textId="77777777" w:rsidR="00E51475" w:rsidRDefault="00E51475" w:rsidP="007C20A9">
            <w:r w:rsidRPr="00D315D6">
              <w:rPr>
                <w:rFonts w:cstheme="minorHAnsi"/>
                <w:sz w:val="18"/>
                <w:szCs w:val="18"/>
                <w:lang w:val="fr-FR"/>
              </w:rPr>
              <w:t>Pas d’épanchement liquidien intrapéritonéal.</w:t>
            </w:r>
            <w:r w:rsidRPr="00D315D6">
              <w:rPr>
                <w:rFonts w:cstheme="minorHAnsi"/>
                <w:sz w:val="18"/>
                <w:szCs w:val="18"/>
              </w:rPr>
              <w:t xml:space="preserve"> </w:t>
            </w:r>
          </w:p>
        </w:tc>
        <w:tc>
          <w:tcPr>
            <w:tcW w:w="6974" w:type="dxa"/>
          </w:tcPr>
          <w:p w14:paraId="22755BC1" w14:textId="3E66D735" w:rsidR="00D20EDB" w:rsidRDefault="00565B55" w:rsidP="007C20A9">
            <w:pPr>
              <w:rPr>
                <w:rFonts w:cstheme="minorHAnsi"/>
                <w:b/>
                <w:bCs/>
                <w:sz w:val="18"/>
                <w:szCs w:val="18"/>
              </w:rPr>
            </w:pPr>
            <w:r>
              <w:rPr>
                <w:rFonts w:cstheme="minorHAnsi"/>
                <w:b/>
                <w:bCs/>
                <w:sz w:val="18"/>
                <w:szCs w:val="18"/>
              </w:rPr>
              <w:t xml:space="preserve">Abdominal ultrasound </w:t>
            </w:r>
          </w:p>
          <w:p w14:paraId="0A5ADE01" w14:textId="77777777" w:rsidR="00030C53" w:rsidRPr="00B651CD" w:rsidRDefault="00030C53" w:rsidP="007C20A9">
            <w:pPr>
              <w:rPr>
                <w:rFonts w:cstheme="minorHAnsi"/>
                <w:b/>
                <w:bCs/>
                <w:sz w:val="18"/>
                <w:szCs w:val="18"/>
              </w:rPr>
            </w:pPr>
          </w:p>
          <w:p w14:paraId="152D9028" w14:textId="20AF9BAF" w:rsidR="00E51475" w:rsidRPr="00601623" w:rsidRDefault="00E51475" w:rsidP="007C20A9">
            <w:pPr>
              <w:rPr>
                <w:rFonts w:cstheme="minorHAnsi"/>
                <w:i/>
                <w:iCs/>
                <w:sz w:val="18"/>
                <w:szCs w:val="18"/>
              </w:rPr>
            </w:pPr>
            <w:r>
              <w:rPr>
                <w:rFonts w:cstheme="minorHAnsi"/>
                <w:i/>
                <w:iCs/>
                <w:sz w:val="18"/>
                <w:szCs w:val="18"/>
              </w:rPr>
              <w:t>The e</w:t>
            </w:r>
            <w:r w:rsidRPr="00601623">
              <w:rPr>
                <w:rFonts w:cstheme="minorHAnsi"/>
                <w:i/>
                <w:iCs/>
                <w:sz w:val="18"/>
                <w:szCs w:val="18"/>
              </w:rPr>
              <w:t>xamination</w:t>
            </w:r>
            <w:r>
              <w:rPr>
                <w:rFonts w:cstheme="minorHAnsi"/>
                <w:i/>
                <w:iCs/>
                <w:sz w:val="18"/>
                <w:szCs w:val="18"/>
              </w:rPr>
              <w:t xml:space="preserve"> was</w:t>
            </w:r>
            <w:r w:rsidRPr="00601623">
              <w:rPr>
                <w:rFonts w:cstheme="minorHAnsi"/>
                <w:i/>
                <w:iCs/>
                <w:sz w:val="18"/>
                <w:szCs w:val="18"/>
              </w:rPr>
              <w:t xml:space="preserve"> conducted using a</w:t>
            </w:r>
            <w:r w:rsidR="00917084">
              <w:rPr>
                <w:rFonts w:cstheme="minorHAnsi"/>
                <w:i/>
                <w:iCs/>
                <w:sz w:val="18"/>
                <w:szCs w:val="18"/>
              </w:rPr>
              <w:t xml:space="preserve"> GE Healthcare</w:t>
            </w:r>
            <w:r w:rsidRPr="00601623">
              <w:rPr>
                <w:rFonts w:cstheme="minorHAnsi"/>
                <w:i/>
                <w:iCs/>
                <w:sz w:val="18"/>
                <w:szCs w:val="18"/>
              </w:rPr>
              <w:t xml:space="preserve"> </w:t>
            </w:r>
            <w:r w:rsidRPr="00601623">
              <w:rPr>
                <w:rFonts w:cstheme="minorHAnsi"/>
                <w:i/>
                <w:iCs/>
                <w:noProof/>
                <w:sz w:val="18"/>
                <w:szCs w:val="18"/>
              </w:rPr>
              <w:t>LOGIQ</w:t>
            </w:r>
            <w:r w:rsidRPr="00601623">
              <w:rPr>
                <w:rFonts w:cstheme="minorHAnsi"/>
                <w:i/>
                <w:iCs/>
                <w:sz w:val="18"/>
                <w:szCs w:val="18"/>
              </w:rPr>
              <w:t xml:space="preserve"> E9 ultrasound </w:t>
            </w:r>
            <w:r w:rsidR="0076133D">
              <w:rPr>
                <w:rFonts w:cstheme="minorHAnsi"/>
                <w:i/>
                <w:iCs/>
                <w:sz w:val="18"/>
                <w:szCs w:val="18"/>
              </w:rPr>
              <w:t>system</w:t>
            </w:r>
            <w:r w:rsidRPr="00601623">
              <w:rPr>
                <w:rFonts w:cstheme="minorHAnsi"/>
                <w:i/>
                <w:iCs/>
                <w:sz w:val="18"/>
                <w:szCs w:val="18"/>
              </w:rPr>
              <w:t xml:space="preserve"> set up in August 2013</w:t>
            </w:r>
            <w:r w:rsidR="00321484">
              <w:rPr>
                <w:rFonts w:cstheme="minorHAnsi"/>
                <w:i/>
                <w:iCs/>
                <w:sz w:val="18"/>
                <w:szCs w:val="18"/>
              </w:rPr>
              <w:t>.</w:t>
            </w:r>
          </w:p>
          <w:p w14:paraId="10000D40" w14:textId="77777777" w:rsidR="00E51475" w:rsidRPr="00B651CD" w:rsidRDefault="00E51475" w:rsidP="007C20A9">
            <w:pPr>
              <w:rPr>
                <w:rFonts w:cstheme="minorHAnsi"/>
                <w:b/>
                <w:bCs/>
                <w:sz w:val="18"/>
                <w:szCs w:val="18"/>
              </w:rPr>
            </w:pPr>
            <w:r w:rsidRPr="00B651CD">
              <w:rPr>
                <w:rFonts w:cstheme="minorHAnsi"/>
                <w:b/>
                <w:bCs/>
                <w:sz w:val="18"/>
                <w:szCs w:val="18"/>
              </w:rPr>
              <w:t>Indication</w:t>
            </w:r>
          </w:p>
          <w:p w14:paraId="6D0904FF" w14:textId="6D1846CF" w:rsidR="00E51475" w:rsidRDefault="00E51475" w:rsidP="007C20A9">
            <w:pPr>
              <w:rPr>
                <w:rFonts w:cstheme="minorHAnsi"/>
                <w:sz w:val="18"/>
                <w:szCs w:val="18"/>
              </w:rPr>
            </w:pPr>
            <w:r>
              <w:rPr>
                <w:rFonts w:cstheme="minorHAnsi"/>
                <w:sz w:val="18"/>
                <w:szCs w:val="18"/>
              </w:rPr>
              <w:t>Diabetes diagnosis</w:t>
            </w:r>
            <w:r w:rsidR="00E934B7">
              <w:rPr>
                <w:rFonts w:cstheme="minorHAnsi"/>
                <w:sz w:val="18"/>
                <w:szCs w:val="18"/>
              </w:rPr>
              <w:t>.</w:t>
            </w:r>
          </w:p>
          <w:p w14:paraId="0E11A60C" w14:textId="77777777" w:rsidR="00E51475" w:rsidRPr="00B651CD" w:rsidRDefault="00E51475" w:rsidP="007C20A9">
            <w:pPr>
              <w:rPr>
                <w:rFonts w:cstheme="minorHAnsi"/>
                <w:b/>
                <w:bCs/>
                <w:sz w:val="18"/>
                <w:szCs w:val="18"/>
              </w:rPr>
            </w:pPr>
            <w:r w:rsidRPr="00B651CD">
              <w:rPr>
                <w:rFonts w:cstheme="minorHAnsi"/>
                <w:b/>
                <w:bCs/>
                <w:sz w:val="18"/>
                <w:szCs w:val="18"/>
              </w:rPr>
              <w:t xml:space="preserve">Findings </w:t>
            </w:r>
          </w:p>
          <w:p w14:paraId="561BD421" w14:textId="11540D18" w:rsidR="00E51475" w:rsidRDefault="00156719" w:rsidP="007C20A9">
            <w:pPr>
              <w:rPr>
                <w:rFonts w:cstheme="minorHAnsi"/>
                <w:sz w:val="18"/>
                <w:szCs w:val="18"/>
              </w:rPr>
            </w:pPr>
            <w:r>
              <w:rPr>
                <w:rFonts w:cstheme="minorHAnsi"/>
                <w:sz w:val="18"/>
                <w:szCs w:val="18"/>
              </w:rPr>
              <w:t xml:space="preserve">The ultrasound shows a normal-sized liver enhancing homogeneously, </w:t>
            </w:r>
            <w:r w:rsidR="00E90D26">
              <w:rPr>
                <w:rFonts w:cstheme="minorHAnsi"/>
                <w:sz w:val="18"/>
                <w:szCs w:val="18"/>
              </w:rPr>
              <w:t xml:space="preserve">with </w:t>
            </w:r>
            <w:r w:rsidR="00E51475">
              <w:rPr>
                <w:rFonts w:cstheme="minorHAnsi"/>
                <w:sz w:val="18"/>
                <w:szCs w:val="18"/>
              </w:rPr>
              <w:t>regular contours</w:t>
            </w:r>
            <w:r w:rsidR="00917084">
              <w:rPr>
                <w:rFonts w:cstheme="minorHAnsi"/>
                <w:sz w:val="18"/>
                <w:szCs w:val="18"/>
              </w:rPr>
              <w:t xml:space="preserve"> and no visible </w:t>
            </w:r>
            <w:r w:rsidR="00E51475">
              <w:rPr>
                <w:rFonts w:cstheme="minorHAnsi"/>
                <w:sz w:val="18"/>
                <w:szCs w:val="18"/>
              </w:rPr>
              <w:t xml:space="preserve">focal </w:t>
            </w:r>
            <w:r w:rsidR="00917084">
              <w:rPr>
                <w:rFonts w:cstheme="minorHAnsi"/>
                <w:sz w:val="18"/>
                <w:szCs w:val="18"/>
              </w:rPr>
              <w:t>changes</w:t>
            </w:r>
            <w:r w:rsidR="00E51475">
              <w:rPr>
                <w:rFonts w:cstheme="minorHAnsi"/>
                <w:sz w:val="18"/>
                <w:szCs w:val="18"/>
              </w:rPr>
              <w:t xml:space="preserve">. </w:t>
            </w:r>
          </w:p>
          <w:p w14:paraId="04A5D18E" w14:textId="5F99DA4F" w:rsidR="00E51475" w:rsidRDefault="00E51475" w:rsidP="007C20A9">
            <w:pPr>
              <w:rPr>
                <w:rFonts w:cstheme="minorHAnsi"/>
                <w:sz w:val="18"/>
                <w:szCs w:val="18"/>
              </w:rPr>
            </w:pPr>
            <w:r>
              <w:rPr>
                <w:rFonts w:cstheme="minorHAnsi"/>
                <w:sz w:val="18"/>
                <w:szCs w:val="18"/>
              </w:rPr>
              <w:t xml:space="preserve">The gallbladder </w:t>
            </w:r>
            <w:r w:rsidR="00156719">
              <w:rPr>
                <w:rFonts w:cstheme="minorHAnsi"/>
                <w:sz w:val="18"/>
                <w:szCs w:val="18"/>
              </w:rPr>
              <w:t>shows no signs of</w:t>
            </w:r>
            <w:r>
              <w:rPr>
                <w:rFonts w:cstheme="minorHAnsi"/>
                <w:sz w:val="18"/>
                <w:szCs w:val="18"/>
              </w:rPr>
              <w:t xml:space="preserve"> </w:t>
            </w:r>
            <w:r w:rsidRPr="0072084A">
              <w:rPr>
                <w:rFonts w:cstheme="minorHAnsi"/>
                <w:sz w:val="18"/>
                <w:szCs w:val="18"/>
              </w:rPr>
              <w:t>cholelithiasis</w:t>
            </w:r>
            <w:r w:rsidR="00E95228">
              <w:rPr>
                <w:rFonts w:cstheme="minorHAnsi"/>
                <w:sz w:val="18"/>
                <w:szCs w:val="18"/>
              </w:rPr>
              <w:t>; it</w:t>
            </w:r>
            <w:r w:rsidR="00156719">
              <w:rPr>
                <w:rFonts w:cstheme="minorHAnsi"/>
                <w:sz w:val="18"/>
                <w:szCs w:val="18"/>
              </w:rPr>
              <w:t xml:space="preserve"> is</w:t>
            </w:r>
            <w:r>
              <w:rPr>
                <w:rFonts w:cstheme="minorHAnsi"/>
                <w:sz w:val="18"/>
                <w:szCs w:val="18"/>
              </w:rPr>
              <w:t xml:space="preserve"> thin-walled and fluid-filled.</w:t>
            </w:r>
          </w:p>
          <w:p w14:paraId="6864E6B6" w14:textId="010E3792" w:rsidR="00E51475" w:rsidRDefault="00D4547D" w:rsidP="007C20A9">
            <w:pPr>
              <w:rPr>
                <w:rFonts w:cstheme="minorHAnsi"/>
                <w:sz w:val="18"/>
                <w:szCs w:val="18"/>
              </w:rPr>
            </w:pPr>
            <w:r>
              <w:rPr>
                <w:rFonts w:cstheme="minorHAnsi"/>
                <w:sz w:val="18"/>
                <w:szCs w:val="18"/>
              </w:rPr>
              <w:t>The</w:t>
            </w:r>
            <w:r w:rsidR="00E51475">
              <w:rPr>
                <w:rFonts w:cstheme="minorHAnsi"/>
                <w:sz w:val="18"/>
                <w:szCs w:val="18"/>
              </w:rPr>
              <w:t xml:space="preserve"> intra- </w:t>
            </w:r>
            <w:r>
              <w:rPr>
                <w:rFonts w:cstheme="minorHAnsi"/>
                <w:sz w:val="18"/>
                <w:szCs w:val="18"/>
              </w:rPr>
              <w:t>and</w:t>
            </w:r>
            <w:r w:rsidR="00E51475">
              <w:rPr>
                <w:rFonts w:cstheme="minorHAnsi"/>
                <w:sz w:val="18"/>
                <w:szCs w:val="18"/>
              </w:rPr>
              <w:t xml:space="preserve"> extrahepatic bile duct</w:t>
            </w:r>
            <w:r>
              <w:rPr>
                <w:rFonts w:cstheme="minorHAnsi"/>
                <w:sz w:val="18"/>
                <w:szCs w:val="18"/>
              </w:rPr>
              <w:t xml:space="preserve">s </w:t>
            </w:r>
            <w:r w:rsidR="00156719">
              <w:rPr>
                <w:rFonts w:cstheme="minorHAnsi"/>
                <w:sz w:val="18"/>
                <w:szCs w:val="18"/>
              </w:rPr>
              <w:t>are</w:t>
            </w:r>
            <w:r>
              <w:rPr>
                <w:rFonts w:cstheme="minorHAnsi"/>
                <w:sz w:val="18"/>
                <w:szCs w:val="18"/>
              </w:rPr>
              <w:t xml:space="preserve"> not dilated</w:t>
            </w:r>
            <w:r w:rsidR="00E51475">
              <w:rPr>
                <w:rFonts w:cstheme="minorHAnsi"/>
                <w:sz w:val="18"/>
                <w:szCs w:val="18"/>
              </w:rPr>
              <w:t>.</w:t>
            </w:r>
          </w:p>
          <w:p w14:paraId="01F3C1D1" w14:textId="11E2CD2E" w:rsidR="00E51475" w:rsidRDefault="00E51475" w:rsidP="007C20A9">
            <w:pPr>
              <w:rPr>
                <w:rFonts w:cstheme="minorHAnsi"/>
                <w:sz w:val="18"/>
                <w:szCs w:val="18"/>
              </w:rPr>
            </w:pPr>
            <w:r>
              <w:rPr>
                <w:rFonts w:cstheme="minorHAnsi"/>
                <w:sz w:val="18"/>
                <w:szCs w:val="18"/>
              </w:rPr>
              <w:t xml:space="preserve">The pancreas </w:t>
            </w:r>
            <w:r w:rsidR="00156719">
              <w:rPr>
                <w:rFonts w:cstheme="minorHAnsi"/>
                <w:sz w:val="18"/>
                <w:szCs w:val="18"/>
              </w:rPr>
              <w:t>is enhancing homogeneously</w:t>
            </w:r>
            <w:r>
              <w:rPr>
                <w:rFonts w:cstheme="minorHAnsi"/>
                <w:sz w:val="18"/>
                <w:szCs w:val="18"/>
              </w:rPr>
              <w:t xml:space="preserve"> and ha</w:t>
            </w:r>
            <w:r w:rsidR="00156719">
              <w:rPr>
                <w:rFonts w:cstheme="minorHAnsi"/>
                <w:sz w:val="18"/>
                <w:szCs w:val="18"/>
              </w:rPr>
              <w:t>s</w:t>
            </w:r>
            <w:r>
              <w:rPr>
                <w:rFonts w:cstheme="minorHAnsi"/>
                <w:sz w:val="18"/>
                <w:szCs w:val="18"/>
              </w:rPr>
              <w:t xml:space="preserve"> regular contours. </w:t>
            </w:r>
            <w:r w:rsidR="00D4547D">
              <w:rPr>
                <w:rFonts w:cstheme="minorHAnsi"/>
                <w:sz w:val="18"/>
                <w:szCs w:val="18"/>
              </w:rPr>
              <w:t>The pancreatic duct is not dilated.</w:t>
            </w:r>
          </w:p>
          <w:p w14:paraId="7F5F1F67" w14:textId="59266C60" w:rsidR="00E51475" w:rsidRDefault="00D4547D" w:rsidP="007C20A9">
            <w:pPr>
              <w:rPr>
                <w:rFonts w:cstheme="minorHAnsi"/>
                <w:sz w:val="18"/>
                <w:szCs w:val="18"/>
              </w:rPr>
            </w:pPr>
            <w:r>
              <w:rPr>
                <w:rFonts w:cstheme="minorHAnsi"/>
                <w:sz w:val="18"/>
                <w:szCs w:val="18"/>
              </w:rPr>
              <w:t>The portal trunk is patent</w:t>
            </w:r>
            <w:r w:rsidR="007D6295">
              <w:rPr>
                <w:rFonts w:cstheme="minorHAnsi"/>
                <w:sz w:val="18"/>
                <w:szCs w:val="18"/>
              </w:rPr>
              <w:t>.</w:t>
            </w:r>
          </w:p>
          <w:p w14:paraId="7F44A043" w14:textId="062AB50C" w:rsidR="00E51475" w:rsidRDefault="00E51475" w:rsidP="007C20A9">
            <w:pPr>
              <w:rPr>
                <w:rFonts w:cstheme="minorHAnsi"/>
                <w:sz w:val="18"/>
                <w:szCs w:val="18"/>
              </w:rPr>
            </w:pPr>
            <w:r>
              <w:rPr>
                <w:rFonts w:cstheme="minorHAnsi"/>
                <w:sz w:val="18"/>
                <w:szCs w:val="18"/>
              </w:rPr>
              <w:t xml:space="preserve">Both kidneys are normal in size and </w:t>
            </w:r>
            <w:r w:rsidR="00D4547D">
              <w:rPr>
                <w:rFonts w:cstheme="minorHAnsi"/>
                <w:sz w:val="18"/>
                <w:szCs w:val="18"/>
              </w:rPr>
              <w:t>location</w:t>
            </w:r>
            <w:r>
              <w:rPr>
                <w:rFonts w:cstheme="minorHAnsi"/>
                <w:sz w:val="18"/>
                <w:szCs w:val="18"/>
              </w:rPr>
              <w:t xml:space="preserve">. </w:t>
            </w:r>
            <w:r w:rsidR="00D208C1">
              <w:rPr>
                <w:rFonts w:cstheme="minorHAnsi"/>
                <w:sz w:val="18"/>
                <w:szCs w:val="18"/>
              </w:rPr>
              <w:t>C</w:t>
            </w:r>
            <w:r>
              <w:rPr>
                <w:rFonts w:cstheme="minorHAnsi"/>
                <w:sz w:val="18"/>
                <w:szCs w:val="18"/>
              </w:rPr>
              <w:t>orticomedullary differentiation</w:t>
            </w:r>
            <w:r w:rsidR="00D208C1">
              <w:rPr>
                <w:rFonts w:cstheme="minorHAnsi"/>
                <w:sz w:val="18"/>
                <w:szCs w:val="18"/>
              </w:rPr>
              <w:t xml:space="preserve"> is intact</w:t>
            </w:r>
            <w:r>
              <w:rPr>
                <w:rFonts w:cstheme="minorHAnsi"/>
                <w:sz w:val="18"/>
                <w:szCs w:val="18"/>
              </w:rPr>
              <w:t xml:space="preserve"> and</w:t>
            </w:r>
            <w:r w:rsidR="00D208C1">
              <w:rPr>
                <w:rFonts w:cstheme="minorHAnsi"/>
                <w:sz w:val="18"/>
                <w:szCs w:val="18"/>
              </w:rPr>
              <w:t xml:space="preserve"> the kidneys are not dilated</w:t>
            </w:r>
            <w:r>
              <w:rPr>
                <w:rFonts w:cstheme="minorHAnsi"/>
                <w:sz w:val="18"/>
                <w:szCs w:val="18"/>
              </w:rPr>
              <w:t>.</w:t>
            </w:r>
          </w:p>
          <w:p w14:paraId="06C52633" w14:textId="77777777" w:rsidR="00E51475" w:rsidRDefault="00E51475" w:rsidP="007C20A9">
            <w:pPr>
              <w:rPr>
                <w:rFonts w:cstheme="minorHAnsi"/>
                <w:sz w:val="18"/>
                <w:szCs w:val="18"/>
              </w:rPr>
            </w:pPr>
            <w:r>
              <w:rPr>
                <w:rFonts w:cstheme="minorHAnsi"/>
                <w:sz w:val="18"/>
                <w:szCs w:val="18"/>
              </w:rPr>
              <w:t xml:space="preserve">The spleen is unremarkable. The abdominal aorta and its branches are normal in size. </w:t>
            </w:r>
          </w:p>
          <w:p w14:paraId="54572FBE" w14:textId="77777777" w:rsidR="00E51475" w:rsidRDefault="00E51475" w:rsidP="007C20A9">
            <w:r>
              <w:rPr>
                <w:rFonts w:cstheme="minorHAnsi"/>
                <w:sz w:val="18"/>
                <w:szCs w:val="18"/>
              </w:rPr>
              <w:t>No intraperitoneal effusion.</w:t>
            </w:r>
          </w:p>
        </w:tc>
      </w:tr>
    </w:tbl>
    <w:p w14:paraId="1873F8DB" w14:textId="3A8DDBBE" w:rsidR="00E51475" w:rsidRDefault="00E51475" w:rsidP="00FC3439">
      <w:pPr>
        <w:spacing w:after="0"/>
      </w:pPr>
    </w:p>
    <w:tbl>
      <w:tblPr>
        <w:tblStyle w:val="TableGrid"/>
        <w:tblW w:w="0" w:type="auto"/>
        <w:tblLook w:val="04A0" w:firstRow="1" w:lastRow="0" w:firstColumn="1" w:lastColumn="0" w:noHBand="0" w:noVBand="1"/>
      </w:tblPr>
      <w:tblGrid>
        <w:gridCol w:w="1838"/>
        <w:gridCol w:w="284"/>
        <w:gridCol w:w="1701"/>
      </w:tblGrid>
      <w:tr w:rsidR="00FC3439" w14:paraId="2DC99EA3" w14:textId="77777777" w:rsidTr="007C20A9">
        <w:trPr>
          <w:trHeight w:val="343"/>
        </w:trPr>
        <w:tc>
          <w:tcPr>
            <w:tcW w:w="1838" w:type="dxa"/>
            <w:vAlign w:val="center"/>
          </w:tcPr>
          <w:p w14:paraId="01701DF5" w14:textId="44D9BDA0" w:rsidR="00FC3439" w:rsidRPr="002F2DA3" w:rsidRDefault="00FC3439" w:rsidP="007C20A9">
            <w:pPr>
              <w:jc w:val="center"/>
              <w:rPr>
                <w:sz w:val="18"/>
                <w:szCs w:val="18"/>
              </w:rPr>
            </w:pPr>
            <w:r>
              <w:rPr>
                <w:sz w:val="18"/>
                <w:szCs w:val="18"/>
              </w:rPr>
              <w:t>POLISH</w:t>
            </w:r>
            <w:r w:rsidRPr="002F2DA3">
              <w:rPr>
                <w:sz w:val="18"/>
                <w:szCs w:val="18"/>
              </w:rPr>
              <w:t xml:space="preserve"> TO ENGLISH</w:t>
            </w:r>
          </w:p>
        </w:tc>
        <w:tc>
          <w:tcPr>
            <w:tcW w:w="284" w:type="dxa"/>
            <w:tcBorders>
              <w:top w:val="nil"/>
              <w:bottom w:val="nil"/>
            </w:tcBorders>
          </w:tcPr>
          <w:p w14:paraId="4539FD12" w14:textId="77777777" w:rsidR="00FC3439" w:rsidRPr="002F2DA3" w:rsidRDefault="00FC3439" w:rsidP="007C20A9">
            <w:pPr>
              <w:jc w:val="center"/>
              <w:rPr>
                <w:sz w:val="18"/>
                <w:szCs w:val="18"/>
              </w:rPr>
            </w:pPr>
          </w:p>
        </w:tc>
        <w:tc>
          <w:tcPr>
            <w:tcW w:w="1701" w:type="dxa"/>
            <w:vAlign w:val="center"/>
          </w:tcPr>
          <w:p w14:paraId="5CAE824D" w14:textId="77777777" w:rsidR="00FC3439" w:rsidRPr="002F2DA3" w:rsidRDefault="00FC3439" w:rsidP="007C20A9">
            <w:pPr>
              <w:jc w:val="center"/>
              <w:rPr>
                <w:sz w:val="18"/>
                <w:szCs w:val="18"/>
              </w:rPr>
            </w:pPr>
            <w:r w:rsidRPr="002F2DA3">
              <w:rPr>
                <w:sz w:val="18"/>
                <w:szCs w:val="18"/>
              </w:rPr>
              <w:t>MEDICAL</w:t>
            </w:r>
          </w:p>
        </w:tc>
      </w:tr>
    </w:tbl>
    <w:p w14:paraId="011E4600" w14:textId="77777777" w:rsidR="00FC3439" w:rsidRPr="004605E6" w:rsidRDefault="00FC3439" w:rsidP="00FC3439">
      <w:pPr>
        <w:spacing w:after="0"/>
        <w:rPr>
          <w:sz w:val="10"/>
          <w:szCs w:val="10"/>
        </w:rPr>
      </w:pPr>
    </w:p>
    <w:tbl>
      <w:tblPr>
        <w:tblStyle w:val="TableGrid"/>
        <w:tblW w:w="0" w:type="auto"/>
        <w:tblLook w:val="04A0" w:firstRow="1" w:lastRow="0" w:firstColumn="1" w:lastColumn="0" w:noHBand="0" w:noVBand="1"/>
      </w:tblPr>
      <w:tblGrid>
        <w:gridCol w:w="6974"/>
        <w:gridCol w:w="6974"/>
      </w:tblGrid>
      <w:tr w:rsidR="00E51475" w14:paraId="7BD16582" w14:textId="77777777" w:rsidTr="00E51475">
        <w:tc>
          <w:tcPr>
            <w:tcW w:w="6974" w:type="dxa"/>
          </w:tcPr>
          <w:p w14:paraId="257A3DEA" w14:textId="5CEA4297" w:rsidR="00E51475" w:rsidRDefault="00624D97" w:rsidP="00E51475">
            <w:pPr>
              <w:rPr>
                <w:rFonts w:cstheme="minorHAnsi"/>
                <w:b/>
                <w:bCs/>
                <w:sz w:val="18"/>
                <w:szCs w:val="18"/>
                <w:lang w:val="pl-PL"/>
              </w:rPr>
            </w:pPr>
            <w:r>
              <w:rPr>
                <w:rFonts w:cstheme="minorHAnsi"/>
                <w:b/>
                <w:bCs/>
                <w:sz w:val="18"/>
                <w:szCs w:val="18"/>
                <w:lang w:val="pl-PL"/>
              </w:rPr>
              <w:t>Raport zabiegu operacyjnego</w:t>
            </w:r>
          </w:p>
          <w:p w14:paraId="22098DDF" w14:textId="77777777" w:rsidR="00030C53" w:rsidRPr="00D20EDB" w:rsidRDefault="00030C53" w:rsidP="00E51475">
            <w:pPr>
              <w:rPr>
                <w:rFonts w:cstheme="minorHAnsi"/>
                <w:b/>
                <w:bCs/>
                <w:sz w:val="18"/>
                <w:szCs w:val="18"/>
                <w:lang w:val="pl-PL"/>
              </w:rPr>
            </w:pPr>
          </w:p>
          <w:p w14:paraId="0ECA0C36" w14:textId="77777777" w:rsidR="00A84760" w:rsidRDefault="00E51475" w:rsidP="00230BE9">
            <w:pPr>
              <w:rPr>
                <w:rFonts w:cstheme="minorHAnsi"/>
                <w:sz w:val="18"/>
                <w:szCs w:val="18"/>
                <w:lang w:val="pl-PL"/>
              </w:rPr>
            </w:pPr>
            <w:r>
              <w:rPr>
                <w:rFonts w:cstheme="minorHAnsi"/>
                <w:sz w:val="18"/>
                <w:szCs w:val="18"/>
                <w:lang w:val="pl-PL"/>
              </w:rPr>
              <w:t xml:space="preserve">W znieczuleniu ogólnym po typowej sterylizacji pola założono igłę </w:t>
            </w:r>
            <w:r>
              <w:rPr>
                <w:rFonts w:cstheme="minorHAnsi"/>
                <w:noProof/>
                <w:sz w:val="18"/>
                <w:szCs w:val="18"/>
                <w:lang w:val="pl-PL"/>
              </w:rPr>
              <w:t>Veresa</w:t>
            </w:r>
            <w:r>
              <w:rPr>
                <w:rFonts w:cstheme="minorHAnsi"/>
                <w:sz w:val="18"/>
                <w:szCs w:val="18"/>
                <w:lang w:val="pl-PL"/>
              </w:rPr>
              <w:t xml:space="preserve"> w miejscu typowym. Po kontroli wytworzono odmę otrzewnową, następnie w pępku założono troakar z torem optycznym i wprowadzono kamerę. Stwierdzono masywnie zrosty sieci większej i jelit z otrzewn</w:t>
            </w:r>
            <w:r w:rsidR="00C70720">
              <w:rPr>
                <w:rFonts w:cstheme="minorHAnsi"/>
                <w:sz w:val="18"/>
                <w:szCs w:val="18"/>
                <w:lang w:val="pl-PL"/>
              </w:rPr>
              <w:t>ą</w:t>
            </w:r>
            <w:r>
              <w:rPr>
                <w:rFonts w:cstheme="minorHAnsi"/>
                <w:sz w:val="18"/>
                <w:szCs w:val="18"/>
                <w:lang w:val="pl-PL"/>
              </w:rPr>
              <w:t>. Odstąpiono od laparoskopii.</w:t>
            </w:r>
            <w:r w:rsidR="00230BE9">
              <w:rPr>
                <w:rFonts w:cstheme="minorHAnsi"/>
                <w:sz w:val="18"/>
                <w:szCs w:val="18"/>
                <w:lang w:val="pl-PL"/>
              </w:rPr>
              <w:t xml:space="preserve"> </w:t>
            </w:r>
          </w:p>
          <w:p w14:paraId="4159CB3F" w14:textId="77777777" w:rsidR="00A84760" w:rsidRDefault="00A84760" w:rsidP="00230BE9">
            <w:pPr>
              <w:rPr>
                <w:rFonts w:cstheme="minorHAnsi"/>
                <w:sz w:val="18"/>
                <w:szCs w:val="18"/>
                <w:lang w:val="pl-PL"/>
              </w:rPr>
            </w:pPr>
          </w:p>
          <w:p w14:paraId="67F0BAE0" w14:textId="78431A6D" w:rsidR="00E51475" w:rsidRPr="009134EF" w:rsidRDefault="00E51475" w:rsidP="00230BE9">
            <w:pPr>
              <w:rPr>
                <w:rFonts w:cstheme="minorHAnsi"/>
                <w:sz w:val="18"/>
                <w:szCs w:val="18"/>
                <w:lang w:val="pl-PL"/>
              </w:rPr>
            </w:pPr>
            <w:r>
              <w:rPr>
                <w:rFonts w:cstheme="minorHAnsi"/>
                <w:sz w:val="18"/>
                <w:szCs w:val="18"/>
                <w:lang w:val="pl-PL"/>
              </w:rPr>
              <w:t xml:space="preserve">Cięciem poprzecznym w podbrzuszu warstwowo otwarto powłoki brzuszne i stwierdzono płyn surowiczy w jamie otrzewnowej. Płyn pobrano na komórki </w:t>
            </w:r>
            <w:r>
              <w:rPr>
                <w:rFonts w:cstheme="minorHAnsi"/>
                <w:noProof/>
                <w:sz w:val="18"/>
                <w:szCs w:val="18"/>
                <w:lang w:val="pl-PL"/>
              </w:rPr>
              <w:t>neo</w:t>
            </w:r>
            <w:r>
              <w:rPr>
                <w:rFonts w:cstheme="minorHAnsi"/>
                <w:sz w:val="18"/>
                <w:szCs w:val="18"/>
                <w:lang w:val="pl-PL"/>
              </w:rPr>
              <w:t xml:space="preserve">. Trzon macicy prawidłowej wielkości bez zmian makroskopowych. Jajnik lewy zmieniony torbielowato. Jajnik prawy bez zmian makroskopowych. Usunięto przydatki lewe w sposób typowy. Pobrano fragment jajnika prawego. </w:t>
            </w:r>
            <w:r>
              <w:rPr>
                <w:rFonts w:cstheme="minorHAnsi"/>
                <w:noProof/>
                <w:sz w:val="18"/>
                <w:szCs w:val="18"/>
                <w:lang w:val="pl-PL"/>
              </w:rPr>
              <w:t>Palpacyjnie</w:t>
            </w:r>
            <w:r>
              <w:rPr>
                <w:rFonts w:cstheme="minorHAnsi"/>
                <w:sz w:val="18"/>
                <w:szCs w:val="18"/>
                <w:lang w:val="pl-PL"/>
              </w:rPr>
              <w:t xml:space="preserve"> stwierdzono miejsce wprowadzenia kamery</w:t>
            </w:r>
            <w:r w:rsidR="00F10DF7">
              <w:rPr>
                <w:rFonts w:cstheme="minorHAnsi"/>
                <w:sz w:val="18"/>
                <w:szCs w:val="18"/>
                <w:lang w:val="pl-PL"/>
              </w:rPr>
              <w:t>. S</w:t>
            </w:r>
            <w:r>
              <w:rPr>
                <w:rFonts w:cstheme="minorHAnsi"/>
                <w:sz w:val="18"/>
                <w:szCs w:val="18"/>
                <w:lang w:val="pl-PL"/>
              </w:rPr>
              <w:t xml:space="preserve">twierdzono masywny zrost sieci z otrzewną po stronie lewej. Pozostałe narządy jamy brzusznej prawidłowe. Sprawdzono okolice zastawki </w:t>
            </w:r>
            <w:r>
              <w:rPr>
                <w:rFonts w:cstheme="minorHAnsi"/>
                <w:noProof/>
                <w:sz w:val="18"/>
                <w:szCs w:val="18"/>
                <w:lang w:val="pl-PL"/>
              </w:rPr>
              <w:t>Bauhina</w:t>
            </w:r>
            <w:r>
              <w:rPr>
                <w:rFonts w:cstheme="minorHAnsi"/>
                <w:sz w:val="18"/>
                <w:szCs w:val="18"/>
                <w:lang w:val="pl-PL"/>
              </w:rPr>
              <w:t xml:space="preserve"> i stwierdzono wyrostek robaczkowy niezmieniony patologicznie. </w:t>
            </w:r>
          </w:p>
        </w:tc>
        <w:tc>
          <w:tcPr>
            <w:tcW w:w="6974" w:type="dxa"/>
          </w:tcPr>
          <w:p w14:paraId="6E6A8717" w14:textId="639476E1" w:rsidR="00E51475" w:rsidRDefault="00624D97" w:rsidP="00E51475">
            <w:pPr>
              <w:rPr>
                <w:rFonts w:cstheme="minorHAnsi"/>
                <w:b/>
                <w:bCs/>
                <w:sz w:val="18"/>
                <w:szCs w:val="18"/>
              </w:rPr>
            </w:pPr>
            <w:r>
              <w:rPr>
                <w:rFonts w:cstheme="minorHAnsi"/>
                <w:b/>
                <w:bCs/>
                <w:sz w:val="18"/>
                <w:szCs w:val="18"/>
              </w:rPr>
              <w:t xml:space="preserve">Operative report </w:t>
            </w:r>
          </w:p>
          <w:p w14:paraId="51A191E5" w14:textId="77777777" w:rsidR="00030C53" w:rsidRPr="00D20EDB" w:rsidRDefault="00030C53" w:rsidP="00E51475">
            <w:pPr>
              <w:rPr>
                <w:rFonts w:cstheme="minorHAnsi"/>
                <w:b/>
                <w:bCs/>
                <w:sz w:val="18"/>
                <w:szCs w:val="18"/>
              </w:rPr>
            </w:pPr>
          </w:p>
          <w:p w14:paraId="45CD178E" w14:textId="77777777" w:rsidR="00A84760" w:rsidRDefault="00E51475" w:rsidP="00230BE9">
            <w:pPr>
              <w:rPr>
                <w:rFonts w:cstheme="minorHAnsi"/>
                <w:noProof/>
                <w:sz w:val="18"/>
                <w:szCs w:val="18"/>
              </w:rPr>
            </w:pPr>
            <w:r>
              <w:rPr>
                <w:rFonts w:cstheme="minorHAnsi"/>
                <w:sz w:val="18"/>
                <w:szCs w:val="18"/>
              </w:rPr>
              <w:t xml:space="preserve">A </w:t>
            </w:r>
            <w:r>
              <w:rPr>
                <w:rFonts w:cstheme="minorHAnsi"/>
                <w:noProof/>
                <w:sz w:val="18"/>
                <w:szCs w:val="18"/>
              </w:rPr>
              <w:t>Veress</w:t>
            </w:r>
            <w:r>
              <w:rPr>
                <w:rFonts w:cstheme="minorHAnsi"/>
                <w:sz w:val="18"/>
                <w:szCs w:val="18"/>
              </w:rPr>
              <w:t xml:space="preserve"> needle was inserted into the classic insertion site under general anaesthesia. After</w:t>
            </w:r>
            <w:r w:rsidR="00524688">
              <w:rPr>
                <w:rFonts w:cstheme="minorHAnsi"/>
                <w:sz w:val="18"/>
                <w:szCs w:val="18"/>
              </w:rPr>
              <w:t xml:space="preserve"> </w:t>
            </w:r>
            <w:r w:rsidR="00D114F3">
              <w:rPr>
                <w:rFonts w:cstheme="minorHAnsi"/>
                <w:sz w:val="18"/>
                <w:szCs w:val="18"/>
              </w:rPr>
              <w:t>examining</w:t>
            </w:r>
            <w:r w:rsidR="00524688">
              <w:rPr>
                <w:rFonts w:cstheme="minorHAnsi"/>
                <w:sz w:val="18"/>
                <w:szCs w:val="18"/>
              </w:rPr>
              <w:t xml:space="preserve"> the patient, the pneumoperitoneum was created, an optical trocar was placed at the umbilicus and the camera was inserted.</w:t>
            </w:r>
            <w:r w:rsidR="00EC486D">
              <w:rPr>
                <w:rFonts w:cstheme="minorHAnsi"/>
                <w:sz w:val="18"/>
                <w:szCs w:val="18"/>
              </w:rPr>
              <w:t xml:space="preserve"> </w:t>
            </w:r>
            <w:r w:rsidR="00C70720">
              <w:rPr>
                <w:rFonts w:cstheme="minorHAnsi"/>
                <w:sz w:val="18"/>
                <w:szCs w:val="18"/>
              </w:rPr>
              <w:t>Massive a</w:t>
            </w:r>
            <w:r w:rsidR="00EC486D">
              <w:rPr>
                <w:rFonts w:cstheme="minorHAnsi"/>
                <w:sz w:val="18"/>
                <w:szCs w:val="18"/>
              </w:rPr>
              <w:t xml:space="preserve">dhesions </w:t>
            </w:r>
            <w:r w:rsidR="00351A1C">
              <w:rPr>
                <w:rFonts w:cstheme="minorHAnsi"/>
                <w:sz w:val="18"/>
                <w:szCs w:val="18"/>
              </w:rPr>
              <w:t xml:space="preserve">of </w:t>
            </w:r>
            <w:r w:rsidR="00EC486D">
              <w:rPr>
                <w:rFonts w:cstheme="minorHAnsi"/>
                <w:sz w:val="18"/>
                <w:szCs w:val="18"/>
              </w:rPr>
              <w:t xml:space="preserve">the greater </w:t>
            </w:r>
            <w:r w:rsidR="00EC486D">
              <w:rPr>
                <w:rFonts w:cstheme="minorHAnsi"/>
                <w:noProof/>
                <w:sz w:val="18"/>
                <w:szCs w:val="18"/>
              </w:rPr>
              <w:t xml:space="preserve">omentum </w:t>
            </w:r>
            <w:r w:rsidR="00C70720">
              <w:rPr>
                <w:rFonts w:cstheme="minorHAnsi"/>
                <w:noProof/>
                <w:sz w:val="18"/>
                <w:szCs w:val="18"/>
              </w:rPr>
              <w:t xml:space="preserve">and </w:t>
            </w:r>
            <w:r w:rsidR="00351A1C">
              <w:rPr>
                <w:rFonts w:cstheme="minorHAnsi"/>
                <w:noProof/>
                <w:sz w:val="18"/>
                <w:szCs w:val="18"/>
              </w:rPr>
              <w:t xml:space="preserve">intestines with the peritoneum were found. The laparoscopy was </w:t>
            </w:r>
            <w:r w:rsidR="00230BE9">
              <w:rPr>
                <w:rFonts w:cstheme="minorHAnsi"/>
                <w:noProof/>
                <w:sz w:val="18"/>
                <w:szCs w:val="18"/>
              </w:rPr>
              <w:t>stopped</w:t>
            </w:r>
            <w:r w:rsidR="00351A1C">
              <w:rPr>
                <w:rFonts w:cstheme="minorHAnsi"/>
                <w:noProof/>
                <w:sz w:val="18"/>
                <w:szCs w:val="18"/>
              </w:rPr>
              <w:t>.</w:t>
            </w:r>
          </w:p>
          <w:p w14:paraId="695128EC" w14:textId="77777777" w:rsidR="00A84760" w:rsidRDefault="00A84760" w:rsidP="00230BE9">
            <w:pPr>
              <w:rPr>
                <w:rFonts w:cstheme="minorHAnsi"/>
                <w:noProof/>
                <w:sz w:val="18"/>
                <w:szCs w:val="18"/>
              </w:rPr>
            </w:pPr>
          </w:p>
          <w:p w14:paraId="193E084E" w14:textId="699BCEB5" w:rsidR="00F10DF7" w:rsidRPr="00F10DF7" w:rsidRDefault="00351A1C" w:rsidP="00230BE9">
            <w:pPr>
              <w:rPr>
                <w:rFonts w:cstheme="minorHAnsi"/>
                <w:noProof/>
                <w:sz w:val="18"/>
                <w:szCs w:val="18"/>
              </w:rPr>
            </w:pPr>
            <w:r>
              <w:rPr>
                <w:rFonts w:cstheme="minorHAnsi"/>
                <w:noProof/>
                <w:sz w:val="18"/>
                <w:szCs w:val="18"/>
              </w:rPr>
              <w:t xml:space="preserve">Lower abdomen longitudinal incisions were used to </w:t>
            </w:r>
            <w:r w:rsidR="00FA5BAF">
              <w:rPr>
                <w:rFonts w:cstheme="minorHAnsi"/>
                <w:noProof/>
                <w:sz w:val="18"/>
                <w:szCs w:val="18"/>
              </w:rPr>
              <w:t>access</w:t>
            </w:r>
            <w:r>
              <w:rPr>
                <w:rFonts w:cstheme="minorHAnsi"/>
                <w:noProof/>
                <w:sz w:val="18"/>
                <w:szCs w:val="18"/>
              </w:rPr>
              <w:t xml:space="preserve"> the abdominal li</w:t>
            </w:r>
            <w:r w:rsidR="00FA5BAF">
              <w:rPr>
                <w:rFonts w:cstheme="minorHAnsi"/>
                <w:noProof/>
                <w:sz w:val="18"/>
                <w:szCs w:val="18"/>
              </w:rPr>
              <w:t>n</w:t>
            </w:r>
            <w:r>
              <w:rPr>
                <w:rFonts w:cstheme="minorHAnsi"/>
                <w:noProof/>
                <w:sz w:val="18"/>
                <w:szCs w:val="18"/>
              </w:rPr>
              <w:t xml:space="preserve">ing layer by layer, which </w:t>
            </w:r>
            <w:r w:rsidR="00FA5BAF">
              <w:rPr>
                <w:rFonts w:cstheme="minorHAnsi"/>
                <w:noProof/>
                <w:sz w:val="18"/>
                <w:szCs w:val="18"/>
              </w:rPr>
              <w:t xml:space="preserve">revealed serous fluid in the peritoneal cavity. The fluid was collected for neo cells. </w:t>
            </w:r>
            <w:r w:rsidR="001B4879">
              <w:rPr>
                <w:rFonts w:cstheme="minorHAnsi"/>
                <w:noProof/>
                <w:sz w:val="18"/>
                <w:szCs w:val="18"/>
              </w:rPr>
              <w:t xml:space="preserve">The uterine corpus </w:t>
            </w:r>
            <w:r w:rsidR="00400B50">
              <w:rPr>
                <w:rFonts w:cstheme="minorHAnsi"/>
                <w:noProof/>
                <w:sz w:val="18"/>
                <w:szCs w:val="18"/>
              </w:rPr>
              <w:t>was</w:t>
            </w:r>
            <w:r w:rsidR="007A08E0">
              <w:rPr>
                <w:rFonts w:cstheme="minorHAnsi"/>
                <w:noProof/>
                <w:sz w:val="18"/>
                <w:szCs w:val="18"/>
              </w:rPr>
              <w:t xml:space="preserve"> normal in size and free from macroscopic lesions. </w:t>
            </w:r>
            <w:r w:rsidR="007240D6">
              <w:rPr>
                <w:rFonts w:cstheme="minorHAnsi"/>
                <w:noProof/>
                <w:sz w:val="18"/>
                <w:szCs w:val="18"/>
              </w:rPr>
              <w:t>The left ovary</w:t>
            </w:r>
            <w:r w:rsidR="00400B50">
              <w:rPr>
                <w:rFonts w:cstheme="minorHAnsi"/>
                <w:noProof/>
                <w:sz w:val="18"/>
                <w:szCs w:val="18"/>
              </w:rPr>
              <w:t xml:space="preserve"> had cystic lesions. The right ovary was free from macroscopic changes. The left appendages were removed using the traditional method. A specimen of the right ovary was collected. </w:t>
            </w:r>
            <w:r w:rsidR="00F10DF7">
              <w:rPr>
                <w:rFonts w:cstheme="minorHAnsi"/>
                <w:noProof/>
                <w:sz w:val="18"/>
                <w:szCs w:val="18"/>
              </w:rPr>
              <w:t xml:space="preserve">The camera insertion site was verified by palpation. A massive adhesion of the greater omentum with the peritoneum was found on the left. All the other abdominal organs were normal. The area around the </w:t>
            </w:r>
            <w:r w:rsidR="00F10DF7" w:rsidRPr="00F10DF7">
              <w:rPr>
                <w:rFonts w:cstheme="minorHAnsi"/>
                <w:noProof/>
                <w:sz w:val="18"/>
                <w:szCs w:val="18"/>
              </w:rPr>
              <w:t>ileocecal valve</w:t>
            </w:r>
            <w:r w:rsidR="00F10DF7">
              <w:rPr>
                <w:rFonts w:cstheme="minorHAnsi"/>
                <w:noProof/>
                <w:sz w:val="18"/>
                <w:szCs w:val="18"/>
              </w:rPr>
              <w:t xml:space="preserve"> was inspected and the appendix was found to be free from pathological lesions.</w:t>
            </w:r>
          </w:p>
        </w:tc>
      </w:tr>
    </w:tbl>
    <w:p w14:paraId="4CBEDDDA" w14:textId="358B31E0" w:rsidR="00E51475" w:rsidRDefault="00E51475"/>
    <w:p w14:paraId="5ABFEB20" w14:textId="1E5BA6D8" w:rsidR="00BC1C1B" w:rsidRDefault="00BC1C1B" w:rsidP="00BC1C1B">
      <w:pPr>
        <w:spacing w:after="0"/>
      </w:pPr>
    </w:p>
    <w:p w14:paraId="3D1C5BF9" w14:textId="77777777" w:rsidR="00F96656" w:rsidRDefault="00F96656" w:rsidP="00BC1C1B">
      <w:pPr>
        <w:spacing w:after="0"/>
      </w:pPr>
    </w:p>
    <w:tbl>
      <w:tblPr>
        <w:tblStyle w:val="TableGrid"/>
        <w:tblW w:w="0" w:type="auto"/>
        <w:tblLook w:val="04A0" w:firstRow="1" w:lastRow="0" w:firstColumn="1" w:lastColumn="0" w:noHBand="0" w:noVBand="1"/>
      </w:tblPr>
      <w:tblGrid>
        <w:gridCol w:w="1838"/>
        <w:gridCol w:w="284"/>
        <w:gridCol w:w="1701"/>
      </w:tblGrid>
      <w:tr w:rsidR="00052979" w14:paraId="5E48918C" w14:textId="77777777" w:rsidTr="007C20A9">
        <w:trPr>
          <w:trHeight w:val="343"/>
        </w:trPr>
        <w:tc>
          <w:tcPr>
            <w:tcW w:w="1838" w:type="dxa"/>
            <w:vAlign w:val="center"/>
          </w:tcPr>
          <w:p w14:paraId="19428F47" w14:textId="69B6DD70" w:rsidR="00052979" w:rsidRPr="002F2DA3" w:rsidRDefault="00052979" w:rsidP="007C20A9">
            <w:pPr>
              <w:jc w:val="center"/>
              <w:rPr>
                <w:sz w:val="18"/>
                <w:szCs w:val="18"/>
              </w:rPr>
            </w:pPr>
            <w:r>
              <w:rPr>
                <w:sz w:val="18"/>
                <w:szCs w:val="18"/>
              </w:rPr>
              <w:lastRenderedPageBreak/>
              <w:t>FRENCH</w:t>
            </w:r>
            <w:r w:rsidRPr="002F2DA3">
              <w:rPr>
                <w:sz w:val="18"/>
                <w:szCs w:val="18"/>
              </w:rPr>
              <w:t xml:space="preserve"> TO ENGLISH</w:t>
            </w:r>
          </w:p>
        </w:tc>
        <w:tc>
          <w:tcPr>
            <w:tcW w:w="284" w:type="dxa"/>
            <w:tcBorders>
              <w:top w:val="nil"/>
              <w:bottom w:val="nil"/>
            </w:tcBorders>
          </w:tcPr>
          <w:p w14:paraId="297F47DF" w14:textId="77777777" w:rsidR="00052979" w:rsidRPr="002F2DA3" w:rsidRDefault="00052979" w:rsidP="007C20A9">
            <w:pPr>
              <w:jc w:val="center"/>
              <w:rPr>
                <w:sz w:val="18"/>
                <w:szCs w:val="18"/>
              </w:rPr>
            </w:pPr>
          </w:p>
        </w:tc>
        <w:tc>
          <w:tcPr>
            <w:tcW w:w="1701" w:type="dxa"/>
            <w:vAlign w:val="center"/>
          </w:tcPr>
          <w:p w14:paraId="12F50EE1" w14:textId="3D419689" w:rsidR="00052979" w:rsidRPr="002F2DA3" w:rsidRDefault="005F54DB" w:rsidP="007C20A9">
            <w:pPr>
              <w:jc w:val="center"/>
              <w:rPr>
                <w:sz w:val="18"/>
                <w:szCs w:val="18"/>
              </w:rPr>
            </w:pPr>
            <w:r>
              <w:rPr>
                <w:sz w:val="18"/>
                <w:szCs w:val="18"/>
              </w:rPr>
              <w:t>MARKETING</w:t>
            </w:r>
          </w:p>
        </w:tc>
      </w:tr>
    </w:tbl>
    <w:p w14:paraId="57EBBAB2" w14:textId="77777777" w:rsidR="00052979" w:rsidRDefault="00052979" w:rsidP="00052979">
      <w:pPr>
        <w:spacing w:after="0"/>
      </w:pPr>
    </w:p>
    <w:tbl>
      <w:tblPr>
        <w:tblStyle w:val="TableGrid"/>
        <w:tblW w:w="0" w:type="auto"/>
        <w:tblLook w:val="04A0" w:firstRow="1" w:lastRow="0" w:firstColumn="1" w:lastColumn="0" w:noHBand="0" w:noVBand="1"/>
      </w:tblPr>
      <w:tblGrid>
        <w:gridCol w:w="6974"/>
        <w:gridCol w:w="6974"/>
      </w:tblGrid>
      <w:tr w:rsidR="00E51475" w14:paraId="598519A2" w14:textId="77777777" w:rsidTr="00E51475">
        <w:tc>
          <w:tcPr>
            <w:tcW w:w="6974" w:type="dxa"/>
          </w:tcPr>
          <w:p w14:paraId="72785913" w14:textId="7A9679F0" w:rsidR="00F92C8F" w:rsidRDefault="00F92C8F" w:rsidP="00F92C8F">
            <w:pPr>
              <w:shd w:val="clear" w:color="auto" w:fill="FFFFFF"/>
              <w:outlineLvl w:val="0"/>
              <w:rPr>
                <w:rFonts w:eastAsia="Times New Roman" w:cstheme="minorHAnsi"/>
                <w:b/>
                <w:bCs/>
                <w:spacing w:val="5"/>
                <w:kern w:val="36"/>
                <w:sz w:val="18"/>
                <w:szCs w:val="18"/>
                <w:lang w:val="fr-FR" w:eastAsia="en-GB"/>
              </w:rPr>
            </w:pPr>
            <w:r w:rsidRPr="00F92C8F">
              <w:rPr>
                <w:rFonts w:eastAsia="Times New Roman" w:cstheme="minorHAnsi"/>
                <w:b/>
                <w:bCs/>
                <w:spacing w:val="5"/>
                <w:kern w:val="36"/>
                <w:sz w:val="18"/>
                <w:szCs w:val="18"/>
                <w:lang w:val="fr-FR" w:eastAsia="en-GB"/>
              </w:rPr>
              <w:t>Calendrier</w:t>
            </w:r>
          </w:p>
          <w:p w14:paraId="79D0DE3A" w14:textId="77777777" w:rsidR="00030C53" w:rsidRPr="00B651CD" w:rsidRDefault="00030C53" w:rsidP="00F92C8F">
            <w:pPr>
              <w:shd w:val="clear" w:color="auto" w:fill="FFFFFF"/>
              <w:outlineLvl w:val="0"/>
              <w:rPr>
                <w:rFonts w:eastAsia="Times New Roman" w:cstheme="minorHAnsi"/>
                <w:b/>
                <w:bCs/>
                <w:spacing w:val="5"/>
                <w:kern w:val="36"/>
                <w:sz w:val="18"/>
                <w:szCs w:val="18"/>
                <w:lang w:val="fr-FR" w:eastAsia="en-GB"/>
              </w:rPr>
            </w:pPr>
          </w:p>
          <w:p w14:paraId="35360C65" w14:textId="04212F66" w:rsidR="005F54DB" w:rsidRDefault="005F54DB" w:rsidP="00E51475">
            <w:pPr>
              <w:rPr>
                <w:rFonts w:cstheme="minorHAnsi"/>
                <w:sz w:val="18"/>
                <w:szCs w:val="18"/>
                <w:shd w:val="clear" w:color="auto" w:fill="FFFFFF"/>
                <w:lang w:val="fr-FR"/>
              </w:rPr>
            </w:pPr>
            <w:r w:rsidRPr="005F54DB">
              <w:rPr>
                <w:rFonts w:cstheme="minorHAnsi"/>
                <w:sz w:val="18"/>
                <w:szCs w:val="18"/>
                <w:shd w:val="clear" w:color="auto" w:fill="FFFFFF"/>
                <w:lang w:val="fr-FR"/>
              </w:rPr>
              <w:t>Ce bel objet est l'aboutissement d'un an de recherches et de travail d'illustration. Un projet que j'ai mené en collaboration avec Paris Pousse, une startup du paysage et qui a abouti cet automne : le calendrier maraîcher du Grand Paris 2021 !</w:t>
            </w:r>
          </w:p>
          <w:p w14:paraId="08241A19" w14:textId="77777777" w:rsidR="00E5125B" w:rsidRPr="005F54DB" w:rsidRDefault="00E5125B" w:rsidP="00E51475">
            <w:pPr>
              <w:rPr>
                <w:rFonts w:cstheme="minorHAnsi"/>
                <w:sz w:val="18"/>
                <w:szCs w:val="18"/>
                <w:shd w:val="clear" w:color="auto" w:fill="FFFFFF"/>
                <w:lang w:val="fr-FR"/>
              </w:rPr>
            </w:pPr>
          </w:p>
          <w:p w14:paraId="54DC793D" w14:textId="77777777" w:rsidR="00E5125B" w:rsidRDefault="005F54DB" w:rsidP="00E12D72">
            <w:pPr>
              <w:rPr>
                <w:rFonts w:cstheme="minorHAnsi"/>
                <w:sz w:val="18"/>
                <w:szCs w:val="18"/>
                <w:shd w:val="clear" w:color="auto" w:fill="FFFFFF"/>
                <w:lang w:val="fr-FR"/>
              </w:rPr>
            </w:pPr>
            <w:r w:rsidRPr="005F54DB">
              <w:rPr>
                <w:rFonts w:cstheme="minorHAnsi"/>
                <w:sz w:val="18"/>
                <w:szCs w:val="18"/>
                <w:shd w:val="clear" w:color="auto" w:fill="FFFFFF"/>
                <w:lang w:val="fr-FR"/>
              </w:rPr>
              <w:t>Des illustrations originales et colorées à l'aquarelle vous présentent la richesse culinaire de notre belle région, l'Ile de France ; un patrimoine toujours vivant bien que parfois méconnu.</w:t>
            </w:r>
          </w:p>
          <w:p w14:paraId="63A1137F" w14:textId="77777777" w:rsidR="00E5125B" w:rsidRDefault="005F54DB" w:rsidP="00E12D72">
            <w:pPr>
              <w:rPr>
                <w:rFonts w:cstheme="minorHAnsi"/>
                <w:sz w:val="18"/>
                <w:szCs w:val="18"/>
                <w:shd w:val="clear" w:color="auto" w:fill="FFFFFF"/>
                <w:lang w:val="fr-FR"/>
              </w:rPr>
            </w:pPr>
            <w:r w:rsidRPr="005F54DB">
              <w:rPr>
                <w:rFonts w:cstheme="minorHAnsi"/>
                <w:sz w:val="18"/>
                <w:szCs w:val="18"/>
                <w:lang w:val="fr-FR"/>
              </w:rPr>
              <w:br/>
            </w:r>
            <w:r w:rsidRPr="005F54DB">
              <w:rPr>
                <w:rFonts w:cstheme="minorHAnsi"/>
                <w:sz w:val="18"/>
                <w:szCs w:val="18"/>
                <w:shd w:val="clear" w:color="auto" w:fill="FFFFFF"/>
                <w:lang w:val="fr-FR"/>
              </w:rPr>
              <w:t>12 mois de fruits et légumes, 12 mois d'idées en accord avec les saisons…</w:t>
            </w:r>
          </w:p>
          <w:p w14:paraId="06A582B7" w14:textId="77777777" w:rsidR="00E5125B" w:rsidRDefault="005F54DB" w:rsidP="00E12D72">
            <w:pPr>
              <w:rPr>
                <w:rFonts w:cstheme="minorHAnsi"/>
                <w:sz w:val="18"/>
                <w:szCs w:val="18"/>
                <w:shd w:val="clear" w:color="auto" w:fill="FFFFFF"/>
                <w:lang w:val="fr-FR"/>
              </w:rPr>
            </w:pPr>
            <w:r w:rsidRPr="005F54DB">
              <w:rPr>
                <w:rFonts w:cstheme="minorHAnsi"/>
                <w:sz w:val="18"/>
                <w:szCs w:val="18"/>
                <w:lang w:val="fr-FR"/>
              </w:rPr>
              <w:br/>
            </w:r>
            <w:r w:rsidRPr="005F54DB">
              <w:rPr>
                <w:rFonts w:cstheme="minorHAnsi"/>
                <w:sz w:val="18"/>
                <w:szCs w:val="18"/>
                <w:shd w:val="clear" w:color="auto" w:fill="FFFFFF"/>
                <w:lang w:val="fr-FR"/>
              </w:rPr>
              <w:t>La couverture est une illustration originale que vous pourrez également acheter seule, en format A3.</w:t>
            </w:r>
          </w:p>
          <w:p w14:paraId="7769D98E" w14:textId="3575E380" w:rsidR="005F54DB" w:rsidRDefault="005F54DB" w:rsidP="00E12D72">
            <w:r w:rsidRPr="005F54DB">
              <w:rPr>
                <w:rFonts w:cstheme="minorHAnsi"/>
                <w:sz w:val="18"/>
                <w:szCs w:val="18"/>
                <w:lang w:val="fr-FR"/>
              </w:rPr>
              <w:br/>
            </w:r>
            <w:r w:rsidRPr="005F54DB">
              <w:rPr>
                <w:rFonts w:cstheme="minorHAnsi"/>
                <w:sz w:val="18"/>
                <w:szCs w:val="18"/>
                <w:shd w:val="clear" w:color="auto" w:fill="FFFFFF"/>
                <w:lang w:val="fr-FR"/>
              </w:rPr>
              <w:t xml:space="preserve">Ce travail m'a permis d'allier mes compétences de paysagiste et d'illustratrice. C'est un calendrier militant, qui prône le locavorisme, le retour à une simplicité culinaire et raisonnable, au rythme de la </w:t>
            </w:r>
            <w:r w:rsidR="00AD46E1">
              <w:rPr>
                <w:rFonts w:cstheme="minorHAnsi"/>
                <w:sz w:val="18"/>
                <w:szCs w:val="18"/>
                <w:shd w:val="clear" w:color="auto" w:fill="FFFFFF"/>
                <w:lang w:val="fr-FR"/>
              </w:rPr>
              <w:t>n</w:t>
            </w:r>
            <w:r w:rsidRPr="005F54DB">
              <w:rPr>
                <w:rFonts w:cstheme="minorHAnsi"/>
                <w:sz w:val="18"/>
                <w:szCs w:val="18"/>
                <w:shd w:val="clear" w:color="auto" w:fill="FFFFFF"/>
                <w:lang w:val="fr-FR"/>
              </w:rPr>
              <w:t>ature.</w:t>
            </w:r>
          </w:p>
        </w:tc>
        <w:tc>
          <w:tcPr>
            <w:tcW w:w="6974" w:type="dxa"/>
          </w:tcPr>
          <w:p w14:paraId="77F93A9D" w14:textId="33B5EF55" w:rsidR="00E51475" w:rsidRDefault="00DA2B73" w:rsidP="00E51475">
            <w:pPr>
              <w:rPr>
                <w:b/>
                <w:bCs/>
                <w:sz w:val="18"/>
                <w:szCs w:val="18"/>
              </w:rPr>
            </w:pPr>
            <w:r>
              <w:rPr>
                <w:b/>
                <w:bCs/>
                <w:sz w:val="18"/>
                <w:szCs w:val="18"/>
              </w:rPr>
              <w:t>C</w:t>
            </w:r>
            <w:r w:rsidR="002E3991" w:rsidRPr="002E3991">
              <w:rPr>
                <w:b/>
                <w:bCs/>
                <w:sz w:val="18"/>
                <w:szCs w:val="18"/>
              </w:rPr>
              <w:t>alendar</w:t>
            </w:r>
          </w:p>
          <w:p w14:paraId="65AB6033" w14:textId="77777777" w:rsidR="00030C53" w:rsidRPr="002E3991" w:rsidRDefault="00030C53" w:rsidP="00E51475">
            <w:pPr>
              <w:rPr>
                <w:b/>
                <w:bCs/>
                <w:sz w:val="18"/>
                <w:szCs w:val="18"/>
              </w:rPr>
            </w:pPr>
          </w:p>
          <w:p w14:paraId="44BAA4C9" w14:textId="6ACB31CF" w:rsidR="002E3991" w:rsidRDefault="007E3590" w:rsidP="00E51475">
            <w:pPr>
              <w:rPr>
                <w:sz w:val="18"/>
                <w:szCs w:val="18"/>
              </w:rPr>
            </w:pPr>
            <w:r>
              <w:rPr>
                <w:sz w:val="18"/>
                <w:szCs w:val="18"/>
              </w:rPr>
              <w:t>Th</w:t>
            </w:r>
            <w:r w:rsidR="00F05E99">
              <w:rPr>
                <w:sz w:val="18"/>
                <w:szCs w:val="18"/>
              </w:rPr>
              <w:t>e</w:t>
            </w:r>
            <w:r w:rsidR="00211FD6">
              <w:rPr>
                <w:sz w:val="18"/>
                <w:szCs w:val="18"/>
              </w:rPr>
              <w:t xml:space="preserve"> </w:t>
            </w:r>
            <w:r w:rsidR="00F05E99">
              <w:rPr>
                <w:sz w:val="18"/>
                <w:szCs w:val="18"/>
              </w:rPr>
              <w:t xml:space="preserve">Greater Paris market garden </w:t>
            </w:r>
            <w:r w:rsidR="00701CCC">
              <w:rPr>
                <w:sz w:val="18"/>
                <w:szCs w:val="18"/>
              </w:rPr>
              <w:t xml:space="preserve">2021 </w:t>
            </w:r>
            <w:r w:rsidR="00F05E99">
              <w:rPr>
                <w:sz w:val="18"/>
                <w:szCs w:val="18"/>
              </w:rPr>
              <w:t>calendar</w:t>
            </w:r>
            <w:r w:rsidR="00647775">
              <w:rPr>
                <w:sz w:val="18"/>
                <w:szCs w:val="18"/>
              </w:rPr>
              <w:t xml:space="preserve"> </w:t>
            </w:r>
            <w:r w:rsidR="00AB3494">
              <w:rPr>
                <w:sz w:val="18"/>
                <w:szCs w:val="18"/>
              </w:rPr>
              <w:t xml:space="preserve">is the </w:t>
            </w:r>
            <w:r w:rsidR="000862A5">
              <w:rPr>
                <w:sz w:val="18"/>
                <w:szCs w:val="18"/>
              </w:rPr>
              <w:t>fruit</w:t>
            </w:r>
            <w:r w:rsidR="00AB3494">
              <w:rPr>
                <w:sz w:val="18"/>
                <w:szCs w:val="18"/>
              </w:rPr>
              <w:t xml:space="preserve"> of a year’s worth of research and illustrative work</w:t>
            </w:r>
            <w:r w:rsidR="000B609E">
              <w:rPr>
                <w:sz w:val="18"/>
                <w:szCs w:val="18"/>
              </w:rPr>
              <w:t xml:space="preserve"> with Paris Pousse, a </w:t>
            </w:r>
            <w:r w:rsidR="00024710">
              <w:rPr>
                <w:sz w:val="18"/>
                <w:szCs w:val="18"/>
              </w:rPr>
              <w:t>landscaping</w:t>
            </w:r>
            <w:r w:rsidR="001A263F">
              <w:rPr>
                <w:sz w:val="18"/>
                <w:szCs w:val="18"/>
              </w:rPr>
              <w:t xml:space="preserve"> </w:t>
            </w:r>
            <w:r w:rsidR="000B609E">
              <w:rPr>
                <w:sz w:val="18"/>
                <w:szCs w:val="18"/>
              </w:rPr>
              <w:t>start</w:t>
            </w:r>
            <w:r w:rsidR="001A263F">
              <w:rPr>
                <w:sz w:val="18"/>
                <w:szCs w:val="18"/>
              </w:rPr>
              <w:t>-</w:t>
            </w:r>
            <w:r w:rsidR="000B609E">
              <w:rPr>
                <w:sz w:val="18"/>
                <w:szCs w:val="18"/>
              </w:rPr>
              <w:t xml:space="preserve">up. </w:t>
            </w:r>
            <w:r>
              <w:rPr>
                <w:sz w:val="18"/>
                <w:szCs w:val="18"/>
              </w:rPr>
              <w:t>W</w:t>
            </w:r>
            <w:r w:rsidR="00D10F17">
              <w:rPr>
                <w:sz w:val="18"/>
                <w:szCs w:val="18"/>
              </w:rPr>
              <w:t>e completed our joint venture</w:t>
            </w:r>
            <w:r>
              <w:rPr>
                <w:sz w:val="18"/>
                <w:szCs w:val="18"/>
              </w:rPr>
              <w:t xml:space="preserve"> in autumn this year</w:t>
            </w:r>
            <w:r w:rsidR="00647775">
              <w:rPr>
                <w:sz w:val="18"/>
                <w:szCs w:val="18"/>
              </w:rPr>
              <w:t>.</w:t>
            </w:r>
            <w:r w:rsidR="00A7301F">
              <w:rPr>
                <w:sz w:val="18"/>
                <w:szCs w:val="18"/>
              </w:rPr>
              <w:t xml:space="preserve"> </w:t>
            </w:r>
          </w:p>
          <w:p w14:paraId="62FF0908" w14:textId="77777777" w:rsidR="00E5125B" w:rsidRDefault="00E5125B" w:rsidP="00E51475">
            <w:pPr>
              <w:rPr>
                <w:sz w:val="18"/>
                <w:szCs w:val="18"/>
              </w:rPr>
            </w:pPr>
          </w:p>
          <w:p w14:paraId="2FF24BEE" w14:textId="64AAC781" w:rsidR="00A7301F" w:rsidRDefault="001A708E" w:rsidP="00E51475">
            <w:pPr>
              <w:rPr>
                <w:sz w:val="18"/>
                <w:szCs w:val="18"/>
              </w:rPr>
            </w:pPr>
            <w:r>
              <w:rPr>
                <w:sz w:val="18"/>
                <w:szCs w:val="18"/>
              </w:rPr>
              <w:t>The o</w:t>
            </w:r>
            <w:r w:rsidR="001A263F">
              <w:rPr>
                <w:sz w:val="18"/>
                <w:szCs w:val="18"/>
              </w:rPr>
              <w:t>riginal</w:t>
            </w:r>
            <w:r w:rsidR="00A7301F">
              <w:rPr>
                <w:sz w:val="18"/>
                <w:szCs w:val="18"/>
              </w:rPr>
              <w:t xml:space="preserve"> watercolour </w:t>
            </w:r>
            <w:r w:rsidR="003162CA">
              <w:rPr>
                <w:sz w:val="18"/>
                <w:szCs w:val="18"/>
              </w:rPr>
              <w:t>images</w:t>
            </w:r>
            <w:r w:rsidR="00A7301F">
              <w:rPr>
                <w:sz w:val="18"/>
                <w:szCs w:val="18"/>
              </w:rPr>
              <w:t xml:space="preserve"> by yours truly </w:t>
            </w:r>
            <w:r w:rsidR="00701CCC">
              <w:rPr>
                <w:sz w:val="18"/>
                <w:szCs w:val="18"/>
              </w:rPr>
              <w:t>reflect</w:t>
            </w:r>
            <w:r w:rsidR="00211FD6">
              <w:rPr>
                <w:sz w:val="18"/>
                <w:szCs w:val="18"/>
              </w:rPr>
              <w:t xml:space="preserve"> the</w:t>
            </w:r>
            <w:r w:rsidR="00A7301F">
              <w:rPr>
                <w:sz w:val="18"/>
                <w:szCs w:val="18"/>
              </w:rPr>
              <w:t xml:space="preserve"> culinary diversity of our </w:t>
            </w:r>
            <w:r>
              <w:rPr>
                <w:sz w:val="18"/>
                <w:szCs w:val="18"/>
              </w:rPr>
              <w:t>stunning</w:t>
            </w:r>
            <w:r w:rsidR="00A7301F">
              <w:rPr>
                <w:sz w:val="18"/>
                <w:szCs w:val="18"/>
              </w:rPr>
              <w:t xml:space="preserve"> region</w:t>
            </w:r>
            <w:r w:rsidR="00647775">
              <w:rPr>
                <w:sz w:val="18"/>
                <w:szCs w:val="18"/>
              </w:rPr>
              <w:t>,</w:t>
            </w:r>
            <w:r w:rsidR="00AA02BD">
              <w:rPr>
                <w:sz w:val="18"/>
                <w:szCs w:val="18"/>
              </w:rPr>
              <w:t xml:space="preserve"> </w:t>
            </w:r>
            <w:r w:rsidR="00A7301F">
              <w:rPr>
                <w:sz w:val="18"/>
                <w:szCs w:val="18"/>
              </w:rPr>
              <w:t>Ile de France</w:t>
            </w:r>
            <w:r w:rsidR="00647775">
              <w:rPr>
                <w:sz w:val="18"/>
                <w:szCs w:val="18"/>
              </w:rPr>
              <w:t xml:space="preserve">, which </w:t>
            </w:r>
            <w:r w:rsidR="00B26592">
              <w:rPr>
                <w:sz w:val="18"/>
                <w:szCs w:val="18"/>
              </w:rPr>
              <w:t>has</w:t>
            </w:r>
            <w:r w:rsidR="00AA02BD">
              <w:rPr>
                <w:sz w:val="18"/>
                <w:szCs w:val="18"/>
              </w:rPr>
              <w:t xml:space="preserve"> </w:t>
            </w:r>
            <w:r w:rsidR="004504D1">
              <w:rPr>
                <w:sz w:val="18"/>
                <w:szCs w:val="18"/>
              </w:rPr>
              <w:t xml:space="preserve">a vibrant </w:t>
            </w:r>
            <w:r w:rsidR="00211FD6">
              <w:rPr>
                <w:sz w:val="18"/>
                <w:szCs w:val="18"/>
              </w:rPr>
              <w:t xml:space="preserve">heritage that </w:t>
            </w:r>
            <w:r w:rsidR="00B26592">
              <w:rPr>
                <w:sz w:val="18"/>
                <w:szCs w:val="18"/>
              </w:rPr>
              <w:t>often goes unnoticed</w:t>
            </w:r>
            <w:r w:rsidR="00211FD6">
              <w:rPr>
                <w:sz w:val="18"/>
                <w:szCs w:val="18"/>
              </w:rPr>
              <w:t>.</w:t>
            </w:r>
          </w:p>
          <w:p w14:paraId="27A4E980" w14:textId="77777777" w:rsidR="001F3866" w:rsidRDefault="001F3866" w:rsidP="00E51475">
            <w:pPr>
              <w:rPr>
                <w:sz w:val="18"/>
                <w:szCs w:val="18"/>
              </w:rPr>
            </w:pPr>
          </w:p>
          <w:p w14:paraId="7C2794EF" w14:textId="1866EE3C" w:rsidR="00362263" w:rsidRDefault="003162CA" w:rsidP="00E51475">
            <w:pPr>
              <w:rPr>
                <w:sz w:val="18"/>
                <w:szCs w:val="18"/>
              </w:rPr>
            </w:pPr>
            <w:r>
              <w:rPr>
                <w:sz w:val="18"/>
                <w:szCs w:val="18"/>
              </w:rPr>
              <w:t>Enjoy t</w:t>
            </w:r>
            <w:r w:rsidR="00AA02BD">
              <w:rPr>
                <w:sz w:val="18"/>
                <w:szCs w:val="18"/>
              </w:rPr>
              <w:t>welve</w:t>
            </w:r>
            <w:r w:rsidR="00362263">
              <w:rPr>
                <w:sz w:val="18"/>
                <w:szCs w:val="18"/>
              </w:rPr>
              <w:t xml:space="preserve"> months of fruit and vegetables</w:t>
            </w:r>
            <w:r w:rsidR="0049053F">
              <w:rPr>
                <w:sz w:val="18"/>
                <w:szCs w:val="18"/>
              </w:rPr>
              <w:t xml:space="preserve"> and be inspired by</w:t>
            </w:r>
            <w:r w:rsidR="00362263">
              <w:rPr>
                <w:sz w:val="18"/>
                <w:szCs w:val="18"/>
              </w:rPr>
              <w:t xml:space="preserve"> </w:t>
            </w:r>
            <w:r w:rsidR="00AA02BD">
              <w:rPr>
                <w:sz w:val="18"/>
                <w:szCs w:val="18"/>
              </w:rPr>
              <w:t>twelve</w:t>
            </w:r>
            <w:r w:rsidR="00362263">
              <w:rPr>
                <w:sz w:val="18"/>
                <w:szCs w:val="18"/>
              </w:rPr>
              <w:t xml:space="preserve"> months of </w:t>
            </w:r>
            <w:r w:rsidR="00211FD6">
              <w:rPr>
                <w:sz w:val="18"/>
                <w:szCs w:val="18"/>
              </w:rPr>
              <w:t xml:space="preserve">seasonal </w:t>
            </w:r>
            <w:r w:rsidR="00362263">
              <w:rPr>
                <w:sz w:val="18"/>
                <w:szCs w:val="18"/>
              </w:rPr>
              <w:t>ideas</w:t>
            </w:r>
            <w:r w:rsidR="001A708E">
              <w:rPr>
                <w:sz w:val="18"/>
                <w:szCs w:val="18"/>
              </w:rPr>
              <w:t>.</w:t>
            </w:r>
          </w:p>
          <w:p w14:paraId="4494E885" w14:textId="77777777" w:rsidR="00E5125B" w:rsidRDefault="00E5125B" w:rsidP="00E51475">
            <w:pPr>
              <w:rPr>
                <w:sz w:val="18"/>
                <w:szCs w:val="18"/>
              </w:rPr>
            </w:pPr>
          </w:p>
          <w:p w14:paraId="5A438796" w14:textId="1FA8FD93" w:rsidR="00362263" w:rsidRDefault="00362263" w:rsidP="00E51475">
            <w:pPr>
              <w:rPr>
                <w:sz w:val="18"/>
                <w:szCs w:val="18"/>
              </w:rPr>
            </w:pPr>
            <w:r>
              <w:rPr>
                <w:sz w:val="18"/>
                <w:szCs w:val="18"/>
              </w:rPr>
              <w:t xml:space="preserve">The cover </w:t>
            </w:r>
            <w:r w:rsidR="00F42A62">
              <w:rPr>
                <w:sz w:val="18"/>
                <w:szCs w:val="18"/>
              </w:rPr>
              <w:t xml:space="preserve">is an original artwork </w:t>
            </w:r>
            <w:r w:rsidR="00647775">
              <w:rPr>
                <w:sz w:val="18"/>
                <w:szCs w:val="18"/>
              </w:rPr>
              <w:t>and</w:t>
            </w:r>
            <w:r w:rsidR="00F42A62">
              <w:rPr>
                <w:sz w:val="18"/>
                <w:szCs w:val="18"/>
              </w:rPr>
              <w:t xml:space="preserve"> can be bought separately </w:t>
            </w:r>
            <w:r w:rsidR="003162CA">
              <w:rPr>
                <w:sz w:val="18"/>
                <w:szCs w:val="18"/>
              </w:rPr>
              <w:t xml:space="preserve">in </w:t>
            </w:r>
            <w:r w:rsidR="00F42A62">
              <w:rPr>
                <w:sz w:val="18"/>
                <w:szCs w:val="18"/>
              </w:rPr>
              <w:t xml:space="preserve">A3 </w:t>
            </w:r>
            <w:r w:rsidR="00A92E83">
              <w:rPr>
                <w:sz w:val="18"/>
                <w:szCs w:val="18"/>
              </w:rPr>
              <w:t>size</w:t>
            </w:r>
            <w:r w:rsidR="00F42A62">
              <w:rPr>
                <w:sz w:val="18"/>
                <w:szCs w:val="18"/>
              </w:rPr>
              <w:t>.</w:t>
            </w:r>
          </w:p>
          <w:p w14:paraId="3114C047" w14:textId="77777777" w:rsidR="00E5125B" w:rsidRDefault="00E5125B" w:rsidP="00E51475">
            <w:pPr>
              <w:rPr>
                <w:sz w:val="18"/>
                <w:szCs w:val="18"/>
              </w:rPr>
            </w:pPr>
          </w:p>
          <w:p w14:paraId="32CC0FC0" w14:textId="55A3D804" w:rsidR="00A92E83" w:rsidRPr="005F54DB" w:rsidRDefault="00A32D5F" w:rsidP="00E51475">
            <w:pPr>
              <w:rPr>
                <w:sz w:val="18"/>
                <w:szCs w:val="18"/>
              </w:rPr>
            </w:pPr>
            <w:r>
              <w:rPr>
                <w:sz w:val="18"/>
                <w:szCs w:val="18"/>
              </w:rPr>
              <w:t>The project was an opportunity to combine my</w:t>
            </w:r>
            <w:r w:rsidR="0075362B">
              <w:rPr>
                <w:sz w:val="18"/>
                <w:szCs w:val="18"/>
              </w:rPr>
              <w:t xml:space="preserve"> skills as a</w:t>
            </w:r>
            <w:r>
              <w:rPr>
                <w:sz w:val="18"/>
                <w:szCs w:val="18"/>
              </w:rPr>
              <w:t xml:space="preserve"> landscaper and illustrator. </w:t>
            </w:r>
            <w:r w:rsidR="00B17E85">
              <w:rPr>
                <w:sz w:val="18"/>
                <w:szCs w:val="18"/>
              </w:rPr>
              <w:t>Make way for</w:t>
            </w:r>
            <w:r>
              <w:rPr>
                <w:sz w:val="18"/>
                <w:szCs w:val="18"/>
              </w:rPr>
              <w:t xml:space="preserve"> a calendar with a cause: it promotes </w:t>
            </w:r>
            <w:r w:rsidR="00024710">
              <w:rPr>
                <w:sz w:val="18"/>
                <w:szCs w:val="18"/>
              </w:rPr>
              <w:t>eating and buying locally</w:t>
            </w:r>
            <w:r>
              <w:rPr>
                <w:sz w:val="18"/>
                <w:szCs w:val="18"/>
              </w:rPr>
              <w:t xml:space="preserve"> and </w:t>
            </w:r>
            <w:r w:rsidR="00647775">
              <w:rPr>
                <w:sz w:val="18"/>
                <w:szCs w:val="18"/>
              </w:rPr>
              <w:t xml:space="preserve">encourages </w:t>
            </w:r>
            <w:r w:rsidR="003162CA">
              <w:rPr>
                <w:sz w:val="18"/>
                <w:szCs w:val="18"/>
              </w:rPr>
              <w:t>people to</w:t>
            </w:r>
            <w:r w:rsidR="00647775">
              <w:rPr>
                <w:sz w:val="18"/>
                <w:szCs w:val="18"/>
              </w:rPr>
              <w:t xml:space="preserve"> </w:t>
            </w:r>
            <w:r>
              <w:rPr>
                <w:sz w:val="18"/>
                <w:szCs w:val="18"/>
              </w:rPr>
              <w:t xml:space="preserve">return to </w:t>
            </w:r>
            <w:r w:rsidR="00647775">
              <w:rPr>
                <w:sz w:val="18"/>
                <w:szCs w:val="18"/>
              </w:rPr>
              <w:t>simple</w:t>
            </w:r>
            <w:r w:rsidR="00741592">
              <w:rPr>
                <w:sz w:val="18"/>
                <w:szCs w:val="18"/>
              </w:rPr>
              <w:t xml:space="preserve">, </w:t>
            </w:r>
            <w:r w:rsidR="00CB599C">
              <w:rPr>
                <w:sz w:val="18"/>
                <w:szCs w:val="18"/>
              </w:rPr>
              <w:t>down-to-earth</w:t>
            </w:r>
            <w:r w:rsidR="00647775">
              <w:rPr>
                <w:sz w:val="18"/>
                <w:szCs w:val="18"/>
              </w:rPr>
              <w:t xml:space="preserve"> </w:t>
            </w:r>
            <w:r>
              <w:rPr>
                <w:sz w:val="18"/>
                <w:szCs w:val="18"/>
              </w:rPr>
              <w:t xml:space="preserve">cooking </w:t>
            </w:r>
            <w:r w:rsidR="00046437">
              <w:rPr>
                <w:sz w:val="18"/>
                <w:szCs w:val="18"/>
              </w:rPr>
              <w:t>guided by nature’s rhythm.</w:t>
            </w:r>
          </w:p>
        </w:tc>
      </w:tr>
    </w:tbl>
    <w:p w14:paraId="58C911A5" w14:textId="77777777" w:rsidR="00BC1C1B" w:rsidRDefault="00BC1C1B" w:rsidP="00BC1C1B">
      <w:pPr>
        <w:spacing w:after="0"/>
      </w:pPr>
    </w:p>
    <w:tbl>
      <w:tblPr>
        <w:tblStyle w:val="TableGrid"/>
        <w:tblW w:w="0" w:type="auto"/>
        <w:tblLook w:val="04A0" w:firstRow="1" w:lastRow="0" w:firstColumn="1" w:lastColumn="0" w:noHBand="0" w:noVBand="1"/>
      </w:tblPr>
      <w:tblGrid>
        <w:gridCol w:w="1838"/>
        <w:gridCol w:w="284"/>
        <w:gridCol w:w="1701"/>
      </w:tblGrid>
      <w:tr w:rsidR="00CC3724" w14:paraId="63C80CD0" w14:textId="77777777" w:rsidTr="007C20A9">
        <w:trPr>
          <w:trHeight w:val="343"/>
        </w:trPr>
        <w:tc>
          <w:tcPr>
            <w:tcW w:w="1838" w:type="dxa"/>
            <w:vAlign w:val="center"/>
          </w:tcPr>
          <w:p w14:paraId="6756233D" w14:textId="147686D0" w:rsidR="00CC3724" w:rsidRPr="002F2DA3" w:rsidRDefault="005F54DB" w:rsidP="007C20A9">
            <w:pPr>
              <w:jc w:val="center"/>
              <w:rPr>
                <w:sz w:val="18"/>
                <w:szCs w:val="18"/>
              </w:rPr>
            </w:pPr>
            <w:r>
              <w:rPr>
                <w:sz w:val="18"/>
                <w:szCs w:val="18"/>
              </w:rPr>
              <w:t>POLISH</w:t>
            </w:r>
            <w:r w:rsidR="00CC3724" w:rsidRPr="002F2DA3">
              <w:rPr>
                <w:sz w:val="18"/>
                <w:szCs w:val="18"/>
              </w:rPr>
              <w:t xml:space="preserve"> TO ENGLISH</w:t>
            </w:r>
          </w:p>
        </w:tc>
        <w:tc>
          <w:tcPr>
            <w:tcW w:w="284" w:type="dxa"/>
            <w:tcBorders>
              <w:top w:val="nil"/>
              <w:bottom w:val="nil"/>
            </w:tcBorders>
          </w:tcPr>
          <w:p w14:paraId="6E92C21C" w14:textId="77777777" w:rsidR="00CC3724" w:rsidRPr="002F2DA3" w:rsidRDefault="00CC3724" w:rsidP="007C20A9">
            <w:pPr>
              <w:jc w:val="center"/>
              <w:rPr>
                <w:sz w:val="18"/>
                <w:szCs w:val="18"/>
              </w:rPr>
            </w:pPr>
          </w:p>
        </w:tc>
        <w:tc>
          <w:tcPr>
            <w:tcW w:w="1701" w:type="dxa"/>
            <w:vAlign w:val="center"/>
          </w:tcPr>
          <w:p w14:paraId="0F2D9C0B" w14:textId="3A6B5886" w:rsidR="00CC3724" w:rsidRPr="002F2DA3" w:rsidRDefault="005F54DB" w:rsidP="007C20A9">
            <w:pPr>
              <w:jc w:val="center"/>
              <w:rPr>
                <w:sz w:val="18"/>
                <w:szCs w:val="18"/>
              </w:rPr>
            </w:pPr>
            <w:r>
              <w:rPr>
                <w:sz w:val="18"/>
                <w:szCs w:val="18"/>
              </w:rPr>
              <w:t>MARKETING</w:t>
            </w:r>
          </w:p>
        </w:tc>
      </w:tr>
    </w:tbl>
    <w:p w14:paraId="5DAD95BC" w14:textId="77777777" w:rsidR="00CC3724" w:rsidRDefault="00CC3724" w:rsidP="00CC3724">
      <w:pPr>
        <w:spacing w:after="0"/>
      </w:pPr>
    </w:p>
    <w:tbl>
      <w:tblPr>
        <w:tblStyle w:val="TableGrid"/>
        <w:tblW w:w="0" w:type="auto"/>
        <w:tblLook w:val="04A0" w:firstRow="1" w:lastRow="0" w:firstColumn="1" w:lastColumn="0" w:noHBand="0" w:noVBand="1"/>
      </w:tblPr>
      <w:tblGrid>
        <w:gridCol w:w="6974"/>
        <w:gridCol w:w="6974"/>
      </w:tblGrid>
      <w:tr w:rsidR="00E51475" w14:paraId="6D9628B1" w14:textId="77777777" w:rsidTr="00E51475">
        <w:tc>
          <w:tcPr>
            <w:tcW w:w="6974" w:type="dxa"/>
          </w:tcPr>
          <w:p w14:paraId="4003F51E" w14:textId="6C327F56" w:rsidR="000503BE" w:rsidRDefault="00DF5B62" w:rsidP="00D32FB3">
            <w:pPr>
              <w:rPr>
                <w:b/>
                <w:bCs/>
                <w:sz w:val="18"/>
                <w:szCs w:val="18"/>
                <w:lang w:val="pl-PL"/>
              </w:rPr>
            </w:pPr>
            <w:r>
              <w:rPr>
                <w:b/>
                <w:bCs/>
                <w:sz w:val="18"/>
                <w:szCs w:val="18"/>
                <w:lang w:val="pl-PL"/>
              </w:rPr>
              <w:t xml:space="preserve">Tekst biznesowy </w:t>
            </w:r>
          </w:p>
          <w:p w14:paraId="684BEEB1" w14:textId="77777777" w:rsidR="00030C53" w:rsidRPr="00E9368A" w:rsidRDefault="00030C53" w:rsidP="00D32FB3">
            <w:pPr>
              <w:rPr>
                <w:b/>
                <w:bCs/>
                <w:sz w:val="18"/>
                <w:szCs w:val="18"/>
                <w:lang w:val="pl-PL"/>
              </w:rPr>
            </w:pPr>
          </w:p>
          <w:p w14:paraId="7C0F9B10" w14:textId="77777777" w:rsidR="00E5125B" w:rsidRDefault="00E0415F" w:rsidP="00D32FB3">
            <w:pPr>
              <w:rPr>
                <w:sz w:val="18"/>
                <w:szCs w:val="18"/>
                <w:lang w:val="pl-PL"/>
              </w:rPr>
            </w:pPr>
            <w:r w:rsidRPr="00E0415F">
              <w:rPr>
                <w:sz w:val="18"/>
                <w:szCs w:val="18"/>
                <w:lang w:val="pl-PL"/>
              </w:rPr>
              <w:t xml:space="preserve">Na pierwszym poziomie są tzw. organizacje czerwone, które przypominają działanie i strukturę plemion. W jej centrum jest szef, a pracownik to typowy podwładny, który wykonuje jedynie polecenia. </w:t>
            </w:r>
          </w:p>
          <w:p w14:paraId="4B902B2A" w14:textId="77777777" w:rsidR="00E5125B" w:rsidRDefault="00E5125B" w:rsidP="00D32FB3">
            <w:pPr>
              <w:rPr>
                <w:sz w:val="18"/>
                <w:szCs w:val="18"/>
                <w:lang w:val="pl-PL"/>
              </w:rPr>
            </w:pPr>
          </w:p>
          <w:p w14:paraId="233FB010" w14:textId="77777777" w:rsidR="00E5125B" w:rsidRDefault="00E0415F" w:rsidP="00D32FB3">
            <w:pPr>
              <w:rPr>
                <w:sz w:val="18"/>
                <w:szCs w:val="18"/>
                <w:lang w:val="pl-PL"/>
              </w:rPr>
            </w:pPr>
            <w:r w:rsidRPr="00E0415F">
              <w:rPr>
                <w:sz w:val="18"/>
                <w:szCs w:val="18"/>
                <w:lang w:val="pl-PL"/>
              </w:rPr>
              <w:t xml:space="preserve">Kolejny poziom to organizacja bursztynowa, która również ma mocno zarysowaną hierarchię. W przeciwieństwie jednak do czerwonej organizacji wyznaczane są długoterminowe cele, a część procesów jest powtarzalna. </w:t>
            </w:r>
          </w:p>
          <w:p w14:paraId="33DB7846" w14:textId="77777777" w:rsidR="00E5125B" w:rsidRDefault="00E5125B" w:rsidP="00D32FB3">
            <w:pPr>
              <w:rPr>
                <w:sz w:val="18"/>
                <w:szCs w:val="18"/>
                <w:lang w:val="pl-PL"/>
              </w:rPr>
            </w:pPr>
          </w:p>
          <w:p w14:paraId="2ED84D96" w14:textId="77777777" w:rsidR="00E5125B" w:rsidRDefault="00E0415F" w:rsidP="00D32FB3">
            <w:pPr>
              <w:rPr>
                <w:sz w:val="18"/>
                <w:szCs w:val="18"/>
                <w:lang w:val="pl-PL"/>
              </w:rPr>
            </w:pPr>
            <w:r w:rsidRPr="00E0415F">
              <w:rPr>
                <w:sz w:val="18"/>
                <w:szCs w:val="18"/>
                <w:lang w:val="pl-PL"/>
              </w:rPr>
              <w:t xml:space="preserve">Pomarańczowa organizacja nie jest już tak mocno skoncentrowana na osobie przywódcy. Zwraca się uwagę na jednostkę i jej kompetencje, skuteczność, innowacyjność. Pracownicy zaś mają swobodę działania w realizacji zadań. </w:t>
            </w:r>
          </w:p>
          <w:p w14:paraId="200093F8" w14:textId="77777777" w:rsidR="00E5125B" w:rsidRDefault="00E5125B" w:rsidP="00D32FB3">
            <w:pPr>
              <w:rPr>
                <w:sz w:val="18"/>
                <w:szCs w:val="18"/>
                <w:lang w:val="pl-PL"/>
              </w:rPr>
            </w:pPr>
          </w:p>
          <w:p w14:paraId="1EC312CC" w14:textId="77777777" w:rsidR="00E5125B" w:rsidRDefault="00E0415F" w:rsidP="00D32FB3">
            <w:pPr>
              <w:rPr>
                <w:sz w:val="18"/>
                <w:szCs w:val="18"/>
                <w:lang w:val="pl-PL"/>
              </w:rPr>
            </w:pPr>
            <w:r w:rsidRPr="00E0415F">
              <w:rPr>
                <w:sz w:val="18"/>
                <w:szCs w:val="18"/>
                <w:lang w:val="pl-PL"/>
              </w:rPr>
              <w:t xml:space="preserve">Struktura zielonej organizacji nie jest już hierarchiczna, lecz przypomina piramidę. W tej strukturze liczy się pracownik, pracodawca motywuje i wspiera zaś jego pracę. Tutaj decyzję podejmuje nie tylko szef, lecz także osoby na niższych szczeblach organizacji. </w:t>
            </w:r>
          </w:p>
          <w:p w14:paraId="021BE1AF" w14:textId="77777777" w:rsidR="00E5125B" w:rsidRDefault="00E5125B" w:rsidP="00D32FB3">
            <w:pPr>
              <w:rPr>
                <w:sz w:val="18"/>
                <w:szCs w:val="18"/>
                <w:lang w:val="pl-PL"/>
              </w:rPr>
            </w:pPr>
          </w:p>
          <w:p w14:paraId="21522C6D" w14:textId="3CB4E0AB" w:rsidR="00D32E46" w:rsidRPr="00E0415F" w:rsidRDefault="00E0415F" w:rsidP="00D32FB3">
            <w:pPr>
              <w:rPr>
                <w:sz w:val="18"/>
                <w:szCs w:val="18"/>
                <w:lang w:val="pl-PL"/>
              </w:rPr>
            </w:pPr>
            <w:r w:rsidRPr="00E0415F">
              <w:rPr>
                <w:sz w:val="18"/>
                <w:szCs w:val="18"/>
                <w:lang w:val="pl-PL"/>
              </w:rPr>
              <w:t xml:space="preserve">W przypadku zaś organizacji turkusowej, nie ma już żadnych struktur. Nie ma szefa, lidera czy podziału na równych i równiejszych. Siłą tej struktury są ludzie, to oni tworzą firmę, a każdy z nich dostaje potrzebną do pracy przestrzeń. Każdy pracownik staje się własnym szefem, czyli mamy do czynienia z tzw. samoorganizacją. Każdy z nich także przynosi ze sobą wiedzę, kompetencje, emocje, wartości i cele. Organizacja turkusowa ewoluuje, kierując się tym, jak zmienia się otoczenie, oraz wsłuchując się w to, co mówią pracownicy. W tego typu firmie ważniejszy od efektów ekonomicznych jest </w:t>
            </w:r>
            <w:r w:rsidRPr="00E0415F">
              <w:rPr>
                <w:sz w:val="18"/>
                <w:szCs w:val="18"/>
              </w:rPr>
              <w:t>work-life balance</w:t>
            </w:r>
            <w:r w:rsidRPr="00E0415F">
              <w:rPr>
                <w:sz w:val="18"/>
                <w:szCs w:val="18"/>
                <w:lang w:val="pl-PL"/>
              </w:rPr>
              <w:t xml:space="preserve">. </w:t>
            </w:r>
          </w:p>
        </w:tc>
        <w:tc>
          <w:tcPr>
            <w:tcW w:w="6974" w:type="dxa"/>
          </w:tcPr>
          <w:p w14:paraId="6A234AA4" w14:textId="77777777" w:rsidR="00F86D7A" w:rsidRDefault="00F86D7A" w:rsidP="00F86D7A">
            <w:pPr>
              <w:rPr>
                <w:b/>
                <w:bCs/>
                <w:sz w:val="18"/>
                <w:szCs w:val="18"/>
              </w:rPr>
            </w:pPr>
            <w:r>
              <w:rPr>
                <w:b/>
                <w:bCs/>
                <w:sz w:val="18"/>
                <w:szCs w:val="18"/>
              </w:rPr>
              <w:t xml:space="preserve">Corporate text </w:t>
            </w:r>
          </w:p>
          <w:p w14:paraId="66F36FC9" w14:textId="77777777" w:rsidR="00F86D7A" w:rsidRPr="00E9368A" w:rsidRDefault="00F86D7A" w:rsidP="00F86D7A">
            <w:pPr>
              <w:rPr>
                <w:b/>
                <w:bCs/>
                <w:sz w:val="18"/>
                <w:szCs w:val="18"/>
              </w:rPr>
            </w:pPr>
          </w:p>
          <w:p w14:paraId="241455AD" w14:textId="77777777" w:rsidR="00F86D7A" w:rsidRDefault="00F86D7A" w:rsidP="00F86D7A">
            <w:pPr>
              <w:rPr>
                <w:sz w:val="18"/>
                <w:szCs w:val="18"/>
              </w:rPr>
            </w:pPr>
            <w:r>
              <w:rPr>
                <w:sz w:val="18"/>
                <w:szCs w:val="18"/>
              </w:rPr>
              <w:t xml:space="preserve">The first level of management consists of red organisations, which in their functioning and structure resemble clans. The boss is the chief, while employees are merely subordinates who do as they’re told. </w:t>
            </w:r>
          </w:p>
          <w:p w14:paraId="3B2797A7" w14:textId="77777777" w:rsidR="00F86D7A" w:rsidRDefault="00F86D7A" w:rsidP="00F86D7A">
            <w:pPr>
              <w:rPr>
                <w:sz w:val="18"/>
                <w:szCs w:val="18"/>
              </w:rPr>
            </w:pPr>
          </w:p>
          <w:p w14:paraId="78F1B848" w14:textId="77777777" w:rsidR="00F86D7A" w:rsidRDefault="00F86D7A" w:rsidP="00F86D7A">
            <w:pPr>
              <w:rPr>
                <w:sz w:val="18"/>
                <w:szCs w:val="18"/>
              </w:rPr>
            </w:pPr>
            <w:r>
              <w:rPr>
                <w:sz w:val="18"/>
                <w:szCs w:val="18"/>
              </w:rPr>
              <w:t xml:space="preserve">The next level is made up of amber organisations, which also have a distinct hierarchy. Unlike with red organisations, however, targets are set for the long term and some processes are reproducible. </w:t>
            </w:r>
          </w:p>
          <w:p w14:paraId="6C37A175" w14:textId="77777777" w:rsidR="00F86D7A" w:rsidRDefault="00F86D7A" w:rsidP="00F86D7A">
            <w:pPr>
              <w:rPr>
                <w:sz w:val="18"/>
                <w:szCs w:val="18"/>
              </w:rPr>
            </w:pPr>
          </w:p>
          <w:p w14:paraId="2D39F6B9" w14:textId="77777777" w:rsidR="00F86D7A" w:rsidRDefault="00F86D7A" w:rsidP="00F86D7A">
            <w:pPr>
              <w:rPr>
                <w:sz w:val="18"/>
                <w:szCs w:val="18"/>
              </w:rPr>
            </w:pPr>
            <w:r>
              <w:rPr>
                <w:sz w:val="18"/>
                <w:szCs w:val="18"/>
              </w:rPr>
              <w:t>Orange organisations are less focused on the leader. Instead, the emphasis is on individuals and their skills, efficiency and sense of innovation. Employees are encouraged to perform tasks as they see fit.</w:t>
            </w:r>
          </w:p>
          <w:p w14:paraId="23BADC5E" w14:textId="77777777" w:rsidR="00F86D7A" w:rsidRDefault="00F86D7A" w:rsidP="00F86D7A">
            <w:pPr>
              <w:rPr>
                <w:sz w:val="18"/>
                <w:szCs w:val="18"/>
              </w:rPr>
            </w:pPr>
          </w:p>
          <w:p w14:paraId="52A4CEB9" w14:textId="77777777" w:rsidR="00F86D7A" w:rsidRDefault="00F86D7A" w:rsidP="00F86D7A">
            <w:pPr>
              <w:rPr>
                <w:sz w:val="18"/>
                <w:szCs w:val="18"/>
              </w:rPr>
            </w:pPr>
            <w:r>
              <w:rPr>
                <w:sz w:val="18"/>
                <w:szCs w:val="18"/>
              </w:rPr>
              <w:t xml:space="preserve">Green organisations are not hierarchical: they have a pyramid structure and the employees are the foundation, while the employer provides motivation and support. Decisions are made not only by top management, but also by staff at all levels. </w:t>
            </w:r>
          </w:p>
          <w:p w14:paraId="179B817A" w14:textId="77777777" w:rsidR="00F86D7A" w:rsidRDefault="00F86D7A" w:rsidP="00F86D7A">
            <w:pPr>
              <w:rPr>
                <w:sz w:val="18"/>
                <w:szCs w:val="18"/>
              </w:rPr>
            </w:pPr>
          </w:p>
          <w:p w14:paraId="687F1003" w14:textId="43C2D8DF" w:rsidR="005708F8" w:rsidRPr="003F657E" w:rsidRDefault="00F86D7A" w:rsidP="00F86D7A">
            <w:pPr>
              <w:rPr>
                <w:sz w:val="18"/>
                <w:szCs w:val="18"/>
              </w:rPr>
            </w:pPr>
            <w:r>
              <w:rPr>
                <w:sz w:val="18"/>
                <w:szCs w:val="18"/>
              </w:rPr>
              <w:t>Teal organisations have no structure. There is no boss and some are not more equal than others. The company’s strength lies in the people who make it, and every person is given the space they need to do their job. Each employee is their own boss, which means that everyone shares responsibility. Each employee also brings knowledge, skills, emotions, values and goals. Teal organisations are guided by how their environment changes and grow by listening to their employees. In such companies, work-life balance outweighs economic outcomes.</w:t>
            </w:r>
          </w:p>
        </w:tc>
      </w:tr>
    </w:tbl>
    <w:p w14:paraId="4361793E" w14:textId="77777777" w:rsidR="00E51475" w:rsidRDefault="00E51475"/>
    <w:sectPr w:rsidR="00E51475" w:rsidSect="009622C5">
      <w:pgSz w:w="16838" w:h="11906" w:orient="landscape"/>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75"/>
    <w:rsid w:val="000217C8"/>
    <w:rsid w:val="00024710"/>
    <w:rsid w:val="00030C53"/>
    <w:rsid w:val="00046437"/>
    <w:rsid w:val="000503BE"/>
    <w:rsid w:val="00052979"/>
    <w:rsid w:val="000543F1"/>
    <w:rsid w:val="000862A5"/>
    <w:rsid w:val="00097D90"/>
    <w:rsid w:val="000B1FA3"/>
    <w:rsid w:val="000B4B3E"/>
    <w:rsid w:val="000B609E"/>
    <w:rsid w:val="000E5ADF"/>
    <w:rsid w:val="000F31AB"/>
    <w:rsid w:val="00123863"/>
    <w:rsid w:val="00125EB0"/>
    <w:rsid w:val="00130CA8"/>
    <w:rsid w:val="00134502"/>
    <w:rsid w:val="00145200"/>
    <w:rsid w:val="00156719"/>
    <w:rsid w:val="001A263F"/>
    <w:rsid w:val="001A708E"/>
    <w:rsid w:val="001B4879"/>
    <w:rsid w:val="001F3866"/>
    <w:rsid w:val="00211FD6"/>
    <w:rsid w:val="00230BE9"/>
    <w:rsid w:val="00234BCC"/>
    <w:rsid w:val="002D725B"/>
    <w:rsid w:val="002D7D78"/>
    <w:rsid w:val="002E3991"/>
    <w:rsid w:val="002E47EC"/>
    <w:rsid w:val="002F2DA3"/>
    <w:rsid w:val="002F3B98"/>
    <w:rsid w:val="00306068"/>
    <w:rsid w:val="003162CA"/>
    <w:rsid w:val="0031697F"/>
    <w:rsid w:val="00321484"/>
    <w:rsid w:val="00323BD1"/>
    <w:rsid w:val="00351A1C"/>
    <w:rsid w:val="00360424"/>
    <w:rsid w:val="00362263"/>
    <w:rsid w:val="0036596E"/>
    <w:rsid w:val="003664C9"/>
    <w:rsid w:val="0037246D"/>
    <w:rsid w:val="00376966"/>
    <w:rsid w:val="003B03B6"/>
    <w:rsid w:val="003B4773"/>
    <w:rsid w:val="003B6C8C"/>
    <w:rsid w:val="003C179A"/>
    <w:rsid w:val="003E49FA"/>
    <w:rsid w:val="003F4E0A"/>
    <w:rsid w:val="003F657E"/>
    <w:rsid w:val="00400B50"/>
    <w:rsid w:val="0040350E"/>
    <w:rsid w:val="004113DD"/>
    <w:rsid w:val="00421101"/>
    <w:rsid w:val="00426433"/>
    <w:rsid w:val="004315E9"/>
    <w:rsid w:val="004504D1"/>
    <w:rsid w:val="00454BD5"/>
    <w:rsid w:val="004605E6"/>
    <w:rsid w:val="00464D91"/>
    <w:rsid w:val="0049053F"/>
    <w:rsid w:val="00492E05"/>
    <w:rsid w:val="004A09D4"/>
    <w:rsid w:val="004E65C7"/>
    <w:rsid w:val="004F647A"/>
    <w:rsid w:val="00524688"/>
    <w:rsid w:val="0055183D"/>
    <w:rsid w:val="00565B55"/>
    <w:rsid w:val="005708F8"/>
    <w:rsid w:val="00575A47"/>
    <w:rsid w:val="005E3FFE"/>
    <w:rsid w:val="005F4473"/>
    <w:rsid w:val="005F54DB"/>
    <w:rsid w:val="00613029"/>
    <w:rsid w:val="00624D97"/>
    <w:rsid w:val="006337D3"/>
    <w:rsid w:val="00647775"/>
    <w:rsid w:val="00654FEC"/>
    <w:rsid w:val="00656700"/>
    <w:rsid w:val="00672701"/>
    <w:rsid w:val="00693356"/>
    <w:rsid w:val="006E4800"/>
    <w:rsid w:val="00701CCC"/>
    <w:rsid w:val="00721E02"/>
    <w:rsid w:val="007240D6"/>
    <w:rsid w:val="00741592"/>
    <w:rsid w:val="0075362B"/>
    <w:rsid w:val="0076133D"/>
    <w:rsid w:val="007A08E0"/>
    <w:rsid w:val="007D6295"/>
    <w:rsid w:val="007E10C2"/>
    <w:rsid w:val="007E3590"/>
    <w:rsid w:val="007F3D54"/>
    <w:rsid w:val="007F4843"/>
    <w:rsid w:val="00801FC0"/>
    <w:rsid w:val="00832549"/>
    <w:rsid w:val="0083488F"/>
    <w:rsid w:val="00850A2B"/>
    <w:rsid w:val="00870A56"/>
    <w:rsid w:val="008A1202"/>
    <w:rsid w:val="008A66D3"/>
    <w:rsid w:val="008B0730"/>
    <w:rsid w:val="009134EF"/>
    <w:rsid w:val="00917084"/>
    <w:rsid w:val="00923914"/>
    <w:rsid w:val="00927EB8"/>
    <w:rsid w:val="009622C5"/>
    <w:rsid w:val="009A1595"/>
    <w:rsid w:val="009C3911"/>
    <w:rsid w:val="009F041A"/>
    <w:rsid w:val="009F1F35"/>
    <w:rsid w:val="00A176B2"/>
    <w:rsid w:val="00A228AB"/>
    <w:rsid w:val="00A32D5F"/>
    <w:rsid w:val="00A5198C"/>
    <w:rsid w:val="00A7301A"/>
    <w:rsid w:val="00A7301F"/>
    <w:rsid w:val="00A8135E"/>
    <w:rsid w:val="00A84760"/>
    <w:rsid w:val="00A92E83"/>
    <w:rsid w:val="00A96929"/>
    <w:rsid w:val="00AA02BD"/>
    <w:rsid w:val="00AB263B"/>
    <w:rsid w:val="00AB3494"/>
    <w:rsid w:val="00AD3F12"/>
    <w:rsid w:val="00AD46E1"/>
    <w:rsid w:val="00AE5834"/>
    <w:rsid w:val="00AF0E51"/>
    <w:rsid w:val="00B049A7"/>
    <w:rsid w:val="00B17E85"/>
    <w:rsid w:val="00B2117B"/>
    <w:rsid w:val="00B26592"/>
    <w:rsid w:val="00B651CD"/>
    <w:rsid w:val="00B76B11"/>
    <w:rsid w:val="00BC1C1B"/>
    <w:rsid w:val="00BD3152"/>
    <w:rsid w:val="00BE5EF0"/>
    <w:rsid w:val="00BF169D"/>
    <w:rsid w:val="00BF25C1"/>
    <w:rsid w:val="00C11652"/>
    <w:rsid w:val="00C305BF"/>
    <w:rsid w:val="00C338CC"/>
    <w:rsid w:val="00C46C68"/>
    <w:rsid w:val="00C70720"/>
    <w:rsid w:val="00C846C2"/>
    <w:rsid w:val="00CA7DC1"/>
    <w:rsid w:val="00CB599C"/>
    <w:rsid w:val="00CB7DA3"/>
    <w:rsid w:val="00CC3724"/>
    <w:rsid w:val="00D10F17"/>
    <w:rsid w:val="00D114F3"/>
    <w:rsid w:val="00D139D9"/>
    <w:rsid w:val="00D16AC6"/>
    <w:rsid w:val="00D208C1"/>
    <w:rsid w:val="00D20EDB"/>
    <w:rsid w:val="00D2225E"/>
    <w:rsid w:val="00D32E46"/>
    <w:rsid w:val="00D32FB3"/>
    <w:rsid w:val="00D40C88"/>
    <w:rsid w:val="00D4547D"/>
    <w:rsid w:val="00D51056"/>
    <w:rsid w:val="00D66BEA"/>
    <w:rsid w:val="00D70A5D"/>
    <w:rsid w:val="00D77EC3"/>
    <w:rsid w:val="00DA2B73"/>
    <w:rsid w:val="00DD56D5"/>
    <w:rsid w:val="00DF5B62"/>
    <w:rsid w:val="00E0415F"/>
    <w:rsid w:val="00E12D72"/>
    <w:rsid w:val="00E15991"/>
    <w:rsid w:val="00E248D1"/>
    <w:rsid w:val="00E5125B"/>
    <w:rsid w:val="00E51475"/>
    <w:rsid w:val="00E51B57"/>
    <w:rsid w:val="00E64B0E"/>
    <w:rsid w:val="00E90D26"/>
    <w:rsid w:val="00E92D12"/>
    <w:rsid w:val="00E934B7"/>
    <w:rsid w:val="00E9368A"/>
    <w:rsid w:val="00E95228"/>
    <w:rsid w:val="00EC008B"/>
    <w:rsid w:val="00EC486D"/>
    <w:rsid w:val="00EF0A7E"/>
    <w:rsid w:val="00EF22E2"/>
    <w:rsid w:val="00F00430"/>
    <w:rsid w:val="00F05E99"/>
    <w:rsid w:val="00F0722A"/>
    <w:rsid w:val="00F10DF7"/>
    <w:rsid w:val="00F42A62"/>
    <w:rsid w:val="00F56769"/>
    <w:rsid w:val="00F86D7A"/>
    <w:rsid w:val="00F92C8F"/>
    <w:rsid w:val="00F9410E"/>
    <w:rsid w:val="00F96656"/>
    <w:rsid w:val="00FA5BAF"/>
    <w:rsid w:val="00FC208F"/>
    <w:rsid w:val="00FC3439"/>
    <w:rsid w:val="00FC509E"/>
    <w:rsid w:val="00FF6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27E2"/>
  <w15:chartTrackingRefBased/>
  <w15:docId w15:val="{DE8FCB59-3F01-474C-8DD4-0A46FCB7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475"/>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paragraph" w:styleId="BalloonText">
    <w:name w:val="Balloon Text"/>
    <w:basedOn w:val="Normal"/>
    <w:link w:val="BalloonTextChar"/>
    <w:uiPriority w:val="99"/>
    <w:semiHidden/>
    <w:unhideWhenUsed/>
    <w:rsid w:val="00F56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769"/>
    <w:rPr>
      <w:rFonts w:ascii="Segoe UI" w:hAnsi="Segoe UI" w:cs="Segoe UI"/>
      <w:sz w:val="18"/>
      <w:szCs w:val="18"/>
    </w:rPr>
  </w:style>
  <w:style w:type="character" w:customStyle="1" w:styleId="Heading1Char">
    <w:name w:val="Heading 1 Char"/>
    <w:basedOn w:val="DefaultParagraphFont"/>
    <w:link w:val="Heading1"/>
    <w:uiPriority w:val="9"/>
    <w:rsid w:val="00F92C8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DBD4-6E7A-4194-A1A5-BBD9153F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J. Chlon</dc:creator>
  <cp:keywords/>
  <dc:description/>
  <cp:lastModifiedBy>Aleksandra J. Chlon</cp:lastModifiedBy>
  <cp:revision>158</cp:revision>
  <dcterms:created xsi:type="dcterms:W3CDTF">2020-12-23T07:51:00Z</dcterms:created>
  <dcterms:modified xsi:type="dcterms:W3CDTF">2021-12-22T11:45:00Z</dcterms:modified>
</cp:coreProperties>
</file>