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17B6" w14:textId="77777777" w:rsidR="00983D96" w:rsidRDefault="002C5C5A">
      <w:pPr>
        <w:rPr>
          <w:rFonts w:ascii="Times New Roman" w:hAnsi="Times New Roman"/>
          <w:b/>
          <w:sz w:val="24"/>
        </w:rPr>
      </w:pPr>
      <w:r>
        <w:rPr>
          <w:rFonts w:ascii="Times New Roman" w:hAnsi="Times New Roman"/>
          <w:b/>
          <w:sz w:val="24"/>
        </w:rPr>
        <w:t>Ballarin Marie Pierre</w:t>
      </w:r>
    </w:p>
    <w:p w14:paraId="601D8811" w14:textId="77777777" w:rsidR="00983D96" w:rsidRDefault="002C5C5A">
      <w:pPr>
        <w:rPr>
          <w:rFonts w:ascii="Times New Roman" w:hAnsi="Times New Roman"/>
          <w:sz w:val="22"/>
        </w:rPr>
      </w:pPr>
      <w:r>
        <w:rPr>
          <w:rFonts w:ascii="Times New Roman" w:hAnsi="Times New Roman"/>
          <w:sz w:val="22"/>
        </w:rPr>
        <w:t>Urmis</w:t>
      </w:r>
    </w:p>
    <w:p w14:paraId="67F9E40B" w14:textId="77777777" w:rsidR="00983D96" w:rsidRDefault="002C5C5A">
      <w:pPr>
        <w:rPr>
          <w:rFonts w:ascii="Times New Roman" w:hAnsi="Times New Roman"/>
          <w:sz w:val="22"/>
        </w:rPr>
      </w:pPr>
      <w:r>
        <w:rPr>
          <w:rFonts w:ascii="Times New Roman" w:hAnsi="Times New Roman"/>
          <w:sz w:val="22"/>
        </w:rPr>
        <w:t>IRD/Université de Nice</w:t>
      </w:r>
    </w:p>
    <w:p w14:paraId="78AE5B1A" w14:textId="77777777" w:rsidR="00983D96" w:rsidRDefault="002C5C5A">
      <w:pPr>
        <w:rPr>
          <w:rFonts w:ascii="Times New Roman" w:hAnsi="Times New Roman"/>
          <w:sz w:val="22"/>
        </w:rPr>
      </w:pPr>
      <w:r>
        <w:rPr>
          <w:rFonts w:ascii="Times New Roman" w:hAnsi="Times New Roman"/>
          <w:sz w:val="22"/>
        </w:rPr>
        <w:t>marie-pierre.ballarin@ird.fr</w:t>
      </w:r>
    </w:p>
    <w:p w14:paraId="44635252" w14:textId="52395AF4" w:rsidR="00983D96" w:rsidRDefault="00983D96" w:rsidP="00961709">
      <w:pPr>
        <w:spacing w:line="360" w:lineRule="auto"/>
        <w:jc w:val="both"/>
        <w:rPr>
          <w:rFonts w:ascii="Times New Roman" w:hAnsi="Times New Roman"/>
          <w:sz w:val="22"/>
        </w:rPr>
      </w:pPr>
    </w:p>
    <w:p w14:paraId="7D631189" w14:textId="5CA4BF3C" w:rsidR="00AA7176" w:rsidRDefault="00AA7176" w:rsidP="00961709">
      <w:pPr>
        <w:spacing w:line="360" w:lineRule="auto"/>
        <w:jc w:val="both"/>
        <w:rPr>
          <w:rFonts w:ascii="Times New Roman" w:hAnsi="Times New Roman"/>
          <w:sz w:val="22"/>
        </w:rPr>
      </w:pPr>
    </w:p>
    <w:p w14:paraId="37495469" w14:textId="011B6107" w:rsidR="00AA7176" w:rsidRPr="00AA7176" w:rsidRDefault="00AA7176" w:rsidP="00961709">
      <w:pPr>
        <w:spacing w:line="360" w:lineRule="auto"/>
        <w:jc w:val="both"/>
        <w:rPr>
          <w:rFonts w:ascii="Times New Roman" w:hAnsi="Times New Roman"/>
          <w:b/>
          <w:sz w:val="22"/>
        </w:rPr>
      </w:pPr>
      <w:r w:rsidRPr="00AA7176">
        <w:rPr>
          <w:rFonts w:ascii="Times New Roman" w:hAnsi="Times New Roman"/>
          <w:b/>
          <w:sz w:val="22"/>
        </w:rPr>
        <w:t>Les populations Aravai, le site de Rabai et à ses forêts sacrées sur la côte kényane</w:t>
      </w:r>
    </w:p>
    <w:p w14:paraId="6BD9383D" w14:textId="77777777" w:rsidR="00AA7176" w:rsidRDefault="00AA7176" w:rsidP="00961709">
      <w:pPr>
        <w:spacing w:line="360" w:lineRule="auto"/>
        <w:jc w:val="both"/>
        <w:rPr>
          <w:rFonts w:ascii="Times New Roman" w:hAnsi="Times New Roman"/>
          <w:sz w:val="22"/>
        </w:rPr>
      </w:pPr>
    </w:p>
    <w:p w14:paraId="5FD0643F" w14:textId="5A6AD9B9" w:rsidR="00983D96" w:rsidRDefault="0078407F" w:rsidP="00AA7176">
      <w:pPr>
        <w:spacing w:line="360" w:lineRule="auto"/>
        <w:ind w:firstLine="708"/>
        <w:jc w:val="both"/>
        <w:rPr>
          <w:rFonts w:ascii="Times New Roman" w:hAnsi="Times New Roman"/>
          <w:sz w:val="22"/>
        </w:rPr>
      </w:pPr>
      <w:r>
        <w:rPr>
          <w:rFonts w:ascii="Times New Roman" w:hAnsi="Times New Roman"/>
          <w:sz w:val="22"/>
        </w:rPr>
        <w:t>L</w:t>
      </w:r>
      <w:r w:rsidR="002C5C5A">
        <w:rPr>
          <w:rFonts w:ascii="Times New Roman" w:hAnsi="Times New Roman"/>
          <w:sz w:val="22"/>
        </w:rPr>
        <w:t>es travaux en sciences sociales sur la côte kenyane ont</w:t>
      </w:r>
      <w:r>
        <w:rPr>
          <w:rFonts w:ascii="Times New Roman" w:hAnsi="Times New Roman"/>
          <w:sz w:val="22"/>
        </w:rPr>
        <w:t>, dans l’ensemble,</w:t>
      </w:r>
      <w:r w:rsidR="002C5C5A">
        <w:rPr>
          <w:rFonts w:ascii="Times New Roman" w:hAnsi="Times New Roman"/>
          <w:sz w:val="22"/>
        </w:rPr>
        <w:t xml:space="preserve"> largement mis en valeur la culture swahili </w:t>
      </w:r>
      <w:r>
        <w:rPr>
          <w:rFonts w:ascii="Times New Roman" w:hAnsi="Times New Roman"/>
          <w:sz w:val="22"/>
        </w:rPr>
        <w:t>–</w:t>
      </w:r>
      <w:r w:rsidR="002C5C5A">
        <w:rPr>
          <w:rFonts w:ascii="Times New Roman" w:hAnsi="Times New Roman"/>
          <w:sz w:val="22"/>
        </w:rPr>
        <w:t xml:space="preserve"> </w:t>
      </w:r>
      <w:r>
        <w:rPr>
          <w:rFonts w:ascii="Times New Roman" w:hAnsi="Times New Roman"/>
          <w:sz w:val="22"/>
        </w:rPr>
        <w:t xml:space="preserve">sur laquelle </w:t>
      </w:r>
      <w:r w:rsidR="002C5C5A">
        <w:rPr>
          <w:rFonts w:ascii="Times New Roman" w:hAnsi="Times New Roman"/>
          <w:sz w:val="22"/>
        </w:rPr>
        <w:t xml:space="preserve">la littérature académique est vaste </w:t>
      </w:r>
      <w:r>
        <w:rPr>
          <w:rFonts w:ascii="Times New Roman" w:hAnsi="Times New Roman"/>
          <w:sz w:val="22"/>
        </w:rPr>
        <w:t>–</w:t>
      </w:r>
      <w:r w:rsidR="002C5C5A">
        <w:rPr>
          <w:rFonts w:ascii="Times New Roman" w:hAnsi="Times New Roman"/>
          <w:sz w:val="22"/>
        </w:rPr>
        <w:t xml:space="preserve"> mais </w:t>
      </w:r>
      <w:r>
        <w:rPr>
          <w:rFonts w:ascii="Times New Roman" w:hAnsi="Times New Roman"/>
          <w:sz w:val="22"/>
        </w:rPr>
        <w:t xml:space="preserve">ils ont peu porté leur </w:t>
      </w:r>
      <w:r w:rsidR="002C5C5A">
        <w:rPr>
          <w:rFonts w:ascii="Times New Roman" w:hAnsi="Times New Roman"/>
          <w:sz w:val="22"/>
        </w:rPr>
        <w:t xml:space="preserve">attention aux Mijikenda. Les Mijikenda, linguistiquement apparentés aux </w:t>
      </w:r>
      <w:r>
        <w:rPr>
          <w:rFonts w:ascii="Times New Roman" w:hAnsi="Times New Roman"/>
          <w:sz w:val="22"/>
        </w:rPr>
        <w:t>populations b</w:t>
      </w:r>
      <w:r w:rsidR="002C5C5A">
        <w:rPr>
          <w:rFonts w:ascii="Times New Roman" w:hAnsi="Times New Roman"/>
          <w:sz w:val="22"/>
        </w:rPr>
        <w:t>antou</w:t>
      </w:r>
      <w:r>
        <w:rPr>
          <w:rFonts w:ascii="Times New Roman" w:hAnsi="Times New Roman"/>
          <w:sz w:val="22"/>
        </w:rPr>
        <w:t>e</w:t>
      </w:r>
      <w:r w:rsidR="002C5C5A">
        <w:rPr>
          <w:rFonts w:ascii="Times New Roman" w:hAnsi="Times New Roman"/>
          <w:sz w:val="22"/>
        </w:rPr>
        <w:t xml:space="preserve">s, incluent les sous-groupes </w:t>
      </w:r>
      <w:r>
        <w:rPr>
          <w:rFonts w:ascii="Times New Roman" w:hAnsi="Times New Roman"/>
          <w:sz w:val="22"/>
        </w:rPr>
        <w:t xml:space="preserve">suivants : </w:t>
      </w:r>
      <w:r w:rsidR="002C5C5A">
        <w:rPr>
          <w:rFonts w:ascii="Times New Roman" w:hAnsi="Times New Roman"/>
          <w:sz w:val="22"/>
        </w:rPr>
        <w:t xml:space="preserve">Agiriama, Akambe, Aribe, Aravai, Achonyi, Adigo, Aduruma, Adzihana et Akauma. D’après les récits locaux, ils seraient venus d’un territoire mythique, Singwaya (localisé au Sud de la Somalie actuelle), et se seraient installés dans des collines « fortifiées » par une enceinte végétale très dense, les </w:t>
      </w:r>
      <w:r w:rsidR="002C5C5A">
        <w:rPr>
          <w:rFonts w:ascii="Times New Roman" w:hAnsi="Times New Roman"/>
          <w:i/>
          <w:sz w:val="22"/>
        </w:rPr>
        <w:t>kayas</w:t>
      </w:r>
      <w:r w:rsidR="002C5C5A">
        <w:rPr>
          <w:rStyle w:val="Ancredenotedebasdepage"/>
          <w:rFonts w:ascii="Times New Roman" w:hAnsi="Times New Roman"/>
          <w:i/>
          <w:sz w:val="22"/>
        </w:rPr>
        <w:footnoteReference w:id="1"/>
      </w:r>
      <w:r w:rsidR="002C5C5A">
        <w:rPr>
          <w:rFonts w:ascii="Times New Roman" w:hAnsi="Times New Roman"/>
          <w:sz w:val="22"/>
        </w:rPr>
        <w:t>. Les Mijikenda ont formé un groupe d’intermédiaires entre la côte et l’intérieur du pays et ont très tôt été pris dans le système d’échanges économiques et politiques animé par les Swahili</w:t>
      </w:r>
      <w:r w:rsidR="002C5C5A">
        <w:rPr>
          <w:rStyle w:val="Ancredenotedebasdepage"/>
          <w:rFonts w:ascii="Times New Roman" w:hAnsi="Times New Roman"/>
          <w:sz w:val="22"/>
        </w:rPr>
        <w:footnoteReference w:id="2"/>
      </w:r>
      <w:r w:rsidR="002C5C5A">
        <w:rPr>
          <w:rFonts w:ascii="Times New Roman" w:hAnsi="Times New Roman"/>
          <w:sz w:val="22"/>
        </w:rPr>
        <w:t>. Selon l’historien Justin Willis</w:t>
      </w:r>
      <w:r>
        <w:rPr>
          <w:rStyle w:val="Ancredenotedebasdepage"/>
          <w:rFonts w:ascii="Times New Roman" w:hAnsi="Times New Roman"/>
          <w:sz w:val="22"/>
        </w:rPr>
        <w:footnoteReference w:id="3"/>
      </w:r>
      <w:r w:rsidR="002C5C5A">
        <w:rPr>
          <w:rFonts w:ascii="Times New Roman" w:hAnsi="Times New Roman"/>
          <w:sz w:val="22"/>
        </w:rPr>
        <w:t xml:space="preserve">, l’appellation « Mijikenda » ne renvoie pas à un groupe ethnique unifié mais a été créée sous la colonisation britannique pour désigner les deux groupes côtiers majeurs au plan démographique dans le cadre d’une politique d’accès à la terre fondée sur la différenciation ethno-raciale. D’un point de vue anthropologique, les recherches sur la société Giriama de David Parkin menées dans les années 1970, ainsi que celles, plus récentes, de Linda Giles et de </w:t>
      </w:r>
      <w:r w:rsidR="002C5C5A" w:rsidRPr="00961709">
        <w:rPr>
          <w:rFonts w:ascii="Times New Roman" w:hAnsi="Times New Roman"/>
          <w:sz w:val="22"/>
        </w:rPr>
        <w:t>Monica Udvardy</w:t>
      </w:r>
      <w:r w:rsidRPr="00961709">
        <w:rPr>
          <w:rStyle w:val="Appelnotedebasdep"/>
          <w:rFonts w:ascii="Times New Roman" w:hAnsi="Times New Roman"/>
          <w:sz w:val="22"/>
        </w:rPr>
        <w:footnoteReference w:id="4"/>
      </w:r>
      <w:r w:rsidR="002C5C5A">
        <w:rPr>
          <w:rFonts w:ascii="Times New Roman" w:hAnsi="Times New Roman"/>
          <w:sz w:val="22"/>
        </w:rPr>
        <w:t xml:space="preserve"> ont su montrer la complexité de l’organisation sociale et rituelle des Giriama pris dans l’ensemble plus large de la culture mijikenda</w:t>
      </w:r>
      <w:r w:rsidR="002C5C5A">
        <w:rPr>
          <w:rStyle w:val="Ancredenotedebasdepage"/>
          <w:rFonts w:ascii="Times New Roman" w:hAnsi="Times New Roman"/>
          <w:sz w:val="22"/>
        </w:rPr>
        <w:footnoteReference w:id="5"/>
      </w:r>
      <w:r w:rsidR="002C5C5A">
        <w:rPr>
          <w:rFonts w:ascii="Times New Roman" w:hAnsi="Times New Roman"/>
          <w:sz w:val="22"/>
        </w:rPr>
        <w:t xml:space="preserve">. Enfin, depuis les années 1990-2000, </w:t>
      </w:r>
      <w:r>
        <w:rPr>
          <w:rFonts w:ascii="Times New Roman" w:hAnsi="Times New Roman"/>
          <w:sz w:val="22"/>
        </w:rPr>
        <w:t xml:space="preserve">une </w:t>
      </w:r>
      <w:r w:rsidR="002C5C5A">
        <w:rPr>
          <w:rFonts w:ascii="Times New Roman" w:hAnsi="Times New Roman"/>
          <w:sz w:val="22"/>
        </w:rPr>
        <w:t xml:space="preserve">équipe des </w:t>
      </w:r>
      <w:r w:rsidR="002C5C5A">
        <w:rPr>
          <w:rFonts w:ascii="Times New Roman" w:hAnsi="Times New Roman"/>
          <w:i/>
          <w:sz w:val="22"/>
        </w:rPr>
        <w:t>National Museums of Kenya</w:t>
      </w:r>
      <w:r w:rsidR="002C5C5A">
        <w:rPr>
          <w:rFonts w:ascii="Times New Roman" w:hAnsi="Times New Roman"/>
          <w:sz w:val="22"/>
        </w:rPr>
        <w:t xml:space="preserve"> a entrepris des recherches en archéologie et en histoire sur certains des principaux sites </w:t>
      </w:r>
      <w:r>
        <w:rPr>
          <w:rFonts w:ascii="Times New Roman" w:hAnsi="Times New Roman"/>
          <w:sz w:val="22"/>
        </w:rPr>
        <w:t xml:space="preserve">anciennement </w:t>
      </w:r>
      <w:r w:rsidR="00262DF5">
        <w:rPr>
          <w:rFonts w:ascii="Times New Roman" w:hAnsi="Times New Roman"/>
          <w:sz w:val="22"/>
        </w:rPr>
        <w:t>occupés par les populations</w:t>
      </w:r>
      <w:r w:rsidR="002C5C5A">
        <w:rPr>
          <w:rFonts w:ascii="Times New Roman" w:hAnsi="Times New Roman"/>
          <w:sz w:val="22"/>
        </w:rPr>
        <w:t xml:space="preserve"> </w:t>
      </w:r>
      <w:r w:rsidR="00A03596">
        <w:rPr>
          <w:rFonts w:ascii="Times New Roman" w:hAnsi="Times New Roman"/>
          <w:sz w:val="22"/>
        </w:rPr>
        <w:t>M</w:t>
      </w:r>
      <w:r w:rsidR="002C5C5A">
        <w:rPr>
          <w:rFonts w:ascii="Times New Roman" w:hAnsi="Times New Roman"/>
          <w:sz w:val="22"/>
        </w:rPr>
        <w:t xml:space="preserve">ijikenda. Ces recherches s’inscrivaient dans une politique gouvernementale de valorisation et de protection des forêts sacrées. </w:t>
      </w:r>
      <w:r w:rsidR="002C5C5A">
        <w:rPr>
          <w:rFonts w:ascii="Times New Roman" w:hAnsi="Times New Roman"/>
          <w:sz w:val="22"/>
        </w:rPr>
        <w:lastRenderedPageBreak/>
        <w:t>Plusieurs d’entre elles se sont intéressé</w:t>
      </w:r>
      <w:r w:rsidR="00CE4EF2">
        <w:rPr>
          <w:rFonts w:ascii="Times New Roman" w:hAnsi="Times New Roman"/>
          <w:sz w:val="22"/>
        </w:rPr>
        <w:t>e</w:t>
      </w:r>
      <w:r w:rsidR="002C5C5A">
        <w:rPr>
          <w:rFonts w:ascii="Times New Roman" w:hAnsi="Times New Roman"/>
          <w:sz w:val="22"/>
        </w:rPr>
        <w:t>s aux Aravai, au site de Rabai et à ses forêts sacrées ; nous les présentons ici.</w:t>
      </w:r>
    </w:p>
    <w:p w14:paraId="7672E068" w14:textId="0FB629B6" w:rsidR="00983D96" w:rsidRDefault="002C5C5A">
      <w:pPr>
        <w:spacing w:line="360" w:lineRule="auto"/>
        <w:jc w:val="both"/>
        <w:rPr>
          <w:rFonts w:ascii="Times New Roman" w:hAnsi="Times New Roman"/>
          <w:sz w:val="22"/>
        </w:rPr>
      </w:pPr>
      <w:r>
        <w:rPr>
          <w:rFonts w:ascii="Times New Roman" w:hAnsi="Times New Roman"/>
          <w:sz w:val="22"/>
        </w:rPr>
        <w:t xml:space="preserve">Les récits d’origine des Aravai débutent à l’établissement de ce groupe dans les </w:t>
      </w:r>
      <w:r>
        <w:rPr>
          <w:rFonts w:ascii="Times New Roman" w:hAnsi="Times New Roman"/>
          <w:i/>
          <w:sz w:val="22"/>
        </w:rPr>
        <w:t>kayas</w:t>
      </w:r>
      <w:r>
        <w:rPr>
          <w:rFonts w:ascii="Times New Roman" w:hAnsi="Times New Roman"/>
          <w:sz w:val="22"/>
        </w:rPr>
        <w:t xml:space="preserve"> et, tel que Thomas Spear l’a décrit, </w:t>
      </w:r>
      <w:r w:rsidR="0078407F">
        <w:rPr>
          <w:rFonts w:ascii="Times New Roman" w:hAnsi="Times New Roman"/>
          <w:sz w:val="22"/>
        </w:rPr>
        <w:t xml:space="preserve">à </w:t>
      </w:r>
      <w:r>
        <w:rPr>
          <w:rFonts w:ascii="Times New Roman" w:hAnsi="Times New Roman"/>
          <w:sz w:val="22"/>
        </w:rPr>
        <w:t xml:space="preserve">la création des neuf groupes qui ont fondé l’identité </w:t>
      </w:r>
      <w:r w:rsidR="00CE4EF2">
        <w:rPr>
          <w:rFonts w:ascii="Times New Roman" w:hAnsi="Times New Roman"/>
          <w:sz w:val="22"/>
        </w:rPr>
        <w:t>M</w:t>
      </w:r>
      <w:r>
        <w:rPr>
          <w:rFonts w:ascii="Times New Roman" w:hAnsi="Times New Roman"/>
          <w:sz w:val="22"/>
        </w:rPr>
        <w:t xml:space="preserve">ijikenda. Il est souvent admis par ailleurs qu’au </w:t>
      </w:r>
      <w:r w:rsidR="00E45301">
        <w:rPr>
          <w:rFonts w:ascii="Times New Roman" w:hAnsi="Times New Roman"/>
          <w:sz w:val="22"/>
        </w:rPr>
        <w:t xml:space="preserve">XIXème </w:t>
      </w:r>
      <w:r>
        <w:rPr>
          <w:rFonts w:ascii="Times New Roman" w:hAnsi="Times New Roman"/>
          <w:sz w:val="22"/>
        </w:rPr>
        <w:t xml:space="preserve">siècle, suite à la pacification du territoire et à la pression démographique, les Mijikenda ont commencé à s’installer en dehors de leurs forêts. Les implantations originelles furent maintenues comme lieux sacrés et places funéraires, renforçant ainsi la territorialisation du groupe. Les aînés des lignages, les </w:t>
      </w:r>
      <w:r>
        <w:rPr>
          <w:rFonts w:ascii="Times New Roman" w:hAnsi="Times New Roman"/>
          <w:i/>
          <w:sz w:val="22"/>
        </w:rPr>
        <w:t>elders</w:t>
      </w:r>
      <w:r>
        <w:rPr>
          <w:rFonts w:ascii="Times New Roman" w:hAnsi="Times New Roman"/>
          <w:sz w:val="22"/>
        </w:rPr>
        <w:t>, se constituèrent en conseil dans le dessein de préserver ces lieux. Dans le même temps, des règles strictes furent mises en place afin de garantir la sacralité des forêts</w:t>
      </w:r>
      <w:r w:rsidR="00E45301">
        <w:rPr>
          <w:rFonts w:ascii="Times New Roman" w:hAnsi="Times New Roman"/>
          <w:sz w:val="22"/>
        </w:rPr>
        <w:t xml:space="preserve"> </w:t>
      </w:r>
      <w:r>
        <w:rPr>
          <w:rFonts w:ascii="Times New Roman" w:hAnsi="Times New Roman"/>
          <w:sz w:val="22"/>
        </w:rPr>
        <w:t>: coupes de bois et de végétation interdites, tenues vestimentaires particulières requises, tabous</w:t>
      </w:r>
      <w:r w:rsidR="00E45301">
        <w:rPr>
          <w:rFonts w:ascii="Times New Roman" w:hAnsi="Times New Roman"/>
          <w:sz w:val="22"/>
        </w:rPr>
        <w:t xml:space="preserve"> divers</w:t>
      </w:r>
      <w:r>
        <w:rPr>
          <w:rFonts w:ascii="Times New Roman" w:hAnsi="Times New Roman"/>
          <w:sz w:val="22"/>
        </w:rPr>
        <w:t xml:space="preserve">, accès réservé aux </w:t>
      </w:r>
      <w:r>
        <w:rPr>
          <w:rFonts w:ascii="Times New Roman" w:hAnsi="Times New Roman"/>
          <w:i/>
          <w:sz w:val="22"/>
        </w:rPr>
        <w:t>elders</w:t>
      </w:r>
      <w:r>
        <w:rPr>
          <w:rFonts w:ascii="Times New Roman" w:hAnsi="Times New Roman"/>
          <w:sz w:val="22"/>
        </w:rPr>
        <w:t xml:space="preserve"> notamment dans les endroits à haute valeur magique où sont enterrés les charmes protecteurs de la communauté (les </w:t>
      </w:r>
      <w:r>
        <w:rPr>
          <w:rFonts w:ascii="Times New Roman" w:hAnsi="Times New Roman"/>
          <w:i/>
          <w:sz w:val="22"/>
        </w:rPr>
        <w:t>fingos)</w:t>
      </w:r>
      <w:r>
        <w:rPr>
          <w:rFonts w:ascii="Times New Roman" w:hAnsi="Times New Roman"/>
          <w:sz w:val="22"/>
        </w:rPr>
        <w:t xml:space="preserve"> et, enfin, création de circuits </w:t>
      </w:r>
      <w:r w:rsidR="00E45301">
        <w:rPr>
          <w:rFonts w:ascii="Times New Roman" w:hAnsi="Times New Roman"/>
          <w:sz w:val="22"/>
        </w:rPr>
        <w:t xml:space="preserve">spécifiques </w:t>
      </w:r>
      <w:r>
        <w:rPr>
          <w:rFonts w:ascii="Times New Roman" w:hAnsi="Times New Roman"/>
          <w:sz w:val="22"/>
        </w:rPr>
        <w:t xml:space="preserve">de circulation dans l’enceinte de la </w:t>
      </w:r>
      <w:r>
        <w:rPr>
          <w:rFonts w:ascii="Times New Roman" w:hAnsi="Times New Roman"/>
          <w:i/>
          <w:sz w:val="22"/>
        </w:rPr>
        <w:t>kaya</w:t>
      </w:r>
      <w:r>
        <w:rPr>
          <w:rFonts w:ascii="Times New Roman" w:hAnsi="Times New Roman"/>
          <w:sz w:val="22"/>
        </w:rPr>
        <w:t xml:space="preserve">. La délimitation entre terre d’usage et terre sacrée s’est ainsi renforcée. Aujourd’hui, les </w:t>
      </w:r>
      <w:r>
        <w:rPr>
          <w:rFonts w:ascii="Times New Roman" w:hAnsi="Times New Roman"/>
          <w:i/>
          <w:sz w:val="22"/>
        </w:rPr>
        <w:t>kayas</w:t>
      </w:r>
      <w:r>
        <w:rPr>
          <w:rFonts w:ascii="Times New Roman" w:hAnsi="Times New Roman"/>
          <w:sz w:val="22"/>
        </w:rPr>
        <w:t xml:space="preserve"> sont toujours l’objet de cérémonies comme les rituels de pluie et de bonne harmonie du groupe, sous l’autorité des </w:t>
      </w:r>
      <w:r>
        <w:rPr>
          <w:rFonts w:ascii="Times New Roman" w:hAnsi="Times New Roman"/>
          <w:i/>
          <w:sz w:val="22"/>
        </w:rPr>
        <w:t>elders</w:t>
      </w:r>
      <w:r>
        <w:rPr>
          <w:rFonts w:ascii="Times New Roman" w:hAnsi="Times New Roman"/>
          <w:sz w:val="22"/>
        </w:rPr>
        <w:t xml:space="preserve">, lesquels jouent un rôle incontestable de contrôle et de régulation sociale, </w:t>
      </w:r>
      <w:r w:rsidR="00F62363">
        <w:rPr>
          <w:rFonts w:ascii="Times New Roman" w:hAnsi="Times New Roman"/>
          <w:sz w:val="22"/>
        </w:rPr>
        <w:t>qui tiennent</w:t>
      </w:r>
      <w:r>
        <w:rPr>
          <w:rFonts w:ascii="Times New Roman" w:hAnsi="Times New Roman"/>
          <w:sz w:val="22"/>
        </w:rPr>
        <w:t xml:space="preserve"> chaque semaine des sessions destinées à régler les problèmes de la communauté. Ces forêts sont, en ce sens, « par les actes rituels qui s’y produisent, le lieu de fabrique du lien social et territorial des groupes sociaux d’origines diverses qui composent le village. »</w:t>
      </w:r>
      <w:r>
        <w:rPr>
          <w:rStyle w:val="Ancredenotedebasdepage"/>
          <w:rFonts w:ascii="Times New Roman" w:hAnsi="Times New Roman"/>
          <w:sz w:val="22"/>
        </w:rPr>
        <w:footnoteReference w:id="6"/>
      </w:r>
      <w:r>
        <w:rPr>
          <w:rFonts w:ascii="Times New Roman" w:hAnsi="Times New Roman"/>
          <w:sz w:val="22"/>
        </w:rPr>
        <w:t>.</w:t>
      </w:r>
    </w:p>
    <w:p w14:paraId="3017E08E" w14:textId="3BB09410" w:rsidR="00983D96" w:rsidRDefault="002C5C5A">
      <w:pPr>
        <w:spacing w:line="360" w:lineRule="auto"/>
        <w:jc w:val="both"/>
        <w:rPr>
          <w:rFonts w:ascii="Times New Roman" w:hAnsi="Times New Roman"/>
          <w:sz w:val="22"/>
        </w:rPr>
      </w:pPr>
      <w:r>
        <w:rPr>
          <w:rFonts w:ascii="Times New Roman" w:hAnsi="Times New Roman"/>
          <w:sz w:val="22"/>
        </w:rPr>
        <w:t xml:space="preserve">À Rabai, le recours à une approche sur la longue durée permet de comprendre l’évolution des groupes </w:t>
      </w:r>
      <w:r w:rsidR="00E51B7A" w:rsidRPr="00961709">
        <w:rPr>
          <w:rFonts w:ascii="Times New Roman" w:hAnsi="Times New Roman"/>
          <w:sz w:val="22"/>
        </w:rPr>
        <w:t>M</w:t>
      </w:r>
      <w:r w:rsidRPr="00961709">
        <w:rPr>
          <w:rFonts w:ascii="Times New Roman" w:hAnsi="Times New Roman"/>
          <w:sz w:val="22"/>
        </w:rPr>
        <w:t>ijikenda</w:t>
      </w:r>
      <w:r>
        <w:rPr>
          <w:rFonts w:ascii="Times New Roman" w:hAnsi="Times New Roman"/>
          <w:sz w:val="22"/>
        </w:rPr>
        <w:t xml:space="preserve"> et leur gestion des </w:t>
      </w:r>
      <w:r>
        <w:rPr>
          <w:rFonts w:ascii="Times New Roman" w:hAnsi="Times New Roman"/>
          <w:i/>
          <w:sz w:val="22"/>
        </w:rPr>
        <w:t>kayas</w:t>
      </w:r>
      <w:r>
        <w:rPr>
          <w:rFonts w:ascii="Times New Roman" w:hAnsi="Times New Roman"/>
          <w:sz w:val="22"/>
        </w:rPr>
        <w:t xml:space="preserve"> jusqu’à aujourd'hui. Rabai est un site extrêmement riche, aux facettes variées, et son étude s’inscrit dans une réflexion plus large sur l’histoire et la mémoire dans les processus de mise en valorisation patrimoniale. Il soulève des questions relatives à la préservation et à la gestion durable du patrimoine par les communautés concernées dans la mesure où les forêts sacrées de Rabai sont menacées par la déforestation sauvage.</w:t>
      </w:r>
    </w:p>
    <w:p w14:paraId="1F0E7B48" w14:textId="09CB36E3" w:rsidR="00983D96" w:rsidRDefault="002C5C5A">
      <w:pPr>
        <w:widowControl w:val="0"/>
        <w:spacing w:line="360" w:lineRule="auto"/>
        <w:jc w:val="both"/>
        <w:rPr>
          <w:rFonts w:ascii="Times New Roman" w:hAnsi="Times New Roman"/>
          <w:sz w:val="22"/>
        </w:rPr>
      </w:pPr>
      <w:r>
        <w:rPr>
          <w:rFonts w:ascii="Times New Roman" w:hAnsi="Times New Roman"/>
          <w:sz w:val="22"/>
        </w:rPr>
        <w:t xml:space="preserve">Rabai a 5 </w:t>
      </w:r>
      <w:r>
        <w:rPr>
          <w:rFonts w:ascii="Times New Roman" w:hAnsi="Times New Roman"/>
          <w:i/>
          <w:sz w:val="22"/>
        </w:rPr>
        <w:t>kayas </w:t>
      </w:r>
      <w:r>
        <w:rPr>
          <w:rFonts w:ascii="Times New Roman" w:hAnsi="Times New Roman"/>
          <w:sz w:val="22"/>
        </w:rPr>
        <w:t>: Mudzimuvya, Bomu</w:t>
      </w:r>
      <w:r w:rsidR="00E45301">
        <w:rPr>
          <w:rFonts w:ascii="Times New Roman" w:hAnsi="Times New Roman"/>
          <w:sz w:val="22"/>
        </w:rPr>
        <w:t xml:space="preserve">, </w:t>
      </w:r>
      <w:r>
        <w:rPr>
          <w:rFonts w:ascii="Times New Roman" w:hAnsi="Times New Roman"/>
          <w:sz w:val="22"/>
        </w:rPr>
        <w:t xml:space="preserve">imboni, Mudzi Mwiru et Mzizima. Ces </w:t>
      </w:r>
      <w:r>
        <w:rPr>
          <w:rFonts w:ascii="Times New Roman" w:hAnsi="Times New Roman"/>
          <w:i/>
          <w:sz w:val="22"/>
        </w:rPr>
        <w:t>kayas</w:t>
      </w:r>
      <w:r>
        <w:rPr>
          <w:rFonts w:ascii="Times New Roman" w:hAnsi="Times New Roman"/>
          <w:sz w:val="22"/>
        </w:rPr>
        <w:t xml:space="preserve"> forment un bloc forestier composé de petites collines boisées et constituent un trait dominant du paysage jouxtant de grandes plantations de cocotiers. Rabai détient une des plus hautes concentrations de noix de coco de la côte et leur exploitation est un élément significatif de l’économie locale (notamment par la production de vin de palme). </w:t>
      </w:r>
      <w:r w:rsidR="00E25AF6">
        <w:rPr>
          <w:rFonts w:ascii="Times New Roman" w:hAnsi="Times New Roman"/>
          <w:sz w:val="22"/>
        </w:rPr>
        <w:t>Ces plantations</w:t>
      </w:r>
      <w:r>
        <w:rPr>
          <w:rFonts w:ascii="Times New Roman" w:hAnsi="Times New Roman"/>
          <w:sz w:val="22"/>
        </w:rPr>
        <w:t xml:space="preserve"> sont sous la responsabilité des </w:t>
      </w:r>
      <w:r>
        <w:rPr>
          <w:rFonts w:ascii="Times New Roman" w:hAnsi="Times New Roman"/>
          <w:i/>
          <w:sz w:val="22"/>
        </w:rPr>
        <w:t>elders</w:t>
      </w:r>
      <w:r>
        <w:rPr>
          <w:rFonts w:ascii="Times New Roman" w:hAnsi="Times New Roman"/>
          <w:sz w:val="22"/>
        </w:rPr>
        <w:t xml:space="preserve"> qui sont divisés en deux clans principaux : les Amwezi et les Achiza. On y pénètre par un chemin à deux ou trois entrées. </w:t>
      </w:r>
    </w:p>
    <w:p w14:paraId="099C4EE1" w14:textId="15F400F3" w:rsidR="00983D96" w:rsidRDefault="002C5C5A">
      <w:pPr>
        <w:widowControl w:val="0"/>
        <w:spacing w:line="360" w:lineRule="auto"/>
        <w:jc w:val="both"/>
        <w:rPr>
          <w:rFonts w:ascii="Times New Roman" w:hAnsi="Times New Roman"/>
          <w:sz w:val="22"/>
        </w:rPr>
      </w:pPr>
      <w:r>
        <w:rPr>
          <w:rFonts w:ascii="Times New Roman" w:hAnsi="Times New Roman"/>
          <w:sz w:val="22"/>
        </w:rPr>
        <w:t xml:space="preserve">Juste avant la première entrée et en fonction des </w:t>
      </w:r>
      <w:r>
        <w:rPr>
          <w:rFonts w:ascii="Times New Roman" w:hAnsi="Times New Roman"/>
          <w:i/>
          <w:sz w:val="22"/>
        </w:rPr>
        <w:t>kayas</w:t>
      </w:r>
      <w:r>
        <w:rPr>
          <w:rFonts w:ascii="Times New Roman" w:hAnsi="Times New Roman"/>
          <w:sz w:val="22"/>
        </w:rPr>
        <w:t>, on peut apercevoir les tombes (</w:t>
      </w:r>
      <w:r>
        <w:rPr>
          <w:rFonts w:ascii="Times New Roman" w:hAnsi="Times New Roman"/>
          <w:i/>
          <w:sz w:val="22"/>
        </w:rPr>
        <w:t>makaburini</w:t>
      </w:r>
      <w:r>
        <w:rPr>
          <w:rFonts w:ascii="Times New Roman" w:hAnsi="Times New Roman"/>
          <w:sz w:val="22"/>
        </w:rPr>
        <w:t xml:space="preserve">) des personnes décédées en dehors du site. </w:t>
      </w:r>
      <w:r w:rsidR="00E45301">
        <w:rPr>
          <w:rFonts w:ascii="Times New Roman" w:hAnsi="Times New Roman"/>
          <w:sz w:val="22"/>
        </w:rPr>
        <w:t xml:space="preserve">Ces dernières </w:t>
      </w:r>
      <w:r>
        <w:rPr>
          <w:rFonts w:ascii="Times New Roman" w:hAnsi="Times New Roman"/>
          <w:sz w:val="22"/>
        </w:rPr>
        <w:t xml:space="preserve">ont été inhumées de part et d’autre du chemin selon la cause du décès et/ou du clan d’appartenance. Non loin se trouve le </w:t>
      </w:r>
      <w:r>
        <w:rPr>
          <w:rFonts w:ascii="Times New Roman" w:hAnsi="Times New Roman"/>
          <w:bCs/>
          <w:i/>
          <w:iCs/>
          <w:sz w:val="22"/>
        </w:rPr>
        <w:t>cherani</w:t>
      </w:r>
      <w:r>
        <w:rPr>
          <w:rFonts w:ascii="Times New Roman" w:hAnsi="Times New Roman"/>
          <w:sz w:val="22"/>
        </w:rPr>
        <w:t xml:space="preserve">, l’endroit où le </w:t>
      </w:r>
      <w:r>
        <w:rPr>
          <w:rFonts w:ascii="Times New Roman" w:hAnsi="Times New Roman"/>
          <w:sz w:val="22"/>
        </w:rPr>
        <w:lastRenderedPageBreak/>
        <w:t xml:space="preserve">corps est exposé avant que la décision ne soit prise concernant son lieu d’inhumation. Dans la </w:t>
      </w:r>
      <w:r>
        <w:rPr>
          <w:rFonts w:ascii="Times New Roman" w:hAnsi="Times New Roman"/>
          <w:i/>
          <w:sz w:val="22"/>
        </w:rPr>
        <w:t>kaya</w:t>
      </w:r>
      <w:r>
        <w:rPr>
          <w:rFonts w:ascii="Times New Roman" w:hAnsi="Times New Roman"/>
          <w:sz w:val="22"/>
        </w:rPr>
        <w:t xml:space="preserve">, sont enterrés les </w:t>
      </w:r>
      <w:r>
        <w:rPr>
          <w:rFonts w:ascii="Times New Roman" w:hAnsi="Times New Roman"/>
          <w:i/>
          <w:sz w:val="22"/>
        </w:rPr>
        <w:t>elders</w:t>
      </w:r>
      <w:r>
        <w:rPr>
          <w:rFonts w:ascii="Times New Roman" w:hAnsi="Times New Roman"/>
          <w:sz w:val="22"/>
        </w:rPr>
        <w:t xml:space="preserve"> et les prophètes les plus fameux. Par exemple, à Mudzi Muvya est enterré Jindwa, le </w:t>
      </w:r>
      <w:r>
        <w:rPr>
          <w:rFonts w:ascii="Times New Roman" w:hAnsi="Times New Roman"/>
          <w:i/>
          <w:sz w:val="22"/>
        </w:rPr>
        <w:t>kaya</w:t>
      </w:r>
      <w:r>
        <w:rPr>
          <w:rFonts w:ascii="Times New Roman" w:hAnsi="Times New Roman"/>
          <w:sz w:val="22"/>
        </w:rPr>
        <w:t xml:space="preserve"> elder qui, au milieu du </w:t>
      </w:r>
      <w:r w:rsidR="00E45301">
        <w:rPr>
          <w:rFonts w:ascii="Times New Roman" w:hAnsi="Times New Roman"/>
          <w:sz w:val="22"/>
        </w:rPr>
        <w:t>XIXème</w:t>
      </w:r>
      <w:r>
        <w:rPr>
          <w:rFonts w:ascii="Times New Roman" w:hAnsi="Times New Roman"/>
          <w:sz w:val="22"/>
        </w:rPr>
        <w:t xml:space="preserve"> siècle, accueillit Johannes Krapf, le missionnaire anglican qui a fondé la mission de Rabai, point de départ de l’expansion du christianisme au Kenya.</w:t>
      </w:r>
    </w:p>
    <w:p w14:paraId="4C8AB96C" w14:textId="642194EA" w:rsidR="00983D96" w:rsidRDefault="002C5C5A">
      <w:pPr>
        <w:widowControl w:val="0"/>
        <w:spacing w:line="360" w:lineRule="auto"/>
        <w:jc w:val="both"/>
        <w:rPr>
          <w:rFonts w:ascii="Times New Roman" w:hAnsi="Times New Roman"/>
          <w:sz w:val="22"/>
        </w:rPr>
      </w:pPr>
      <w:r>
        <w:rPr>
          <w:rFonts w:ascii="Times New Roman" w:hAnsi="Times New Roman"/>
          <w:sz w:val="22"/>
        </w:rPr>
        <w:t xml:space="preserve">La dernière entrée mène au site historique d’occupation. Les </w:t>
      </w:r>
      <w:r>
        <w:rPr>
          <w:rFonts w:ascii="Times New Roman" w:hAnsi="Times New Roman"/>
          <w:i/>
          <w:sz w:val="22"/>
        </w:rPr>
        <w:t>elders</w:t>
      </w:r>
      <w:r>
        <w:rPr>
          <w:rFonts w:ascii="Times New Roman" w:hAnsi="Times New Roman"/>
          <w:sz w:val="22"/>
        </w:rPr>
        <w:t xml:space="preserve"> enfouissent leur</w:t>
      </w:r>
      <w:r w:rsidR="00B91866">
        <w:rPr>
          <w:rFonts w:ascii="Times New Roman" w:hAnsi="Times New Roman"/>
          <w:sz w:val="22"/>
        </w:rPr>
        <w:t>s</w:t>
      </w:r>
      <w:r>
        <w:rPr>
          <w:rFonts w:ascii="Times New Roman" w:hAnsi="Times New Roman"/>
          <w:sz w:val="22"/>
        </w:rPr>
        <w:t xml:space="preserve"> bâton</w:t>
      </w:r>
      <w:r w:rsidR="00B91866">
        <w:rPr>
          <w:rFonts w:ascii="Times New Roman" w:hAnsi="Times New Roman"/>
          <w:sz w:val="22"/>
        </w:rPr>
        <w:t>s</w:t>
      </w:r>
      <w:r>
        <w:rPr>
          <w:rFonts w:ascii="Times New Roman" w:hAnsi="Times New Roman"/>
          <w:sz w:val="22"/>
        </w:rPr>
        <w:t xml:space="preserve"> (</w:t>
      </w:r>
      <w:r>
        <w:rPr>
          <w:rFonts w:ascii="Times New Roman" w:hAnsi="Times New Roman"/>
          <w:i/>
          <w:sz w:val="22"/>
        </w:rPr>
        <w:t>ndata</w:t>
      </w:r>
      <w:r>
        <w:rPr>
          <w:rFonts w:ascii="Times New Roman" w:hAnsi="Times New Roman"/>
          <w:sz w:val="22"/>
        </w:rPr>
        <w:t xml:space="preserve">) dans le sol lorsqu’ils franchissent ce dernier passage et les reprennent lorsqu’ils ont terminé leurs activités dans la </w:t>
      </w:r>
      <w:r>
        <w:rPr>
          <w:rFonts w:ascii="Times New Roman" w:hAnsi="Times New Roman"/>
          <w:i/>
          <w:sz w:val="22"/>
        </w:rPr>
        <w:t>kaya</w:t>
      </w:r>
      <w:r>
        <w:rPr>
          <w:rFonts w:ascii="Times New Roman" w:hAnsi="Times New Roman"/>
          <w:sz w:val="22"/>
        </w:rPr>
        <w:t xml:space="preserve">. Ces bâtons </w:t>
      </w:r>
      <w:r w:rsidR="009D3B8D">
        <w:rPr>
          <w:rFonts w:ascii="Times New Roman" w:hAnsi="Times New Roman"/>
          <w:sz w:val="22"/>
        </w:rPr>
        <w:t xml:space="preserve">symbolisent </w:t>
      </w:r>
      <w:r>
        <w:rPr>
          <w:rFonts w:ascii="Times New Roman" w:hAnsi="Times New Roman"/>
          <w:sz w:val="22"/>
        </w:rPr>
        <w:t xml:space="preserve">leur autorité en même temps qu’ils marquent </w:t>
      </w:r>
      <w:r w:rsidR="00B91866">
        <w:rPr>
          <w:rFonts w:ascii="Times New Roman" w:hAnsi="Times New Roman"/>
          <w:sz w:val="22"/>
        </w:rPr>
        <w:t xml:space="preserve">la </w:t>
      </w:r>
      <w:r>
        <w:rPr>
          <w:rFonts w:ascii="Times New Roman" w:hAnsi="Times New Roman"/>
          <w:sz w:val="22"/>
        </w:rPr>
        <w:t>hiérarchie dans le groupe. Dans un endroit secret à h</w:t>
      </w:r>
      <w:bookmarkStart w:id="0" w:name="_GoBack"/>
      <w:bookmarkEnd w:id="0"/>
      <w:r>
        <w:rPr>
          <w:rFonts w:ascii="Times New Roman" w:hAnsi="Times New Roman"/>
          <w:sz w:val="22"/>
        </w:rPr>
        <w:t xml:space="preserve">aute valeur sacrale est enfoui le </w:t>
      </w:r>
      <w:r>
        <w:rPr>
          <w:rFonts w:ascii="Times New Roman" w:hAnsi="Times New Roman"/>
          <w:i/>
          <w:sz w:val="22"/>
        </w:rPr>
        <w:t>fingo</w:t>
      </w:r>
      <w:r>
        <w:rPr>
          <w:rFonts w:ascii="Times New Roman" w:hAnsi="Times New Roman"/>
          <w:sz w:val="22"/>
        </w:rPr>
        <w:t>, le talisman apporté de Singwaya et qui est associé au mythe d’arrivée. Le parlement (</w:t>
      </w:r>
      <w:r>
        <w:rPr>
          <w:rFonts w:ascii="Times New Roman" w:hAnsi="Times New Roman"/>
          <w:i/>
          <w:sz w:val="22"/>
        </w:rPr>
        <w:t>moro</w:t>
      </w:r>
      <w:r>
        <w:rPr>
          <w:rFonts w:ascii="Times New Roman" w:hAnsi="Times New Roman"/>
          <w:sz w:val="22"/>
        </w:rPr>
        <w:t xml:space="preserve">) originellement localisé au milieu de la </w:t>
      </w:r>
      <w:r>
        <w:rPr>
          <w:rFonts w:ascii="Times New Roman" w:hAnsi="Times New Roman"/>
          <w:i/>
          <w:sz w:val="22"/>
        </w:rPr>
        <w:t xml:space="preserve">kaya </w:t>
      </w:r>
      <w:r>
        <w:rPr>
          <w:rFonts w:ascii="Times New Roman" w:hAnsi="Times New Roman"/>
          <w:sz w:val="22"/>
        </w:rPr>
        <w:t xml:space="preserve">se trouve désormais dans le village. Les </w:t>
      </w:r>
      <w:r>
        <w:rPr>
          <w:rFonts w:ascii="Times New Roman" w:hAnsi="Times New Roman"/>
          <w:i/>
          <w:sz w:val="22"/>
        </w:rPr>
        <w:t>elders</w:t>
      </w:r>
      <w:r>
        <w:rPr>
          <w:rFonts w:ascii="Times New Roman" w:hAnsi="Times New Roman"/>
          <w:sz w:val="22"/>
        </w:rPr>
        <w:t xml:space="preserve"> y gèrent la vie courante de la communauté et y décident des activités rituelles. Des sessions sont organisées afin de délibérer sur les problèmes rencontrés par les habitants (familiaux, fonciers, infractions, etc.). </w:t>
      </w:r>
    </w:p>
    <w:p w14:paraId="4DD9D76E" w14:textId="074F7E8A" w:rsidR="00983D96" w:rsidRDefault="002C5C5A">
      <w:pPr>
        <w:spacing w:line="360" w:lineRule="auto"/>
        <w:jc w:val="both"/>
        <w:rPr>
          <w:rFonts w:ascii="Times New Roman" w:hAnsi="Times New Roman"/>
          <w:sz w:val="22"/>
        </w:rPr>
      </w:pPr>
      <w:r>
        <w:rPr>
          <w:rFonts w:ascii="Times New Roman" w:hAnsi="Times New Roman"/>
          <w:sz w:val="22"/>
        </w:rPr>
        <w:t xml:space="preserve">Les cérémonies et les lieux dans lesquels elles se déroulent sont divers et chaque </w:t>
      </w:r>
      <w:r>
        <w:rPr>
          <w:rFonts w:ascii="Times New Roman" w:hAnsi="Times New Roman"/>
          <w:i/>
          <w:sz w:val="22"/>
        </w:rPr>
        <w:t>kaya</w:t>
      </w:r>
      <w:r>
        <w:rPr>
          <w:rFonts w:ascii="Times New Roman" w:hAnsi="Times New Roman"/>
          <w:sz w:val="22"/>
        </w:rPr>
        <w:t xml:space="preserve"> a un rôle particulier. À Rabai, un cycle rituel annuel</w:t>
      </w:r>
      <w:r w:rsidR="00B91866">
        <w:rPr>
          <w:rFonts w:ascii="Times New Roman" w:hAnsi="Times New Roman"/>
          <w:sz w:val="22"/>
        </w:rPr>
        <w:t xml:space="preserve"> existe,</w:t>
      </w:r>
      <w:r>
        <w:rPr>
          <w:rFonts w:ascii="Times New Roman" w:hAnsi="Times New Roman"/>
          <w:sz w:val="22"/>
        </w:rPr>
        <w:t xml:space="preserve"> lié à la préservation de la communauté et à l’entretien des </w:t>
      </w:r>
      <w:r>
        <w:rPr>
          <w:rFonts w:ascii="Times New Roman" w:hAnsi="Times New Roman"/>
          <w:i/>
          <w:sz w:val="22"/>
        </w:rPr>
        <w:t>kayas</w:t>
      </w:r>
      <w:r>
        <w:rPr>
          <w:rFonts w:ascii="Times New Roman" w:hAnsi="Times New Roman"/>
          <w:sz w:val="22"/>
        </w:rPr>
        <w:t xml:space="preserve">. Il est ponctué de rites variés et s’organise selon les circonstances, </w:t>
      </w:r>
      <w:proofErr w:type="gramStart"/>
      <w:r>
        <w:rPr>
          <w:rFonts w:ascii="Times New Roman" w:hAnsi="Times New Roman"/>
          <w:sz w:val="22"/>
        </w:rPr>
        <w:t>telles la réparation</w:t>
      </w:r>
      <w:proofErr w:type="gramEnd"/>
      <w:r>
        <w:rPr>
          <w:rFonts w:ascii="Times New Roman" w:hAnsi="Times New Roman"/>
          <w:sz w:val="22"/>
        </w:rPr>
        <w:t xml:space="preserve"> d’une faute, l’initiation d’un </w:t>
      </w:r>
      <w:r>
        <w:rPr>
          <w:rFonts w:ascii="Times New Roman" w:hAnsi="Times New Roman"/>
          <w:i/>
          <w:sz w:val="22"/>
        </w:rPr>
        <w:t>elder</w:t>
      </w:r>
      <w:r>
        <w:rPr>
          <w:rFonts w:ascii="Times New Roman" w:hAnsi="Times New Roman"/>
          <w:sz w:val="22"/>
        </w:rPr>
        <w:t xml:space="preserve"> à un rang plus élevé ou une requête spécifique. Par exemple, en 2008, un rituel en l’honneur de l’une des prophétesses </w:t>
      </w:r>
      <w:r w:rsidR="009D3B8D">
        <w:rPr>
          <w:rFonts w:ascii="Times New Roman" w:hAnsi="Times New Roman"/>
          <w:sz w:val="22"/>
        </w:rPr>
        <w:t>M</w:t>
      </w:r>
      <w:r>
        <w:rPr>
          <w:rFonts w:ascii="Times New Roman" w:hAnsi="Times New Roman"/>
          <w:sz w:val="22"/>
        </w:rPr>
        <w:t xml:space="preserve">ijikenda a été modifié par une prière spéciale faite afin d’obtenir le consentement des ancêtres pour l’ouverture de la </w:t>
      </w:r>
      <w:r>
        <w:rPr>
          <w:rFonts w:ascii="Times New Roman" w:hAnsi="Times New Roman"/>
          <w:i/>
          <w:sz w:val="22"/>
        </w:rPr>
        <w:t>kaya</w:t>
      </w:r>
      <w:r>
        <w:rPr>
          <w:rFonts w:ascii="Times New Roman" w:hAnsi="Times New Roman"/>
          <w:sz w:val="22"/>
        </w:rPr>
        <w:t xml:space="preserve"> Mudzi Muvya à l’écotourisme</w:t>
      </w:r>
      <w:r w:rsidR="00B91866">
        <w:rPr>
          <w:rFonts w:ascii="Times New Roman" w:hAnsi="Times New Roman"/>
          <w:sz w:val="22"/>
        </w:rPr>
        <w:t>.</w:t>
      </w:r>
      <w:r>
        <w:rPr>
          <w:rFonts w:ascii="Times New Roman" w:hAnsi="Times New Roman"/>
          <w:sz w:val="22"/>
        </w:rPr>
        <w:t xml:space="preserve"> </w:t>
      </w:r>
      <w:r w:rsidR="00B91866">
        <w:rPr>
          <w:rFonts w:ascii="Times New Roman" w:hAnsi="Times New Roman"/>
          <w:sz w:val="22"/>
        </w:rPr>
        <w:t>C</w:t>
      </w:r>
      <w:r>
        <w:rPr>
          <w:rFonts w:ascii="Times New Roman" w:hAnsi="Times New Roman"/>
          <w:sz w:val="22"/>
        </w:rPr>
        <w:t xml:space="preserve">e rituel a aussi porté sur l’autorisation d’entreprendre des recherches en archéologie dans Mudzi Mwiru, la plus ancienne </w:t>
      </w:r>
      <w:r>
        <w:rPr>
          <w:rFonts w:ascii="Times New Roman" w:hAnsi="Times New Roman"/>
          <w:i/>
          <w:sz w:val="22"/>
        </w:rPr>
        <w:t>kaya</w:t>
      </w:r>
      <w:r>
        <w:rPr>
          <w:rFonts w:ascii="Times New Roman" w:hAnsi="Times New Roman"/>
          <w:sz w:val="22"/>
        </w:rPr>
        <w:t xml:space="preserve"> en termes d’occupation et la plus importante rituellement. </w:t>
      </w:r>
    </w:p>
    <w:p w14:paraId="2A61BAB1" w14:textId="749E46FE" w:rsidR="00983D96" w:rsidRDefault="002C5C5A" w:rsidP="00961709">
      <w:pPr>
        <w:widowControl w:val="0"/>
        <w:spacing w:line="360" w:lineRule="auto"/>
        <w:jc w:val="both"/>
        <w:rPr>
          <w:rFonts w:ascii="Times New Roman" w:hAnsi="Times New Roman"/>
          <w:sz w:val="22"/>
        </w:rPr>
      </w:pPr>
      <w:r>
        <w:rPr>
          <w:rFonts w:ascii="Times New Roman" w:hAnsi="Times New Roman"/>
          <w:sz w:val="22"/>
        </w:rPr>
        <w:t xml:space="preserve">L’affirmation actuelle de l’identité </w:t>
      </w:r>
      <w:r w:rsidR="009D3B8D">
        <w:rPr>
          <w:rFonts w:ascii="Times New Roman" w:hAnsi="Times New Roman"/>
          <w:sz w:val="22"/>
        </w:rPr>
        <w:t>M</w:t>
      </w:r>
      <w:r>
        <w:rPr>
          <w:rFonts w:ascii="Times New Roman" w:hAnsi="Times New Roman"/>
          <w:sz w:val="22"/>
        </w:rPr>
        <w:t xml:space="preserve">ijikenda par le biais d’un renouveau culturel qui se décline en festivals, en création d’écomusées ou en effervescences rituelles, s’inscrit dans une recherche de légitimation et de reconnaissance sociales. Cette revendication vise à faire face aux pressions venues de l’extérieur : sollicitations des mouvances politiques, pressions pour l’accès aux ressources et à la terre ou encore demandes liées au développement touristique. L’exemple de l’ouverture de la </w:t>
      </w:r>
      <w:r>
        <w:rPr>
          <w:rFonts w:ascii="Times New Roman" w:hAnsi="Times New Roman"/>
          <w:i/>
          <w:sz w:val="22"/>
        </w:rPr>
        <w:t>kaya</w:t>
      </w:r>
      <w:r>
        <w:rPr>
          <w:rFonts w:ascii="Times New Roman" w:hAnsi="Times New Roman"/>
          <w:sz w:val="22"/>
        </w:rPr>
        <w:t xml:space="preserve"> Mudzi Muvya au public en 2009, financée par l’ambassade de France au Kenya, est révélateur de la diversité des intérêts et enjeux en présence, qu’ils soient locaux (groupe des </w:t>
      </w:r>
      <w:r>
        <w:rPr>
          <w:rFonts w:ascii="Times New Roman" w:hAnsi="Times New Roman"/>
          <w:i/>
          <w:sz w:val="22"/>
        </w:rPr>
        <w:t>elders</w:t>
      </w:r>
      <w:r>
        <w:rPr>
          <w:rFonts w:ascii="Times New Roman" w:hAnsi="Times New Roman"/>
          <w:sz w:val="22"/>
        </w:rPr>
        <w:t xml:space="preserve"> de Rabai, villageois, </w:t>
      </w:r>
      <w:r>
        <w:rPr>
          <w:rFonts w:ascii="Times New Roman" w:hAnsi="Times New Roman"/>
          <w:i/>
          <w:sz w:val="22"/>
        </w:rPr>
        <w:t>elders</w:t>
      </w:r>
      <w:r>
        <w:rPr>
          <w:rFonts w:ascii="Times New Roman" w:hAnsi="Times New Roman"/>
          <w:sz w:val="22"/>
        </w:rPr>
        <w:t xml:space="preserve"> des </w:t>
      </w:r>
      <w:r>
        <w:rPr>
          <w:rFonts w:ascii="Times New Roman" w:hAnsi="Times New Roman"/>
          <w:i/>
          <w:sz w:val="22"/>
        </w:rPr>
        <w:t>kayas</w:t>
      </w:r>
      <w:r>
        <w:rPr>
          <w:rFonts w:ascii="Times New Roman" w:hAnsi="Times New Roman"/>
          <w:sz w:val="22"/>
        </w:rPr>
        <w:t xml:space="preserve"> environnantes, autorités locales...), nationaux (autorités gouvernementales, </w:t>
      </w:r>
      <w:r>
        <w:rPr>
          <w:rFonts w:ascii="Times New Roman" w:hAnsi="Times New Roman"/>
          <w:i/>
          <w:sz w:val="22"/>
        </w:rPr>
        <w:t>National Museums of Kenya</w:t>
      </w:r>
      <w:r>
        <w:rPr>
          <w:rFonts w:ascii="Times New Roman" w:hAnsi="Times New Roman"/>
          <w:sz w:val="22"/>
        </w:rPr>
        <w:t>, partis politiques...) ou encore internationaux (Unesco, ONG et institutions de recherche). En 2013, ce projet s’autogère avec un réel investissement des groupes impliqués. Mais les tensions entre ses membres sont constantes, que ce soit au sein</w:t>
      </w:r>
      <w:r w:rsidR="009D3B8D">
        <w:rPr>
          <w:rFonts w:ascii="Times New Roman" w:hAnsi="Times New Roman"/>
          <w:sz w:val="22"/>
        </w:rPr>
        <w:t xml:space="preserve"> même</w:t>
      </w:r>
      <w:r>
        <w:rPr>
          <w:rFonts w:ascii="Times New Roman" w:hAnsi="Times New Roman"/>
          <w:sz w:val="22"/>
        </w:rPr>
        <w:t xml:space="preserve"> des</w:t>
      </w:r>
      <w:r w:rsidR="009D3B8D">
        <w:rPr>
          <w:rFonts w:ascii="Times New Roman" w:hAnsi="Times New Roman"/>
          <w:sz w:val="22"/>
        </w:rPr>
        <w:t xml:space="preserve"> conseils des</w:t>
      </w:r>
      <w:r>
        <w:rPr>
          <w:rFonts w:ascii="Times New Roman" w:hAnsi="Times New Roman"/>
          <w:sz w:val="22"/>
        </w:rPr>
        <w:t xml:space="preserve"> </w:t>
      </w:r>
      <w:r>
        <w:rPr>
          <w:rFonts w:ascii="Times New Roman" w:hAnsi="Times New Roman"/>
          <w:i/>
          <w:sz w:val="22"/>
        </w:rPr>
        <w:t>elders</w:t>
      </w:r>
      <w:r>
        <w:rPr>
          <w:rFonts w:ascii="Times New Roman" w:hAnsi="Times New Roman"/>
          <w:sz w:val="22"/>
        </w:rPr>
        <w:t xml:space="preserve"> qu</w:t>
      </w:r>
      <w:r w:rsidR="00B91866">
        <w:rPr>
          <w:rFonts w:ascii="Times New Roman" w:hAnsi="Times New Roman"/>
          <w:sz w:val="22"/>
        </w:rPr>
        <w:t>’</w:t>
      </w:r>
      <w:r>
        <w:rPr>
          <w:rFonts w:ascii="Times New Roman" w:hAnsi="Times New Roman"/>
          <w:sz w:val="22"/>
        </w:rPr>
        <w:t xml:space="preserve">entre les </w:t>
      </w:r>
      <w:r w:rsidRPr="00961709">
        <w:rPr>
          <w:rFonts w:ascii="Times New Roman" w:hAnsi="Times New Roman"/>
          <w:i/>
          <w:sz w:val="22"/>
        </w:rPr>
        <w:t>elders</w:t>
      </w:r>
      <w:r>
        <w:rPr>
          <w:rFonts w:ascii="Times New Roman" w:hAnsi="Times New Roman"/>
          <w:sz w:val="22"/>
        </w:rPr>
        <w:t xml:space="preserve"> et les groupes de femmes qui contestent le pouvoir de ces derniers – toujours des hommes – et réclament un meilleur partage des bénéfices. D’autre part, le site ne reçoit pas assez de visiteurs et pour pallier ce problème, certains membres de l'association démarchent les hôtels de Mombasa à la clientèle internationale importante. Ainsi, le 13 juillet 2013, une délégation de professionnels du tourisme s'est rendue à Rabai où une nouvelle portion de forêt avait été préparée afin </w:t>
      </w:r>
      <w:r>
        <w:rPr>
          <w:rFonts w:ascii="Times New Roman" w:hAnsi="Times New Roman"/>
          <w:sz w:val="22"/>
        </w:rPr>
        <w:lastRenderedPageBreak/>
        <w:t xml:space="preserve">de créer un village touristique destiné à promouvoir le site. Danses et chants des différents villages aux alentours, simulations de cérémonies et d'activités de la vie quotidienne ont été présentés. Or, l'un des nouveaux membres de l'association avait invité certains leaders politiques de l'opposition et la journée se termina en meeting politique... De fait, des questionnements surgissent concernant les différentes strates de pouvoir et les jeux d'échelle que révèle la situation de patrimonialisation telle que celle de Rabai. La société </w:t>
      </w:r>
      <w:r w:rsidR="009D3B8D">
        <w:rPr>
          <w:rFonts w:ascii="Times New Roman" w:hAnsi="Times New Roman"/>
          <w:sz w:val="22"/>
        </w:rPr>
        <w:t>M</w:t>
      </w:r>
      <w:r>
        <w:rPr>
          <w:rFonts w:ascii="Times New Roman" w:hAnsi="Times New Roman"/>
          <w:sz w:val="22"/>
        </w:rPr>
        <w:t xml:space="preserve">ijikenda actuelle est prise dans ces contradictions et les </w:t>
      </w:r>
      <w:r>
        <w:rPr>
          <w:rFonts w:ascii="Times New Roman" w:hAnsi="Times New Roman"/>
          <w:i/>
          <w:sz w:val="22"/>
        </w:rPr>
        <w:t>kayas</w:t>
      </w:r>
      <w:r>
        <w:rPr>
          <w:rFonts w:ascii="Times New Roman" w:hAnsi="Times New Roman"/>
          <w:sz w:val="22"/>
        </w:rPr>
        <w:t xml:space="preserve"> </w:t>
      </w:r>
      <w:r>
        <w:rPr>
          <w:rFonts w:ascii="Times New Roman" w:hAnsi="Times New Roman"/>
          <w:i/>
          <w:sz w:val="22"/>
        </w:rPr>
        <w:t>elders</w:t>
      </w:r>
      <w:r>
        <w:rPr>
          <w:rFonts w:ascii="Times New Roman" w:hAnsi="Times New Roman"/>
          <w:sz w:val="22"/>
        </w:rPr>
        <w:t xml:space="preserve"> </w:t>
      </w:r>
      <w:r w:rsidR="009D3B8D">
        <w:rPr>
          <w:rFonts w:ascii="Times New Roman" w:hAnsi="Times New Roman"/>
          <w:sz w:val="22"/>
        </w:rPr>
        <w:t>A</w:t>
      </w:r>
      <w:r>
        <w:rPr>
          <w:rFonts w:ascii="Times New Roman" w:hAnsi="Times New Roman"/>
          <w:sz w:val="22"/>
        </w:rPr>
        <w:t xml:space="preserve">ravai ou </w:t>
      </w:r>
      <w:r w:rsidR="009D3B8D">
        <w:rPr>
          <w:rFonts w:ascii="Times New Roman" w:hAnsi="Times New Roman"/>
          <w:sz w:val="22"/>
        </w:rPr>
        <w:t>G</w:t>
      </w:r>
      <w:r>
        <w:rPr>
          <w:rFonts w:ascii="Times New Roman" w:hAnsi="Times New Roman"/>
          <w:sz w:val="22"/>
        </w:rPr>
        <w:t xml:space="preserve">iriama sont au </w:t>
      </w:r>
      <w:r w:rsidR="009D3B8D">
        <w:rPr>
          <w:rFonts w:ascii="Times New Roman" w:hAnsi="Times New Roman"/>
          <w:sz w:val="22"/>
        </w:rPr>
        <w:t>cœur</w:t>
      </w:r>
      <w:r>
        <w:rPr>
          <w:rFonts w:ascii="Times New Roman" w:hAnsi="Times New Roman"/>
          <w:sz w:val="22"/>
        </w:rPr>
        <w:t xml:space="preserve"> des enjeux socio-politiques de l’ensemble de la société kenyane contemporaine.</w:t>
      </w:r>
    </w:p>
    <w:p w14:paraId="0243D6DF" w14:textId="77777777" w:rsidR="00983D96" w:rsidRDefault="00983D96"/>
    <w:sectPr w:rsidR="00983D96">
      <w:pgSz w:w="11906" w:h="16838"/>
      <w:pgMar w:top="1417" w:right="1417" w:bottom="1417" w:left="1417" w:header="0" w:footer="0" w:gutter="0"/>
      <w:cols w:space="720"/>
      <w:formProt w:val="0"/>
      <w:docGrid w:linePitch="360"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0A58" w14:textId="77777777" w:rsidR="00533428" w:rsidRDefault="00533428">
      <w:r>
        <w:separator/>
      </w:r>
    </w:p>
  </w:endnote>
  <w:endnote w:type="continuationSeparator" w:id="0">
    <w:p w14:paraId="28BF4481" w14:textId="77777777" w:rsidR="00533428" w:rsidRDefault="0053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6059" w14:textId="77777777" w:rsidR="00533428" w:rsidRDefault="00533428">
      <w:r>
        <w:separator/>
      </w:r>
    </w:p>
  </w:footnote>
  <w:footnote w:type="continuationSeparator" w:id="0">
    <w:p w14:paraId="386E0E09" w14:textId="77777777" w:rsidR="00533428" w:rsidRDefault="00533428">
      <w:r>
        <w:continuationSeparator/>
      </w:r>
    </w:p>
  </w:footnote>
  <w:footnote w:id="1">
    <w:p w14:paraId="4225E49D" w14:textId="267408EA" w:rsidR="00983D96" w:rsidRPr="00961709" w:rsidRDefault="002C5C5A">
      <w:pPr>
        <w:pStyle w:val="Notedebasd"/>
        <w:jc w:val="both"/>
        <w:rPr>
          <w:lang w:val="en-US"/>
        </w:rPr>
      </w:pPr>
      <w:r>
        <w:rPr>
          <w:rStyle w:val="Marquenotebasde"/>
          <w:sz w:val="20"/>
        </w:rPr>
        <w:footnoteRef/>
      </w:r>
      <w:r w:rsidR="0078407F">
        <w:rPr>
          <w:sz w:val="20"/>
        </w:rPr>
        <w:t xml:space="preserve"> </w:t>
      </w:r>
      <w:r>
        <w:rPr>
          <w:sz w:val="20"/>
        </w:rPr>
        <w:t xml:space="preserve">Les recherches archéologiques menées récemment par les </w:t>
      </w:r>
      <w:r>
        <w:rPr>
          <w:i/>
          <w:sz w:val="20"/>
        </w:rPr>
        <w:t>National Museums of Kenya</w:t>
      </w:r>
      <w:r>
        <w:rPr>
          <w:sz w:val="20"/>
        </w:rPr>
        <w:t xml:space="preserve"> </w:t>
      </w:r>
      <w:proofErr w:type="gramStart"/>
      <w:r>
        <w:rPr>
          <w:sz w:val="20"/>
        </w:rPr>
        <w:t>ont</w:t>
      </w:r>
      <w:proofErr w:type="gramEnd"/>
      <w:r>
        <w:rPr>
          <w:sz w:val="20"/>
        </w:rPr>
        <w:t xml:space="preserve"> montré que l’occupation des </w:t>
      </w:r>
      <w:r>
        <w:rPr>
          <w:i/>
          <w:sz w:val="20"/>
        </w:rPr>
        <w:t>kayas</w:t>
      </w:r>
      <w:r>
        <w:rPr>
          <w:sz w:val="20"/>
        </w:rPr>
        <w:t xml:space="preserve"> est plus ancienne et remonterait au début du second millénaire. </w:t>
      </w:r>
      <w:r w:rsidRPr="00961709">
        <w:rPr>
          <w:sz w:val="20"/>
          <w:lang w:val="en-US"/>
        </w:rPr>
        <w:t xml:space="preserve">Voir </w:t>
      </w:r>
      <w:r>
        <w:rPr>
          <w:sz w:val="20"/>
          <w:lang w:val="en-US"/>
        </w:rPr>
        <w:t xml:space="preserve">Kiriama Herman, </w:t>
      </w:r>
      <w:r w:rsidRPr="00961709">
        <w:rPr>
          <w:sz w:val="22"/>
          <w:lang w:val="en-US"/>
        </w:rPr>
        <w:t>« </w:t>
      </w:r>
      <w:r>
        <w:rPr>
          <w:sz w:val="20"/>
          <w:lang w:val="en-US"/>
        </w:rPr>
        <w:t xml:space="preserve">Heritage, Identity and Archaeology at </w:t>
      </w:r>
      <w:r>
        <w:rPr>
          <w:i/>
          <w:sz w:val="20"/>
          <w:lang w:val="en-US"/>
        </w:rPr>
        <w:t>kaya</w:t>
      </w:r>
      <w:r>
        <w:rPr>
          <w:sz w:val="20"/>
          <w:lang w:val="en-US"/>
        </w:rPr>
        <w:t xml:space="preserve"> Mudzi Mwiru (Kenya)</w:t>
      </w:r>
      <w:r w:rsidRPr="00961709">
        <w:rPr>
          <w:sz w:val="22"/>
          <w:lang w:val="en-US"/>
        </w:rPr>
        <w:t> »</w:t>
      </w:r>
      <w:r>
        <w:rPr>
          <w:sz w:val="20"/>
          <w:lang w:val="en-US"/>
        </w:rPr>
        <w:t xml:space="preserve">, </w:t>
      </w:r>
      <w:r w:rsidRPr="00961709">
        <w:rPr>
          <w:i/>
          <w:sz w:val="20"/>
          <w:lang w:val="en-US"/>
        </w:rPr>
        <w:t>in</w:t>
      </w:r>
      <w:r w:rsidRPr="00961709">
        <w:rPr>
          <w:sz w:val="20"/>
          <w:lang w:val="en-US"/>
        </w:rPr>
        <w:t xml:space="preserve"> </w:t>
      </w:r>
      <w:r>
        <w:rPr>
          <w:sz w:val="20"/>
          <w:lang w:val="en-US"/>
        </w:rPr>
        <w:t xml:space="preserve">Ballarin Marie Pierre, Kiriama Herman, Pennacini Cecilia, </w:t>
      </w:r>
      <w:r>
        <w:rPr>
          <w:i/>
          <w:sz w:val="20"/>
          <w:lang w:val="en-US"/>
        </w:rPr>
        <w:t>Sacred Natural Sites and Cultural Heritage in East Africa</w:t>
      </w:r>
      <w:r>
        <w:rPr>
          <w:sz w:val="20"/>
          <w:lang w:val="en-US"/>
        </w:rPr>
        <w:t xml:space="preserve">, n° 53, Special Issue, </w:t>
      </w:r>
      <w:r>
        <w:rPr>
          <w:i/>
          <w:sz w:val="20"/>
          <w:lang w:val="en-US"/>
        </w:rPr>
        <w:t xml:space="preserve">The Uganda Journal, </w:t>
      </w:r>
      <w:r>
        <w:rPr>
          <w:sz w:val="20"/>
          <w:lang w:val="en-US"/>
        </w:rPr>
        <w:t>Kampala,</w:t>
      </w:r>
      <w:r>
        <w:rPr>
          <w:i/>
          <w:sz w:val="20"/>
          <w:lang w:val="en-US"/>
        </w:rPr>
        <w:t xml:space="preserve"> </w:t>
      </w:r>
      <w:r>
        <w:rPr>
          <w:sz w:val="20"/>
          <w:lang w:val="en-US"/>
        </w:rPr>
        <w:t>Fountain Publisher, 2013, p. 187-200.</w:t>
      </w:r>
    </w:p>
  </w:footnote>
  <w:footnote w:id="2">
    <w:p w14:paraId="42C03147" w14:textId="239E72BF" w:rsidR="00983D96" w:rsidRPr="00961709" w:rsidRDefault="002C5C5A">
      <w:pPr>
        <w:jc w:val="both"/>
        <w:rPr>
          <w:lang w:val="en-GB"/>
        </w:rPr>
      </w:pPr>
      <w:r>
        <w:rPr>
          <w:rStyle w:val="Marquenotebasde1"/>
          <w:rFonts w:ascii="Times New Roman" w:hAnsi="Times New Roman"/>
          <w:sz w:val="20"/>
        </w:rPr>
        <w:footnoteRef/>
      </w:r>
      <w:r w:rsidR="0078407F">
        <w:rPr>
          <w:rFonts w:ascii="Times New Roman" w:hAnsi="Times New Roman"/>
          <w:sz w:val="20"/>
          <w:lang w:val="en-US"/>
        </w:rPr>
        <w:t xml:space="preserve"> </w:t>
      </w:r>
      <w:r>
        <w:rPr>
          <w:rFonts w:ascii="Times New Roman" w:hAnsi="Times New Roman"/>
          <w:sz w:val="20"/>
          <w:lang w:val="en-GB"/>
        </w:rPr>
        <w:t xml:space="preserve">Spear Thomas, </w:t>
      </w:r>
      <w:r>
        <w:rPr>
          <w:rFonts w:ascii="Times New Roman" w:hAnsi="Times New Roman"/>
          <w:i/>
          <w:sz w:val="20"/>
          <w:lang w:val="en-GB"/>
        </w:rPr>
        <w:t>The kaya Complex: a History of the Mijikenda Peoples of the Kenya Coast to 1900</w:t>
      </w:r>
      <w:r>
        <w:rPr>
          <w:rFonts w:ascii="Times New Roman" w:hAnsi="Times New Roman"/>
          <w:sz w:val="20"/>
          <w:lang w:val="en-GB"/>
        </w:rPr>
        <w:t xml:space="preserve">, 1978, Nairobi, Kenya Literature Bureau, </w:t>
      </w:r>
      <w:proofErr w:type="gramStart"/>
      <w:r>
        <w:rPr>
          <w:rFonts w:ascii="Times New Roman" w:hAnsi="Times New Roman"/>
          <w:sz w:val="20"/>
          <w:lang w:val="en-GB"/>
        </w:rPr>
        <w:t>1978</w:t>
      </w:r>
      <w:r w:rsidR="0078407F">
        <w:rPr>
          <w:rFonts w:ascii="Times New Roman" w:hAnsi="Times New Roman"/>
          <w:sz w:val="20"/>
          <w:lang w:val="en-GB"/>
        </w:rPr>
        <w:t xml:space="preserve"> </w:t>
      </w:r>
      <w:r>
        <w:rPr>
          <w:rFonts w:ascii="Times New Roman" w:hAnsi="Times New Roman"/>
          <w:sz w:val="20"/>
          <w:lang w:val="en-GB"/>
        </w:rPr>
        <w:t>;</w:t>
      </w:r>
      <w:proofErr w:type="gramEnd"/>
      <w:r>
        <w:rPr>
          <w:rFonts w:ascii="Times New Roman" w:hAnsi="Times New Roman"/>
          <w:sz w:val="20"/>
          <w:lang w:val="en-GB"/>
        </w:rPr>
        <w:t xml:space="preserve"> </w:t>
      </w:r>
      <w:r w:rsidRPr="00961709">
        <w:rPr>
          <w:rFonts w:ascii="Times New Roman" w:hAnsi="Times New Roman"/>
          <w:sz w:val="20"/>
          <w:lang w:val="en-GB"/>
        </w:rPr>
        <w:t xml:space="preserve">Brantley Cynthia, </w:t>
      </w:r>
      <w:r w:rsidRPr="00961709">
        <w:rPr>
          <w:rFonts w:ascii="Times New Roman" w:hAnsi="Times New Roman"/>
          <w:i/>
          <w:sz w:val="20"/>
          <w:lang w:val="en-GB"/>
        </w:rPr>
        <w:t>The Giriama and Colonial Resistance in Kenya, 1800-1920</w:t>
      </w:r>
      <w:r w:rsidRPr="00961709">
        <w:rPr>
          <w:rFonts w:ascii="Times New Roman" w:hAnsi="Times New Roman"/>
          <w:sz w:val="20"/>
          <w:lang w:val="en-GB"/>
        </w:rPr>
        <w:t xml:space="preserve">, Berkeley, University of California Press, 1981. </w:t>
      </w:r>
    </w:p>
  </w:footnote>
  <w:footnote w:id="3">
    <w:p w14:paraId="1B54641E" w14:textId="7E48F65D" w:rsidR="0078407F" w:rsidRPr="00961709" w:rsidRDefault="0078407F" w:rsidP="0078407F">
      <w:pPr>
        <w:jc w:val="both"/>
        <w:rPr>
          <w:lang w:val="en-GB"/>
        </w:rPr>
      </w:pPr>
      <w:r w:rsidRPr="00961709">
        <w:rPr>
          <w:rStyle w:val="Marquenotebasde1"/>
          <w:rFonts w:ascii="Times New Roman" w:hAnsi="Times New Roman"/>
          <w:sz w:val="20"/>
          <w:lang w:val="en-GB"/>
        </w:rPr>
        <w:footnoteRef/>
      </w:r>
      <w:r w:rsidRPr="00961709">
        <w:rPr>
          <w:rStyle w:val="Marquenotebasde1"/>
          <w:rFonts w:ascii="Times New Roman" w:hAnsi="Times New Roman"/>
          <w:sz w:val="20"/>
          <w:lang w:val="en-GB"/>
        </w:rPr>
        <w:t xml:space="preserve"> </w:t>
      </w:r>
      <w:r w:rsidRPr="00961709">
        <w:rPr>
          <w:rFonts w:ascii="Times New Roman" w:hAnsi="Times New Roman"/>
          <w:sz w:val="20"/>
          <w:lang w:val="en-GB"/>
        </w:rPr>
        <w:t>Willis</w:t>
      </w:r>
      <w:r w:rsidRPr="00961709">
        <w:rPr>
          <w:rFonts w:ascii="Times New Roman" w:hAnsi="Times New Roman"/>
          <w:smallCaps/>
          <w:sz w:val="20"/>
          <w:lang w:val="en-GB"/>
        </w:rPr>
        <w:t xml:space="preserve"> J</w:t>
      </w:r>
      <w:r w:rsidRPr="00961709">
        <w:rPr>
          <w:rFonts w:ascii="Times New Roman" w:hAnsi="Times New Roman"/>
          <w:sz w:val="20"/>
          <w:lang w:val="en-GB"/>
        </w:rPr>
        <w:t xml:space="preserve">ustin, </w:t>
      </w:r>
      <w:r w:rsidRPr="00961709">
        <w:rPr>
          <w:rFonts w:ascii="Times New Roman" w:hAnsi="Times New Roman"/>
          <w:i/>
          <w:sz w:val="20"/>
          <w:lang w:val="en-GB"/>
        </w:rPr>
        <w:t>Mombasa, the Swahili and the making of the Mijikendas</w:t>
      </w:r>
      <w:r w:rsidRPr="00961709">
        <w:rPr>
          <w:rFonts w:ascii="Times New Roman" w:hAnsi="Times New Roman"/>
          <w:sz w:val="20"/>
          <w:lang w:val="en-GB"/>
        </w:rPr>
        <w:t xml:space="preserve">, 1993, Oxford. Clarendon Press, 1993. </w:t>
      </w:r>
    </w:p>
  </w:footnote>
  <w:footnote w:id="4">
    <w:p w14:paraId="53A284AA" w14:textId="6BA3C05D" w:rsidR="0078407F" w:rsidRPr="00961709" w:rsidRDefault="0078407F" w:rsidP="00961709">
      <w:pPr>
        <w:jc w:val="both"/>
        <w:rPr>
          <w:rFonts w:ascii="Times New Roman" w:eastAsia="Times New Roman" w:hAnsi="Times New Roman"/>
          <w:sz w:val="20"/>
          <w:szCs w:val="20"/>
          <w:lang w:val="en-GB"/>
        </w:rPr>
      </w:pPr>
      <w:r w:rsidRPr="00961709">
        <w:rPr>
          <w:rStyle w:val="Appelnotedebasdep"/>
          <w:rFonts w:ascii="Times New Roman" w:hAnsi="Times New Roman"/>
          <w:sz w:val="20"/>
          <w:szCs w:val="20"/>
          <w:lang w:val="en-GB"/>
        </w:rPr>
        <w:footnoteRef/>
      </w:r>
      <w:r w:rsidRPr="00961709">
        <w:rPr>
          <w:rFonts w:ascii="Times New Roman" w:hAnsi="Times New Roman"/>
          <w:sz w:val="20"/>
          <w:szCs w:val="20"/>
          <w:lang w:val="en-GB"/>
        </w:rPr>
        <w:t xml:space="preserve"> Voir </w:t>
      </w:r>
      <w:proofErr w:type="gramStart"/>
      <w:r w:rsidRPr="00961709">
        <w:rPr>
          <w:rFonts w:ascii="Times New Roman" w:hAnsi="Times New Roman"/>
          <w:sz w:val="20"/>
          <w:szCs w:val="20"/>
          <w:lang w:val="en-GB"/>
        </w:rPr>
        <w:t>notamment :</w:t>
      </w:r>
      <w:proofErr w:type="gramEnd"/>
      <w:r w:rsidRPr="00961709">
        <w:rPr>
          <w:rFonts w:ascii="Times New Roman" w:hAnsi="Times New Roman"/>
          <w:sz w:val="20"/>
          <w:szCs w:val="20"/>
          <w:lang w:val="en-GB"/>
        </w:rPr>
        <w:t xml:space="preserve"> </w:t>
      </w:r>
      <w:r w:rsidR="00961709" w:rsidRPr="00961709">
        <w:rPr>
          <w:rFonts w:ascii="Times New Roman" w:hAnsi="Times New Roman"/>
          <w:sz w:val="20"/>
          <w:szCs w:val="20"/>
          <w:lang w:val="en-GB"/>
        </w:rPr>
        <w:t xml:space="preserve">Monica Udvardy, </w:t>
      </w:r>
      <w:r w:rsidR="00961709" w:rsidRPr="00961709">
        <w:rPr>
          <w:rFonts w:ascii="Times New Roman" w:eastAsia="Times New Roman" w:hAnsi="Times New Roman"/>
          <w:b/>
          <w:bCs/>
          <w:color w:val="303030"/>
          <w:sz w:val="20"/>
          <w:szCs w:val="20"/>
          <w:bdr w:val="none" w:sz="0" w:space="0" w:color="auto" w:frame="1"/>
          <w:lang w:val="en-GB"/>
        </w:rPr>
        <w:t>« </w:t>
      </w:r>
      <w:r w:rsidRPr="00961709">
        <w:rPr>
          <w:rFonts w:ascii="Times New Roman" w:eastAsia="Times New Roman" w:hAnsi="Times New Roman"/>
          <w:color w:val="303030"/>
          <w:sz w:val="20"/>
          <w:szCs w:val="20"/>
          <w:lang w:val="en-GB"/>
        </w:rPr>
        <w:t>The Fertility of the Post-Fertile. Concepts of Gender, Aging and Reproductive Health among the Giriama of Kenya</w:t>
      </w:r>
      <w:r w:rsidR="00961709" w:rsidRPr="00961709">
        <w:rPr>
          <w:rFonts w:ascii="Times New Roman" w:eastAsia="Times New Roman" w:hAnsi="Times New Roman"/>
          <w:color w:val="303030"/>
          <w:sz w:val="20"/>
          <w:szCs w:val="20"/>
          <w:lang w:val="en-GB"/>
        </w:rPr>
        <w:t> »,</w:t>
      </w:r>
      <w:r w:rsidRPr="00961709">
        <w:rPr>
          <w:rFonts w:ascii="Times New Roman" w:eastAsia="Times New Roman" w:hAnsi="Times New Roman"/>
          <w:color w:val="303030"/>
          <w:sz w:val="20"/>
          <w:szCs w:val="20"/>
          <w:lang w:val="en-GB"/>
        </w:rPr>
        <w:t xml:space="preserve"> </w:t>
      </w:r>
      <w:r w:rsidRPr="00961709">
        <w:rPr>
          <w:rFonts w:ascii="Times New Roman" w:eastAsia="Times New Roman" w:hAnsi="Times New Roman"/>
          <w:i/>
          <w:color w:val="303030"/>
          <w:sz w:val="20"/>
          <w:szCs w:val="20"/>
          <w:lang w:val="en-GB"/>
        </w:rPr>
        <w:t>Journal of Cross-Cultural Gerontology</w:t>
      </w:r>
      <w:r w:rsidR="00961709" w:rsidRPr="00961709">
        <w:rPr>
          <w:rFonts w:ascii="Times New Roman" w:eastAsia="Times New Roman" w:hAnsi="Times New Roman"/>
          <w:color w:val="303030"/>
          <w:sz w:val="20"/>
          <w:szCs w:val="20"/>
          <w:lang w:val="en-GB"/>
        </w:rPr>
        <w:t xml:space="preserve">, </w:t>
      </w:r>
      <w:r w:rsidRPr="00961709">
        <w:rPr>
          <w:rFonts w:ascii="Times New Roman" w:eastAsia="Times New Roman" w:hAnsi="Times New Roman"/>
          <w:color w:val="303030"/>
          <w:sz w:val="20"/>
          <w:szCs w:val="20"/>
          <w:lang w:val="en-GB"/>
        </w:rPr>
        <w:t>7(4)</w:t>
      </w:r>
      <w:r w:rsidR="00961709" w:rsidRPr="00961709">
        <w:rPr>
          <w:rFonts w:ascii="Times New Roman" w:eastAsia="Times New Roman" w:hAnsi="Times New Roman"/>
          <w:color w:val="303030"/>
          <w:sz w:val="20"/>
          <w:szCs w:val="20"/>
          <w:lang w:val="en-GB"/>
        </w:rPr>
        <w:t xml:space="preserve">, 1992, p. </w:t>
      </w:r>
      <w:r w:rsidRPr="00961709">
        <w:rPr>
          <w:rFonts w:ascii="Times New Roman" w:eastAsia="Times New Roman" w:hAnsi="Times New Roman"/>
          <w:color w:val="303030"/>
          <w:sz w:val="20"/>
          <w:szCs w:val="20"/>
          <w:lang w:val="en-GB"/>
        </w:rPr>
        <w:t>289-</w:t>
      </w:r>
      <w:proofErr w:type="gramStart"/>
      <w:r w:rsidRPr="00961709">
        <w:rPr>
          <w:rFonts w:ascii="Times New Roman" w:eastAsia="Times New Roman" w:hAnsi="Times New Roman"/>
          <w:color w:val="303030"/>
          <w:sz w:val="20"/>
          <w:szCs w:val="20"/>
          <w:lang w:val="en-GB"/>
        </w:rPr>
        <w:t>307 ;</w:t>
      </w:r>
      <w:proofErr w:type="gramEnd"/>
      <w:r w:rsidRPr="00961709">
        <w:rPr>
          <w:rFonts w:ascii="Times New Roman" w:eastAsia="Times New Roman" w:hAnsi="Times New Roman"/>
          <w:color w:val="303030"/>
          <w:sz w:val="20"/>
          <w:szCs w:val="20"/>
          <w:lang w:val="en-GB"/>
        </w:rPr>
        <w:t xml:space="preserve"> </w:t>
      </w:r>
      <w:r w:rsidR="00961709" w:rsidRPr="00961709">
        <w:rPr>
          <w:rFonts w:ascii="Times New Roman" w:hAnsi="Times New Roman"/>
          <w:sz w:val="20"/>
          <w:szCs w:val="20"/>
          <w:lang w:val="en-GB"/>
        </w:rPr>
        <w:t>Monica Udvardy</w:t>
      </w:r>
      <w:r w:rsidR="00961709" w:rsidRPr="00961709">
        <w:rPr>
          <w:rFonts w:ascii="Times New Roman" w:eastAsia="Times New Roman" w:hAnsi="Times New Roman"/>
          <w:color w:val="303030"/>
          <w:sz w:val="20"/>
          <w:szCs w:val="20"/>
          <w:lang w:val="en-GB"/>
        </w:rPr>
        <w:t>, Linda L. Giles and John B. Mitsanze</w:t>
      </w:r>
      <w:r w:rsidR="00961709" w:rsidRPr="00961709">
        <w:rPr>
          <w:rFonts w:ascii="Times New Roman" w:eastAsia="Times New Roman" w:hAnsi="Times New Roman"/>
          <w:bCs/>
          <w:color w:val="303030"/>
          <w:sz w:val="20"/>
          <w:szCs w:val="20"/>
          <w:bdr w:val="none" w:sz="0" w:space="0" w:color="auto" w:frame="1"/>
          <w:lang w:val="en-GB"/>
        </w:rPr>
        <w:t xml:space="preserve"> « </w:t>
      </w:r>
      <w:r w:rsidRPr="00961709">
        <w:rPr>
          <w:rFonts w:ascii="Times New Roman" w:eastAsia="Times New Roman" w:hAnsi="Times New Roman"/>
          <w:color w:val="303030"/>
          <w:sz w:val="20"/>
          <w:szCs w:val="20"/>
          <w:lang w:val="en-GB"/>
        </w:rPr>
        <w:t>Cultural Property as Global Commodities. The Case of Mijikenda Memorial Statues</w:t>
      </w:r>
      <w:r w:rsidR="00961709" w:rsidRPr="00961709">
        <w:rPr>
          <w:rFonts w:ascii="Times New Roman" w:eastAsia="Times New Roman" w:hAnsi="Times New Roman"/>
          <w:color w:val="303030"/>
          <w:sz w:val="20"/>
          <w:szCs w:val="20"/>
          <w:lang w:val="en-GB"/>
        </w:rPr>
        <w:t> »,</w:t>
      </w:r>
      <w:r w:rsidRPr="00961709">
        <w:rPr>
          <w:rFonts w:ascii="Times New Roman" w:eastAsia="Times New Roman" w:hAnsi="Times New Roman"/>
          <w:color w:val="303030"/>
          <w:sz w:val="20"/>
          <w:szCs w:val="20"/>
          <w:lang w:val="en-GB"/>
        </w:rPr>
        <w:t xml:space="preserve"> </w:t>
      </w:r>
      <w:r w:rsidRPr="00961709">
        <w:rPr>
          <w:rFonts w:ascii="Times New Roman" w:eastAsia="Times New Roman" w:hAnsi="Times New Roman"/>
          <w:i/>
          <w:color w:val="303030"/>
          <w:sz w:val="20"/>
          <w:szCs w:val="20"/>
          <w:lang w:val="en-GB"/>
        </w:rPr>
        <w:t>Cultural Survival Quarterly</w:t>
      </w:r>
      <w:r w:rsidRPr="00961709">
        <w:rPr>
          <w:rFonts w:ascii="Times New Roman" w:eastAsia="Times New Roman" w:hAnsi="Times New Roman"/>
          <w:color w:val="303030"/>
          <w:sz w:val="20"/>
          <w:szCs w:val="20"/>
          <w:lang w:val="en-GB"/>
        </w:rPr>
        <w:t xml:space="preserve"> Winter</w:t>
      </w:r>
      <w:r w:rsidR="00961709" w:rsidRPr="00961709">
        <w:rPr>
          <w:rFonts w:ascii="Times New Roman" w:eastAsia="Times New Roman" w:hAnsi="Times New Roman"/>
          <w:color w:val="303030"/>
          <w:sz w:val="20"/>
          <w:szCs w:val="20"/>
          <w:lang w:val="en-GB"/>
        </w:rPr>
        <w:t xml:space="preserve">, 27 (4), 2004, p. </w:t>
      </w:r>
      <w:r w:rsidRPr="00961709">
        <w:rPr>
          <w:rFonts w:ascii="Times New Roman" w:eastAsia="Times New Roman" w:hAnsi="Times New Roman"/>
          <w:color w:val="303030"/>
          <w:sz w:val="20"/>
          <w:szCs w:val="20"/>
          <w:lang w:val="en-GB"/>
        </w:rPr>
        <w:t>78-82</w:t>
      </w:r>
      <w:r w:rsidR="00961709" w:rsidRPr="00961709">
        <w:rPr>
          <w:rFonts w:ascii="Times New Roman" w:eastAsia="Times New Roman" w:hAnsi="Times New Roman"/>
          <w:color w:val="303030"/>
          <w:sz w:val="20"/>
          <w:szCs w:val="20"/>
          <w:lang w:val="en-GB"/>
        </w:rPr>
        <w:t>.</w:t>
      </w:r>
    </w:p>
  </w:footnote>
  <w:footnote w:id="5">
    <w:p w14:paraId="622F4D41" w14:textId="76D7BBE0" w:rsidR="00983D96" w:rsidRPr="00961709" w:rsidRDefault="002C5C5A">
      <w:pPr>
        <w:pStyle w:val="Notedebasd1"/>
        <w:jc w:val="both"/>
        <w:rPr>
          <w:lang w:val="en-US"/>
        </w:rPr>
      </w:pPr>
      <w:r w:rsidRPr="00961709">
        <w:rPr>
          <w:rStyle w:val="Marquenotebasde1"/>
          <w:rFonts w:ascii="Times New Roman" w:hAnsi="Times New Roman"/>
          <w:sz w:val="20"/>
          <w:lang w:val="en-GB"/>
        </w:rPr>
        <w:footnoteRef/>
      </w:r>
      <w:r w:rsidRPr="00961709">
        <w:rPr>
          <w:rFonts w:ascii="Times New Roman" w:hAnsi="Times New Roman"/>
          <w:sz w:val="20"/>
          <w:lang w:val="en-GB"/>
        </w:rPr>
        <w:t xml:space="preserve"> </w:t>
      </w:r>
      <w:r w:rsidRPr="00961709">
        <w:rPr>
          <w:rFonts w:ascii="Times New Roman" w:hAnsi="Times New Roman"/>
          <w:sz w:val="20"/>
        </w:rPr>
        <w:t>L’introduction récente de Cynthia Brantley dans le livre collectif dirigé par Linda Giles et Rebecca Gearhart replace avec pertinence les études sur les Mijikenda dans leur historicité et leur contexte académique depuis les années 1970. Cet ouvrage</w:t>
      </w:r>
      <w:r w:rsidR="00CE4EF2" w:rsidRPr="00961709">
        <w:rPr>
          <w:rFonts w:ascii="Times New Roman" w:hAnsi="Times New Roman"/>
          <w:sz w:val="20"/>
        </w:rPr>
        <w:t xml:space="preserve"> constitue une</w:t>
      </w:r>
      <w:r w:rsidRPr="00961709">
        <w:rPr>
          <w:rFonts w:ascii="Times New Roman" w:hAnsi="Times New Roman"/>
          <w:sz w:val="20"/>
        </w:rPr>
        <w:t xml:space="preserve"> synthèse</w:t>
      </w:r>
      <w:r w:rsidR="00CE4EF2" w:rsidRPr="00961709">
        <w:rPr>
          <w:rFonts w:ascii="Times New Roman" w:hAnsi="Times New Roman"/>
          <w:sz w:val="20"/>
        </w:rPr>
        <w:t xml:space="preserve"> récente</w:t>
      </w:r>
      <w:r w:rsidRPr="00961709">
        <w:rPr>
          <w:rFonts w:ascii="Times New Roman" w:hAnsi="Times New Roman"/>
          <w:sz w:val="20"/>
        </w:rPr>
        <w:t xml:space="preserve"> sur les Mijikenda et s’appuie sur des travaux de terrain menés principalement chez les Giriama. Gearhart Rebecca et Giles Linda, </w:t>
      </w:r>
      <w:r w:rsidRPr="00961709">
        <w:rPr>
          <w:rFonts w:ascii="Times New Roman" w:hAnsi="Times New Roman"/>
          <w:i/>
          <w:sz w:val="20"/>
        </w:rPr>
        <w:t>Contesting Identities. The Mij</w:t>
      </w:r>
      <w:r w:rsidR="00961709" w:rsidRPr="00961709">
        <w:rPr>
          <w:rFonts w:ascii="Times New Roman" w:hAnsi="Times New Roman"/>
          <w:i/>
          <w:sz w:val="20"/>
        </w:rPr>
        <w:t>i</w:t>
      </w:r>
      <w:r w:rsidRPr="00961709">
        <w:rPr>
          <w:rFonts w:ascii="Times New Roman" w:hAnsi="Times New Roman"/>
          <w:i/>
          <w:sz w:val="20"/>
        </w:rPr>
        <w:t>kenda and their Neighbors in Kenyan Coastal Society</w:t>
      </w:r>
      <w:r w:rsidRPr="00961709">
        <w:rPr>
          <w:rFonts w:ascii="Times New Roman" w:hAnsi="Times New Roman"/>
          <w:sz w:val="20"/>
        </w:rPr>
        <w:t>, Trenton</w:t>
      </w:r>
      <w:r w:rsidRPr="00961709">
        <w:rPr>
          <w:rFonts w:ascii="Times New Roman" w:hAnsi="Times New Roman"/>
          <w:sz w:val="20"/>
          <w:lang w:val="en-US"/>
        </w:rPr>
        <w:t>, Africa World Press, 2014</w:t>
      </w:r>
      <w:r w:rsidR="00CE4EF2">
        <w:rPr>
          <w:rFonts w:ascii="Times New Roman" w:hAnsi="Times New Roman"/>
          <w:sz w:val="20"/>
          <w:lang w:val="en-US"/>
        </w:rPr>
        <w:t>.</w:t>
      </w:r>
    </w:p>
  </w:footnote>
  <w:footnote w:id="6">
    <w:p w14:paraId="438E3A3E" w14:textId="7F5AB6D9" w:rsidR="00983D96" w:rsidRDefault="002C5C5A">
      <w:pPr>
        <w:jc w:val="both"/>
      </w:pPr>
      <w:r>
        <w:rPr>
          <w:rStyle w:val="Marquenotebasde"/>
          <w:rFonts w:ascii="Times New Roman" w:hAnsi="Times New Roman"/>
          <w:sz w:val="20"/>
        </w:rPr>
        <w:footnoteRef/>
      </w:r>
      <w:r>
        <w:rPr>
          <w:rFonts w:ascii="Times New Roman" w:hAnsi="Times New Roman"/>
          <w:sz w:val="20"/>
        </w:rPr>
        <w:t xml:space="preserve"> Liberski-Bagnoud Danouta, Fournier Anne et Nignan Saibou, « Les « bois sacrés », faits et illusions : à propos des sanctuaires boisés des </w:t>
      </w:r>
      <w:r w:rsidR="00961709">
        <w:rPr>
          <w:rFonts w:ascii="Times New Roman" w:hAnsi="Times New Roman"/>
          <w:sz w:val="20"/>
        </w:rPr>
        <w:t>K</w:t>
      </w:r>
      <w:r>
        <w:rPr>
          <w:rFonts w:ascii="Times New Roman" w:hAnsi="Times New Roman"/>
          <w:sz w:val="20"/>
        </w:rPr>
        <w:t xml:space="preserve">asena (Burkina Faso) », </w:t>
      </w:r>
      <w:r>
        <w:rPr>
          <w:rFonts w:ascii="Times New Roman" w:hAnsi="Times New Roman"/>
          <w:i/>
          <w:sz w:val="20"/>
        </w:rPr>
        <w:t>in</w:t>
      </w:r>
      <w:r>
        <w:rPr>
          <w:rFonts w:ascii="Times New Roman" w:hAnsi="Times New Roman"/>
          <w:sz w:val="20"/>
        </w:rPr>
        <w:t xml:space="preserve"> </w:t>
      </w:r>
      <w:r>
        <w:rPr>
          <w:rStyle w:val="googqs-tidbit-0"/>
          <w:rFonts w:ascii="Times New Roman" w:hAnsi="Times New Roman"/>
          <w:sz w:val="20"/>
        </w:rPr>
        <w:t>Juh</w:t>
      </w:r>
      <w:r w:rsidR="00E25AF6">
        <w:rPr>
          <w:rStyle w:val="googqs-tidbit-0"/>
          <w:rFonts w:ascii="Times New Roman" w:hAnsi="Times New Roman"/>
          <w:sz w:val="20"/>
        </w:rPr>
        <w:t>é</w:t>
      </w:r>
      <w:r>
        <w:rPr>
          <w:rStyle w:val="googqs-tidbit-0"/>
          <w:rFonts w:ascii="Times New Roman" w:hAnsi="Times New Roman"/>
          <w:sz w:val="20"/>
        </w:rPr>
        <w:t xml:space="preserve">-Beaulaton </w:t>
      </w:r>
      <w:r w:rsidR="00961709">
        <w:rPr>
          <w:rStyle w:val="googqs-tidbit-0"/>
          <w:rFonts w:ascii="Times New Roman" w:hAnsi="Times New Roman"/>
          <w:sz w:val="20"/>
        </w:rPr>
        <w:t>D.</w:t>
      </w:r>
      <w:r>
        <w:rPr>
          <w:rStyle w:val="googqs-tidbit-0"/>
          <w:rFonts w:ascii="Times New Roman" w:hAnsi="Times New Roman"/>
          <w:sz w:val="20"/>
        </w:rPr>
        <w:t xml:space="preserve"> (ed), </w:t>
      </w:r>
      <w:r>
        <w:rPr>
          <w:rStyle w:val="googqs-tidbit-0"/>
          <w:rFonts w:ascii="Times New Roman" w:hAnsi="Times New Roman"/>
          <w:i/>
          <w:sz w:val="20"/>
        </w:rPr>
        <w:t xml:space="preserve">Forêts sacrées et sanctuaires boisés. Des créations culturelles et biologiques (Burkina Faso, Togo et Bénin), </w:t>
      </w:r>
      <w:r>
        <w:rPr>
          <w:rStyle w:val="googqs-tidbit-0"/>
          <w:rFonts w:ascii="Times New Roman" w:hAnsi="Times New Roman"/>
          <w:sz w:val="20"/>
        </w:rPr>
        <w:t>Karthala, Paris, 2010,</w:t>
      </w:r>
      <w:r>
        <w:rPr>
          <w:rFonts w:ascii="Times New Roman" w:hAnsi="Times New Roman"/>
          <w:sz w:val="20"/>
        </w:rPr>
        <w:t xml:space="preserve"> p. 59-90.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96"/>
    <w:rsid w:val="00062B01"/>
    <w:rsid w:val="001405FD"/>
    <w:rsid w:val="00262DF5"/>
    <w:rsid w:val="00291111"/>
    <w:rsid w:val="002C3F44"/>
    <w:rsid w:val="002C5C5A"/>
    <w:rsid w:val="002D62FB"/>
    <w:rsid w:val="002F04D1"/>
    <w:rsid w:val="004933FE"/>
    <w:rsid w:val="004A7A31"/>
    <w:rsid w:val="00533428"/>
    <w:rsid w:val="0078407F"/>
    <w:rsid w:val="00961709"/>
    <w:rsid w:val="00983D96"/>
    <w:rsid w:val="009D3B8D"/>
    <w:rsid w:val="00A03596"/>
    <w:rsid w:val="00AA7176"/>
    <w:rsid w:val="00B91866"/>
    <w:rsid w:val="00CE4EF2"/>
    <w:rsid w:val="00E25AF6"/>
    <w:rsid w:val="00E45301"/>
    <w:rsid w:val="00E51B7A"/>
    <w:rsid w:val="00EE25F8"/>
    <w:rsid w:val="00F6236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2A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EAC"/>
    <w:rPr>
      <w:sz w:val="26"/>
      <w:szCs w:val="26"/>
      <w:lang w:eastAsia="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TextChar">
    <w:name w:val="Footnote Text Char"/>
    <w:basedOn w:val="Policepardfaut"/>
    <w:uiPriority w:val="99"/>
    <w:semiHidden/>
    <w:qFormat/>
    <w:rsid w:val="00240CB4"/>
    <w:rPr>
      <w:rFonts w:ascii="Times New Roman" w:hAnsi="Times New Roman" w:cs="Times New Roman"/>
      <w:sz w:val="20"/>
    </w:rPr>
  </w:style>
  <w:style w:type="character" w:customStyle="1" w:styleId="Marquenotebasde">
    <w:name w:val="Marque note bas de"/>
    <w:basedOn w:val="Policepardfaut"/>
    <w:uiPriority w:val="99"/>
    <w:semiHidden/>
    <w:qFormat/>
    <w:rsid w:val="00240CB4"/>
    <w:rPr>
      <w:rFonts w:cs="Times New Roman"/>
      <w:vertAlign w:val="superscript"/>
    </w:rPr>
  </w:style>
  <w:style w:type="character" w:customStyle="1" w:styleId="FootnoteTextChar1">
    <w:name w:val="Footnote Text Char1"/>
    <w:basedOn w:val="Policepardfaut"/>
    <w:uiPriority w:val="99"/>
    <w:semiHidden/>
    <w:qFormat/>
    <w:rsid w:val="0053275E"/>
    <w:rPr>
      <w:rFonts w:cs="Times New Roman"/>
      <w:sz w:val="24"/>
      <w:lang w:eastAsia="fr-FR"/>
    </w:rPr>
  </w:style>
  <w:style w:type="character" w:customStyle="1" w:styleId="Marquenotebasde1">
    <w:name w:val="Marque note bas de1"/>
    <w:basedOn w:val="Policepardfaut"/>
    <w:uiPriority w:val="99"/>
    <w:semiHidden/>
    <w:qFormat/>
    <w:rsid w:val="00A72DC3"/>
    <w:rPr>
      <w:rFonts w:cs="Times New Roman"/>
      <w:vertAlign w:val="superscript"/>
    </w:rPr>
  </w:style>
  <w:style w:type="character" w:customStyle="1" w:styleId="A3">
    <w:name w:val="A3"/>
    <w:uiPriority w:val="99"/>
    <w:qFormat/>
    <w:rsid w:val="00A72DC3"/>
    <w:rPr>
      <w:color w:val="000000"/>
      <w:sz w:val="19"/>
    </w:rPr>
  </w:style>
  <w:style w:type="character" w:customStyle="1" w:styleId="Lienhype">
    <w:name w:val="Lien hype"/>
    <w:uiPriority w:val="99"/>
    <w:qFormat/>
    <w:rsid w:val="00A72DC3"/>
    <w:rPr>
      <w:color w:val="0000FF"/>
      <w:u w:val="single"/>
    </w:rPr>
  </w:style>
  <w:style w:type="character" w:customStyle="1" w:styleId="BodyText3Char">
    <w:name w:val="Body Text 3 Char"/>
    <w:basedOn w:val="Policepardfaut"/>
    <w:uiPriority w:val="99"/>
    <w:qFormat/>
    <w:rsid w:val="00A72DC3"/>
    <w:rPr>
      <w:rFonts w:ascii="Times New Roman" w:hAnsi="Times New Roman" w:cs="Times New Roman"/>
      <w:sz w:val="16"/>
    </w:rPr>
  </w:style>
  <w:style w:type="character" w:customStyle="1" w:styleId="BodyText2Char">
    <w:name w:val="Body Text 2 Char"/>
    <w:basedOn w:val="Policepardfaut"/>
    <w:uiPriority w:val="99"/>
    <w:qFormat/>
    <w:rsid w:val="00A72DC3"/>
    <w:rPr>
      <w:rFonts w:ascii="Times New Roman" w:hAnsi="Times New Roman" w:cs="Times New Roman"/>
    </w:rPr>
  </w:style>
  <w:style w:type="character" w:customStyle="1" w:styleId="googqs-tidbit-0">
    <w:name w:val="goog_qs-tidbit-0"/>
    <w:basedOn w:val="Policepardfaut"/>
    <w:uiPriority w:val="99"/>
    <w:qFormat/>
    <w:rsid w:val="00A72DC3"/>
    <w:rPr>
      <w:rFonts w:cs="Times New Roman"/>
    </w:rPr>
  </w:style>
  <w:style w:type="character" w:styleId="CitationHTML">
    <w:name w:val="HTML Cite"/>
    <w:basedOn w:val="Policepardfaut"/>
    <w:uiPriority w:val="99"/>
    <w:qFormat/>
    <w:rsid w:val="00A72DC3"/>
    <w:rPr>
      <w:rFonts w:cs="Times New Roman"/>
      <w:color w:val="0E774A"/>
    </w:rPr>
  </w:style>
  <w:style w:type="character" w:customStyle="1" w:styleId="FooterChar">
    <w:name w:val="Footer Char"/>
    <w:basedOn w:val="Policepardfaut"/>
    <w:uiPriority w:val="99"/>
    <w:qFormat/>
    <w:rsid w:val="00A72DC3"/>
    <w:rPr>
      <w:rFonts w:cs="Times New Roman"/>
    </w:rPr>
  </w:style>
  <w:style w:type="character" w:customStyle="1" w:styleId="Numrodep">
    <w:name w:val="Numéro de p"/>
    <w:basedOn w:val="Policepardfaut"/>
    <w:uiPriority w:val="99"/>
    <w:semiHidden/>
    <w:qFormat/>
    <w:rsid w:val="00A72DC3"/>
    <w:rPr>
      <w:rFonts w:cs="Times New Roman"/>
    </w:rPr>
  </w:style>
  <w:style w:type="character" w:styleId="lev">
    <w:name w:val="Strong"/>
    <w:basedOn w:val="Policepardfaut"/>
    <w:uiPriority w:val="22"/>
    <w:qFormat/>
    <w:rsid w:val="00A72DC3"/>
    <w:rPr>
      <w:rFonts w:cs="Times New Roman"/>
      <w:b/>
    </w:rPr>
  </w:style>
  <w:style w:type="character" w:customStyle="1" w:styleId="Accentua">
    <w:name w:val="Accentua"/>
    <w:basedOn w:val="Policepardfaut"/>
    <w:uiPriority w:val="99"/>
    <w:qFormat/>
    <w:rsid w:val="00A72DC3"/>
    <w:rPr>
      <w:rFonts w:cs="Times New Roman"/>
      <w:i/>
    </w:rPr>
  </w:style>
  <w:style w:type="character" w:customStyle="1" w:styleId="DocumentMapChar">
    <w:name w:val="Document Map Char"/>
    <w:basedOn w:val="Policepardfaut"/>
    <w:uiPriority w:val="99"/>
    <w:semiHidden/>
    <w:qFormat/>
    <w:rsid w:val="00A72DC3"/>
    <w:rPr>
      <w:rFonts w:ascii="Lucida Grande" w:hAnsi="Lucida Grande" w:cs="Lucida Grande"/>
    </w:rPr>
  </w:style>
  <w:style w:type="character" w:customStyle="1" w:styleId="BalloonTextChar">
    <w:name w:val="Balloon Text Char"/>
    <w:basedOn w:val="Policepardfaut"/>
    <w:uiPriority w:val="99"/>
    <w:semiHidden/>
    <w:qFormat/>
    <w:rsid w:val="00A72DC3"/>
    <w:rPr>
      <w:rFonts w:ascii="Lucida Grande" w:hAnsi="Lucida Grande" w:cs="Lucida Grande"/>
      <w:sz w:val="18"/>
    </w:rPr>
  </w:style>
  <w:style w:type="character" w:customStyle="1" w:styleId="hps">
    <w:name w:val="hps"/>
    <w:basedOn w:val="Policepardfaut"/>
    <w:uiPriority w:val="99"/>
    <w:qFormat/>
    <w:rsid w:val="00A72DC3"/>
    <w:rPr>
      <w:rFonts w:cs="Times New Roman"/>
    </w:rPr>
  </w:style>
  <w:style w:type="character" w:styleId="Marquedecommentaire">
    <w:name w:val="annotation reference"/>
    <w:basedOn w:val="Policepardfaut"/>
    <w:uiPriority w:val="99"/>
    <w:semiHidden/>
    <w:qFormat/>
    <w:rsid w:val="00A72DC3"/>
    <w:rPr>
      <w:rFonts w:cs="Times New Roman"/>
      <w:sz w:val="16"/>
    </w:rPr>
  </w:style>
  <w:style w:type="character" w:customStyle="1" w:styleId="CommentaireCar">
    <w:name w:val="Commentaire Car"/>
    <w:basedOn w:val="Policepardfaut"/>
    <w:link w:val="Commentaire"/>
    <w:uiPriority w:val="99"/>
    <w:semiHidden/>
    <w:qFormat/>
    <w:rsid w:val="00A72DC3"/>
    <w:rPr>
      <w:rFonts w:cs="Times New Roman"/>
      <w:sz w:val="20"/>
    </w:rPr>
  </w:style>
  <w:style w:type="character" w:customStyle="1" w:styleId="CommentSubjectChar">
    <w:name w:val="Comment Subject Char"/>
    <w:basedOn w:val="CommentaireCar"/>
    <w:uiPriority w:val="99"/>
    <w:semiHidden/>
    <w:qFormat/>
    <w:rsid w:val="00A72DC3"/>
    <w:rPr>
      <w:rFonts w:cs="Times New Roman"/>
      <w:b/>
      <w:bCs/>
      <w:sz w:val="20"/>
    </w:rPr>
  </w:style>
  <w:style w:type="character" w:customStyle="1" w:styleId="Lienhypertextes">
    <w:name w:val="Lien hypertexte s"/>
    <w:basedOn w:val="Policepardfaut"/>
    <w:uiPriority w:val="99"/>
    <w:semiHidden/>
    <w:qFormat/>
    <w:rsid w:val="00A72DC3"/>
    <w:rPr>
      <w:rFonts w:cs="Times New Roman"/>
      <w:color w:val="800080"/>
      <w:u w:val="single"/>
    </w:rPr>
  </w:style>
  <w:style w:type="character" w:customStyle="1" w:styleId="BalloonTextChar1">
    <w:name w:val="Balloon Text Char1"/>
    <w:basedOn w:val="Policepardfaut"/>
    <w:uiPriority w:val="99"/>
    <w:semiHidden/>
    <w:qFormat/>
    <w:rsid w:val="0053275E"/>
    <w:rPr>
      <w:rFonts w:ascii="Lucida Grande" w:hAnsi="Lucida Grande" w:cs="Times New Roman"/>
      <w:sz w:val="18"/>
      <w:lang w:eastAsia="fr-FR"/>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next w:val="Normal"/>
    <w:uiPriority w:val="99"/>
    <w:qFormat/>
    <w:rsid w:val="00A72DC3"/>
    <w:pPr>
      <w:spacing w:after="200"/>
    </w:pPr>
    <w:rPr>
      <w:rFonts w:ascii="Cambria" w:hAnsi="Cambria"/>
      <w:b/>
      <w:bCs/>
      <w:color w:val="4F81BD"/>
      <w:sz w:val="18"/>
      <w:szCs w:val="18"/>
    </w:rPr>
  </w:style>
  <w:style w:type="paragraph" w:customStyle="1" w:styleId="Index">
    <w:name w:val="Index"/>
    <w:basedOn w:val="Normal"/>
    <w:qFormat/>
    <w:pPr>
      <w:suppressLineNumbers/>
    </w:pPr>
    <w:rPr>
      <w:rFonts w:cs="Mangal"/>
    </w:rPr>
  </w:style>
  <w:style w:type="paragraph" w:customStyle="1" w:styleId="Notedebasd">
    <w:name w:val="Note de bas d"/>
    <w:basedOn w:val="Normal"/>
    <w:uiPriority w:val="99"/>
    <w:semiHidden/>
    <w:qFormat/>
    <w:rsid w:val="00240CB4"/>
    <w:rPr>
      <w:rFonts w:ascii="Times New Roman" w:hAnsi="Times New Roman"/>
      <w:sz w:val="24"/>
      <w:szCs w:val="20"/>
    </w:rPr>
  </w:style>
  <w:style w:type="paragraph" w:customStyle="1" w:styleId="Notedebasd1">
    <w:name w:val="Note de bas d1"/>
    <w:basedOn w:val="Normal"/>
    <w:uiPriority w:val="99"/>
    <w:semiHidden/>
    <w:qFormat/>
    <w:rsid w:val="00A72DC3"/>
    <w:rPr>
      <w:sz w:val="24"/>
      <w:szCs w:val="24"/>
    </w:rPr>
  </w:style>
  <w:style w:type="paragraph" w:customStyle="1" w:styleId="Corpsdete">
    <w:name w:val="Corps de te"/>
    <w:basedOn w:val="Normal"/>
    <w:uiPriority w:val="99"/>
    <w:qFormat/>
    <w:rsid w:val="00A72DC3"/>
    <w:pPr>
      <w:spacing w:after="120"/>
    </w:pPr>
    <w:rPr>
      <w:rFonts w:ascii="Times New Roman" w:hAnsi="Times New Roman"/>
      <w:sz w:val="16"/>
      <w:szCs w:val="16"/>
    </w:rPr>
  </w:style>
  <w:style w:type="paragraph" w:customStyle="1" w:styleId="Corpsdete1">
    <w:name w:val="Corps de te1"/>
    <w:basedOn w:val="Normal"/>
    <w:uiPriority w:val="99"/>
    <w:qFormat/>
    <w:rsid w:val="00A72DC3"/>
    <w:pPr>
      <w:spacing w:after="120" w:line="480" w:lineRule="auto"/>
    </w:pPr>
    <w:rPr>
      <w:rFonts w:ascii="Times New Roman" w:hAnsi="Times New Roman"/>
      <w:sz w:val="24"/>
      <w:szCs w:val="24"/>
    </w:rPr>
  </w:style>
  <w:style w:type="paragraph" w:customStyle="1" w:styleId="Piedd">
    <w:name w:val="Pied d"/>
    <w:basedOn w:val="Normal"/>
    <w:uiPriority w:val="99"/>
    <w:qFormat/>
    <w:rsid w:val="00A72DC3"/>
    <w:pPr>
      <w:tabs>
        <w:tab w:val="center" w:pos="4536"/>
        <w:tab w:val="right" w:pos="9072"/>
      </w:tabs>
    </w:pPr>
    <w:rPr>
      <w:rFonts w:ascii="Cambria" w:hAnsi="Cambria"/>
      <w:sz w:val="24"/>
      <w:szCs w:val="24"/>
    </w:rPr>
  </w:style>
  <w:style w:type="paragraph" w:customStyle="1" w:styleId="Explorateur">
    <w:name w:val="Explorateur"/>
    <w:basedOn w:val="Normal"/>
    <w:uiPriority w:val="99"/>
    <w:semiHidden/>
    <w:qFormat/>
    <w:rsid w:val="00A72DC3"/>
    <w:rPr>
      <w:rFonts w:ascii="Lucida Grande" w:hAnsi="Lucida Grande" w:cs="Lucida Grande"/>
      <w:sz w:val="24"/>
      <w:szCs w:val="24"/>
    </w:rPr>
  </w:style>
  <w:style w:type="paragraph" w:customStyle="1" w:styleId="Textedebul">
    <w:name w:val="Texte de bul"/>
    <w:basedOn w:val="Normal"/>
    <w:uiPriority w:val="99"/>
    <w:semiHidden/>
    <w:qFormat/>
    <w:rsid w:val="00A72DC3"/>
    <w:rPr>
      <w:rFonts w:ascii="Lucida Grande" w:hAnsi="Lucida Grande" w:cs="Lucida Grande"/>
      <w:sz w:val="18"/>
      <w:szCs w:val="18"/>
    </w:rPr>
  </w:style>
  <w:style w:type="paragraph" w:styleId="Commentaire">
    <w:name w:val="annotation text"/>
    <w:basedOn w:val="Normal"/>
    <w:link w:val="CommentaireCar"/>
    <w:uiPriority w:val="99"/>
    <w:semiHidden/>
    <w:qFormat/>
    <w:rsid w:val="00A72DC3"/>
    <w:rPr>
      <w:rFonts w:ascii="Cambria" w:hAnsi="Cambria"/>
      <w:sz w:val="20"/>
      <w:szCs w:val="20"/>
    </w:rPr>
  </w:style>
  <w:style w:type="paragraph" w:customStyle="1" w:styleId="Objetducommentai">
    <w:name w:val="Objet du commentai"/>
    <w:basedOn w:val="Commentaire"/>
    <w:uiPriority w:val="99"/>
    <w:semiHidden/>
    <w:qFormat/>
    <w:rsid w:val="00A72DC3"/>
    <w:rPr>
      <w:b/>
      <w:bCs/>
    </w:rPr>
  </w:style>
  <w:style w:type="paragraph" w:customStyle="1" w:styleId="Textedebul1">
    <w:name w:val="Texte de bul1"/>
    <w:basedOn w:val="Normal"/>
    <w:uiPriority w:val="99"/>
    <w:semiHidden/>
    <w:qFormat/>
    <w:rsid w:val="00A72DC3"/>
    <w:rPr>
      <w:rFonts w:ascii="Lucida Grande" w:hAnsi="Lucida Grande"/>
      <w:sz w:val="18"/>
      <w:szCs w:val="18"/>
    </w:rPr>
  </w:style>
  <w:style w:type="paragraph" w:styleId="Notedebasdepage">
    <w:name w:val="footnote text"/>
    <w:basedOn w:val="Normal"/>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2">
    <w:name w:val="Tableau Norm2"/>
    <w:uiPriority w:val="99"/>
    <w:semiHidden/>
    <w:rsid w:val="0053275E"/>
    <w:tblPr>
      <w:tblInd w:w="0" w:type="dxa"/>
      <w:tblCellMar>
        <w:top w:w="0" w:type="dxa"/>
        <w:left w:w="108" w:type="dxa"/>
        <w:bottom w:w="0" w:type="dxa"/>
        <w:right w:w="108" w:type="dxa"/>
      </w:tblCellMar>
    </w:tblPr>
  </w:style>
  <w:style w:type="table" w:customStyle="1" w:styleId="TableauNorm1">
    <w:name w:val="Tableau Norm1"/>
    <w:uiPriority w:val="99"/>
    <w:semiHidden/>
    <w:rsid w:val="00EB55D0"/>
    <w:tblPr>
      <w:tblInd w:w="0" w:type="dxa"/>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3596"/>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A03596"/>
    <w:rPr>
      <w:rFonts w:ascii="Times New Roman" w:hAnsi="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A03596"/>
    <w:rPr>
      <w:rFonts w:ascii="Calibri" w:hAnsi="Calibri"/>
      <w:b/>
      <w:bCs/>
    </w:rPr>
  </w:style>
  <w:style w:type="character" w:customStyle="1" w:styleId="ObjetducommentaireCar">
    <w:name w:val="Objet du commentaire Car"/>
    <w:basedOn w:val="CommentaireCar"/>
    <w:link w:val="Objetducommentaire"/>
    <w:uiPriority w:val="99"/>
    <w:semiHidden/>
    <w:rsid w:val="00A03596"/>
    <w:rPr>
      <w:rFonts w:cs="Times New Roman"/>
      <w:b/>
      <w:bCs/>
      <w:sz w:val="20"/>
      <w:lang w:eastAsia="fr-FR"/>
    </w:rPr>
  </w:style>
  <w:style w:type="character" w:styleId="Appelnotedebasdep">
    <w:name w:val="footnote reference"/>
    <w:basedOn w:val="Policepardfaut"/>
    <w:uiPriority w:val="99"/>
    <w:semiHidden/>
    <w:unhideWhenUsed/>
    <w:rsid w:val="0078407F"/>
    <w:rPr>
      <w:vertAlign w:val="superscript"/>
    </w:rPr>
  </w:style>
  <w:style w:type="character" w:customStyle="1" w:styleId="apple-converted-space">
    <w:name w:val="apple-converted-space"/>
    <w:basedOn w:val="Policepardfaut"/>
    <w:rsid w:val="0078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26948">
      <w:bodyDiv w:val="1"/>
      <w:marLeft w:val="0"/>
      <w:marRight w:val="0"/>
      <w:marTop w:val="0"/>
      <w:marBottom w:val="0"/>
      <w:divBdr>
        <w:top w:val="none" w:sz="0" w:space="0" w:color="auto"/>
        <w:left w:val="none" w:sz="0" w:space="0" w:color="auto"/>
        <w:bottom w:val="none" w:sz="0" w:space="0" w:color="auto"/>
        <w:right w:val="none" w:sz="0" w:space="0" w:color="auto"/>
      </w:divBdr>
    </w:div>
    <w:div w:id="769936455">
      <w:bodyDiv w:val="1"/>
      <w:marLeft w:val="0"/>
      <w:marRight w:val="0"/>
      <w:marTop w:val="0"/>
      <w:marBottom w:val="0"/>
      <w:divBdr>
        <w:top w:val="none" w:sz="0" w:space="0" w:color="auto"/>
        <w:left w:val="none" w:sz="0" w:space="0" w:color="auto"/>
        <w:bottom w:val="none" w:sz="0" w:space="0" w:color="auto"/>
        <w:right w:val="none" w:sz="0" w:space="0" w:color="auto"/>
      </w:divBdr>
    </w:div>
    <w:div w:id="1757286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8089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Dans lÍensemble, les recherches en sciences sociales sur la cªte kenyane ont largement mises en valeur la culture swahili dont </vt:lpstr>
    </vt:vector>
  </TitlesOfParts>
  <Company>Universit_ de Nice Sophia Antipolis</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lÍensemble, les recherches en sciences sociales sur la cªte kenyane ont largement mises en valeur la culture swahili dont </dc:title>
  <cp:lastModifiedBy>User1</cp:lastModifiedBy>
  <cp:revision>2</cp:revision>
  <dcterms:created xsi:type="dcterms:W3CDTF">2019-08-07T18:21:00Z</dcterms:created>
  <dcterms:modified xsi:type="dcterms:W3CDTF">2019-08-07T18:21:00Z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Universit_ de Nice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