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867218">
      <w:pPr>
        <w:suppressAutoHyphens/>
        <w:jc w:val="both"/>
      </w:pPr>
      <w:r w:rsidRPr="00E53F6C">
        <w:rPr>
          <w:rFonts w:ascii="Times New Roman Bold" w:hAnsi="Times New Roman Bold"/>
          <w:b/>
          <w:bCs/>
          <w:caps/>
        </w:rPr>
        <w:t>Agreement</w:t>
      </w:r>
      <w:r w:rsidRPr="00E53F6C">
        <w:t xml:space="preserve"> is made as of </w:t>
      </w:r>
      <w:r w:rsidR="004D44A3">
        <w:t>September 21</w:t>
      </w:r>
      <w:r w:rsidR="004D44A3" w:rsidRPr="004D44A3">
        <w:rPr>
          <w:vertAlign w:val="superscript"/>
        </w:rPr>
        <w:t>st</w:t>
      </w:r>
      <w:r w:rsidR="004D44A3">
        <w:t>, 2016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w:t>
      </w:r>
      <w:proofErr w:type="spellStart"/>
      <w:r w:rsidR="00FA7EAA" w:rsidRPr="00FA7EAA">
        <w:rPr>
          <w:spacing w:val="-3"/>
          <w:lang w:val="en-GB" w:bidi="ar-SA"/>
        </w:rPr>
        <w:t>Mizpe</w:t>
      </w:r>
      <w:proofErr w:type="spellEnd"/>
      <w:r w:rsidR="00FA7EAA" w:rsidRPr="00FA7EAA">
        <w:rPr>
          <w:spacing w:val="-3"/>
          <w:lang w:val="en-GB" w:bidi="ar-SA"/>
        </w:rPr>
        <w:t xml:space="preserve"> </w:t>
      </w:r>
      <w:proofErr w:type="spellStart"/>
      <w:r w:rsidR="00FA7EAA" w:rsidRPr="00FA7EAA">
        <w:rPr>
          <w:spacing w:val="-3"/>
          <w:lang w:val="en-GB" w:bidi="ar-SA"/>
        </w:rPr>
        <w:t>Nevo</w:t>
      </w:r>
      <w:proofErr w:type="spellEnd"/>
      <w:r w:rsidR="00FA7EAA" w:rsidRPr="00FA7EAA">
        <w:rPr>
          <w:spacing w:val="-3"/>
          <w:lang w:val="en-GB" w:bidi="ar-SA"/>
        </w:rPr>
        <w:t xml:space="preserve">, </w:t>
      </w:r>
      <w:proofErr w:type="spellStart"/>
      <w:r w:rsidR="00FA7EAA" w:rsidRPr="00FA7EAA">
        <w:rPr>
          <w:spacing w:val="-3"/>
          <w:lang w:val="en-GB" w:bidi="ar-SA"/>
        </w:rPr>
        <w:t>Maale</w:t>
      </w:r>
      <w:proofErr w:type="spellEnd"/>
      <w:r w:rsidR="00FA7EAA" w:rsidRPr="00FA7EAA">
        <w:rPr>
          <w:spacing w:val="-3"/>
          <w:lang w:val="en-GB" w:bidi="ar-SA"/>
        </w:rPr>
        <w:t xml:space="preserve"> </w:t>
      </w:r>
      <w:proofErr w:type="spellStart"/>
      <w:r w:rsidR="00FA7EAA" w:rsidRPr="00FA7EAA">
        <w:rPr>
          <w:spacing w:val="-3"/>
          <w:lang w:val="en-GB" w:bidi="ar-SA"/>
        </w:rPr>
        <w:t>Adumim</w:t>
      </w:r>
      <w:proofErr w:type="spellEnd"/>
      <w:r w:rsidR="00FA7EAA" w:rsidRPr="00FA7EAA">
        <w:rPr>
          <w:spacing w:val="-3"/>
          <w:lang w:val="en-GB" w:bidi="ar-SA"/>
        </w:rPr>
        <w:t xml:space="preserve"> 98410 ISRAEL </w:t>
      </w:r>
      <w:r w:rsidRPr="00FA7EAA">
        <w:t xml:space="preserve">and doing business as </w:t>
      </w:r>
      <w:r w:rsidR="00867218">
        <w:rPr>
          <w:b/>
          <w:bCs/>
          <w:spacing w:val="-3"/>
        </w:rPr>
        <w:t>Academic</w:t>
      </w:r>
      <w:r w:rsidR="00FA7EAA" w:rsidRPr="00FA7EAA">
        <w:rPr>
          <w:b/>
          <w:bCs/>
          <w:spacing w:val="-3"/>
        </w:rPr>
        <w:t xml:space="preserve"> Language </w:t>
      </w:r>
      <w:proofErr w:type="gramStart"/>
      <w:r w:rsidR="00FA7EAA" w:rsidRPr="00FA7EAA">
        <w:rPr>
          <w:b/>
          <w:bCs/>
          <w:spacing w:val="-3"/>
        </w:rPr>
        <w:t>Experts</w:t>
      </w:r>
      <w:r w:rsidRPr="00FA7EAA">
        <w:rPr>
          <w:lang w:bidi="ar-SA"/>
        </w:rPr>
        <w:t xml:space="preserve"> </w:t>
      </w:r>
      <w:r w:rsidRPr="00FA7EAA">
        <w:rPr>
          <w:b/>
          <w:bCs/>
        </w:rPr>
        <w:t xml:space="preserve"> </w:t>
      </w:r>
      <w:r w:rsidRPr="00FA7EAA">
        <w:t>(</w:t>
      </w:r>
      <w:proofErr w:type="gramEnd"/>
      <w:r w:rsidRPr="00FA7EAA">
        <w:t>“</w:t>
      </w:r>
      <w:r w:rsidR="00867218">
        <w:rPr>
          <w:b/>
          <w:bCs/>
        </w:rPr>
        <w:t>ALE</w:t>
      </w:r>
      <w:r w:rsidRPr="00FA7EAA">
        <w:t>”)</w:t>
      </w:r>
      <w:r w:rsidRPr="00FA7EAA">
        <w:rPr>
          <w:b/>
          <w:bCs/>
        </w:rPr>
        <w:t xml:space="preserve"> </w:t>
      </w:r>
      <w:r w:rsidRPr="00FA7EAA">
        <w:t>and</w:t>
      </w:r>
      <w:r w:rsidRPr="00E53F6C">
        <w:t xml:space="preserve"> </w:t>
      </w:r>
      <w:r w:rsidR="000A630A">
        <w:t>Mylène Proulx</w:t>
      </w:r>
      <w:r w:rsidRPr="00E53F6C">
        <w:t xml:space="preserve"> (“</w:t>
      </w:r>
      <w:r w:rsidRPr="00E53F6C">
        <w:rPr>
          <w:b/>
          <w:bCs/>
        </w:rPr>
        <w:t>Consultant</w:t>
      </w:r>
      <w:r w:rsidRPr="00E53F6C">
        <w:t xml:space="preserve">”), bearer of Israeli ID/Company # </w:t>
      </w:r>
      <w:r w:rsidR="000A630A">
        <w:t>(none)</w:t>
      </w:r>
      <w:r w:rsidR="000A630A" w:rsidRPr="00E53F6C">
        <w:rPr>
          <w:rFonts w:ascii="Arial" w:hAnsi="Arial" w:cs="Arial"/>
        </w:rPr>
        <w:t xml:space="preserve"> </w:t>
      </w:r>
      <w:r w:rsidRPr="00E53F6C">
        <w:rPr>
          <w:rFonts w:ascii="Arial" w:hAnsi="Arial" w:cs="Arial"/>
        </w:rPr>
        <w:t>-</w:t>
      </w:r>
      <w:r w:rsidRPr="00E53F6C">
        <w:t xml:space="preserve"> and having an address at </w:t>
      </w:r>
      <w:r w:rsidR="000A630A">
        <w:t>2730 Pierre-</w:t>
      </w:r>
      <w:proofErr w:type="spellStart"/>
      <w:r w:rsidR="000A630A">
        <w:t>Tétr</w:t>
      </w:r>
      <w:r w:rsidR="0002277A">
        <w:t>e</w:t>
      </w:r>
      <w:bookmarkStart w:id="2" w:name="_GoBack"/>
      <w:bookmarkEnd w:id="2"/>
      <w:r w:rsidR="000A630A">
        <w:t>ault</w:t>
      </w:r>
      <w:proofErr w:type="spellEnd"/>
      <w:r w:rsidR="000A630A">
        <w:t>, Montréal, QC, Canada, H1L 4Z5</w:t>
      </w:r>
      <w:r w:rsidRPr="00E53F6C">
        <w:t xml:space="preserve">.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Corpsdetexte"/>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ability.  The Consultant shall provide the Services on such days and hours and in such location </w:t>
      </w:r>
      <w:r w:rsidRPr="00E53F6C">
        <w:lastRenderedPageBreak/>
        <w:t xml:space="preserve">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w:t>
      </w:r>
      <w:proofErr w:type="spellStart"/>
      <w:r w:rsidR="00E43F64" w:rsidRPr="00E53F6C">
        <w:t>Cheshbonit</w:t>
      </w:r>
      <w:proofErr w:type="spellEnd"/>
      <w:r w:rsidR="00E43F64" w:rsidRPr="00E53F6C">
        <w:t xml:space="preserve">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lastRenderedPageBreak/>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3" w:name="OLE_LINK3"/>
      <w:bookmarkStart w:id="4" w:name="OLE_LINK4"/>
      <w:r w:rsidRPr="007256E7">
        <w:t>The provisions of this Section shall survive termination of this Agreement.</w:t>
      </w:r>
      <w:bookmarkEnd w:id="3"/>
      <w:bookmarkEnd w:id="4"/>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lastRenderedPageBreak/>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Corpsdetexte"/>
      </w:pPr>
    </w:p>
    <w:p w:rsidR="00E43F64" w:rsidRPr="007256E7" w:rsidRDefault="00E43F64" w:rsidP="00FA7EAA">
      <w:pPr>
        <w:pStyle w:val="Corpsdetexte"/>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Default="000A630A" w:rsidP="00FA7EAA">
      <w:pPr>
        <w:ind w:left="720" w:hanging="720"/>
        <w:jc w:val="both"/>
      </w:pPr>
      <w:r w:rsidRPr="0067312E">
        <w:rPr>
          <w:b/>
          <w:noProof/>
          <w:lang w:val="fr-CA" w:eastAsia="fr-CA"/>
        </w:rPr>
        <w:drawing>
          <wp:inline distT="0" distB="0" distL="0" distR="0" wp14:anchorId="24A263A4" wp14:editId="04D545ED">
            <wp:extent cx="1695450" cy="5905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590550"/>
                    </a:xfrm>
                    <a:prstGeom prst="rect">
                      <a:avLst/>
                    </a:prstGeom>
                    <a:noFill/>
                  </pic:spPr>
                </pic:pic>
              </a:graphicData>
            </a:graphic>
          </wp:inline>
        </w:drawing>
      </w:r>
    </w:p>
    <w:p w:rsidR="00A82F1B" w:rsidRPr="007256E7" w:rsidRDefault="00A82F1B" w:rsidP="00FA7EAA">
      <w:pPr>
        <w:ind w:left="720" w:hanging="720"/>
        <w:jc w:val="both"/>
      </w:pPr>
      <w:r>
        <w:t>Mylène Proulx</w:t>
      </w:r>
    </w:p>
    <w:p w:rsidR="00E43F64" w:rsidRPr="007256E7" w:rsidRDefault="00E43F64" w:rsidP="00FA7EAA">
      <w:pPr>
        <w:ind w:left="720" w:hanging="720"/>
        <w:jc w:val="both"/>
      </w:pPr>
      <w:r>
        <w:tab/>
      </w:r>
      <w:r w:rsidR="00A82F1B">
        <w:t>___________</w:t>
      </w:r>
      <w:r w:rsidRPr="007256E7">
        <w:t>______________</w:t>
      </w:r>
      <w:r w:rsidRPr="007256E7">
        <w:tab/>
      </w:r>
      <w:r w:rsidRPr="007256E7">
        <w:tab/>
      </w:r>
      <w:r w:rsidRPr="007256E7">
        <w:tab/>
        <w:t xml:space="preserve"> _________________________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60" w:rsidRDefault="00563060">
      <w:r>
        <w:separator/>
      </w:r>
    </w:p>
  </w:endnote>
  <w:endnote w:type="continuationSeparator" w:id="0">
    <w:p w:rsidR="00563060" w:rsidRDefault="0056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60" w:rsidRDefault="00563060">
      <w:r>
        <w:separator/>
      </w:r>
    </w:p>
  </w:footnote>
  <w:footnote w:type="continuationSeparator" w:id="0">
    <w:p w:rsidR="00563060" w:rsidRDefault="0056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E73CFF">
    <w:pPr>
      <w:pStyle w:val="En-tte"/>
      <w:framePr w:wrap="around" w:vAnchor="text" w:hAnchor="margin" w:xAlign="center" w:y="1"/>
      <w:rPr>
        <w:rStyle w:val="Numrodepage"/>
      </w:rPr>
    </w:pPr>
    <w:r>
      <w:rPr>
        <w:rStyle w:val="Numrodepage"/>
      </w:rPr>
      <w:fldChar w:fldCharType="begin"/>
    </w:r>
    <w:r w:rsidR="00891498">
      <w:rPr>
        <w:rStyle w:val="Numrodepage"/>
      </w:rPr>
      <w:instrText xml:space="preserve">PAGE  </w:instrText>
    </w:r>
    <w:r>
      <w:rPr>
        <w:rStyle w:val="Numrodepage"/>
      </w:rPr>
      <w:fldChar w:fldCharType="separate"/>
    </w:r>
    <w:r w:rsidR="00891498">
      <w:rPr>
        <w:rStyle w:val="Numrodepage"/>
      </w:rPr>
      <w:t>1</w:t>
    </w:r>
    <w:r>
      <w:rPr>
        <w:rStyle w:val="Numrodepage"/>
      </w:rPr>
      <w:fldChar w:fldCharType="end"/>
    </w:r>
  </w:p>
  <w:p w:rsidR="008A5CF9" w:rsidRDefault="005630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F9" w:rsidRDefault="00E73CFF">
    <w:pPr>
      <w:pStyle w:val="En-tte"/>
      <w:framePr w:wrap="around" w:vAnchor="text" w:hAnchor="margin" w:xAlign="center" w:y="1"/>
      <w:rPr>
        <w:rStyle w:val="Numrodepage"/>
      </w:rPr>
    </w:pPr>
    <w:r>
      <w:rPr>
        <w:rStyle w:val="Numrodepage"/>
      </w:rPr>
      <w:fldChar w:fldCharType="begin"/>
    </w:r>
    <w:r w:rsidR="00891498">
      <w:rPr>
        <w:rStyle w:val="Numrodepage"/>
      </w:rPr>
      <w:instrText xml:space="preserve">PAGE  </w:instrText>
    </w:r>
    <w:r>
      <w:rPr>
        <w:rStyle w:val="Numrodepage"/>
      </w:rPr>
      <w:fldChar w:fldCharType="separate"/>
    </w:r>
    <w:r w:rsidR="0002277A">
      <w:rPr>
        <w:rStyle w:val="Numrodepage"/>
      </w:rPr>
      <w:t>5</w:t>
    </w:r>
    <w:r>
      <w:rPr>
        <w:rStyle w:val="Numrodepage"/>
      </w:rPr>
      <w:fldChar w:fldCharType="end"/>
    </w:r>
  </w:p>
  <w:p w:rsidR="008A5CF9" w:rsidRDefault="00563060">
    <w:pPr>
      <w:pStyle w:val="En-tte"/>
    </w:pPr>
  </w:p>
  <w:p w:rsidR="008A5CF9" w:rsidRDefault="00563060">
    <w:pPr>
      <w:pStyle w:val="En-tte"/>
    </w:pPr>
  </w:p>
  <w:p w:rsidR="008A5CF9" w:rsidRDefault="0056306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2F"/>
    <w:rsid w:val="00012C10"/>
    <w:rsid w:val="000139D9"/>
    <w:rsid w:val="00020C2E"/>
    <w:rsid w:val="0002277A"/>
    <w:rsid w:val="000269C0"/>
    <w:rsid w:val="00077A14"/>
    <w:rsid w:val="00084510"/>
    <w:rsid w:val="000A3E91"/>
    <w:rsid w:val="000A630A"/>
    <w:rsid w:val="000B5A3F"/>
    <w:rsid w:val="000E4E1A"/>
    <w:rsid w:val="000F78BF"/>
    <w:rsid w:val="00102AD5"/>
    <w:rsid w:val="00120151"/>
    <w:rsid w:val="00132078"/>
    <w:rsid w:val="00137D63"/>
    <w:rsid w:val="00142A7A"/>
    <w:rsid w:val="001558F0"/>
    <w:rsid w:val="00157D9B"/>
    <w:rsid w:val="00180329"/>
    <w:rsid w:val="001837CD"/>
    <w:rsid w:val="001953CC"/>
    <w:rsid w:val="001D5A20"/>
    <w:rsid w:val="00273334"/>
    <w:rsid w:val="00274805"/>
    <w:rsid w:val="00286EC2"/>
    <w:rsid w:val="002C3EE4"/>
    <w:rsid w:val="003551A3"/>
    <w:rsid w:val="003563AE"/>
    <w:rsid w:val="0036693B"/>
    <w:rsid w:val="003C482A"/>
    <w:rsid w:val="003C696A"/>
    <w:rsid w:val="003F5E73"/>
    <w:rsid w:val="00416718"/>
    <w:rsid w:val="00446E6E"/>
    <w:rsid w:val="004611CE"/>
    <w:rsid w:val="004A4A98"/>
    <w:rsid w:val="004C1ADE"/>
    <w:rsid w:val="004D44A3"/>
    <w:rsid w:val="004F37E2"/>
    <w:rsid w:val="005266E1"/>
    <w:rsid w:val="005319A2"/>
    <w:rsid w:val="005359CC"/>
    <w:rsid w:val="005464F9"/>
    <w:rsid w:val="00555A16"/>
    <w:rsid w:val="00563060"/>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82F1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68F8"/>
  <w15:docId w15:val="{86B93B0F-395A-4129-B535-79AE4D70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Policepardfaut"/>
    <w:link w:val="En-tte"/>
    <w:rsid w:val="00E43F64"/>
    <w:rPr>
      <w:rFonts w:ascii="Times New Roman" w:eastAsia="Times New Roman" w:hAnsi="Times New Roman" w:cs="David"/>
      <w:noProof/>
      <w:sz w:val="24"/>
      <w:szCs w:val="24"/>
      <w:lang w:eastAsia="he-IL"/>
    </w:rPr>
  </w:style>
  <w:style w:type="character" w:styleId="Numrodepage">
    <w:name w:val="page number"/>
    <w:basedOn w:val="Policepardfaut"/>
    <w:rsid w:val="00E43F64"/>
  </w:style>
  <w:style w:type="paragraph" w:styleId="Corpsdetexte">
    <w:name w:val="Body Text"/>
    <w:basedOn w:val="Normal"/>
    <w:link w:val="BodyTextChar"/>
    <w:rsid w:val="00E43F64"/>
    <w:pPr>
      <w:jc w:val="both"/>
    </w:pPr>
    <w:rPr>
      <w:rFonts w:cs="David"/>
      <w:noProof/>
      <w:lang w:eastAsia="he-IL"/>
    </w:rPr>
  </w:style>
  <w:style w:type="character" w:customStyle="1" w:styleId="BodyTextChar">
    <w:name w:val="Body Text Char"/>
    <w:basedOn w:val="Policepardfaut"/>
    <w:link w:val="Corpsdetexte"/>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Marquedecommentaire">
    <w:name w:val="annotation reference"/>
    <w:basedOn w:val="Policepardfaut"/>
    <w:uiPriority w:val="99"/>
    <w:semiHidden/>
    <w:unhideWhenUsed/>
    <w:rsid w:val="003F5E73"/>
    <w:rPr>
      <w:sz w:val="16"/>
      <w:szCs w:val="16"/>
    </w:rPr>
  </w:style>
  <w:style w:type="paragraph" w:styleId="Commentaire">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Policepardfaut"/>
    <w:link w:val="Commentaire"/>
    <w:uiPriority w:val="99"/>
    <w:semiHidden/>
    <w:rsid w:val="003F5E73"/>
    <w:rPr>
      <w:rFonts w:ascii="Times New Roman" w:eastAsia="Times New Roman" w:hAnsi="Times New Roman" w:cs="Times New Roman"/>
      <w:sz w:val="20"/>
      <w:szCs w:val="20"/>
    </w:rPr>
  </w:style>
  <w:style w:type="paragraph" w:styleId="Objetducommentaire">
    <w:name w:val="annotation subject"/>
    <w:basedOn w:val="Commentaire"/>
    <w:next w:val="Commentaire"/>
    <w:link w:val="CommentSubjectChar"/>
    <w:uiPriority w:val="99"/>
    <w:semiHidden/>
    <w:unhideWhenUsed/>
    <w:rsid w:val="003F5E73"/>
    <w:rPr>
      <w:b/>
      <w:bCs/>
    </w:rPr>
  </w:style>
  <w:style w:type="character" w:customStyle="1" w:styleId="CommentSubjectChar">
    <w:name w:val="Comment Subject Char"/>
    <w:basedOn w:val="CommentTextChar"/>
    <w:link w:val="Objetducommentaire"/>
    <w:uiPriority w:val="99"/>
    <w:semiHidden/>
    <w:rsid w:val="003F5E73"/>
    <w:rPr>
      <w:rFonts w:ascii="Times New Roman" w:eastAsia="Times New Roman" w:hAnsi="Times New Roman" w:cs="Times New Roman"/>
      <w:b/>
      <w:bCs/>
      <w:sz w:val="20"/>
      <w:szCs w:val="20"/>
    </w:rPr>
  </w:style>
  <w:style w:type="paragraph" w:styleId="Textedebulles">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Policepardfaut"/>
    <w:link w:val="Textedebulles"/>
    <w:uiPriority w:val="99"/>
    <w:semiHidden/>
    <w:rsid w:val="003F5E73"/>
    <w:rPr>
      <w:rFonts w:ascii="Tahoma" w:eastAsia="Times New Roman" w:hAnsi="Tahoma" w:cs="Tahoma"/>
      <w:sz w:val="16"/>
      <w:szCs w:val="16"/>
    </w:rPr>
  </w:style>
  <w:style w:type="paragraph" w:styleId="R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43955-717F-4478-972F-FF25EA88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9736</Characters>
  <Application>Microsoft Office Word</Application>
  <DocSecurity>0</DocSecurity>
  <Lines>81</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Mylene Proulx</cp:lastModifiedBy>
  <cp:revision>3</cp:revision>
  <dcterms:created xsi:type="dcterms:W3CDTF">2016-09-21T15:55:00Z</dcterms:created>
  <dcterms:modified xsi:type="dcterms:W3CDTF">2016-09-21T15:55:00Z</dcterms:modified>
</cp:coreProperties>
</file>