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97D09" w14:textId="6A7434BD" w:rsidR="00B50FC5" w:rsidRPr="00921196" w:rsidRDefault="00B50FC5" w:rsidP="00A524ED">
      <w:pPr>
        <w:spacing w:after="0" w:line="360" w:lineRule="auto"/>
        <w:jc w:val="both"/>
        <w:rPr>
          <w:rFonts w:ascii="Times New Roman" w:hAnsi="Times New Roman"/>
          <w:sz w:val="24"/>
          <w:szCs w:val="24"/>
        </w:rPr>
      </w:pPr>
      <w:r w:rsidRPr="00921196">
        <w:rPr>
          <w:rFonts w:ascii="Times New Roman" w:hAnsi="Times New Roman"/>
          <w:sz w:val="24"/>
          <w:szCs w:val="24"/>
        </w:rPr>
        <w:t>Gábor</w:t>
      </w:r>
      <w:r w:rsidR="00AE75C0" w:rsidRPr="00921196">
        <w:rPr>
          <w:rFonts w:ascii="Times New Roman" w:hAnsi="Times New Roman"/>
          <w:sz w:val="24"/>
          <w:szCs w:val="24"/>
        </w:rPr>
        <w:t xml:space="preserve"> Czoch</w:t>
      </w:r>
    </w:p>
    <w:p w14:paraId="16BEAF98" w14:textId="450D201C" w:rsidR="00B50FC5" w:rsidRPr="00921196" w:rsidRDefault="001E360A" w:rsidP="00A524ED">
      <w:pPr>
        <w:spacing w:after="0" w:line="360" w:lineRule="auto"/>
        <w:jc w:val="both"/>
        <w:rPr>
          <w:rFonts w:ascii="Times New Roman" w:hAnsi="Times New Roman"/>
          <w:sz w:val="24"/>
          <w:szCs w:val="24"/>
        </w:rPr>
      </w:pPr>
      <w:r w:rsidRPr="00921196">
        <w:rPr>
          <w:rFonts w:ascii="Times New Roman" w:hAnsi="Times New Roman"/>
          <w:sz w:val="24"/>
          <w:szCs w:val="24"/>
        </w:rPr>
        <w:t>Burghers</w:t>
      </w:r>
      <w:r w:rsidR="00316C14" w:rsidRPr="00921196">
        <w:rPr>
          <w:rFonts w:ascii="Times New Roman" w:hAnsi="Times New Roman"/>
          <w:sz w:val="24"/>
          <w:szCs w:val="24"/>
        </w:rPr>
        <w:t xml:space="preserve"> </w:t>
      </w:r>
      <w:r w:rsidR="004B35D9" w:rsidRPr="00921196">
        <w:rPr>
          <w:rFonts w:ascii="Times New Roman" w:hAnsi="Times New Roman"/>
          <w:sz w:val="24"/>
          <w:szCs w:val="24"/>
        </w:rPr>
        <w:t>in the Hungarian Kingdom through the Prism of a Local Conflict</w:t>
      </w:r>
      <w:r w:rsidR="00316C14" w:rsidRPr="00921196">
        <w:rPr>
          <w:rFonts w:ascii="Times New Roman" w:hAnsi="Times New Roman"/>
          <w:sz w:val="24"/>
          <w:szCs w:val="24"/>
        </w:rPr>
        <w:t xml:space="preserve">: </w:t>
      </w:r>
      <w:r w:rsidR="004B35D9" w:rsidRPr="00921196">
        <w:rPr>
          <w:rFonts w:ascii="Times New Roman" w:hAnsi="Times New Roman"/>
          <w:sz w:val="24"/>
          <w:szCs w:val="24"/>
        </w:rPr>
        <w:t>The 1842</w:t>
      </w:r>
      <w:r w:rsidR="00316C14" w:rsidRPr="00921196">
        <w:rPr>
          <w:rFonts w:ascii="Times New Roman" w:hAnsi="Times New Roman"/>
          <w:sz w:val="24"/>
          <w:szCs w:val="24"/>
        </w:rPr>
        <w:t xml:space="preserve"> Muster of the </w:t>
      </w:r>
      <w:r w:rsidR="00AE3041" w:rsidRPr="00921196">
        <w:rPr>
          <w:rFonts w:ascii="Times New Roman" w:hAnsi="Times New Roman"/>
          <w:sz w:val="24"/>
          <w:szCs w:val="24"/>
        </w:rPr>
        <w:t xml:space="preserve">Košice </w:t>
      </w:r>
      <w:r w:rsidR="00316C14" w:rsidRPr="00921196">
        <w:rPr>
          <w:rFonts w:ascii="Times New Roman" w:hAnsi="Times New Roman"/>
          <w:sz w:val="24"/>
          <w:szCs w:val="24"/>
        </w:rPr>
        <w:t xml:space="preserve">Burghers’ Guard </w:t>
      </w:r>
    </w:p>
    <w:p w14:paraId="2C630E4C" w14:textId="77777777" w:rsidR="00B50FC5" w:rsidRPr="00921196" w:rsidRDefault="00B50FC5" w:rsidP="00A524ED">
      <w:pPr>
        <w:spacing w:after="0" w:line="360" w:lineRule="auto"/>
        <w:jc w:val="both"/>
        <w:rPr>
          <w:rFonts w:ascii="Times New Roman" w:hAnsi="Times New Roman"/>
          <w:sz w:val="24"/>
          <w:szCs w:val="24"/>
        </w:rPr>
      </w:pPr>
    </w:p>
    <w:p w14:paraId="46C50DCE" w14:textId="7DF29E99" w:rsidR="00161147" w:rsidRPr="00921196" w:rsidRDefault="00161147" w:rsidP="00A524ED">
      <w:pPr>
        <w:spacing w:line="360" w:lineRule="auto"/>
        <w:jc w:val="both"/>
        <w:rPr>
          <w:rFonts w:ascii="Times New Roman" w:hAnsi="Times New Roman"/>
          <w:sz w:val="24"/>
          <w:szCs w:val="24"/>
        </w:rPr>
      </w:pPr>
      <w:r w:rsidRPr="00921196">
        <w:rPr>
          <w:rFonts w:ascii="Times New Roman" w:hAnsi="Times New Roman"/>
          <w:sz w:val="24"/>
          <w:szCs w:val="24"/>
        </w:rPr>
        <w:t xml:space="preserve">The historiography of the period prior to the 1848 Hungarian Revolution is largely preoccupied with the political struggle for the abolition of various </w:t>
      </w:r>
      <w:r w:rsidR="0040704F" w:rsidRPr="00921196">
        <w:rPr>
          <w:rFonts w:ascii="Times New Roman" w:hAnsi="Times New Roman"/>
          <w:sz w:val="24"/>
          <w:szCs w:val="24"/>
        </w:rPr>
        <w:t xml:space="preserve">estates </w:t>
      </w:r>
      <w:r w:rsidRPr="00921196">
        <w:rPr>
          <w:rFonts w:ascii="Times New Roman" w:hAnsi="Times New Roman"/>
          <w:sz w:val="24"/>
          <w:szCs w:val="24"/>
        </w:rPr>
        <w:t xml:space="preserve">privileges, the establishment of the legal framework of capitalist economy, and the transformation of the political system </w:t>
      </w:r>
      <w:r w:rsidR="0040704F">
        <w:rPr>
          <w:rFonts w:ascii="Times New Roman" w:hAnsi="Times New Roman"/>
          <w:sz w:val="24"/>
          <w:szCs w:val="24"/>
        </w:rPr>
        <w:t>along</w:t>
      </w:r>
      <w:r w:rsidRPr="00921196">
        <w:rPr>
          <w:rFonts w:ascii="Times New Roman" w:hAnsi="Times New Roman"/>
          <w:sz w:val="24"/>
          <w:szCs w:val="24"/>
        </w:rPr>
        <w:t xml:space="preserve"> liberal doctrines. Capturing the social transformations behind these political debates, however, is a more challenging task, especially since the </w:t>
      </w:r>
      <w:r w:rsidR="0040704F">
        <w:rPr>
          <w:rFonts w:ascii="Times New Roman" w:hAnsi="Times New Roman"/>
          <w:sz w:val="24"/>
          <w:szCs w:val="24"/>
        </w:rPr>
        <w:t>stages</w:t>
      </w:r>
      <w:r w:rsidRPr="00921196">
        <w:rPr>
          <w:rFonts w:ascii="Times New Roman" w:hAnsi="Times New Roman"/>
          <w:sz w:val="24"/>
          <w:szCs w:val="24"/>
        </w:rPr>
        <w:t xml:space="preserve"> of this process were much less spectacular than the </w:t>
      </w:r>
      <w:r w:rsidR="001E360A" w:rsidRPr="00921196">
        <w:rPr>
          <w:rFonts w:ascii="Times New Roman" w:hAnsi="Times New Roman"/>
          <w:sz w:val="24"/>
          <w:szCs w:val="24"/>
        </w:rPr>
        <w:t>par</w:t>
      </w:r>
      <w:r w:rsidR="004C6FD1" w:rsidRPr="00921196">
        <w:rPr>
          <w:rFonts w:ascii="Times New Roman" w:hAnsi="Times New Roman"/>
          <w:sz w:val="24"/>
          <w:szCs w:val="24"/>
        </w:rPr>
        <w:t>a</w:t>
      </w:r>
      <w:r w:rsidR="001E360A" w:rsidRPr="00921196">
        <w:rPr>
          <w:rFonts w:ascii="Times New Roman" w:hAnsi="Times New Roman"/>
          <w:sz w:val="24"/>
          <w:szCs w:val="24"/>
        </w:rPr>
        <w:t xml:space="preserve">llel political </w:t>
      </w:r>
      <w:r w:rsidR="004C6FD1" w:rsidRPr="00921196">
        <w:rPr>
          <w:rFonts w:ascii="Times New Roman" w:hAnsi="Times New Roman"/>
          <w:sz w:val="24"/>
          <w:szCs w:val="24"/>
        </w:rPr>
        <w:t>debates</w:t>
      </w:r>
      <w:r w:rsidR="001E360A" w:rsidRPr="00921196">
        <w:rPr>
          <w:rFonts w:ascii="Times New Roman" w:hAnsi="Times New Roman"/>
          <w:sz w:val="24"/>
          <w:szCs w:val="24"/>
        </w:rPr>
        <w:t xml:space="preserve"> </w:t>
      </w:r>
      <w:r w:rsidR="004C6FD1" w:rsidRPr="00921196">
        <w:rPr>
          <w:rFonts w:ascii="Times New Roman" w:hAnsi="Times New Roman"/>
          <w:sz w:val="24"/>
          <w:szCs w:val="24"/>
        </w:rPr>
        <w:t xml:space="preserve">in the national assembly of the estates, commonly known as the Diet. As Vera Bácskai has pointed out in an earlier but still </w:t>
      </w:r>
      <w:r w:rsidR="00D6516E" w:rsidRPr="00921196">
        <w:rPr>
          <w:rFonts w:ascii="Times New Roman" w:hAnsi="Times New Roman"/>
          <w:sz w:val="24"/>
          <w:szCs w:val="24"/>
        </w:rPr>
        <w:t>defining</w:t>
      </w:r>
      <w:r w:rsidR="004D3F2D" w:rsidRPr="00921196">
        <w:rPr>
          <w:rFonts w:ascii="Times New Roman" w:hAnsi="Times New Roman"/>
          <w:sz w:val="24"/>
          <w:szCs w:val="24"/>
        </w:rPr>
        <w:t xml:space="preserve"> </w:t>
      </w:r>
      <w:r w:rsidR="00D6516E" w:rsidRPr="00921196">
        <w:rPr>
          <w:rFonts w:ascii="Times New Roman" w:hAnsi="Times New Roman"/>
          <w:sz w:val="24"/>
          <w:szCs w:val="24"/>
        </w:rPr>
        <w:t xml:space="preserve">and relevant </w:t>
      </w:r>
      <w:r w:rsidR="004D3F2D" w:rsidRPr="00921196">
        <w:rPr>
          <w:rFonts w:ascii="Times New Roman" w:hAnsi="Times New Roman"/>
          <w:sz w:val="24"/>
          <w:szCs w:val="24"/>
        </w:rPr>
        <w:t>essay, the transformation “took place within the estate framework, and it was partially manifested in the changing meaning of the estate categories themselves.”</w:t>
      </w:r>
      <w:r w:rsidR="0071755B" w:rsidRPr="00921196">
        <w:rPr>
          <w:rFonts w:ascii="Times New Roman" w:hAnsi="Times New Roman"/>
          <w:sz w:val="24"/>
          <w:szCs w:val="24"/>
        </w:rPr>
        <w:t xml:space="preserve"> In addition, the change often “meant a barely manifest shift” in the “rank, social </w:t>
      </w:r>
      <w:r w:rsidR="00D6516E" w:rsidRPr="00921196">
        <w:rPr>
          <w:rFonts w:ascii="Times New Roman" w:hAnsi="Times New Roman"/>
          <w:sz w:val="24"/>
          <w:szCs w:val="24"/>
        </w:rPr>
        <w:t>standing</w:t>
      </w:r>
      <w:r w:rsidR="0071755B" w:rsidRPr="00921196">
        <w:rPr>
          <w:rFonts w:ascii="Times New Roman" w:hAnsi="Times New Roman"/>
          <w:sz w:val="24"/>
          <w:szCs w:val="24"/>
        </w:rPr>
        <w:t>, economic status, and prestige of</w:t>
      </w:r>
      <w:r w:rsidR="00D6516E" w:rsidRPr="00921196">
        <w:rPr>
          <w:rFonts w:ascii="Times New Roman" w:hAnsi="Times New Roman"/>
          <w:sz w:val="24"/>
          <w:szCs w:val="24"/>
        </w:rPr>
        <w:t>—</w:t>
      </w:r>
      <w:r w:rsidR="0071755B" w:rsidRPr="00921196">
        <w:rPr>
          <w:rFonts w:ascii="Times New Roman" w:hAnsi="Times New Roman"/>
          <w:sz w:val="24"/>
          <w:szCs w:val="24"/>
        </w:rPr>
        <w:t>as well as interpersonal relationships among</w:t>
      </w:r>
      <w:r w:rsidR="00D6516E" w:rsidRPr="00921196">
        <w:rPr>
          <w:rFonts w:ascii="Times New Roman" w:hAnsi="Times New Roman"/>
          <w:sz w:val="24"/>
          <w:szCs w:val="24"/>
        </w:rPr>
        <w:t>—</w:t>
      </w:r>
      <w:r w:rsidR="0071755B" w:rsidRPr="00921196">
        <w:rPr>
          <w:rFonts w:ascii="Times New Roman" w:hAnsi="Times New Roman"/>
          <w:sz w:val="24"/>
          <w:szCs w:val="24"/>
        </w:rPr>
        <w:t xml:space="preserve">people with different legal statuses,” </w:t>
      </w:r>
      <w:r w:rsidR="0040704F">
        <w:rPr>
          <w:rFonts w:ascii="Times New Roman" w:hAnsi="Times New Roman"/>
          <w:sz w:val="24"/>
          <w:szCs w:val="24"/>
        </w:rPr>
        <w:t>as well as</w:t>
      </w:r>
      <w:r w:rsidR="0071755B" w:rsidRPr="00921196">
        <w:rPr>
          <w:rFonts w:ascii="Times New Roman" w:hAnsi="Times New Roman"/>
          <w:sz w:val="24"/>
          <w:szCs w:val="24"/>
        </w:rPr>
        <w:t xml:space="preserve"> various social groups.</w:t>
      </w:r>
      <w:r w:rsidR="00D17990" w:rsidRPr="00921196">
        <w:rPr>
          <w:rStyle w:val="FootnoteReference"/>
        </w:rPr>
        <w:footnoteReference w:id="1"/>
      </w:r>
    </w:p>
    <w:p w14:paraId="59D386AE" w14:textId="279C661A" w:rsidR="00D6516E" w:rsidRPr="00921196" w:rsidRDefault="00D6516E" w:rsidP="00A524ED">
      <w:pPr>
        <w:spacing w:line="360" w:lineRule="auto"/>
        <w:jc w:val="both"/>
        <w:rPr>
          <w:rFonts w:ascii="Times New Roman" w:hAnsi="Times New Roman"/>
          <w:sz w:val="24"/>
          <w:szCs w:val="24"/>
        </w:rPr>
      </w:pPr>
      <w:r w:rsidRPr="00921196">
        <w:rPr>
          <w:rFonts w:ascii="Times New Roman" w:hAnsi="Times New Roman"/>
          <w:sz w:val="24"/>
          <w:szCs w:val="24"/>
        </w:rPr>
        <w:t xml:space="preserve">The present study is </w:t>
      </w:r>
      <w:r w:rsidR="00AF63C5">
        <w:rPr>
          <w:rFonts w:ascii="Times New Roman" w:hAnsi="Times New Roman"/>
          <w:sz w:val="24"/>
          <w:szCs w:val="24"/>
        </w:rPr>
        <w:t>glimpse into</w:t>
      </w:r>
      <w:bookmarkStart w:id="0" w:name="_GoBack"/>
      <w:bookmarkEnd w:id="0"/>
      <w:r w:rsidRPr="00921196">
        <w:rPr>
          <w:rFonts w:ascii="Times New Roman" w:hAnsi="Times New Roman"/>
          <w:sz w:val="24"/>
          <w:szCs w:val="24"/>
        </w:rPr>
        <w:t xml:space="preserve"> this process</w:t>
      </w:r>
      <w:r w:rsidR="0040704F">
        <w:rPr>
          <w:rFonts w:ascii="Times New Roman" w:hAnsi="Times New Roman"/>
          <w:sz w:val="24"/>
          <w:szCs w:val="24"/>
        </w:rPr>
        <w:t>, placed</w:t>
      </w:r>
      <w:r w:rsidRPr="00921196">
        <w:rPr>
          <w:rFonts w:ascii="Times New Roman" w:hAnsi="Times New Roman"/>
          <w:sz w:val="24"/>
          <w:szCs w:val="24"/>
        </w:rPr>
        <w:t xml:space="preserve"> in the context of privileged urban burghers on the level of microhistory.</w:t>
      </w:r>
      <w:r w:rsidRPr="00921196">
        <w:rPr>
          <w:rStyle w:val="FootnoteReference"/>
        </w:rPr>
        <w:footnoteReference w:id="2"/>
      </w:r>
      <w:r w:rsidRPr="00921196">
        <w:rPr>
          <w:rFonts w:ascii="Times New Roman" w:hAnsi="Times New Roman"/>
          <w:sz w:val="24"/>
          <w:szCs w:val="24"/>
        </w:rPr>
        <w:t xml:space="preserve"> In my understanding</w:t>
      </w:r>
      <w:r w:rsidR="00762C2C" w:rsidRPr="00921196">
        <w:rPr>
          <w:rFonts w:ascii="Times New Roman" w:hAnsi="Times New Roman"/>
          <w:sz w:val="24"/>
          <w:szCs w:val="24"/>
        </w:rPr>
        <w:t xml:space="preserve">, one of the possible methods to grasp this </w:t>
      </w:r>
      <w:r w:rsidR="00762C2C" w:rsidRPr="00921196">
        <w:rPr>
          <w:rFonts w:ascii="Times New Roman" w:hAnsi="Times New Roman"/>
          <w:sz w:val="24"/>
          <w:szCs w:val="24"/>
        </w:rPr>
        <w:lastRenderedPageBreak/>
        <w:t>internal transformation of</w:t>
      </w:r>
      <w:r w:rsidRPr="00921196">
        <w:rPr>
          <w:rFonts w:ascii="Times New Roman" w:hAnsi="Times New Roman"/>
          <w:sz w:val="24"/>
          <w:szCs w:val="24"/>
        </w:rPr>
        <w:t xml:space="preserve"> the estates system</w:t>
      </w:r>
      <w:r w:rsidR="00762C2C" w:rsidRPr="00921196">
        <w:rPr>
          <w:rFonts w:ascii="Times New Roman" w:hAnsi="Times New Roman"/>
          <w:sz w:val="24"/>
          <w:szCs w:val="24"/>
        </w:rPr>
        <w:t xml:space="preserve"> is the analysis of the relationships between norms and social practice; more precisely speaking, the analysis of conflict situations in which these two clash.</w:t>
      </w:r>
      <w:r w:rsidR="00762C2C" w:rsidRPr="00921196">
        <w:rPr>
          <w:rStyle w:val="FootnoteReference"/>
        </w:rPr>
        <w:footnoteReference w:id="3"/>
      </w:r>
      <w:r w:rsidR="00762C2C" w:rsidRPr="00921196">
        <w:rPr>
          <w:rFonts w:ascii="Times New Roman" w:hAnsi="Times New Roman"/>
          <w:sz w:val="24"/>
          <w:szCs w:val="24"/>
        </w:rPr>
        <w:t xml:space="preserve"> </w:t>
      </w:r>
      <w:r w:rsidR="00AA4C0B" w:rsidRPr="00921196">
        <w:rPr>
          <w:rFonts w:ascii="Times New Roman" w:hAnsi="Times New Roman"/>
          <w:sz w:val="24"/>
          <w:szCs w:val="24"/>
        </w:rPr>
        <w:t xml:space="preserve">This is </w:t>
      </w:r>
      <w:r w:rsidR="0059659D">
        <w:rPr>
          <w:rFonts w:ascii="Times New Roman" w:hAnsi="Times New Roman"/>
          <w:sz w:val="24"/>
          <w:szCs w:val="24"/>
        </w:rPr>
        <w:t xml:space="preserve">so </w:t>
      </w:r>
      <w:r w:rsidR="00AA4C0B" w:rsidRPr="00921196">
        <w:rPr>
          <w:rFonts w:ascii="Times New Roman" w:hAnsi="Times New Roman"/>
          <w:sz w:val="24"/>
          <w:szCs w:val="24"/>
        </w:rPr>
        <w:t xml:space="preserve">because </w:t>
      </w:r>
      <w:r w:rsidR="00762C2C" w:rsidRPr="00921196">
        <w:rPr>
          <w:rFonts w:ascii="Times New Roman" w:hAnsi="Times New Roman"/>
          <w:sz w:val="24"/>
          <w:szCs w:val="24"/>
        </w:rPr>
        <w:t>these situations</w:t>
      </w:r>
      <w:r w:rsidR="00AA4C0B" w:rsidRPr="00921196">
        <w:rPr>
          <w:rFonts w:ascii="Times New Roman" w:hAnsi="Times New Roman"/>
          <w:sz w:val="24"/>
          <w:szCs w:val="24"/>
        </w:rPr>
        <w:t xml:space="preserve"> </w:t>
      </w:r>
      <w:r w:rsidR="0059659D">
        <w:rPr>
          <w:rFonts w:ascii="Times New Roman" w:hAnsi="Times New Roman"/>
          <w:sz w:val="24"/>
          <w:szCs w:val="24"/>
        </w:rPr>
        <w:t>reveal</w:t>
      </w:r>
      <w:r w:rsidR="00AA4C0B" w:rsidRPr="00921196">
        <w:rPr>
          <w:rFonts w:ascii="Times New Roman" w:hAnsi="Times New Roman"/>
          <w:sz w:val="24"/>
          <w:szCs w:val="24"/>
        </w:rPr>
        <w:t xml:space="preserve"> how various social actors interpret the norms and </w:t>
      </w:r>
      <w:r w:rsidR="0059659D">
        <w:rPr>
          <w:rFonts w:ascii="Times New Roman" w:hAnsi="Times New Roman"/>
          <w:sz w:val="24"/>
          <w:szCs w:val="24"/>
        </w:rPr>
        <w:t>where</w:t>
      </w:r>
      <w:r w:rsidR="00AA4C0B" w:rsidRPr="00921196">
        <w:rPr>
          <w:rFonts w:ascii="Times New Roman" w:hAnsi="Times New Roman"/>
          <w:sz w:val="24"/>
          <w:szCs w:val="24"/>
        </w:rPr>
        <w:t xml:space="preserve"> transform</w:t>
      </w:r>
      <w:r w:rsidR="0059659D">
        <w:rPr>
          <w:rFonts w:ascii="Times New Roman" w:hAnsi="Times New Roman"/>
          <w:sz w:val="24"/>
          <w:szCs w:val="24"/>
        </w:rPr>
        <w:t>ing</w:t>
      </w:r>
      <w:r w:rsidR="00AA4C0B" w:rsidRPr="00921196">
        <w:rPr>
          <w:rFonts w:ascii="Times New Roman" w:hAnsi="Times New Roman"/>
          <w:sz w:val="24"/>
          <w:szCs w:val="24"/>
        </w:rPr>
        <w:t xml:space="preserve"> social practice</w:t>
      </w:r>
      <w:r w:rsidR="0059659D">
        <w:rPr>
          <w:rFonts w:ascii="Times New Roman" w:hAnsi="Times New Roman"/>
          <w:sz w:val="24"/>
          <w:szCs w:val="24"/>
        </w:rPr>
        <w:t>s clash</w:t>
      </w:r>
      <w:r w:rsidR="00AA4C0B" w:rsidRPr="00921196">
        <w:rPr>
          <w:rFonts w:ascii="Times New Roman" w:hAnsi="Times New Roman"/>
          <w:sz w:val="24"/>
          <w:szCs w:val="24"/>
        </w:rPr>
        <w:t xml:space="preserve"> with the social order solidified by old customs and law.</w:t>
      </w:r>
    </w:p>
    <w:p w14:paraId="4710E09D" w14:textId="511C7753" w:rsidR="00420C0B" w:rsidRPr="00921196" w:rsidRDefault="00420C0B" w:rsidP="00A524ED">
      <w:pPr>
        <w:spacing w:line="360" w:lineRule="auto"/>
        <w:jc w:val="both"/>
        <w:rPr>
          <w:rFonts w:ascii="Times New Roman" w:hAnsi="Times New Roman"/>
          <w:sz w:val="24"/>
          <w:szCs w:val="24"/>
        </w:rPr>
      </w:pPr>
      <w:r w:rsidRPr="00921196">
        <w:rPr>
          <w:rFonts w:ascii="Times New Roman" w:hAnsi="Times New Roman"/>
          <w:sz w:val="24"/>
          <w:szCs w:val="24"/>
        </w:rPr>
        <w:t xml:space="preserve">The events that took place in one of the most prominent free royal towns, Košice,  in the summer of 1842—namely the muster of the city’s burghers’ guard imposed by governmental authority—provide </w:t>
      </w:r>
      <w:r w:rsidR="00AA4C0B" w:rsidRPr="00921196">
        <w:rPr>
          <w:rFonts w:ascii="Times New Roman" w:hAnsi="Times New Roman"/>
          <w:sz w:val="24"/>
          <w:szCs w:val="24"/>
        </w:rPr>
        <w:t>a</w:t>
      </w:r>
      <w:r w:rsidRPr="00921196">
        <w:rPr>
          <w:rFonts w:ascii="Times New Roman" w:hAnsi="Times New Roman"/>
          <w:sz w:val="24"/>
          <w:szCs w:val="24"/>
        </w:rPr>
        <w:t xml:space="preserve">n apt terrain for </w:t>
      </w:r>
      <w:r w:rsidR="0059659D">
        <w:rPr>
          <w:rFonts w:ascii="Times New Roman" w:hAnsi="Times New Roman"/>
          <w:sz w:val="24"/>
          <w:szCs w:val="24"/>
        </w:rPr>
        <w:t>this type of</w:t>
      </w:r>
      <w:r w:rsidRPr="00921196">
        <w:rPr>
          <w:rFonts w:ascii="Times New Roman" w:hAnsi="Times New Roman"/>
          <w:sz w:val="24"/>
          <w:szCs w:val="24"/>
        </w:rPr>
        <w:t xml:space="preserve"> analysis</w:t>
      </w:r>
      <w:r w:rsidR="004B35D9" w:rsidRPr="00921196">
        <w:rPr>
          <w:rFonts w:ascii="Times New Roman" w:hAnsi="Times New Roman"/>
          <w:sz w:val="24"/>
          <w:szCs w:val="24"/>
        </w:rPr>
        <w:t>.</w:t>
      </w:r>
      <w:r w:rsidR="004B35D9" w:rsidRPr="00921196">
        <w:rPr>
          <w:rStyle w:val="FootnoteReference"/>
        </w:rPr>
        <w:footnoteReference w:id="4"/>
      </w:r>
      <w:r w:rsidR="004B35D9" w:rsidRPr="00921196">
        <w:rPr>
          <w:rFonts w:ascii="Times New Roman" w:hAnsi="Times New Roman"/>
          <w:sz w:val="24"/>
          <w:szCs w:val="24"/>
        </w:rPr>
        <w:t xml:space="preserve"> </w:t>
      </w:r>
      <w:r w:rsidRPr="00921196">
        <w:rPr>
          <w:rFonts w:ascii="Times New Roman" w:hAnsi="Times New Roman"/>
          <w:sz w:val="24"/>
          <w:szCs w:val="24"/>
        </w:rPr>
        <w:t xml:space="preserve">The city officials appointed to oversee the burghers’ guard observed a number of irregularities which they duly reported to the city council. There were also smaller bouts of unrest during the inspection, </w:t>
      </w:r>
      <w:r w:rsidR="0016070B" w:rsidRPr="00921196">
        <w:rPr>
          <w:rFonts w:ascii="Times New Roman" w:hAnsi="Times New Roman"/>
          <w:sz w:val="24"/>
          <w:szCs w:val="24"/>
        </w:rPr>
        <w:t xml:space="preserve">and </w:t>
      </w:r>
      <w:r w:rsidRPr="00921196">
        <w:rPr>
          <w:rFonts w:ascii="Times New Roman" w:hAnsi="Times New Roman"/>
          <w:sz w:val="24"/>
          <w:szCs w:val="24"/>
        </w:rPr>
        <w:t>some Košice citizen</w:t>
      </w:r>
      <w:r w:rsidR="0016070B" w:rsidRPr="00921196">
        <w:rPr>
          <w:rFonts w:ascii="Times New Roman" w:hAnsi="Times New Roman"/>
          <w:sz w:val="24"/>
          <w:szCs w:val="24"/>
        </w:rPr>
        <w:t>s</w:t>
      </w:r>
      <w:r w:rsidRPr="00921196">
        <w:rPr>
          <w:rFonts w:ascii="Times New Roman" w:hAnsi="Times New Roman"/>
          <w:sz w:val="24"/>
          <w:szCs w:val="24"/>
        </w:rPr>
        <w:t xml:space="preserve"> openly criticised the procedure and the </w:t>
      </w:r>
      <w:r w:rsidR="008C5237">
        <w:rPr>
          <w:rFonts w:ascii="Times New Roman" w:hAnsi="Times New Roman"/>
          <w:sz w:val="24"/>
          <w:szCs w:val="24"/>
        </w:rPr>
        <w:t>municipal</w:t>
      </w:r>
      <w:r w:rsidRPr="00921196">
        <w:rPr>
          <w:rFonts w:ascii="Times New Roman" w:hAnsi="Times New Roman"/>
          <w:sz w:val="24"/>
          <w:szCs w:val="24"/>
        </w:rPr>
        <w:t xml:space="preserve"> government. The council’s measures taken against disorderly conduct in order to restore and maintain </w:t>
      </w:r>
      <w:r w:rsidR="007E1AD6">
        <w:rPr>
          <w:rFonts w:ascii="Times New Roman" w:hAnsi="Times New Roman"/>
          <w:sz w:val="24"/>
          <w:szCs w:val="24"/>
        </w:rPr>
        <w:t>the</w:t>
      </w:r>
      <w:r w:rsidRPr="00921196">
        <w:rPr>
          <w:rFonts w:ascii="Times New Roman" w:hAnsi="Times New Roman"/>
          <w:sz w:val="24"/>
          <w:szCs w:val="24"/>
        </w:rPr>
        <w:t xml:space="preserve"> order in the city </w:t>
      </w:r>
      <w:r w:rsidR="0016070B" w:rsidRPr="00921196">
        <w:rPr>
          <w:rFonts w:ascii="Times New Roman" w:hAnsi="Times New Roman"/>
          <w:sz w:val="24"/>
          <w:szCs w:val="24"/>
        </w:rPr>
        <w:t xml:space="preserve">provide a glimpse into the norms which the city’s administration </w:t>
      </w:r>
      <w:r w:rsidR="0059659D">
        <w:rPr>
          <w:rFonts w:ascii="Times New Roman" w:hAnsi="Times New Roman"/>
          <w:sz w:val="24"/>
          <w:szCs w:val="24"/>
        </w:rPr>
        <w:t>demanded</w:t>
      </w:r>
      <w:r w:rsidRPr="00921196">
        <w:rPr>
          <w:rFonts w:ascii="Times New Roman" w:hAnsi="Times New Roman"/>
          <w:sz w:val="24"/>
          <w:szCs w:val="24"/>
        </w:rPr>
        <w:t xml:space="preserve"> </w:t>
      </w:r>
      <w:r w:rsidR="008C5237">
        <w:rPr>
          <w:rFonts w:ascii="Times New Roman" w:hAnsi="Times New Roman"/>
          <w:sz w:val="24"/>
          <w:szCs w:val="24"/>
        </w:rPr>
        <w:t>from the</w:t>
      </w:r>
      <w:r w:rsidR="0016070B" w:rsidRPr="00921196">
        <w:rPr>
          <w:rFonts w:ascii="Times New Roman" w:hAnsi="Times New Roman"/>
          <w:sz w:val="24"/>
          <w:szCs w:val="24"/>
        </w:rPr>
        <w:t xml:space="preserve"> urban public. The conflict was primarily concerned with the burghers’ duties: mandatory service in the </w:t>
      </w:r>
      <w:r w:rsidR="00B60588" w:rsidRPr="00921196">
        <w:rPr>
          <w:rFonts w:ascii="Times New Roman" w:hAnsi="Times New Roman"/>
          <w:sz w:val="24"/>
          <w:szCs w:val="24"/>
        </w:rPr>
        <w:t>guard</w:t>
      </w:r>
      <w:r w:rsidR="0016070B" w:rsidRPr="00921196">
        <w:rPr>
          <w:rFonts w:ascii="Times New Roman" w:hAnsi="Times New Roman"/>
          <w:sz w:val="24"/>
          <w:szCs w:val="24"/>
        </w:rPr>
        <w:t xml:space="preserve"> and the behaviour </w:t>
      </w:r>
      <w:r w:rsidR="0014533B">
        <w:rPr>
          <w:rFonts w:ascii="Times New Roman" w:hAnsi="Times New Roman"/>
          <w:sz w:val="24"/>
          <w:szCs w:val="24"/>
        </w:rPr>
        <w:t xml:space="preserve">towards </w:t>
      </w:r>
      <w:r w:rsidR="0014533B" w:rsidRPr="00921196">
        <w:rPr>
          <w:rFonts w:ascii="Times New Roman" w:hAnsi="Times New Roman"/>
          <w:sz w:val="24"/>
          <w:szCs w:val="24"/>
        </w:rPr>
        <w:t xml:space="preserve">the council itself and its official representatives </w:t>
      </w:r>
      <w:r w:rsidR="0016070B" w:rsidRPr="00921196">
        <w:rPr>
          <w:rFonts w:ascii="Times New Roman" w:hAnsi="Times New Roman"/>
          <w:sz w:val="24"/>
          <w:szCs w:val="24"/>
        </w:rPr>
        <w:t xml:space="preserve">which the council expected from the burghers. In general, the analysis of this conflict can thus </w:t>
      </w:r>
      <w:r w:rsidR="0014533B">
        <w:rPr>
          <w:rFonts w:ascii="Times New Roman" w:hAnsi="Times New Roman"/>
          <w:sz w:val="24"/>
          <w:szCs w:val="24"/>
        </w:rPr>
        <w:t>establish</w:t>
      </w:r>
      <w:r w:rsidR="0016070B" w:rsidRPr="00921196">
        <w:rPr>
          <w:rFonts w:ascii="Times New Roman" w:hAnsi="Times New Roman"/>
          <w:sz w:val="24"/>
          <w:szCs w:val="24"/>
        </w:rPr>
        <w:t xml:space="preserve"> </w:t>
      </w:r>
      <w:r w:rsidR="00AE3041" w:rsidRPr="00921196">
        <w:rPr>
          <w:rFonts w:ascii="Times New Roman" w:hAnsi="Times New Roman"/>
          <w:sz w:val="24"/>
          <w:szCs w:val="24"/>
        </w:rPr>
        <w:t>the importance of burghers’</w:t>
      </w:r>
      <w:r w:rsidR="00687CCD" w:rsidRPr="00921196">
        <w:rPr>
          <w:rFonts w:ascii="Times New Roman" w:hAnsi="Times New Roman"/>
          <w:sz w:val="24"/>
          <w:szCs w:val="24"/>
        </w:rPr>
        <w:t xml:space="preserve"> rights and </w:t>
      </w:r>
      <w:r w:rsidR="00E768DD">
        <w:rPr>
          <w:rFonts w:ascii="Times New Roman" w:hAnsi="Times New Roman"/>
          <w:sz w:val="24"/>
          <w:szCs w:val="24"/>
        </w:rPr>
        <w:t xml:space="preserve">define </w:t>
      </w:r>
      <w:r w:rsidR="00AE3041" w:rsidRPr="00921196">
        <w:rPr>
          <w:rFonts w:ascii="Times New Roman" w:hAnsi="Times New Roman"/>
          <w:sz w:val="24"/>
          <w:szCs w:val="24"/>
        </w:rPr>
        <w:t>the contemporary notion of burghership</w:t>
      </w:r>
      <w:r w:rsidR="00687CCD" w:rsidRPr="00921196">
        <w:rPr>
          <w:rFonts w:ascii="Times New Roman" w:hAnsi="Times New Roman"/>
          <w:sz w:val="24"/>
          <w:szCs w:val="24"/>
        </w:rPr>
        <w:t xml:space="preserve"> as a category within the estates </w:t>
      </w:r>
      <w:r w:rsidR="00CF3631" w:rsidRPr="00921196">
        <w:rPr>
          <w:rFonts w:ascii="Times New Roman" w:hAnsi="Times New Roman"/>
          <w:sz w:val="24"/>
          <w:szCs w:val="24"/>
        </w:rPr>
        <w:t>system</w:t>
      </w:r>
      <w:r w:rsidR="00E768DD">
        <w:rPr>
          <w:rFonts w:ascii="Times New Roman" w:hAnsi="Times New Roman"/>
          <w:sz w:val="24"/>
          <w:szCs w:val="24"/>
        </w:rPr>
        <w:t>—</w:t>
      </w:r>
      <w:r w:rsidR="00CF3631" w:rsidRPr="00921196">
        <w:rPr>
          <w:rFonts w:ascii="Times New Roman" w:hAnsi="Times New Roman"/>
          <w:sz w:val="24"/>
          <w:szCs w:val="24"/>
        </w:rPr>
        <w:t>as</w:t>
      </w:r>
      <w:r w:rsidR="00687CCD" w:rsidRPr="00921196">
        <w:rPr>
          <w:rFonts w:ascii="Times New Roman" w:hAnsi="Times New Roman"/>
          <w:sz w:val="24"/>
          <w:szCs w:val="24"/>
        </w:rPr>
        <w:t xml:space="preserve"> well as </w:t>
      </w:r>
      <w:r w:rsidR="00DB78DC">
        <w:rPr>
          <w:rFonts w:ascii="Times New Roman" w:hAnsi="Times New Roman"/>
          <w:sz w:val="24"/>
          <w:szCs w:val="24"/>
        </w:rPr>
        <w:t xml:space="preserve">shed light on </w:t>
      </w:r>
      <w:r w:rsidR="00687CCD" w:rsidRPr="00921196">
        <w:rPr>
          <w:rFonts w:ascii="Times New Roman" w:hAnsi="Times New Roman"/>
          <w:sz w:val="24"/>
          <w:szCs w:val="24"/>
        </w:rPr>
        <w:t xml:space="preserve">the changes </w:t>
      </w:r>
      <w:r w:rsidR="00E768DD">
        <w:rPr>
          <w:rFonts w:ascii="Times New Roman" w:hAnsi="Times New Roman"/>
          <w:sz w:val="24"/>
          <w:szCs w:val="24"/>
        </w:rPr>
        <w:t>in</w:t>
      </w:r>
      <w:r w:rsidR="00687CCD" w:rsidRPr="00921196">
        <w:rPr>
          <w:rFonts w:ascii="Times New Roman" w:hAnsi="Times New Roman"/>
          <w:sz w:val="24"/>
          <w:szCs w:val="24"/>
        </w:rPr>
        <w:t xml:space="preserve"> </w:t>
      </w:r>
      <w:r w:rsidR="00E768DD">
        <w:rPr>
          <w:rFonts w:ascii="Times New Roman" w:hAnsi="Times New Roman"/>
          <w:sz w:val="24"/>
          <w:szCs w:val="24"/>
        </w:rPr>
        <w:t>this concept</w:t>
      </w:r>
      <w:r w:rsidR="00687CCD" w:rsidRPr="00921196">
        <w:rPr>
          <w:rFonts w:ascii="Times New Roman" w:hAnsi="Times New Roman"/>
          <w:sz w:val="24"/>
          <w:szCs w:val="24"/>
        </w:rPr>
        <w:t xml:space="preserve"> right before the outbreak of the Hungarian Revolution of 1848.</w:t>
      </w:r>
    </w:p>
    <w:p w14:paraId="41955496" w14:textId="44B8A4E7" w:rsidR="004B35D9" w:rsidRPr="00921196" w:rsidRDefault="00DD70AB" w:rsidP="00A524ED">
      <w:pPr>
        <w:spacing w:line="360" w:lineRule="auto"/>
        <w:jc w:val="both"/>
        <w:rPr>
          <w:rFonts w:ascii="Times New Roman" w:hAnsi="Times New Roman"/>
          <w:sz w:val="24"/>
          <w:szCs w:val="24"/>
        </w:rPr>
      </w:pPr>
      <w:r w:rsidRPr="00921196">
        <w:rPr>
          <w:rFonts w:ascii="Times New Roman" w:hAnsi="Times New Roman"/>
          <w:sz w:val="24"/>
          <w:szCs w:val="24"/>
        </w:rPr>
        <w:t>P</w:t>
      </w:r>
      <w:r w:rsidR="00687CCD" w:rsidRPr="00921196">
        <w:rPr>
          <w:rFonts w:ascii="Times New Roman" w:hAnsi="Times New Roman"/>
          <w:sz w:val="24"/>
          <w:szCs w:val="24"/>
        </w:rPr>
        <w:t>rivileged burghers in Hungary in the first half of the nineteenth century ha</w:t>
      </w:r>
      <w:r w:rsidRPr="00921196">
        <w:rPr>
          <w:rFonts w:ascii="Times New Roman" w:hAnsi="Times New Roman"/>
          <w:sz w:val="24"/>
          <w:szCs w:val="24"/>
        </w:rPr>
        <w:t>ve</w:t>
      </w:r>
      <w:r w:rsidR="00687CCD" w:rsidRPr="00921196">
        <w:rPr>
          <w:rFonts w:ascii="Times New Roman" w:hAnsi="Times New Roman"/>
          <w:sz w:val="24"/>
          <w:szCs w:val="24"/>
        </w:rPr>
        <w:t xml:space="preserve"> been </w:t>
      </w:r>
      <w:r w:rsidRPr="00921196">
        <w:rPr>
          <w:rFonts w:ascii="Times New Roman" w:hAnsi="Times New Roman"/>
          <w:sz w:val="24"/>
          <w:szCs w:val="24"/>
        </w:rPr>
        <w:t xml:space="preserve">portrayed </w:t>
      </w:r>
      <w:r w:rsidR="00687CCD" w:rsidRPr="00921196">
        <w:rPr>
          <w:rFonts w:ascii="Times New Roman" w:hAnsi="Times New Roman"/>
          <w:sz w:val="24"/>
          <w:szCs w:val="24"/>
        </w:rPr>
        <w:t>rather simplistic</w:t>
      </w:r>
      <w:r w:rsidRPr="00921196">
        <w:rPr>
          <w:rFonts w:ascii="Times New Roman" w:hAnsi="Times New Roman"/>
          <w:sz w:val="24"/>
          <w:szCs w:val="24"/>
        </w:rPr>
        <w:t>ally</w:t>
      </w:r>
      <w:r w:rsidR="00687CCD" w:rsidRPr="00921196">
        <w:rPr>
          <w:rFonts w:ascii="Times New Roman" w:hAnsi="Times New Roman"/>
          <w:sz w:val="24"/>
          <w:szCs w:val="24"/>
        </w:rPr>
        <w:t xml:space="preserve"> in previous scholarship. The changes in the social composition of burg</w:t>
      </w:r>
      <w:r w:rsidRPr="00921196">
        <w:rPr>
          <w:rFonts w:ascii="Times New Roman" w:hAnsi="Times New Roman"/>
          <w:sz w:val="24"/>
          <w:szCs w:val="24"/>
        </w:rPr>
        <w:t>h</w:t>
      </w:r>
      <w:r w:rsidR="00687CCD" w:rsidRPr="00921196">
        <w:rPr>
          <w:rFonts w:ascii="Times New Roman" w:hAnsi="Times New Roman"/>
          <w:sz w:val="24"/>
          <w:szCs w:val="24"/>
        </w:rPr>
        <w:t>ers</w:t>
      </w:r>
      <w:r w:rsidRPr="00921196">
        <w:rPr>
          <w:rFonts w:ascii="Times New Roman" w:hAnsi="Times New Roman"/>
          <w:sz w:val="24"/>
          <w:szCs w:val="24"/>
        </w:rPr>
        <w:t xml:space="preserve"> have been largely ignored and they were perceived, rather judgmentally, as </w:t>
      </w:r>
      <w:r w:rsidR="00DB78DC">
        <w:rPr>
          <w:rFonts w:ascii="Times New Roman" w:hAnsi="Times New Roman"/>
          <w:sz w:val="24"/>
          <w:szCs w:val="24"/>
        </w:rPr>
        <w:t xml:space="preserve">members of </w:t>
      </w:r>
      <w:r w:rsidRPr="00921196">
        <w:rPr>
          <w:rFonts w:ascii="Times New Roman" w:hAnsi="Times New Roman"/>
          <w:sz w:val="24"/>
          <w:szCs w:val="24"/>
        </w:rPr>
        <w:t xml:space="preserve">a homogeneous, </w:t>
      </w:r>
      <w:r w:rsidR="00AE75C0" w:rsidRPr="00921196">
        <w:rPr>
          <w:rFonts w:ascii="Times New Roman" w:hAnsi="Times New Roman"/>
          <w:sz w:val="24"/>
          <w:szCs w:val="24"/>
        </w:rPr>
        <w:t>more and more</w:t>
      </w:r>
      <w:r w:rsidRPr="00921196">
        <w:rPr>
          <w:rFonts w:ascii="Times New Roman" w:hAnsi="Times New Roman"/>
          <w:sz w:val="24"/>
          <w:szCs w:val="24"/>
        </w:rPr>
        <w:t xml:space="preserve"> inward looking group </w:t>
      </w:r>
      <w:r w:rsidR="00AE75C0" w:rsidRPr="00921196">
        <w:rPr>
          <w:rFonts w:ascii="Times New Roman" w:hAnsi="Times New Roman"/>
          <w:sz w:val="24"/>
          <w:szCs w:val="24"/>
        </w:rPr>
        <w:t>which continued to obsessively hold on to its increasingly anachronistic privileges.</w:t>
      </w:r>
      <w:r w:rsidR="00DB78DC">
        <w:rPr>
          <w:rFonts w:ascii="Times New Roman" w:hAnsi="Times New Roman"/>
          <w:sz w:val="24"/>
          <w:szCs w:val="24"/>
        </w:rPr>
        <w:t xml:space="preserve"> Studies of this type emphasise</w:t>
      </w:r>
      <w:r w:rsidR="00AE75C0" w:rsidRPr="00921196">
        <w:rPr>
          <w:rFonts w:ascii="Times New Roman" w:hAnsi="Times New Roman"/>
          <w:sz w:val="24"/>
          <w:szCs w:val="24"/>
        </w:rPr>
        <w:t xml:space="preserve"> that the appeal of burghership </w:t>
      </w:r>
      <w:r w:rsidR="007A40C0" w:rsidRPr="00921196">
        <w:rPr>
          <w:rFonts w:ascii="Times New Roman" w:hAnsi="Times New Roman"/>
          <w:sz w:val="24"/>
          <w:szCs w:val="24"/>
        </w:rPr>
        <w:t xml:space="preserve">was in decline in this period </w:t>
      </w:r>
      <w:r w:rsidR="00DB78DC">
        <w:rPr>
          <w:rFonts w:ascii="Times New Roman" w:hAnsi="Times New Roman"/>
          <w:sz w:val="24"/>
          <w:szCs w:val="24"/>
        </w:rPr>
        <w:t>since</w:t>
      </w:r>
      <w:r w:rsidR="007A40C0" w:rsidRPr="00921196">
        <w:rPr>
          <w:rFonts w:ascii="Times New Roman" w:hAnsi="Times New Roman"/>
          <w:sz w:val="24"/>
          <w:szCs w:val="24"/>
        </w:rPr>
        <w:t xml:space="preserve"> the associated practical privileges had been </w:t>
      </w:r>
      <w:r w:rsidR="007A40C0" w:rsidRPr="00921196">
        <w:rPr>
          <w:rFonts w:ascii="Times New Roman" w:hAnsi="Times New Roman"/>
          <w:sz w:val="24"/>
          <w:szCs w:val="24"/>
        </w:rPr>
        <w:lastRenderedPageBreak/>
        <w:t>gradually eroded in the previous centuries. Finally, this approach also sharply distinguishe</w:t>
      </w:r>
      <w:r w:rsidR="00E91100">
        <w:rPr>
          <w:rFonts w:ascii="Times New Roman" w:hAnsi="Times New Roman"/>
          <w:sz w:val="24"/>
          <w:szCs w:val="24"/>
        </w:rPr>
        <w:t>s</w:t>
      </w:r>
      <w:r w:rsidR="007A40C0" w:rsidRPr="00921196">
        <w:rPr>
          <w:rFonts w:ascii="Times New Roman" w:hAnsi="Times New Roman"/>
          <w:sz w:val="24"/>
          <w:szCs w:val="24"/>
        </w:rPr>
        <w:t xml:space="preserve"> burghership as a legal category of the estates system from the newly upstart social layer</w:t>
      </w:r>
      <w:r w:rsidR="00E91100">
        <w:rPr>
          <w:rFonts w:ascii="Times New Roman" w:hAnsi="Times New Roman"/>
          <w:sz w:val="24"/>
          <w:szCs w:val="24"/>
        </w:rPr>
        <w:t>,</w:t>
      </w:r>
      <w:r w:rsidR="007A40C0" w:rsidRPr="00921196">
        <w:rPr>
          <w:rFonts w:ascii="Times New Roman" w:hAnsi="Times New Roman"/>
          <w:sz w:val="24"/>
          <w:szCs w:val="24"/>
        </w:rPr>
        <w:t xml:space="preserve"> </w:t>
      </w:r>
      <w:r w:rsidR="00E91100">
        <w:rPr>
          <w:rFonts w:ascii="Times New Roman" w:hAnsi="Times New Roman"/>
          <w:sz w:val="24"/>
          <w:szCs w:val="24"/>
        </w:rPr>
        <w:t xml:space="preserve">often </w:t>
      </w:r>
      <w:r w:rsidR="007A40C0" w:rsidRPr="00921196">
        <w:rPr>
          <w:rFonts w:ascii="Times New Roman" w:hAnsi="Times New Roman"/>
          <w:sz w:val="24"/>
          <w:szCs w:val="24"/>
        </w:rPr>
        <w:t xml:space="preserve">seen as the precursor of modern bourgeoisie </w:t>
      </w:r>
      <w:r w:rsidR="00100BDC" w:rsidRPr="00921196">
        <w:rPr>
          <w:rFonts w:ascii="Times New Roman" w:hAnsi="Times New Roman"/>
          <w:sz w:val="24"/>
          <w:szCs w:val="24"/>
        </w:rPr>
        <w:t xml:space="preserve">due to its fresh entrepreneurial attitudes. These </w:t>
      </w:r>
      <w:r w:rsidR="00C91E4C" w:rsidRPr="00921196">
        <w:rPr>
          <w:rFonts w:ascii="Times New Roman" w:hAnsi="Times New Roman"/>
          <w:sz w:val="24"/>
          <w:szCs w:val="24"/>
        </w:rPr>
        <w:t>statements must be revisited primarily because they pa</w:t>
      </w:r>
      <w:r w:rsidR="00E91100">
        <w:rPr>
          <w:rFonts w:ascii="Times New Roman" w:hAnsi="Times New Roman"/>
          <w:sz w:val="24"/>
          <w:szCs w:val="24"/>
        </w:rPr>
        <w:t>y</w:t>
      </w:r>
      <w:r w:rsidR="00C91E4C" w:rsidRPr="00921196">
        <w:rPr>
          <w:rFonts w:ascii="Times New Roman" w:hAnsi="Times New Roman"/>
          <w:sz w:val="24"/>
          <w:szCs w:val="24"/>
        </w:rPr>
        <w:t xml:space="preserve"> little attention to the changes occurring within the estates system itself</w:t>
      </w:r>
      <w:r w:rsidR="00E91100">
        <w:rPr>
          <w:rFonts w:ascii="Times New Roman" w:hAnsi="Times New Roman"/>
          <w:sz w:val="24"/>
          <w:szCs w:val="24"/>
        </w:rPr>
        <w:t>,</w:t>
      </w:r>
      <w:r w:rsidR="00C91E4C" w:rsidRPr="00921196">
        <w:rPr>
          <w:rFonts w:ascii="Times New Roman" w:hAnsi="Times New Roman"/>
          <w:sz w:val="24"/>
          <w:szCs w:val="24"/>
        </w:rPr>
        <w:t xml:space="preserve"> and within the composition of the categories </w:t>
      </w:r>
      <w:r w:rsidR="00E91100">
        <w:rPr>
          <w:rFonts w:ascii="Times New Roman" w:hAnsi="Times New Roman"/>
          <w:sz w:val="24"/>
          <w:szCs w:val="24"/>
        </w:rPr>
        <w:t>thereof</w:t>
      </w:r>
      <w:r w:rsidR="00C91E4C" w:rsidRPr="00921196">
        <w:rPr>
          <w:rFonts w:ascii="Times New Roman" w:hAnsi="Times New Roman"/>
          <w:sz w:val="24"/>
          <w:szCs w:val="24"/>
        </w:rPr>
        <w:t xml:space="preserve">. The present study contributes to the series of works </w:t>
      </w:r>
      <w:r w:rsidR="00E91100">
        <w:rPr>
          <w:rFonts w:ascii="Times New Roman" w:hAnsi="Times New Roman"/>
          <w:sz w:val="24"/>
          <w:szCs w:val="24"/>
        </w:rPr>
        <w:t>that</w:t>
      </w:r>
      <w:r w:rsidR="00C91E4C" w:rsidRPr="00921196">
        <w:rPr>
          <w:rFonts w:ascii="Times New Roman" w:hAnsi="Times New Roman"/>
          <w:sz w:val="24"/>
          <w:szCs w:val="24"/>
        </w:rPr>
        <w:t xml:space="preserve"> aim to </w:t>
      </w:r>
      <w:r w:rsidR="00E91100">
        <w:rPr>
          <w:rFonts w:ascii="Times New Roman" w:hAnsi="Times New Roman"/>
          <w:sz w:val="24"/>
          <w:szCs w:val="24"/>
        </w:rPr>
        <w:t xml:space="preserve">explore and </w:t>
      </w:r>
      <w:r w:rsidR="00C91E4C" w:rsidRPr="00921196">
        <w:rPr>
          <w:rFonts w:ascii="Times New Roman" w:hAnsi="Times New Roman"/>
          <w:sz w:val="24"/>
          <w:szCs w:val="24"/>
        </w:rPr>
        <w:t xml:space="preserve">chart the complexity of the changing estates system by reconstructing a more nuanced picture than previous scholarship. </w:t>
      </w:r>
      <w:r w:rsidR="00C91E4C" w:rsidRPr="00921196">
        <w:rPr>
          <w:rStyle w:val="FootnoteReference"/>
        </w:rPr>
        <w:footnoteReference w:id="5"/>
      </w:r>
    </w:p>
    <w:p w14:paraId="31A9B342" w14:textId="2C65939C" w:rsidR="004B35D9" w:rsidRPr="00921196" w:rsidRDefault="00C91E4C" w:rsidP="004B35D9">
      <w:pPr>
        <w:jc w:val="both"/>
        <w:rPr>
          <w:rFonts w:ascii="Times New Roman" w:hAnsi="Times New Roman"/>
          <w:i/>
          <w:sz w:val="24"/>
          <w:szCs w:val="24"/>
        </w:rPr>
      </w:pPr>
      <w:r w:rsidRPr="00921196">
        <w:rPr>
          <w:rFonts w:ascii="Times New Roman" w:hAnsi="Times New Roman"/>
          <w:i/>
          <w:sz w:val="24"/>
          <w:szCs w:val="24"/>
        </w:rPr>
        <w:t>The burghers’ guard</w:t>
      </w:r>
    </w:p>
    <w:p w14:paraId="22417D0E" w14:textId="4508FD4E" w:rsidR="00786534" w:rsidRPr="00921196" w:rsidRDefault="00786534" w:rsidP="007D0E0E">
      <w:pPr>
        <w:spacing w:after="0" w:line="360" w:lineRule="auto"/>
        <w:ind w:firstLine="680"/>
        <w:jc w:val="both"/>
        <w:rPr>
          <w:rFonts w:ascii="Times New Roman" w:hAnsi="Times New Roman"/>
          <w:sz w:val="24"/>
          <w:szCs w:val="24"/>
        </w:rPr>
      </w:pPr>
      <w:r w:rsidRPr="00921196">
        <w:rPr>
          <w:rFonts w:ascii="Times New Roman" w:hAnsi="Times New Roman"/>
          <w:sz w:val="24"/>
          <w:szCs w:val="24"/>
        </w:rPr>
        <w:t>The earlier history of the militia—or the burgher</w:t>
      </w:r>
      <w:r w:rsidR="004011EE" w:rsidRPr="00921196">
        <w:rPr>
          <w:rFonts w:ascii="Times New Roman" w:hAnsi="Times New Roman"/>
          <w:sz w:val="24"/>
          <w:szCs w:val="24"/>
        </w:rPr>
        <w:t>s’</w:t>
      </w:r>
      <w:r w:rsidRPr="00921196">
        <w:rPr>
          <w:rFonts w:ascii="Times New Roman" w:hAnsi="Times New Roman"/>
          <w:sz w:val="24"/>
          <w:szCs w:val="24"/>
        </w:rPr>
        <w:t xml:space="preserve"> guard (</w:t>
      </w:r>
      <w:r w:rsidRPr="00921196">
        <w:rPr>
          <w:rFonts w:ascii="Times New Roman" w:hAnsi="Times New Roman"/>
          <w:i/>
          <w:sz w:val="24"/>
          <w:szCs w:val="24"/>
        </w:rPr>
        <w:t>polgári őrsereg</w:t>
      </w:r>
      <w:r w:rsidRPr="00921196">
        <w:rPr>
          <w:rFonts w:ascii="Times New Roman" w:hAnsi="Times New Roman"/>
          <w:sz w:val="24"/>
          <w:szCs w:val="24"/>
        </w:rPr>
        <w:t xml:space="preserve">) as it was called at the time—can be traced back to the </w:t>
      </w:r>
      <w:r w:rsidR="00C40265" w:rsidRPr="00921196">
        <w:rPr>
          <w:rFonts w:ascii="Times New Roman" w:hAnsi="Times New Roman"/>
          <w:sz w:val="24"/>
          <w:szCs w:val="24"/>
        </w:rPr>
        <w:t>burghers</w:t>
      </w:r>
      <w:r w:rsidR="00C40265">
        <w:rPr>
          <w:rFonts w:ascii="Times New Roman" w:hAnsi="Times New Roman"/>
          <w:sz w:val="24"/>
          <w:szCs w:val="24"/>
        </w:rPr>
        <w:t>’</w:t>
      </w:r>
      <w:r w:rsidR="00C40265" w:rsidRPr="00921196">
        <w:rPr>
          <w:rFonts w:ascii="Times New Roman" w:hAnsi="Times New Roman"/>
          <w:sz w:val="24"/>
          <w:szCs w:val="24"/>
        </w:rPr>
        <w:t xml:space="preserve"> mandatory </w:t>
      </w:r>
      <w:r w:rsidRPr="00921196">
        <w:rPr>
          <w:rFonts w:ascii="Times New Roman" w:hAnsi="Times New Roman"/>
          <w:sz w:val="24"/>
          <w:szCs w:val="24"/>
        </w:rPr>
        <w:t xml:space="preserve">military service to protect their city. </w:t>
      </w:r>
      <w:r w:rsidR="004B35D9" w:rsidRPr="00921196">
        <w:rPr>
          <w:rFonts w:ascii="Times New Roman" w:hAnsi="Times New Roman"/>
          <w:sz w:val="24"/>
          <w:szCs w:val="24"/>
        </w:rPr>
        <w:t>Relevant scholarship</w:t>
      </w:r>
      <w:r w:rsidRPr="00921196">
        <w:rPr>
          <w:rFonts w:ascii="Times New Roman" w:hAnsi="Times New Roman"/>
          <w:sz w:val="24"/>
          <w:szCs w:val="24"/>
        </w:rPr>
        <w:t xml:space="preserve"> also points out that free royal towns</w:t>
      </w:r>
      <w:r w:rsidR="00345271" w:rsidRPr="00921196">
        <w:rPr>
          <w:rFonts w:ascii="Times New Roman" w:hAnsi="Times New Roman"/>
          <w:sz w:val="24"/>
          <w:szCs w:val="24"/>
        </w:rPr>
        <w:t xml:space="preserve"> were legally considered as collective nobility, and as such they were liable to bear the costs of the so-called baronial </w:t>
      </w:r>
      <w:r w:rsidR="00345271" w:rsidRPr="00921196">
        <w:rPr>
          <w:rFonts w:ascii="Times New Roman" w:hAnsi="Times New Roman"/>
          <w:i/>
          <w:sz w:val="24"/>
          <w:szCs w:val="24"/>
        </w:rPr>
        <w:t>insurrectio</w:t>
      </w:r>
      <w:r w:rsidR="00C40265" w:rsidRPr="00C40265">
        <w:rPr>
          <w:rFonts w:ascii="Times New Roman" w:hAnsi="Times New Roman"/>
          <w:sz w:val="24"/>
          <w:szCs w:val="24"/>
        </w:rPr>
        <w:t>.</w:t>
      </w:r>
      <w:r w:rsidR="005A208E" w:rsidRPr="00921196">
        <w:rPr>
          <w:rStyle w:val="FootnoteReference"/>
        </w:rPr>
        <w:footnoteReference w:id="6"/>
      </w:r>
      <w:r w:rsidR="005805A4" w:rsidRPr="00921196">
        <w:rPr>
          <w:rFonts w:ascii="Times New Roman" w:hAnsi="Times New Roman"/>
          <w:sz w:val="24"/>
          <w:szCs w:val="24"/>
        </w:rPr>
        <w:t xml:space="preserve"> </w:t>
      </w:r>
      <w:r w:rsidR="00C40265">
        <w:rPr>
          <w:rFonts w:ascii="Times New Roman" w:hAnsi="Times New Roman"/>
          <w:sz w:val="24"/>
          <w:szCs w:val="24"/>
        </w:rPr>
        <w:t>O</w:t>
      </w:r>
      <w:r w:rsidR="00C40265" w:rsidRPr="00921196">
        <w:rPr>
          <w:rFonts w:ascii="Times New Roman" w:hAnsi="Times New Roman"/>
          <w:sz w:val="24"/>
          <w:szCs w:val="24"/>
        </w:rPr>
        <w:t>nce the permanent army was established in 1715</w:t>
      </w:r>
      <w:r w:rsidR="00C40265">
        <w:rPr>
          <w:rFonts w:ascii="Times New Roman" w:hAnsi="Times New Roman"/>
          <w:sz w:val="24"/>
          <w:szCs w:val="24"/>
        </w:rPr>
        <w:t>, t</w:t>
      </w:r>
      <w:r w:rsidR="005805A4" w:rsidRPr="00921196">
        <w:rPr>
          <w:rFonts w:ascii="Times New Roman" w:hAnsi="Times New Roman"/>
          <w:sz w:val="24"/>
          <w:szCs w:val="24"/>
        </w:rPr>
        <w:t xml:space="preserve">he role of the burghers in the </w:t>
      </w:r>
      <w:r w:rsidR="00CF3631" w:rsidRPr="00921196">
        <w:rPr>
          <w:rFonts w:ascii="Times New Roman" w:hAnsi="Times New Roman"/>
          <w:sz w:val="24"/>
          <w:szCs w:val="24"/>
        </w:rPr>
        <w:t>defence</w:t>
      </w:r>
      <w:r w:rsidR="005805A4" w:rsidRPr="00921196">
        <w:rPr>
          <w:rFonts w:ascii="Times New Roman" w:hAnsi="Times New Roman"/>
          <w:sz w:val="24"/>
          <w:szCs w:val="24"/>
        </w:rPr>
        <w:t xml:space="preserve"> of their city became secondary. At the same time, the </w:t>
      </w:r>
      <w:r w:rsidR="00DB6682" w:rsidRPr="00921196">
        <w:rPr>
          <w:rFonts w:ascii="Times New Roman" w:hAnsi="Times New Roman"/>
          <w:sz w:val="24"/>
          <w:szCs w:val="24"/>
        </w:rPr>
        <w:t xml:space="preserve">military involvement of the burghers was not completely abandoned: in certain cities they undertook incidental guard service, were involved in internal security, and, as a vestige of earlier regular military duty, burghers were still </w:t>
      </w:r>
      <w:r w:rsidR="00F01C87" w:rsidRPr="00921196">
        <w:rPr>
          <w:rFonts w:ascii="Times New Roman" w:hAnsi="Times New Roman"/>
          <w:sz w:val="24"/>
          <w:szCs w:val="24"/>
        </w:rPr>
        <w:t xml:space="preserve">required to participate in regular target shooting practice. In some cities, burghers gathered in shooting clubs which were fast becoming recreational. Research in this field, </w:t>
      </w:r>
      <w:r w:rsidR="004B35D9" w:rsidRPr="00921196">
        <w:rPr>
          <w:rFonts w:ascii="Times New Roman" w:hAnsi="Times New Roman"/>
          <w:sz w:val="24"/>
          <w:szCs w:val="24"/>
        </w:rPr>
        <w:t>although</w:t>
      </w:r>
      <w:r w:rsidR="00F01C87" w:rsidRPr="00921196">
        <w:rPr>
          <w:rFonts w:ascii="Times New Roman" w:hAnsi="Times New Roman"/>
          <w:sz w:val="24"/>
          <w:szCs w:val="24"/>
        </w:rPr>
        <w:t xml:space="preserve"> rather scarce, suggests that</w:t>
      </w:r>
      <w:r w:rsidR="00C40265">
        <w:rPr>
          <w:rFonts w:ascii="Times New Roman" w:hAnsi="Times New Roman"/>
          <w:sz w:val="24"/>
          <w:szCs w:val="24"/>
        </w:rPr>
        <w:t xml:space="preserve"> the</w:t>
      </w:r>
      <w:r w:rsidR="00F01C87" w:rsidRPr="00921196">
        <w:rPr>
          <w:rFonts w:ascii="Times New Roman" w:hAnsi="Times New Roman"/>
          <w:sz w:val="24"/>
          <w:szCs w:val="24"/>
        </w:rPr>
        <w:t xml:space="preserve"> </w:t>
      </w:r>
      <w:r w:rsidR="00C40265" w:rsidRPr="00921196">
        <w:rPr>
          <w:rFonts w:ascii="Times New Roman" w:hAnsi="Times New Roman"/>
          <w:sz w:val="24"/>
          <w:szCs w:val="24"/>
        </w:rPr>
        <w:t xml:space="preserve">first </w:t>
      </w:r>
      <w:r w:rsidR="00B60588" w:rsidRPr="00921196">
        <w:rPr>
          <w:rFonts w:ascii="Times New Roman" w:hAnsi="Times New Roman"/>
          <w:sz w:val="24"/>
          <w:szCs w:val="24"/>
        </w:rPr>
        <w:t>guard</w:t>
      </w:r>
      <w:r w:rsidR="00F01C87" w:rsidRPr="00921196">
        <w:rPr>
          <w:rFonts w:ascii="Times New Roman" w:hAnsi="Times New Roman"/>
          <w:sz w:val="24"/>
          <w:szCs w:val="24"/>
        </w:rPr>
        <w:t xml:space="preserve">s were established in Pest and Buda upon the orders of the </w:t>
      </w:r>
      <w:r w:rsidR="00305C90" w:rsidRPr="00921196">
        <w:rPr>
          <w:rFonts w:ascii="Times New Roman" w:hAnsi="Times New Roman"/>
          <w:sz w:val="24"/>
          <w:szCs w:val="24"/>
        </w:rPr>
        <w:t>Locumtenential Council</w:t>
      </w:r>
      <w:r w:rsidR="00F01C87" w:rsidRPr="00921196">
        <w:rPr>
          <w:rFonts w:ascii="Times New Roman" w:hAnsi="Times New Roman"/>
          <w:sz w:val="24"/>
          <w:szCs w:val="24"/>
        </w:rPr>
        <w:t xml:space="preserve"> (</w:t>
      </w:r>
      <w:r w:rsidR="00F01C87" w:rsidRPr="00921196">
        <w:rPr>
          <w:rFonts w:ascii="Times New Roman" w:hAnsi="Times New Roman"/>
          <w:i/>
          <w:sz w:val="24"/>
          <w:szCs w:val="24"/>
        </w:rPr>
        <w:t>Consilium Regium Locumtenentiale Hungaricum</w:t>
      </w:r>
      <w:r w:rsidR="00F01C87" w:rsidRPr="00921196">
        <w:rPr>
          <w:rFonts w:ascii="Times New Roman" w:hAnsi="Times New Roman"/>
          <w:sz w:val="24"/>
          <w:szCs w:val="24"/>
        </w:rPr>
        <w:t xml:space="preserve">) </w:t>
      </w:r>
      <w:r w:rsidR="00C40265">
        <w:rPr>
          <w:rFonts w:ascii="Times New Roman" w:hAnsi="Times New Roman"/>
          <w:sz w:val="24"/>
          <w:szCs w:val="24"/>
        </w:rPr>
        <w:t xml:space="preserve">issued </w:t>
      </w:r>
      <w:r w:rsidR="00F01C87" w:rsidRPr="00921196">
        <w:rPr>
          <w:rFonts w:ascii="Times New Roman" w:hAnsi="Times New Roman"/>
          <w:sz w:val="24"/>
          <w:szCs w:val="24"/>
        </w:rPr>
        <w:t xml:space="preserve">to convert </w:t>
      </w:r>
      <w:r w:rsidR="0030207C" w:rsidRPr="00921196">
        <w:rPr>
          <w:rFonts w:ascii="Times New Roman" w:hAnsi="Times New Roman"/>
          <w:sz w:val="24"/>
          <w:szCs w:val="24"/>
        </w:rPr>
        <w:t>shooting clubs into uniformed</w:t>
      </w:r>
      <w:r w:rsidR="0030207C" w:rsidRPr="00921196">
        <w:t xml:space="preserve"> </w:t>
      </w:r>
      <w:r w:rsidR="00C80D9C" w:rsidRPr="00921196">
        <w:rPr>
          <w:rFonts w:ascii="Times New Roman" w:hAnsi="Times New Roman"/>
          <w:sz w:val="24"/>
          <w:szCs w:val="24"/>
        </w:rPr>
        <w:t>Field Rifles b</w:t>
      </w:r>
      <w:r w:rsidR="0030207C" w:rsidRPr="00921196">
        <w:rPr>
          <w:rFonts w:ascii="Times New Roman" w:hAnsi="Times New Roman"/>
          <w:sz w:val="24"/>
          <w:szCs w:val="24"/>
        </w:rPr>
        <w:t>attalions in the service of their cities’ internal security.</w:t>
      </w:r>
      <w:r w:rsidR="00C80D9C" w:rsidRPr="00921196">
        <w:rPr>
          <w:rStyle w:val="FootnoteReference"/>
        </w:rPr>
        <w:footnoteReference w:id="7"/>
      </w:r>
      <w:r w:rsidR="0030207C" w:rsidRPr="00921196">
        <w:rPr>
          <w:rFonts w:ascii="Times New Roman" w:hAnsi="Times New Roman"/>
          <w:sz w:val="24"/>
          <w:szCs w:val="24"/>
        </w:rPr>
        <w:t xml:space="preserve"> </w:t>
      </w:r>
      <w:r w:rsidR="00C80D9C" w:rsidRPr="00921196">
        <w:rPr>
          <w:rFonts w:ascii="Times New Roman" w:hAnsi="Times New Roman"/>
          <w:sz w:val="24"/>
          <w:szCs w:val="24"/>
        </w:rPr>
        <w:t xml:space="preserve">On the national level, the organisation of the </w:t>
      </w:r>
      <w:r w:rsidR="00B60588" w:rsidRPr="00921196">
        <w:rPr>
          <w:rFonts w:ascii="Times New Roman" w:hAnsi="Times New Roman"/>
          <w:sz w:val="24"/>
          <w:szCs w:val="24"/>
        </w:rPr>
        <w:t>guard</w:t>
      </w:r>
      <w:r w:rsidR="00C80D9C" w:rsidRPr="00921196">
        <w:rPr>
          <w:rFonts w:ascii="Times New Roman" w:hAnsi="Times New Roman"/>
          <w:sz w:val="24"/>
          <w:szCs w:val="24"/>
        </w:rPr>
        <w:t xml:space="preserve"> was triggered </w:t>
      </w:r>
      <w:r w:rsidR="00D05876" w:rsidRPr="00921196">
        <w:rPr>
          <w:rFonts w:ascii="Times New Roman" w:hAnsi="Times New Roman"/>
          <w:sz w:val="24"/>
          <w:szCs w:val="24"/>
        </w:rPr>
        <w:t xml:space="preserve">by the Napoleonic wars. </w:t>
      </w:r>
      <w:r w:rsidR="008A28B9" w:rsidRPr="00921196">
        <w:rPr>
          <w:rFonts w:ascii="Times New Roman" w:hAnsi="Times New Roman"/>
          <w:sz w:val="24"/>
          <w:szCs w:val="24"/>
        </w:rPr>
        <w:t xml:space="preserve">The </w:t>
      </w:r>
      <w:r w:rsidR="00C40265" w:rsidRPr="00921196">
        <w:rPr>
          <w:rFonts w:ascii="Times New Roman" w:hAnsi="Times New Roman"/>
          <w:sz w:val="24"/>
          <w:szCs w:val="24"/>
        </w:rPr>
        <w:t>National Assembly</w:t>
      </w:r>
      <w:r w:rsidR="00C40265">
        <w:rPr>
          <w:rFonts w:ascii="Times New Roman" w:hAnsi="Times New Roman"/>
          <w:sz w:val="24"/>
          <w:szCs w:val="24"/>
        </w:rPr>
        <w:t>’s</w:t>
      </w:r>
      <w:r w:rsidR="00C40265" w:rsidRPr="00921196">
        <w:rPr>
          <w:rFonts w:ascii="Times New Roman" w:hAnsi="Times New Roman"/>
          <w:sz w:val="24"/>
          <w:szCs w:val="24"/>
        </w:rPr>
        <w:t xml:space="preserve"> 1805 </w:t>
      </w:r>
      <w:r w:rsidR="008A28B9" w:rsidRPr="00921196">
        <w:rPr>
          <w:rFonts w:ascii="Times New Roman" w:hAnsi="Times New Roman"/>
          <w:sz w:val="24"/>
          <w:szCs w:val="24"/>
        </w:rPr>
        <w:t xml:space="preserve">act about the </w:t>
      </w:r>
      <w:r w:rsidR="00C40265">
        <w:rPr>
          <w:rFonts w:ascii="Times New Roman" w:hAnsi="Times New Roman"/>
          <w:sz w:val="24"/>
          <w:szCs w:val="24"/>
        </w:rPr>
        <w:t>nobles’</w:t>
      </w:r>
      <w:r w:rsidR="00C40265" w:rsidRPr="00921196">
        <w:rPr>
          <w:rFonts w:ascii="Times New Roman" w:hAnsi="Times New Roman"/>
          <w:sz w:val="24"/>
          <w:szCs w:val="24"/>
        </w:rPr>
        <w:t xml:space="preserve"> </w:t>
      </w:r>
      <w:r w:rsidR="008A28B9" w:rsidRPr="00921196">
        <w:rPr>
          <w:rFonts w:ascii="Times New Roman" w:hAnsi="Times New Roman"/>
          <w:sz w:val="24"/>
          <w:szCs w:val="24"/>
        </w:rPr>
        <w:t>gene</w:t>
      </w:r>
      <w:r w:rsidR="00C40265">
        <w:rPr>
          <w:rFonts w:ascii="Times New Roman" w:hAnsi="Times New Roman"/>
          <w:sz w:val="24"/>
          <w:szCs w:val="24"/>
        </w:rPr>
        <w:t xml:space="preserve">ral call to arms </w:t>
      </w:r>
      <w:r w:rsidR="008A28B9" w:rsidRPr="00921196">
        <w:rPr>
          <w:rFonts w:ascii="Times New Roman" w:hAnsi="Times New Roman"/>
          <w:sz w:val="24"/>
          <w:szCs w:val="24"/>
        </w:rPr>
        <w:t xml:space="preserve">contained a paragraph about the military obligations of free royal towns. </w:t>
      </w:r>
      <w:r w:rsidR="00C40265">
        <w:rPr>
          <w:rFonts w:ascii="Times New Roman" w:hAnsi="Times New Roman"/>
          <w:sz w:val="24"/>
          <w:szCs w:val="24"/>
        </w:rPr>
        <w:t>Previous regulations stipulated that</w:t>
      </w:r>
      <w:r w:rsidR="007D0E0E" w:rsidRPr="00921196">
        <w:rPr>
          <w:rFonts w:ascii="Times New Roman" w:hAnsi="Times New Roman"/>
          <w:sz w:val="24"/>
          <w:szCs w:val="24"/>
        </w:rPr>
        <w:t xml:space="preserve"> every city had to provide and equip a number of cavalry and foot soldiers in proportion to their taxes payable. The Act of 1805 sustained the obligation to provide </w:t>
      </w:r>
      <w:r w:rsidR="007D0E0E" w:rsidRPr="00921196">
        <w:rPr>
          <w:rFonts w:ascii="Times New Roman" w:hAnsi="Times New Roman"/>
          <w:sz w:val="24"/>
          <w:szCs w:val="24"/>
        </w:rPr>
        <w:lastRenderedPageBreak/>
        <w:t xml:space="preserve">and equip foot soldiers but waived their obligation to equip cavalry. In return for lightening the requirements, the cities were now obliged to maintain a well-equipped </w:t>
      </w:r>
      <w:r w:rsidR="00EA409A" w:rsidRPr="00921196">
        <w:rPr>
          <w:rFonts w:ascii="Times New Roman" w:hAnsi="Times New Roman"/>
          <w:sz w:val="24"/>
          <w:szCs w:val="24"/>
        </w:rPr>
        <w:t>burghers</w:t>
      </w:r>
      <w:r w:rsidR="007D0E0E" w:rsidRPr="00921196">
        <w:rPr>
          <w:rFonts w:ascii="Times New Roman" w:hAnsi="Times New Roman"/>
          <w:sz w:val="24"/>
          <w:szCs w:val="24"/>
        </w:rPr>
        <w:t>’ guard</w:t>
      </w:r>
      <w:r w:rsidR="004B35D9" w:rsidRPr="00921196">
        <w:rPr>
          <w:rFonts w:ascii="Times New Roman" w:hAnsi="Times New Roman"/>
          <w:sz w:val="24"/>
          <w:szCs w:val="24"/>
        </w:rPr>
        <w:t>.</w:t>
      </w:r>
      <w:r w:rsidR="00580447" w:rsidRPr="00921196">
        <w:rPr>
          <w:rStyle w:val="FootnoteReference"/>
        </w:rPr>
        <w:footnoteReference w:id="8"/>
      </w:r>
    </w:p>
    <w:p w14:paraId="6595BBCE" w14:textId="29CBD5CE" w:rsidR="00B50FC5" w:rsidRPr="00921196" w:rsidRDefault="00DA364E" w:rsidP="00A1438D">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After the French wars, the military service of the burghers </w:t>
      </w:r>
      <w:r w:rsidR="00645A87">
        <w:rPr>
          <w:rFonts w:ascii="Times New Roman" w:hAnsi="Times New Roman"/>
          <w:sz w:val="24"/>
          <w:szCs w:val="24"/>
        </w:rPr>
        <w:t xml:space="preserve">was no longer </w:t>
      </w:r>
      <w:r w:rsidRPr="00921196">
        <w:rPr>
          <w:rFonts w:ascii="Times New Roman" w:hAnsi="Times New Roman"/>
          <w:sz w:val="24"/>
          <w:szCs w:val="24"/>
        </w:rPr>
        <w:t xml:space="preserve">relevant. The operation of the </w:t>
      </w:r>
      <w:r w:rsidR="00B60588" w:rsidRPr="00921196">
        <w:rPr>
          <w:rFonts w:ascii="Times New Roman" w:hAnsi="Times New Roman"/>
          <w:sz w:val="24"/>
          <w:szCs w:val="24"/>
        </w:rPr>
        <w:t>guard</w:t>
      </w:r>
      <w:r w:rsidRPr="00921196">
        <w:rPr>
          <w:rFonts w:ascii="Times New Roman" w:hAnsi="Times New Roman"/>
          <w:sz w:val="24"/>
          <w:szCs w:val="24"/>
        </w:rPr>
        <w:t xml:space="preserve">s </w:t>
      </w:r>
      <w:r w:rsidR="00645A87">
        <w:rPr>
          <w:rFonts w:ascii="Times New Roman" w:hAnsi="Times New Roman"/>
          <w:sz w:val="24"/>
          <w:szCs w:val="24"/>
        </w:rPr>
        <w:t>became</w:t>
      </w:r>
      <w:r w:rsidRPr="00921196">
        <w:rPr>
          <w:rFonts w:ascii="Times New Roman" w:hAnsi="Times New Roman"/>
          <w:sz w:val="24"/>
          <w:szCs w:val="24"/>
        </w:rPr>
        <w:t xml:space="preserve"> increasingly haphazard and in some cities they were disbanded entirely. According to previous research, their reorganisation did not begin until the early 1840s.</w:t>
      </w:r>
      <w:r w:rsidRPr="00921196">
        <w:rPr>
          <w:rStyle w:val="FootnoteReference"/>
        </w:rPr>
        <w:footnoteReference w:id="9"/>
      </w:r>
      <w:r w:rsidRPr="00921196">
        <w:rPr>
          <w:rFonts w:ascii="Times New Roman" w:hAnsi="Times New Roman"/>
          <w:sz w:val="24"/>
          <w:szCs w:val="24"/>
        </w:rPr>
        <w:t xml:space="preserve"> More precisely, the regulation of the burghers’ </w:t>
      </w:r>
      <w:r w:rsidR="00B60588" w:rsidRPr="00921196">
        <w:rPr>
          <w:rFonts w:ascii="Times New Roman" w:hAnsi="Times New Roman"/>
          <w:sz w:val="24"/>
          <w:szCs w:val="24"/>
        </w:rPr>
        <w:t>guard</w:t>
      </w:r>
      <w:r w:rsidRPr="00921196">
        <w:rPr>
          <w:rFonts w:ascii="Times New Roman" w:hAnsi="Times New Roman"/>
          <w:sz w:val="24"/>
          <w:szCs w:val="24"/>
        </w:rPr>
        <w:t xml:space="preserve"> printed in </w:t>
      </w:r>
      <w:r w:rsidR="007A2201" w:rsidRPr="00921196">
        <w:rPr>
          <w:rFonts w:ascii="Times New Roman" w:hAnsi="Times New Roman"/>
          <w:sz w:val="24"/>
          <w:szCs w:val="24"/>
        </w:rPr>
        <w:t xml:space="preserve">Košice </w:t>
      </w:r>
      <w:r w:rsidRPr="00921196">
        <w:rPr>
          <w:rFonts w:ascii="Times New Roman" w:hAnsi="Times New Roman"/>
          <w:sz w:val="24"/>
          <w:szCs w:val="24"/>
        </w:rPr>
        <w:t xml:space="preserve"> in 1840</w:t>
      </w:r>
      <w:r w:rsidR="000B388A" w:rsidRPr="00921196">
        <w:rPr>
          <w:rFonts w:ascii="Times New Roman" w:hAnsi="Times New Roman"/>
          <w:sz w:val="24"/>
          <w:szCs w:val="24"/>
        </w:rPr>
        <w:t xml:space="preserve"> suggests that the organisation had commenced somewhat earlier. The first page contains the order issued on December 17, 1838, by Palatine Joseph, </w:t>
      </w:r>
      <w:r w:rsidR="00A1438D" w:rsidRPr="00921196">
        <w:rPr>
          <w:rFonts w:ascii="Times New Roman" w:hAnsi="Times New Roman"/>
          <w:sz w:val="24"/>
          <w:szCs w:val="24"/>
        </w:rPr>
        <w:t xml:space="preserve">which is effectively the approval—with small modifications—of </w:t>
      </w:r>
      <w:r w:rsidR="000B388A" w:rsidRPr="00921196">
        <w:rPr>
          <w:rFonts w:ascii="Times New Roman" w:hAnsi="Times New Roman"/>
          <w:sz w:val="24"/>
          <w:szCs w:val="24"/>
        </w:rPr>
        <w:t xml:space="preserve"> </w:t>
      </w:r>
      <w:r w:rsidR="00A1438D" w:rsidRPr="00921196">
        <w:rPr>
          <w:rFonts w:ascii="Times New Roman" w:hAnsi="Times New Roman"/>
          <w:sz w:val="24"/>
          <w:szCs w:val="24"/>
        </w:rPr>
        <w:t xml:space="preserve">the </w:t>
      </w:r>
      <w:r w:rsidR="007A2201" w:rsidRPr="00921196">
        <w:rPr>
          <w:rFonts w:ascii="Times New Roman" w:hAnsi="Times New Roman"/>
          <w:sz w:val="24"/>
          <w:szCs w:val="24"/>
        </w:rPr>
        <w:t xml:space="preserve">Košice </w:t>
      </w:r>
      <w:r w:rsidR="00A1438D" w:rsidRPr="00921196">
        <w:rPr>
          <w:rFonts w:ascii="Times New Roman" w:hAnsi="Times New Roman"/>
          <w:sz w:val="24"/>
          <w:szCs w:val="24"/>
        </w:rPr>
        <w:t xml:space="preserve"> council’s proposal for “Reinstating the City’s Existing Burghers’ Guard” filed at the </w:t>
      </w:r>
      <w:r w:rsidR="00305C90" w:rsidRPr="00921196">
        <w:rPr>
          <w:rFonts w:ascii="Times New Roman" w:hAnsi="Times New Roman"/>
          <w:sz w:val="24"/>
          <w:szCs w:val="24"/>
        </w:rPr>
        <w:t>Locumtenential Council</w:t>
      </w:r>
      <w:r w:rsidR="00A1438D" w:rsidRPr="00921196">
        <w:rPr>
          <w:rFonts w:ascii="Times New Roman" w:hAnsi="Times New Roman"/>
          <w:sz w:val="24"/>
          <w:szCs w:val="24"/>
        </w:rPr>
        <w:t xml:space="preserve"> on November 2. On the second page, the regulation contains the reply of the Court Chamber to the council’s request submitted on August 31, 1838, to set up a fund using 2000 florins out of the city’s coffers to cover the costs of the </w:t>
      </w:r>
      <w:r w:rsidR="00B60588" w:rsidRPr="00921196">
        <w:rPr>
          <w:rFonts w:ascii="Times New Roman" w:hAnsi="Times New Roman"/>
          <w:sz w:val="24"/>
          <w:szCs w:val="24"/>
        </w:rPr>
        <w:t>guard</w:t>
      </w:r>
      <w:r w:rsidR="00A1438D" w:rsidRPr="00921196">
        <w:rPr>
          <w:rFonts w:ascii="Times New Roman" w:hAnsi="Times New Roman"/>
          <w:sz w:val="24"/>
          <w:szCs w:val="24"/>
        </w:rPr>
        <w:t xml:space="preserve">’s “permanent establishment.” The chamber’s decision took much longer than that of the </w:t>
      </w:r>
      <w:r w:rsidR="00305C90" w:rsidRPr="00921196">
        <w:rPr>
          <w:rFonts w:ascii="Times New Roman" w:hAnsi="Times New Roman"/>
          <w:sz w:val="24"/>
          <w:szCs w:val="24"/>
        </w:rPr>
        <w:t>Locumtenential Council</w:t>
      </w:r>
      <w:r w:rsidR="00086138" w:rsidRPr="00921196">
        <w:rPr>
          <w:rFonts w:ascii="Times New Roman" w:hAnsi="Times New Roman"/>
          <w:sz w:val="24"/>
          <w:szCs w:val="24"/>
        </w:rPr>
        <w:t xml:space="preserve">: their approval was </w:t>
      </w:r>
      <w:r w:rsidR="00645A87">
        <w:rPr>
          <w:rFonts w:ascii="Times New Roman" w:hAnsi="Times New Roman"/>
          <w:sz w:val="24"/>
          <w:szCs w:val="24"/>
        </w:rPr>
        <w:t>issued</w:t>
      </w:r>
      <w:r w:rsidR="00086138" w:rsidRPr="00921196">
        <w:rPr>
          <w:rFonts w:ascii="Times New Roman" w:hAnsi="Times New Roman"/>
          <w:sz w:val="24"/>
          <w:szCs w:val="24"/>
        </w:rPr>
        <w:t xml:space="preserve"> nearly a year and a half</w:t>
      </w:r>
      <w:r w:rsidR="00645A87">
        <w:rPr>
          <w:rFonts w:ascii="Times New Roman" w:hAnsi="Times New Roman"/>
          <w:sz w:val="24"/>
          <w:szCs w:val="24"/>
        </w:rPr>
        <w:t xml:space="preserve"> later</w:t>
      </w:r>
      <w:r w:rsidR="00086138" w:rsidRPr="00921196">
        <w:rPr>
          <w:rFonts w:ascii="Times New Roman" w:hAnsi="Times New Roman"/>
          <w:sz w:val="24"/>
          <w:szCs w:val="24"/>
        </w:rPr>
        <w:t>, on January 8, 1840.</w:t>
      </w:r>
      <w:r w:rsidR="00086138" w:rsidRPr="00921196">
        <w:rPr>
          <w:rStyle w:val="FootnoteReference"/>
        </w:rPr>
        <w:footnoteReference w:id="10"/>
      </w:r>
      <w:r w:rsidR="00086138" w:rsidRPr="00921196">
        <w:rPr>
          <w:rFonts w:ascii="Times New Roman" w:hAnsi="Times New Roman"/>
          <w:sz w:val="24"/>
          <w:szCs w:val="24"/>
        </w:rPr>
        <w:t xml:space="preserve"> </w:t>
      </w:r>
      <w:r w:rsidR="00A1438D" w:rsidRPr="00921196">
        <w:rPr>
          <w:rFonts w:ascii="Times New Roman" w:hAnsi="Times New Roman"/>
          <w:sz w:val="24"/>
          <w:szCs w:val="24"/>
        </w:rPr>
        <w:t xml:space="preserve">  </w:t>
      </w:r>
      <w:r w:rsidR="00086138" w:rsidRPr="00921196">
        <w:rPr>
          <w:rFonts w:ascii="Times New Roman" w:hAnsi="Times New Roman"/>
          <w:sz w:val="24"/>
          <w:szCs w:val="24"/>
        </w:rPr>
        <w:t xml:space="preserve">The case of </w:t>
      </w:r>
      <w:r w:rsidR="007A2201" w:rsidRPr="00921196">
        <w:rPr>
          <w:rFonts w:ascii="Times New Roman" w:hAnsi="Times New Roman"/>
          <w:sz w:val="24"/>
          <w:szCs w:val="24"/>
        </w:rPr>
        <w:t xml:space="preserve">Košice </w:t>
      </w:r>
      <w:r w:rsidR="00086138" w:rsidRPr="00921196">
        <w:rPr>
          <w:rFonts w:ascii="Times New Roman" w:hAnsi="Times New Roman"/>
          <w:sz w:val="24"/>
          <w:szCs w:val="24"/>
        </w:rPr>
        <w:t xml:space="preserve"> corroborates the findings of earlier scholarship suggesting that the reorganisation of militias was initiated by the cities themselves. </w:t>
      </w:r>
    </w:p>
    <w:p w14:paraId="1D614601" w14:textId="26093C7F" w:rsidR="000C59D9" w:rsidRPr="00921196" w:rsidRDefault="00086138" w:rsidP="000C59D9">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Based on the </w:t>
      </w:r>
      <w:r w:rsidR="007A2201" w:rsidRPr="00921196">
        <w:rPr>
          <w:rFonts w:ascii="Times New Roman" w:hAnsi="Times New Roman"/>
          <w:sz w:val="24"/>
          <w:szCs w:val="24"/>
        </w:rPr>
        <w:t xml:space="preserve">Košice </w:t>
      </w:r>
      <w:r w:rsidRPr="00921196">
        <w:rPr>
          <w:rFonts w:ascii="Times New Roman" w:hAnsi="Times New Roman"/>
          <w:sz w:val="24"/>
          <w:szCs w:val="24"/>
        </w:rPr>
        <w:t xml:space="preserve"> publication entitled “Regulations for the Burghers’ Guard in Hungary” </w:t>
      </w:r>
      <w:r w:rsidR="00AD2A7D" w:rsidRPr="00921196">
        <w:rPr>
          <w:rFonts w:ascii="Times New Roman" w:hAnsi="Times New Roman"/>
          <w:sz w:val="24"/>
          <w:szCs w:val="24"/>
        </w:rPr>
        <w:t>the following</w:t>
      </w:r>
      <w:r w:rsidRPr="00921196">
        <w:rPr>
          <w:rFonts w:ascii="Times New Roman" w:hAnsi="Times New Roman"/>
          <w:sz w:val="24"/>
          <w:szCs w:val="24"/>
        </w:rPr>
        <w:t xml:space="preserve"> overview </w:t>
      </w:r>
      <w:r w:rsidR="000C59D9" w:rsidRPr="00921196">
        <w:rPr>
          <w:rFonts w:ascii="Times New Roman" w:hAnsi="Times New Roman"/>
          <w:sz w:val="24"/>
          <w:szCs w:val="24"/>
        </w:rPr>
        <w:t xml:space="preserve">briefly </w:t>
      </w:r>
      <w:r w:rsidR="00AD2A7D" w:rsidRPr="00921196">
        <w:rPr>
          <w:rFonts w:ascii="Times New Roman" w:hAnsi="Times New Roman"/>
          <w:sz w:val="24"/>
          <w:szCs w:val="24"/>
        </w:rPr>
        <w:t>summarise</w:t>
      </w:r>
      <w:r w:rsidR="000C59D9" w:rsidRPr="00921196">
        <w:rPr>
          <w:rFonts w:ascii="Times New Roman" w:hAnsi="Times New Roman"/>
          <w:sz w:val="24"/>
          <w:szCs w:val="24"/>
        </w:rPr>
        <w:t>s</w:t>
      </w:r>
      <w:r w:rsidR="00AD2A7D" w:rsidRPr="00921196">
        <w:rPr>
          <w:rFonts w:ascii="Times New Roman" w:hAnsi="Times New Roman"/>
          <w:sz w:val="24"/>
          <w:szCs w:val="24"/>
        </w:rPr>
        <w:t xml:space="preserve"> </w:t>
      </w:r>
      <w:r w:rsidRPr="00921196">
        <w:rPr>
          <w:rFonts w:ascii="Times New Roman" w:hAnsi="Times New Roman"/>
          <w:sz w:val="24"/>
          <w:szCs w:val="24"/>
        </w:rPr>
        <w:t xml:space="preserve">the regulations whose enforcement </w:t>
      </w:r>
      <w:r w:rsidR="00EA409A" w:rsidRPr="00921196">
        <w:rPr>
          <w:rFonts w:ascii="Times New Roman" w:hAnsi="Times New Roman"/>
          <w:sz w:val="24"/>
          <w:szCs w:val="24"/>
        </w:rPr>
        <w:t>triggered</w:t>
      </w:r>
      <w:r w:rsidRPr="00921196">
        <w:rPr>
          <w:rFonts w:ascii="Times New Roman" w:hAnsi="Times New Roman"/>
          <w:sz w:val="24"/>
          <w:szCs w:val="24"/>
        </w:rPr>
        <w:t xml:space="preserve"> debates at the time, as well as those which provide insight into</w:t>
      </w:r>
      <w:r w:rsidR="000C59D9" w:rsidRPr="00921196">
        <w:rPr>
          <w:rFonts w:ascii="Times New Roman" w:hAnsi="Times New Roman"/>
          <w:sz w:val="24"/>
          <w:szCs w:val="24"/>
        </w:rPr>
        <w:t xml:space="preserve"> the contemporary perceptions of burghers’ duties and the norms associated with them. Following the </w:t>
      </w:r>
      <w:r w:rsidR="00645A87">
        <w:rPr>
          <w:rFonts w:ascii="Times New Roman" w:hAnsi="Times New Roman"/>
          <w:sz w:val="24"/>
          <w:szCs w:val="24"/>
        </w:rPr>
        <w:t>palatine order and the court approval for funding</w:t>
      </w:r>
      <w:r w:rsidR="000C59D9" w:rsidRPr="00921196">
        <w:rPr>
          <w:rFonts w:ascii="Times New Roman" w:hAnsi="Times New Roman"/>
          <w:sz w:val="24"/>
          <w:szCs w:val="24"/>
        </w:rPr>
        <w:t xml:space="preserve">, the publication continues with a summary of the guards’ duties under the title “ Warning.” After this, pages 8-15 list the rules of </w:t>
      </w:r>
      <w:r w:rsidR="00B60588" w:rsidRPr="00921196">
        <w:rPr>
          <w:rFonts w:ascii="Times New Roman" w:hAnsi="Times New Roman"/>
          <w:sz w:val="24"/>
          <w:szCs w:val="24"/>
        </w:rPr>
        <w:t>guard</w:t>
      </w:r>
      <w:r w:rsidR="000C59D9" w:rsidRPr="00921196">
        <w:rPr>
          <w:rFonts w:ascii="Times New Roman" w:hAnsi="Times New Roman"/>
          <w:sz w:val="24"/>
          <w:szCs w:val="24"/>
        </w:rPr>
        <w:t xml:space="preserve"> service and the repercussions of violating these terms in four points, and pages 16-18 contain the text of the oath to be recited upon entering into service, in the Hungarian, German and Slovakian language. The publication is </w:t>
      </w:r>
      <w:r w:rsidR="00EA409A" w:rsidRPr="00921196">
        <w:rPr>
          <w:rFonts w:ascii="Times New Roman" w:hAnsi="Times New Roman"/>
          <w:sz w:val="24"/>
          <w:szCs w:val="24"/>
        </w:rPr>
        <w:t>bilingual</w:t>
      </w:r>
      <w:r w:rsidR="000C59D9" w:rsidRPr="00921196">
        <w:rPr>
          <w:rFonts w:ascii="Times New Roman" w:hAnsi="Times New Roman"/>
          <w:sz w:val="24"/>
          <w:szCs w:val="24"/>
        </w:rPr>
        <w:t xml:space="preserve"> in Hungarian and German throughout, only the oath is given in Slovakian as well, which may be a reflection of the linguistic composition of the </w:t>
      </w:r>
      <w:r w:rsidR="007A2201" w:rsidRPr="00921196">
        <w:rPr>
          <w:rFonts w:ascii="Times New Roman" w:hAnsi="Times New Roman"/>
          <w:sz w:val="24"/>
          <w:szCs w:val="24"/>
        </w:rPr>
        <w:t xml:space="preserve">Košice </w:t>
      </w:r>
      <w:r w:rsidR="000C59D9" w:rsidRPr="00921196">
        <w:rPr>
          <w:rFonts w:ascii="Times New Roman" w:hAnsi="Times New Roman"/>
          <w:sz w:val="24"/>
          <w:szCs w:val="24"/>
        </w:rPr>
        <w:t xml:space="preserve"> </w:t>
      </w:r>
      <w:r w:rsidR="000C59D9" w:rsidRPr="00921196">
        <w:rPr>
          <w:rFonts w:ascii="Times New Roman" w:hAnsi="Times New Roman"/>
          <w:sz w:val="24"/>
          <w:szCs w:val="24"/>
        </w:rPr>
        <w:lastRenderedPageBreak/>
        <w:t xml:space="preserve">burghers at the time. The longest section comprises the “Regulation of Service for all Members of the </w:t>
      </w:r>
      <w:r w:rsidR="005304C6" w:rsidRPr="00921196">
        <w:rPr>
          <w:rFonts w:ascii="Times New Roman" w:hAnsi="Times New Roman"/>
          <w:sz w:val="24"/>
          <w:szCs w:val="24"/>
        </w:rPr>
        <w:t>Regiment</w:t>
      </w:r>
      <w:r w:rsidR="000C59D9" w:rsidRPr="00921196">
        <w:rPr>
          <w:rFonts w:ascii="Times New Roman" w:hAnsi="Times New Roman"/>
          <w:sz w:val="24"/>
          <w:szCs w:val="24"/>
        </w:rPr>
        <w:t xml:space="preserve">,” which details the </w:t>
      </w:r>
      <w:r w:rsidR="00EA409A" w:rsidRPr="00921196">
        <w:rPr>
          <w:rFonts w:ascii="Times New Roman" w:hAnsi="Times New Roman"/>
          <w:sz w:val="24"/>
          <w:szCs w:val="24"/>
        </w:rPr>
        <w:t>duties</w:t>
      </w:r>
      <w:r w:rsidR="000C59D9" w:rsidRPr="00921196">
        <w:rPr>
          <w:rFonts w:ascii="Times New Roman" w:hAnsi="Times New Roman"/>
          <w:sz w:val="24"/>
          <w:szCs w:val="24"/>
        </w:rPr>
        <w:t xml:space="preserve"> of privates and various officers on pages 19-49. This is followed by the last part (pages 50-63) entitle</w:t>
      </w:r>
      <w:r w:rsidR="00316C14" w:rsidRPr="00921196">
        <w:rPr>
          <w:rFonts w:ascii="Times New Roman" w:hAnsi="Times New Roman"/>
          <w:sz w:val="24"/>
          <w:szCs w:val="24"/>
        </w:rPr>
        <w:t>d</w:t>
      </w:r>
      <w:r w:rsidR="000C59D9" w:rsidRPr="00921196">
        <w:rPr>
          <w:rFonts w:ascii="Times New Roman" w:hAnsi="Times New Roman"/>
          <w:sz w:val="24"/>
          <w:szCs w:val="24"/>
        </w:rPr>
        <w:t xml:space="preserve"> “Additional Palatine Orders,” which </w:t>
      </w:r>
      <w:r w:rsidR="00316C14" w:rsidRPr="00921196">
        <w:rPr>
          <w:rFonts w:ascii="Times New Roman" w:hAnsi="Times New Roman"/>
          <w:sz w:val="24"/>
          <w:szCs w:val="24"/>
        </w:rPr>
        <w:t xml:space="preserve">states that the document is an “excerpt of the regulations for all armed burghers issued in 1809 by the chief commissioner of every national </w:t>
      </w:r>
      <w:r w:rsidR="00B60588" w:rsidRPr="00921196">
        <w:rPr>
          <w:rFonts w:ascii="Times New Roman" w:hAnsi="Times New Roman"/>
          <w:sz w:val="24"/>
          <w:szCs w:val="24"/>
        </w:rPr>
        <w:t>guard</w:t>
      </w:r>
      <w:r w:rsidR="00D777F0">
        <w:rPr>
          <w:rFonts w:ascii="Times New Roman" w:hAnsi="Times New Roman"/>
          <w:sz w:val="24"/>
          <w:szCs w:val="24"/>
        </w:rPr>
        <w:t xml:space="preserve">,” that is the palatine. It adds </w:t>
      </w:r>
      <w:r w:rsidR="00316C14" w:rsidRPr="00921196">
        <w:rPr>
          <w:rFonts w:ascii="Times New Roman" w:hAnsi="Times New Roman"/>
          <w:sz w:val="24"/>
          <w:szCs w:val="24"/>
        </w:rPr>
        <w:t xml:space="preserve">that the burghers’ guard had been established under the aforementioned acts of 1805 and 1808, confirmed by a palatine order issued on August 27, </w:t>
      </w:r>
      <w:r w:rsidR="00316C14" w:rsidRPr="00D777F0">
        <w:rPr>
          <w:rFonts w:ascii="Times New Roman" w:hAnsi="Times New Roman"/>
          <w:sz w:val="24"/>
          <w:szCs w:val="24"/>
        </w:rPr>
        <w:t>1831.</w:t>
      </w:r>
      <w:r w:rsidR="00316C14" w:rsidRPr="00D777F0">
        <w:rPr>
          <w:rStyle w:val="FootnoteReference"/>
          <w:rFonts w:ascii="Times New Roman" w:hAnsi="Times New Roman"/>
        </w:rPr>
        <w:footnoteReference w:id="11"/>
      </w:r>
      <w:r w:rsidR="00316C14" w:rsidRPr="00921196">
        <w:rPr>
          <w:rFonts w:ascii="Times New Roman" w:hAnsi="Times New Roman"/>
          <w:sz w:val="24"/>
          <w:szCs w:val="24"/>
        </w:rPr>
        <w:t xml:space="preserve">  The eleven sections of the Additional Palatine Orders, thus, were issued at the time of the guard’s reorganisation as an amendment to the original regulations. </w:t>
      </w:r>
    </w:p>
    <w:p w14:paraId="4EB4DA07" w14:textId="5D595ECA" w:rsidR="00B50FC5" w:rsidRPr="00921196" w:rsidRDefault="00316C14" w:rsidP="00B50FC5">
      <w:pPr>
        <w:spacing w:after="0" w:line="360" w:lineRule="auto"/>
        <w:ind w:firstLine="680"/>
        <w:jc w:val="both"/>
        <w:rPr>
          <w:rFonts w:ascii="Times New Roman" w:hAnsi="Times New Roman"/>
          <w:sz w:val="24"/>
          <w:szCs w:val="24"/>
        </w:rPr>
      </w:pPr>
      <w:r w:rsidRPr="00921196">
        <w:rPr>
          <w:rFonts w:ascii="Times New Roman" w:hAnsi="Times New Roman"/>
          <w:sz w:val="24"/>
          <w:szCs w:val="24"/>
        </w:rPr>
        <w:t>The Regulations start with the following decree: “The main aim of the burghers’ guard</w:t>
      </w:r>
      <w:r w:rsidR="00C0617F" w:rsidRPr="00921196">
        <w:rPr>
          <w:rFonts w:ascii="Times New Roman" w:hAnsi="Times New Roman"/>
          <w:sz w:val="24"/>
          <w:szCs w:val="24"/>
        </w:rPr>
        <w:t xml:space="preserve"> is founded upon that commonly-held burghers’ duty</w:t>
      </w:r>
      <w:r w:rsidR="00D777F0">
        <w:rPr>
          <w:rFonts w:ascii="Times New Roman" w:hAnsi="Times New Roman"/>
          <w:sz w:val="24"/>
          <w:szCs w:val="24"/>
        </w:rPr>
        <w:t xml:space="preserve"> to each protect their own city</w:t>
      </w:r>
      <w:r w:rsidR="00C0617F" w:rsidRPr="00921196">
        <w:rPr>
          <w:rFonts w:ascii="Times New Roman" w:hAnsi="Times New Roman"/>
          <w:sz w:val="24"/>
          <w:szCs w:val="24"/>
        </w:rPr>
        <w:t xml:space="preserve"> which is to be sworn by every burgher upon obtaining his burgher’s </w:t>
      </w:r>
      <w:r w:rsidR="00D777F0">
        <w:rPr>
          <w:rFonts w:ascii="Times New Roman" w:hAnsi="Times New Roman"/>
          <w:sz w:val="24"/>
          <w:szCs w:val="24"/>
        </w:rPr>
        <w:t>privileges</w:t>
      </w:r>
      <w:r w:rsidR="00C0617F" w:rsidRPr="00921196">
        <w:rPr>
          <w:rFonts w:ascii="Times New Roman" w:hAnsi="Times New Roman"/>
          <w:sz w:val="24"/>
          <w:szCs w:val="24"/>
        </w:rPr>
        <w:t xml:space="preserve">, and will apply to every holder of household or landed estate and every tradesman permanently residing at this place, even if they are not members of the estates of </w:t>
      </w:r>
      <w:r w:rsidR="00D777F0">
        <w:rPr>
          <w:rFonts w:ascii="Times New Roman" w:hAnsi="Times New Roman"/>
          <w:sz w:val="24"/>
          <w:szCs w:val="24"/>
        </w:rPr>
        <w:t xml:space="preserve">either </w:t>
      </w:r>
      <w:r w:rsidR="00C0617F" w:rsidRPr="00921196">
        <w:rPr>
          <w:rFonts w:ascii="Times New Roman" w:hAnsi="Times New Roman"/>
          <w:sz w:val="24"/>
          <w:szCs w:val="24"/>
        </w:rPr>
        <w:t>nobles or burghers.”</w:t>
      </w:r>
      <w:r w:rsidR="00C0617F" w:rsidRPr="00921196">
        <w:rPr>
          <w:rStyle w:val="FootnoteReference"/>
        </w:rPr>
        <w:footnoteReference w:id="12"/>
      </w:r>
      <w:r w:rsidR="00C0617F" w:rsidRPr="00921196">
        <w:rPr>
          <w:rFonts w:ascii="Times New Roman" w:hAnsi="Times New Roman"/>
          <w:sz w:val="24"/>
          <w:szCs w:val="24"/>
        </w:rPr>
        <w:t xml:space="preserve">  The institution of the guard, as previously noted, derives from one of the traditional duties of the burghers. The regulations, however, make it clear that the armed </w:t>
      </w:r>
      <w:r w:rsidR="00EA409A" w:rsidRPr="00921196">
        <w:rPr>
          <w:rFonts w:ascii="Times New Roman" w:hAnsi="Times New Roman"/>
          <w:sz w:val="24"/>
          <w:szCs w:val="24"/>
        </w:rPr>
        <w:t>defence</w:t>
      </w:r>
      <w:r w:rsidR="00C0617F" w:rsidRPr="00921196">
        <w:rPr>
          <w:rFonts w:ascii="Times New Roman" w:hAnsi="Times New Roman"/>
          <w:sz w:val="24"/>
          <w:szCs w:val="24"/>
        </w:rPr>
        <w:t xml:space="preserve"> of the city was not solely the duty of the </w:t>
      </w:r>
      <w:r w:rsidR="00661784" w:rsidRPr="00921196">
        <w:rPr>
          <w:rFonts w:ascii="Times New Roman" w:hAnsi="Times New Roman"/>
          <w:sz w:val="24"/>
          <w:szCs w:val="24"/>
        </w:rPr>
        <w:t xml:space="preserve">burghers’ </w:t>
      </w:r>
      <w:r w:rsidR="00B60588" w:rsidRPr="00921196">
        <w:rPr>
          <w:rFonts w:ascii="Times New Roman" w:hAnsi="Times New Roman"/>
          <w:sz w:val="24"/>
          <w:szCs w:val="24"/>
        </w:rPr>
        <w:t>guard</w:t>
      </w:r>
      <w:r w:rsidR="00C0617F" w:rsidRPr="00921196">
        <w:rPr>
          <w:rFonts w:ascii="Times New Roman" w:hAnsi="Times New Roman"/>
          <w:sz w:val="24"/>
          <w:szCs w:val="24"/>
        </w:rPr>
        <w:t xml:space="preserve">. The explicit statement of this fact was no doubt </w:t>
      </w:r>
      <w:r w:rsidR="00661784" w:rsidRPr="00921196">
        <w:rPr>
          <w:rFonts w:ascii="Times New Roman" w:hAnsi="Times New Roman"/>
          <w:sz w:val="24"/>
          <w:szCs w:val="24"/>
        </w:rPr>
        <w:t>necess</w:t>
      </w:r>
      <w:r w:rsidR="00D777F0">
        <w:rPr>
          <w:rFonts w:ascii="Times New Roman" w:hAnsi="Times New Roman"/>
          <w:sz w:val="24"/>
          <w:szCs w:val="24"/>
        </w:rPr>
        <w:t>ary because by the early 1840s</w:t>
      </w:r>
      <w:r w:rsidR="00661784" w:rsidRPr="00921196">
        <w:rPr>
          <w:rFonts w:ascii="Times New Roman" w:hAnsi="Times New Roman"/>
          <w:sz w:val="24"/>
          <w:szCs w:val="24"/>
        </w:rPr>
        <w:t xml:space="preserve">, the proportion of burghers was decreasing </w:t>
      </w:r>
      <w:r w:rsidR="00D777F0" w:rsidRPr="00921196">
        <w:rPr>
          <w:rFonts w:ascii="Times New Roman" w:hAnsi="Times New Roman"/>
          <w:sz w:val="24"/>
          <w:szCs w:val="24"/>
        </w:rPr>
        <w:t xml:space="preserve">to various degrees </w:t>
      </w:r>
      <w:r w:rsidR="00661784" w:rsidRPr="00921196">
        <w:rPr>
          <w:rFonts w:ascii="Times New Roman" w:hAnsi="Times New Roman"/>
          <w:sz w:val="24"/>
          <w:szCs w:val="24"/>
        </w:rPr>
        <w:t xml:space="preserve">within the population of the free royal towns. Their number dropped dramatically compared to previous centuries when possessing buildings or estates or pursuing a trade in the city </w:t>
      </w:r>
      <w:r w:rsidR="00D777F0">
        <w:rPr>
          <w:rFonts w:ascii="Times New Roman" w:hAnsi="Times New Roman"/>
          <w:sz w:val="24"/>
          <w:szCs w:val="24"/>
        </w:rPr>
        <w:t>were both</w:t>
      </w:r>
      <w:r w:rsidR="00661784" w:rsidRPr="00921196">
        <w:rPr>
          <w:rFonts w:ascii="Times New Roman" w:hAnsi="Times New Roman"/>
          <w:sz w:val="24"/>
          <w:szCs w:val="24"/>
        </w:rPr>
        <w:t xml:space="preserve"> still closely associated with obtaining burghers’ </w:t>
      </w:r>
      <w:r w:rsidR="00D777F0">
        <w:rPr>
          <w:rFonts w:ascii="Times New Roman" w:hAnsi="Times New Roman"/>
          <w:sz w:val="24"/>
          <w:szCs w:val="24"/>
        </w:rPr>
        <w:t>privileges</w:t>
      </w:r>
      <w:r w:rsidR="00661784" w:rsidRPr="00921196">
        <w:rPr>
          <w:rFonts w:ascii="Times New Roman" w:hAnsi="Times New Roman"/>
          <w:sz w:val="24"/>
          <w:szCs w:val="24"/>
        </w:rPr>
        <w:t>.</w:t>
      </w:r>
      <w:r w:rsidR="00EA0ED0" w:rsidRPr="00921196">
        <w:rPr>
          <w:rStyle w:val="FootnoteReference"/>
        </w:rPr>
        <w:footnoteReference w:id="13"/>
      </w:r>
      <w:r w:rsidR="00661784" w:rsidRPr="00921196">
        <w:rPr>
          <w:rFonts w:ascii="Times New Roman" w:hAnsi="Times New Roman"/>
          <w:sz w:val="24"/>
          <w:szCs w:val="24"/>
        </w:rPr>
        <w:t xml:space="preserve"> </w:t>
      </w:r>
    </w:p>
    <w:p w14:paraId="4F120156" w14:textId="1A34F332" w:rsidR="00B50FC5" w:rsidRPr="00921196" w:rsidRDefault="00661784" w:rsidP="00147C0D">
      <w:pPr>
        <w:spacing w:after="0" w:line="360" w:lineRule="auto"/>
        <w:ind w:firstLine="680"/>
        <w:jc w:val="both"/>
        <w:rPr>
          <w:rFonts w:ascii="Times New Roman" w:hAnsi="Times New Roman"/>
          <w:sz w:val="24"/>
          <w:szCs w:val="24"/>
        </w:rPr>
      </w:pPr>
      <w:r w:rsidRPr="00921196">
        <w:rPr>
          <w:rFonts w:ascii="Times New Roman" w:hAnsi="Times New Roman"/>
          <w:sz w:val="24"/>
          <w:szCs w:val="24"/>
        </w:rPr>
        <w:t>The general definitions are followed by the detailed list of the guard’</w:t>
      </w:r>
      <w:r w:rsidR="009B5A11" w:rsidRPr="00921196">
        <w:rPr>
          <w:rFonts w:ascii="Times New Roman" w:hAnsi="Times New Roman"/>
          <w:sz w:val="24"/>
          <w:szCs w:val="24"/>
        </w:rPr>
        <w:t xml:space="preserve">s duties. </w:t>
      </w:r>
      <w:r w:rsidR="00F6522C" w:rsidRPr="00921196">
        <w:rPr>
          <w:rFonts w:ascii="Times New Roman" w:hAnsi="Times New Roman"/>
          <w:sz w:val="24"/>
          <w:szCs w:val="24"/>
        </w:rPr>
        <w:t>These primarily include</w:t>
      </w:r>
      <w:r w:rsidR="009B5A11" w:rsidRPr="00921196">
        <w:rPr>
          <w:rFonts w:ascii="Times New Roman" w:hAnsi="Times New Roman"/>
          <w:sz w:val="24"/>
          <w:szCs w:val="24"/>
        </w:rPr>
        <w:t xml:space="preserve"> patrolling </w:t>
      </w:r>
      <w:r w:rsidRPr="00921196">
        <w:rPr>
          <w:rFonts w:ascii="Times New Roman" w:hAnsi="Times New Roman"/>
          <w:sz w:val="24"/>
          <w:szCs w:val="24"/>
        </w:rPr>
        <w:t>the city, and “</w:t>
      </w:r>
      <w:r w:rsidR="009B5A11" w:rsidRPr="00921196">
        <w:rPr>
          <w:rFonts w:ascii="Times New Roman" w:hAnsi="Times New Roman"/>
          <w:sz w:val="24"/>
          <w:szCs w:val="24"/>
        </w:rPr>
        <w:t>doing their utmost to uphold internal quiet, order and morale</w:t>
      </w:r>
      <w:r w:rsidR="00F6522C" w:rsidRPr="00921196">
        <w:rPr>
          <w:rFonts w:ascii="Times New Roman" w:hAnsi="Times New Roman"/>
          <w:sz w:val="24"/>
          <w:szCs w:val="24"/>
        </w:rPr>
        <w:t>.</w:t>
      </w:r>
      <w:r w:rsidR="009B5A11" w:rsidRPr="00921196">
        <w:rPr>
          <w:rFonts w:ascii="Times New Roman" w:hAnsi="Times New Roman"/>
          <w:sz w:val="24"/>
          <w:szCs w:val="24"/>
        </w:rPr>
        <w:t xml:space="preserve">” </w:t>
      </w:r>
      <w:r w:rsidR="00F6522C" w:rsidRPr="00921196">
        <w:rPr>
          <w:rFonts w:ascii="Times New Roman" w:hAnsi="Times New Roman"/>
          <w:sz w:val="24"/>
          <w:szCs w:val="24"/>
        </w:rPr>
        <w:t>T</w:t>
      </w:r>
      <w:r w:rsidR="009B5A11" w:rsidRPr="00921196">
        <w:rPr>
          <w:rFonts w:ascii="Times New Roman" w:hAnsi="Times New Roman"/>
          <w:sz w:val="24"/>
          <w:szCs w:val="24"/>
        </w:rPr>
        <w:t xml:space="preserve">he guards’ “secondary aim is the </w:t>
      </w:r>
      <w:r w:rsidR="000B75D8" w:rsidRPr="00921196">
        <w:rPr>
          <w:rFonts w:ascii="Times New Roman" w:hAnsi="Times New Roman"/>
          <w:sz w:val="24"/>
          <w:szCs w:val="24"/>
        </w:rPr>
        <w:t>ceremonial duty</w:t>
      </w:r>
      <w:r w:rsidR="009B5A11" w:rsidRPr="00921196">
        <w:rPr>
          <w:rFonts w:ascii="Times New Roman" w:hAnsi="Times New Roman"/>
          <w:sz w:val="24"/>
          <w:szCs w:val="24"/>
        </w:rPr>
        <w:t xml:space="preserve">” whenever required, such as </w:t>
      </w:r>
      <w:r w:rsidR="00F6522C" w:rsidRPr="00921196">
        <w:rPr>
          <w:rFonts w:ascii="Times New Roman" w:hAnsi="Times New Roman"/>
          <w:sz w:val="24"/>
          <w:szCs w:val="24"/>
        </w:rPr>
        <w:t>at the</w:t>
      </w:r>
      <w:r w:rsidR="009B5A11" w:rsidRPr="00921196">
        <w:rPr>
          <w:rFonts w:ascii="Times New Roman" w:hAnsi="Times New Roman"/>
          <w:sz w:val="24"/>
          <w:szCs w:val="24"/>
        </w:rPr>
        <w:t xml:space="preserve"> </w:t>
      </w:r>
      <w:r w:rsidR="00F6522C" w:rsidRPr="00921196">
        <w:rPr>
          <w:rFonts w:ascii="Times New Roman" w:hAnsi="Times New Roman"/>
          <w:sz w:val="24"/>
          <w:szCs w:val="24"/>
        </w:rPr>
        <w:lastRenderedPageBreak/>
        <w:t>processions “</w:t>
      </w:r>
      <w:r w:rsidR="009B5A11" w:rsidRPr="00921196">
        <w:rPr>
          <w:rFonts w:ascii="Times New Roman" w:hAnsi="Times New Roman"/>
          <w:sz w:val="24"/>
          <w:szCs w:val="24"/>
        </w:rPr>
        <w:t>on the Solemnity of Corpus Christi</w:t>
      </w:r>
      <w:r w:rsidR="00F6522C" w:rsidRPr="00921196">
        <w:rPr>
          <w:rFonts w:ascii="Times New Roman" w:hAnsi="Times New Roman"/>
          <w:sz w:val="24"/>
          <w:szCs w:val="24"/>
        </w:rPr>
        <w:t>, and the birthdays of his majesty, the triumphantly reigning Emperor and King, and her majesty, the Empress and Queen; as well as on the occasion of other obligatory feasts, in addition to the funerals of deceased fellow burghers, the dedication of the guard’s flag</w:t>
      </w:r>
      <w:r w:rsidR="00147C0D" w:rsidRPr="00921196">
        <w:rPr>
          <w:rFonts w:ascii="Times New Roman" w:hAnsi="Times New Roman"/>
          <w:sz w:val="24"/>
          <w:szCs w:val="24"/>
        </w:rPr>
        <w:t>,</w:t>
      </w:r>
      <w:r w:rsidR="00F6522C" w:rsidRPr="00921196">
        <w:rPr>
          <w:rFonts w:ascii="Times New Roman" w:hAnsi="Times New Roman"/>
          <w:sz w:val="24"/>
          <w:szCs w:val="24"/>
        </w:rPr>
        <w:t xml:space="preserve"> and the annual muster.”</w:t>
      </w:r>
      <w:r w:rsidR="00F6522C" w:rsidRPr="00921196">
        <w:rPr>
          <w:rStyle w:val="FootnoteReference"/>
        </w:rPr>
        <w:footnoteReference w:id="14"/>
      </w:r>
      <w:r w:rsidR="00147C0D" w:rsidRPr="00921196">
        <w:rPr>
          <w:rFonts w:ascii="Times New Roman" w:hAnsi="Times New Roman"/>
          <w:sz w:val="24"/>
          <w:szCs w:val="24"/>
        </w:rPr>
        <w:t xml:space="preserve"> The “Additional Orders,” furthermore stipulate that the </w:t>
      </w:r>
      <w:r w:rsidR="00B60588" w:rsidRPr="00921196">
        <w:rPr>
          <w:rFonts w:ascii="Times New Roman" w:hAnsi="Times New Roman"/>
          <w:sz w:val="24"/>
          <w:szCs w:val="24"/>
        </w:rPr>
        <w:t>guard</w:t>
      </w:r>
      <w:r w:rsidR="00147C0D" w:rsidRPr="00921196">
        <w:rPr>
          <w:rFonts w:ascii="Times New Roman" w:hAnsi="Times New Roman"/>
          <w:sz w:val="24"/>
          <w:szCs w:val="24"/>
        </w:rPr>
        <w:t xml:space="preserve"> “is obliged to attend military practice</w:t>
      </w:r>
      <w:r w:rsidR="00D777F0" w:rsidRPr="00D777F0">
        <w:rPr>
          <w:rFonts w:ascii="Times New Roman" w:hAnsi="Times New Roman"/>
          <w:sz w:val="24"/>
          <w:szCs w:val="24"/>
        </w:rPr>
        <w:t xml:space="preserve"> </w:t>
      </w:r>
      <w:r w:rsidR="00D777F0">
        <w:rPr>
          <w:rFonts w:ascii="Times New Roman" w:hAnsi="Times New Roman"/>
          <w:sz w:val="24"/>
          <w:szCs w:val="24"/>
        </w:rPr>
        <w:t>intermittently</w:t>
      </w:r>
      <w:r w:rsidR="00147C0D" w:rsidRPr="00921196">
        <w:rPr>
          <w:rFonts w:ascii="Times New Roman" w:hAnsi="Times New Roman"/>
          <w:sz w:val="24"/>
          <w:szCs w:val="24"/>
        </w:rPr>
        <w:t>, and provide occasional military service.”</w:t>
      </w:r>
      <w:r w:rsidR="00B50FC5" w:rsidRPr="00921196">
        <w:rPr>
          <w:rStyle w:val="FootnoteReference"/>
        </w:rPr>
        <w:footnoteReference w:id="15"/>
      </w:r>
    </w:p>
    <w:p w14:paraId="00CA1DFB" w14:textId="30263A0E" w:rsidR="00B50FC5" w:rsidRPr="00921196" w:rsidRDefault="00147C0D" w:rsidP="00B50FC5">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The members of the burghers’ guard were armed </w:t>
      </w:r>
      <w:r w:rsidR="005A659F" w:rsidRPr="00921196">
        <w:rPr>
          <w:rFonts w:ascii="Times New Roman" w:hAnsi="Times New Roman"/>
          <w:sz w:val="24"/>
          <w:szCs w:val="24"/>
        </w:rPr>
        <w:t>with</w:t>
      </w:r>
      <w:r w:rsidRPr="00921196">
        <w:rPr>
          <w:rFonts w:ascii="Times New Roman" w:hAnsi="Times New Roman"/>
          <w:sz w:val="24"/>
          <w:szCs w:val="24"/>
        </w:rPr>
        <w:t xml:space="preserve"> </w:t>
      </w:r>
      <w:r w:rsidR="00C8349E" w:rsidRPr="00921196">
        <w:rPr>
          <w:rFonts w:ascii="Times New Roman" w:hAnsi="Times New Roman"/>
          <w:sz w:val="24"/>
          <w:szCs w:val="24"/>
        </w:rPr>
        <w:t xml:space="preserve">a </w:t>
      </w:r>
      <w:r w:rsidRPr="00921196">
        <w:rPr>
          <w:rFonts w:ascii="Times New Roman" w:hAnsi="Times New Roman"/>
          <w:sz w:val="24"/>
          <w:szCs w:val="24"/>
        </w:rPr>
        <w:t>sword and rifle f</w:t>
      </w:r>
      <w:r w:rsidR="005A659F" w:rsidRPr="00921196">
        <w:rPr>
          <w:rFonts w:ascii="Times New Roman" w:hAnsi="Times New Roman"/>
          <w:sz w:val="24"/>
          <w:szCs w:val="24"/>
        </w:rPr>
        <w:t xml:space="preserve">rom the armoury of the regiment, for which they were required to pay from their own pockets. </w:t>
      </w:r>
      <w:r w:rsidR="00D777F0">
        <w:rPr>
          <w:rFonts w:ascii="Times New Roman" w:hAnsi="Times New Roman"/>
          <w:sz w:val="24"/>
          <w:szCs w:val="24"/>
        </w:rPr>
        <w:t>W</w:t>
      </w:r>
      <w:r w:rsidR="005A659F" w:rsidRPr="00921196">
        <w:rPr>
          <w:rFonts w:ascii="Times New Roman" w:hAnsi="Times New Roman"/>
          <w:sz w:val="24"/>
          <w:szCs w:val="24"/>
        </w:rPr>
        <w:t>ealth</w:t>
      </w:r>
      <w:r w:rsidR="00D777F0">
        <w:rPr>
          <w:rFonts w:ascii="Times New Roman" w:hAnsi="Times New Roman"/>
          <w:sz w:val="24"/>
          <w:szCs w:val="24"/>
        </w:rPr>
        <w:t>ier</w:t>
      </w:r>
      <w:r w:rsidR="005A659F" w:rsidRPr="00921196">
        <w:rPr>
          <w:rFonts w:ascii="Times New Roman" w:hAnsi="Times New Roman"/>
          <w:sz w:val="24"/>
          <w:szCs w:val="24"/>
        </w:rPr>
        <w:t xml:space="preserve"> members </w:t>
      </w:r>
      <w:r w:rsidR="00C8349E" w:rsidRPr="00921196">
        <w:rPr>
          <w:rFonts w:ascii="Times New Roman" w:hAnsi="Times New Roman"/>
          <w:sz w:val="24"/>
          <w:szCs w:val="24"/>
        </w:rPr>
        <w:t>paid</w:t>
      </w:r>
      <w:r w:rsidR="005A659F" w:rsidRPr="00921196">
        <w:rPr>
          <w:rFonts w:ascii="Times New Roman" w:hAnsi="Times New Roman"/>
          <w:sz w:val="24"/>
          <w:szCs w:val="24"/>
        </w:rPr>
        <w:t xml:space="preserve"> in one lump sum, while less affluent burghers were allowed to pay in instalments. </w:t>
      </w:r>
      <w:r w:rsidR="00C8349E" w:rsidRPr="00921196">
        <w:rPr>
          <w:rFonts w:ascii="Times New Roman" w:hAnsi="Times New Roman"/>
          <w:sz w:val="24"/>
          <w:szCs w:val="24"/>
        </w:rPr>
        <w:t>In cases when</w:t>
      </w:r>
      <w:r w:rsidR="005A659F" w:rsidRPr="00921196">
        <w:rPr>
          <w:rFonts w:ascii="Times New Roman" w:hAnsi="Times New Roman"/>
          <w:sz w:val="24"/>
          <w:szCs w:val="24"/>
        </w:rPr>
        <w:t xml:space="preserve"> the regiment’s officials found poor members deserving, they were allowed to use the weaponry free of charge. Besides </w:t>
      </w:r>
      <w:r w:rsidR="00D777F0">
        <w:rPr>
          <w:rFonts w:ascii="Times New Roman" w:hAnsi="Times New Roman"/>
          <w:sz w:val="24"/>
          <w:szCs w:val="24"/>
        </w:rPr>
        <w:t>bearing</w:t>
      </w:r>
      <w:r w:rsidR="005A659F" w:rsidRPr="00921196">
        <w:rPr>
          <w:rFonts w:ascii="Times New Roman" w:hAnsi="Times New Roman"/>
          <w:sz w:val="24"/>
          <w:szCs w:val="24"/>
        </w:rPr>
        <w:t xml:space="preserve"> arms, guard members also had to wear a uniform, albeit with certain concessions, for example, those who became burghers before 1831 were not obliged to </w:t>
      </w:r>
      <w:r w:rsidR="00D777F0">
        <w:rPr>
          <w:rFonts w:ascii="Times New Roman" w:hAnsi="Times New Roman"/>
          <w:sz w:val="24"/>
          <w:szCs w:val="24"/>
        </w:rPr>
        <w:t>do so</w:t>
      </w:r>
      <w:r w:rsidR="005A659F" w:rsidRPr="00921196">
        <w:rPr>
          <w:rFonts w:ascii="Times New Roman" w:hAnsi="Times New Roman"/>
          <w:sz w:val="24"/>
          <w:szCs w:val="24"/>
        </w:rPr>
        <w:t>. Poorer burghers c</w:t>
      </w:r>
      <w:r w:rsidR="005304C6" w:rsidRPr="00921196">
        <w:rPr>
          <w:rFonts w:ascii="Times New Roman" w:hAnsi="Times New Roman"/>
          <w:sz w:val="24"/>
          <w:szCs w:val="24"/>
        </w:rPr>
        <w:t>o</w:t>
      </w:r>
      <w:r w:rsidR="005A659F" w:rsidRPr="00921196">
        <w:rPr>
          <w:rFonts w:ascii="Times New Roman" w:hAnsi="Times New Roman"/>
          <w:sz w:val="24"/>
          <w:szCs w:val="24"/>
        </w:rPr>
        <w:t xml:space="preserve">uld also obtain exemption, or </w:t>
      </w:r>
      <w:r w:rsidR="005304C6" w:rsidRPr="00921196">
        <w:rPr>
          <w:rFonts w:ascii="Times New Roman" w:hAnsi="Times New Roman"/>
          <w:sz w:val="24"/>
          <w:szCs w:val="24"/>
        </w:rPr>
        <w:t xml:space="preserve">opt for an </w:t>
      </w:r>
      <w:r w:rsidR="005A659F" w:rsidRPr="00921196">
        <w:rPr>
          <w:rFonts w:ascii="Times New Roman" w:hAnsi="Times New Roman"/>
          <w:sz w:val="24"/>
          <w:szCs w:val="24"/>
        </w:rPr>
        <w:t xml:space="preserve">interest-free loan from the regiment’s </w:t>
      </w:r>
      <w:r w:rsidR="005304C6" w:rsidRPr="00921196">
        <w:rPr>
          <w:rFonts w:ascii="Times New Roman" w:hAnsi="Times New Roman"/>
          <w:sz w:val="24"/>
          <w:szCs w:val="24"/>
        </w:rPr>
        <w:t>fund</w:t>
      </w:r>
      <w:r w:rsidR="005A659F" w:rsidRPr="00921196">
        <w:rPr>
          <w:rFonts w:ascii="Times New Roman" w:hAnsi="Times New Roman"/>
          <w:sz w:val="24"/>
          <w:szCs w:val="24"/>
        </w:rPr>
        <w:t xml:space="preserve"> to purchase their uni</w:t>
      </w:r>
      <w:r w:rsidR="005304C6" w:rsidRPr="00921196">
        <w:rPr>
          <w:rFonts w:ascii="Times New Roman" w:hAnsi="Times New Roman"/>
          <w:sz w:val="24"/>
          <w:szCs w:val="24"/>
        </w:rPr>
        <w:t>form. Besides the aforementioned 2000 florin capital, the regiment’s fund was sustained by voluntary contributions: privates paid 48 kreuzers (1</w:t>
      </w:r>
      <w:r w:rsidR="00D777F0">
        <w:rPr>
          <w:rFonts w:ascii="Times New Roman" w:hAnsi="Times New Roman"/>
          <w:sz w:val="24"/>
          <w:szCs w:val="24"/>
        </w:rPr>
        <w:t>2</w:t>
      </w:r>
      <w:r w:rsidR="005304C6" w:rsidRPr="00921196">
        <w:rPr>
          <w:rFonts w:ascii="Times New Roman" w:hAnsi="Times New Roman"/>
          <w:sz w:val="24"/>
          <w:szCs w:val="24"/>
        </w:rPr>
        <w:t xml:space="preserve"> kreuzers quarterly), officers paid proportionally more by rank, the </w:t>
      </w:r>
      <w:r w:rsidR="00C8349E" w:rsidRPr="00921196">
        <w:rPr>
          <w:rFonts w:ascii="Times New Roman" w:hAnsi="Times New Roman"/>
          <w:sz w:val="24"/>
          <w:szCs w:val="24"/>
        </w:rPr>
        <w:t>commander-in-chief paying the most, 40 florins per year.</w:t>
      </w:r>
      <w:r w:rsidR="00C8349E" w:rsidRPr="00921196">
        <w:rPr>
          <w:rStyle w:val="FootnoteReference"/>
        </w:rPr>
        <w:footnoteReference w:id="16"/>
      </w:r>
    </w:p>
    <w:p w14:paraId="4EA808D0" w14:textId="215B8A77" w:rsidR="00147C0D" w:rsidRPr="006A029A" w:rsidRDefault="00C8349E" w:rsidP="006A029A">
      <w:pPr>
        <w:spacing w:line="360" w:lineRule="auto"/>
        <w:rPr>
          <w:rFonts w:ascii="Times New Roman" w:hAnsi="Times New Roman"/>
          <w:sz w:val="24"/>
          <w:szCs w:val="24"/>
          <w:lang w:val="hu-HU"/>
        </w:rPr>
      </w:pPr>
      <w:r w:rsidRPr="00921196">
        <w:rPr>
          <w:rFonts w:ascii="Times New Roman" w:hAnsi="Times New Roman"/>
          <w:sz w:val="24"/>
          <w:szCs w:val="24"/>
        </w:rPr>
        <w:t>Although service</w:t>
      </w:r>
      <w:r w:rsidR="005E4646" w:rsidRPr="00921196">
        <w:rPr>
          <w:rFonts w:ascii="Times New Roman" w:hAnsi="Times New Roman"/>
          <w:sz w:val="24"/>
          <w:szCs w:val="24"/>
        </w:rPr>
        <w:t xml:space="preserve"> in the </w:t>
      </w:r>
      <w:r w:rsidR="00B60588" w:rsidRPr="00921196">
        <w:rPr>
          <w:rFonts w:ascii="Times New Roman" w:hAnsi="Times New Roman"/>
          <w:sz w:val="24"/>
          <w:szCs w:val="24"/>
        </w:rPr>
        <w:t>guard</w:t>
      </w:r>
      <w:r w:rsidRPr="00921196">
        <w:rPr>
          <w:rFonts w:ascii="Times New Roman" w:hAnsi="Times New Roman"/>
          <w:sz w:val="24"/>
          <w:szCs w:val="24"/>
        </w:rPr>
        <w:t xml:space="preserve"> was mandatory for all </w:t>
      </w:r>
      <w:r w:rsidR="00D777F0">
        <w:rPr>
          <w:rFonts w:ascii="Times New Roman" w:hAnsi="Times New Roman"/>
          <w:sz w:val="24"/>
          <w:szCs w:val="24"/>
        </w:rPr>
        <w:t>townspeople</w:t>
      </w:r>
      <w:r w:rsidRPr="00921196">
        <w:rPr>
          <w:rFonts w:ascii="Times New Roman" w:hAnsi="Times New Roman"/>
          <w:sz w:val="24"/>
          <w:szCs w:val="24"/>
        </w:rPr>
        <w:t xml:space="preserve"> who had burg</w:t>
      </w:r>
      <w:r w:rsidR="00D777F0">
        <w:rPr>
          <w:rFonts w:ascii="Times New Roman" w:hAnsi="Times New Roman"/>
          <w:sz w:val="24"/>
          <w:szCs w:val="24"/>
        </w:rPr>
        <w:t>her rights, this duty was waived</w:t>
      </w:r>
      <w:r w:rsidRPr="00921196">
        <w:rPr>
          <w:rFonts w:ascii="Times New Roman" w:hAnsi="Times New Roman"/>
          <w:sz w:val="24"/>
          <w:szCs w:val="24"/>
        </w:rPr>
        <w:t xml:space="preserve"> for those who were deemed unfit for military service or were over fifty years of age “beca</w:t>
      </w:r>
      <w:r w:rsidR="00D777F0">
        <w:rPr>
          <w:rFonts w:ascii="Times New Roman" w:hAnsi="Times New Roman"/>
          <w:sz w:val="24"/>
          <w:szCs w:val="24"/>
        </w:rPr>
        <w:t>use in times of peace, they are</w:t>
      </w:r>
      <w:r w:rsidRPr="00921196">
        <w:rPr>
          <w:rFonts w:ascii="Times New Roman" w:hAnsi="Times New Roman"/>
          <w:sz w:val="24"/>
          <w:szCs w:val="24"/>
        </w:rPr>
        <w:t xml:space="preserve"> exempt from military practice and bearing arms.”</w:t>
      </w:r>
      <w:r w:rsidRPr="00921196">
        <w:rPr>
          <w:rStyle w:val="FootnoteReference"/>
        </w:rPr>
        <w:footnoteReference w:id="17"/>
      </w:r>
      <w:r w:rsidRPr="00921196">
        <w:rPr>
          <w:rFonts w:ascii="Times New Roman" w:hAnsi="Times New Roman"/>
          <w:sz w:val="24"/>
          <w:szCs w:val="24"/>
        </w:rPr>
        <w:t xml:space="preserve"> At the same time, a brief remark earlier in the regulations stipulates that “the burghers’ guard not only consists of members who professed the burghers’ oath, but also of other persons who are not bound to the city by any allegiance.”</w:t>
      </w:r>
      <w:r w:rsidRPr="00921196">
        <w:rPr>
          <w:rStyle w:val="FootnoteReference"/>
        </w:rPr>
        <w:footnoteReference w:id="18"/>
      </w:r>
      <w:r w:rsidRPr="00921196">
        <w:rPr>
          <w:rFonts w:ascii="Times New Roman" w:hAnsi="Times New Roman"/>
          <w:sz w:val="24"/>
          <w:szCs w:val="24"/>
        </w:rPr>
        <w:t xml:space="preserve"> The last lines of the regulations, however, imply that some individuals </w:t>
      </w:r>
      <w:r w:rsidR="00345BBE" w:rsidRPr="00921196">
        <w:rPr>
          <w:rFonts w:ascii="Times New Roman" w:hAnsi="Times New Roman"/>
          <w:sz w:val="24"/>
          <w:szCs w:val="24"/>
        </w:rPr>
        <w:t>did in fact fail to</w:t>
      </w:r>
      <w:r w:rsidRPr="00921196">
        <w:rPr>
          <w:rFonts w:ascii="Times New Roman" w:hAnsi="Times New Roman"/>
          <w:sz w:val="24"/>
          <w:szCs w:val="24"/>
        </w:rPr>
        <w:t xml:space="preserve"> fulfil their duty:</w:t>
      </w:r>
      <w:r w:rsidR="00EA0ED0" w:rsidRPr="00921196">
        <w:rPr>
          <w:rFonts w:ascii="Times New Roman" w:hAnsi="Times New Roman"/>
          <w:sz w:val="24"/>
          <w:szCs w:val="24"/>
        </w:rPr>
        <w:t xml:space="preserve"> </w:t>
      </w:r>
      <w:r w:rsidR="00D777F0">
        <w:rPr>
          <w:rFonts w:ascii="Times New Roman" w:hAnsi="Times New Roman"/>
          <w:sz w:val="24"/>
          <w:szCs w:val="24"/>
        </w:rPr>
        <w:t>t</w:t>
      </w:r>
      <w:r w:rsidR="006A029A">
        <w:rPr>
          <w:rFonts w:ascii="Times New Roman" w:hAnsi="Times New Roman"/>
          <w:sz w:val="24"/>
          <w:szCs w:val="24"/>
        </w:rPr>
        <w:t xml:space="preserve">he text suggests that they appeared in the guard’s uniform at the ceremonial occasion of obtaining their burgher’s </w:t>
      </w:r>
      <w:r w:rsidR="00CB1324">
        <w:rPr>
          <w:rFonts w:ascii="Times New Roman" w:hAnsi="Times New Roman"/>
          <w:sz w:val="24"/>
          <w:szCs w:val="24"/>
        </w:rPr>
        <w:t>privileges</w:t>
      </w:r>
      <w:r w:rsidR="006A029A">
        <w:rPr>
          <w:rFonts w:ascii="Times New Roman" w:hAnsi="Times New Roman"/>
          <w:sz w:val="24"/>
          <w:szCs w:val="24"/>
        </w:rPr>
        <w:t xml:space="preserve"> and making their oath, but afterwards relinquished the uniform and never reported for duty. The regulations specified that it is the council’s obligation to force these individuals to perform their mandatory duty.</w:t>
      </w:r>
      <w:r w:rsidR="00345BBE" w:rsidRPr="00921196">
        <w:rPr>
          <w:rStyle w:val="FootnoteReference"/>
        </w:rPr>
        <w:footnoteReference w:id="19"/>
      </w:r>
      <w:r w:rsidR="00345BBE" w:rsidRPr="00921196">
        <w:rPr>
          <w:rFonts w:ascii="Times New Roman" w:hAnsi="Times New Roman"/>
          <w:sz w:val="24"/>
          <w:szCs w:val="24"/>
        </w:rPr>
        <w:t xml:space="preserve"> </w:t>
      </w:r>
    </w:p>
    <w:p w14:paraId="5483E36A" w14:textId="308CC7EC" w:rsidR="00C8349E" w:rsidRPr="00921196" w:rsidRDefault="006A029A" w:rsidP="00CB1324">
      <w:pPr>
        <w:spacing w:after="0" w:line="360" w:lineRule="auto"/>
        <w:ind w:firstLine="680"/>
        <w:jc w:val="both"/>
        <w:rPr>
          <w:rFonts w:ascii="Times New Roman" w:hAnsi="Times New Roman"/>
          <w:sz w:val="24"/>
          <w:szCs w:val="24"/>
        </w:rPr>
      </w:pPr>
      <w:r>
        <w:rPr>
          <w:rFonts w:ascii="Times New Roman" w:hAnsi="Times New Roman"/>
          <w:sz w:val="24"/>
          <w:szCs w:val="24"/>
        </w:rPr>
        <w:lastRenderedPageBreak/>
        <w:t>It is a</w:t>
      </w:r>
      <w:r w:rsidR="00F548EA" w:rsidRPr="00921196">
        <w:rPr>
          <w:rFonts w:ascii="Times New Roman" w:hAnsi="Times New Roman"/>
          <w:sz w:val="24"/>
          <w:szCs w:val="24"/>
        </w:rPr>
        <w:t xml:space="preserve">lso relevant for the present study that according to the “Additional Palatine Orders” the magistrate had to specify a date for the muster of the burghers’ guard. For the preparations of the muster they ordered a </w:t>
      </w:r>
      <w:r w:rsidR="00EA409A" w:rsidRPr="00921196">
        <w:rPr>
          <w:rFonts w:ascii="Times New Roman" w:hAnsi="Times New Roman"/>
          <w:sz w:val="24"/>
          <w:szCs w:val="24"/>
        </w:rPr>
        <w:t>census</w:t>
      </w:r>
      <w:r w:rsidR="00F548EA" w:rsidRPr="00921196">
        <w:rPr>
          <w:rFonts w:ascii="Times New Roman" w:hAnsi="Times New Roman"/>
          <w:sz w:val="24"/>
          <w:szCs w:val="24"/>
        </w:rPr>
        <w:t xml:space="preserve"> of the burghers in order to list those fit for service and those who were exempt. Regarding the future proceedings, they stipulated that the muster must be held annually and </w:t>
      </w:r>
      <w:r w:rsidR="00CB1324">
        <w:rPr>
          <w:rFonts w:ascii="Times New Roman" w:hAnsi="Times New Roman"/>
          <w:sz w:val="24"/>
          <w:szCs w:val="24"/>
        </w:rPr>
        <w:t xml:space="preserve">must </w:t>
      </w:r>
      <w:r w:rsidR="00F548EA" w:rsidRPr="00921196">
        <w:rPr>
          <w:rFonts w:ascii="Times New Roman" w:hAnsi="Times New Roman"/>
          <w:sz w:val="24"/>
          <w:szCs w:val="24"/>
        </w:rPr>
        <w:t xml:space="preserve">entail </w:t>
      </w:r>
      <w:r w:rsidR="00CB1324">
        <w:rPr>
          <w:rFonts w:ascii="Times New Roman" w:hAnsi="Times New Roman"/>
          <w:sz w:val="24"/>
          <w:szCs w:val="24"/>
        </w:rPr>
        <w:t xml:space="preserve">both </w:t>
      </w:r>
      <w:r w:rsidR="00F548EA" w:rsidRPr="00921196">
        <w:rPr>
          <w:rFonts w:ascii="Times New Roman" w:hAnsi="Times New Roman"/>
          <w:sz w:val="24"/>
          <w:szCs w:val="24"/>
        </w:rPr>
        <w:t xml:space="preserve">the </w:t>
      </w:r>
      <w:r w:rsidR="00CB1324">
        <w:rPr>
          <w:rFonts w:ascii="Times New Roman" w:hAnsi="Times New Roman"/>
          <w:sz w:val="24"/>
          <w:szCs w:val="24"/>
        </w:rPr>
        <w:t>renewal</w:t>
      </w:r>
      <w:r w:rsidR="00F548EA" w:rsidRPr="00921196">
        <w:rPr>
          <w:rFonts w:ascii="Times New Roman" w:hAnsi="Times New Roman"/>
          <w:sz w:val="24"/>
          <w:szCs w:val="24"/>
        </w:rPr>
        <w:t xml:space="preserve"> of the officer</w:t>
      </w:r>
      <w:r w:rsidR="00CB1324">
        <w:rPr>
          <w:rFonts w:ascii="Times New Roman" w:hAnsi="Times New Roman"/>
          <w:sz w:val="24"/>
          <w:szCs w:val="24"/>
        </w:rPr>
        <w:t>s’</w:t>
      </w:r>
      <w:r w:rsidR="00F548EA" w:rsidRPr="00921196">
        <w:rPr>
          <w:rFonts w:ascii="Times New Roman" w:hAnsi="Times New Roman"/>
          <w:sz w:val="24"/>
          <w:szCs w:val="24"/>
        </w:rPr>
        <w:t xml:space="preserve"> corps and the ceremonial oath of the new members. According to the intentions of the </w:t>
      </w:r>
      <w:r w:rsidR="007A2201" w:rsidRPr="00921196">
        <w:rPr>
          <w:rFonts w:ascii="Times New Roman" w:hAnsi="Times New Roman"/>
          <w:sz w:val="24"/>
          <w:szCs w:val="24"/>
        </w:rPr>
        <w:t xml:space="preserve">Košice </w:t>
      </w:r>
      <w:r w:rsidR="00F548EA" w:rsidRPr="00921196">
        <w:rPr>
          <w:rFonts w:ascii="Times New Roman" w:hAnsi="Times New Roman"/>
          <w:sz w:val="24"/>
          <w:szCs w:val="24"/>
        </w:rPr>
        <w:t xml:space="preserve"> council, the proposed muster, thus, served the multiple aims of reorganising the burghers’ guard, establishing the basis for its continued service in the future, and enforcing the principles and regulations detailed above. However, the planned muster of the burghers’ guard did not take place until the summer of 1842. </w:t>
      </w:r>
    </w:p>
    <w:p w14:paraId="654F7C04" w14:textId="72EC63C3" w:rsidR="00B50FC5" w:rsidRPr="00921196" w:rsidRDefault="002E74CC" w:rsidP="00B50FC5">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Perhaps the </w:t>
      </w:r>
      <w:r w:rsidR="005E4646" w:rsidRPr="00921196">
        <w:rPr>
          <w:rFonts w:ascii="Times New Roman" w:hAnsi="Times New Roman"/>
          <w:sz w:val="24"/>
          <w:szCs w:val="24"/>
        </w:rPr>
        <w:t xml:space="preserve">best starting point for the discussion of the events is a letter by the commander-in-chief of the </w:t>
      </w:r>
      <w:r w:rsidR="007A2201" w:rsidRPr="00921196">
        <w:rPr>
          <w:rFonts w:ascii="Times New Roman" w:hAnsi="Times New Roman"/>
          <w:sz w:val="24"/>
          <w:szCs w:val="24"/>
        </w:rPr>
        <w:t xml:space="preserve">Košice </w:t>
      </w:r>
      <w:r w:rsidR="005E4646" w:rsidRPr="00921196">
        <w:rPr>
          <w:rFonts w:ascii="Times New Roman" w:hAnsi="Times New Roman"/>
          <w:sz w:val="24"/>
          <w:szCs w:val="24"/>
        </w:rPr>
        <w:t xml:space="preserve"> burghers’ guard, Count István Szirmay of Szirmabesenyő, sent on May 9, 1842, in which he requests the council to appoint June 20 </w:t>
      </w:r>
      <w:r w:rsidR="00CB1324">
        <w:rPr>
          <w:rFonts w:ascii="Times New Roman" w:hAnsi="Times New Roman"/>
          <w:sz w:val="24"/>
          <w:szCs w:val="24"/>
        </w:rPr>
        <w:t>as the date of</w:t>
      </w:r>
      <w:r w:rsidR="005E4646" w:rsidRPr="00921196">
        <w:rPr>
          <w:rFonts w:ascii="Times New Roman" w:hAnsi="Times New Roman"/>
          <w:sz w:val="24"/>
          <w:szCs w:val="24"/>
        </w:rPr>
        <w:t xml:space="preserve"> the burghers’ guards “muster, as approved by the highest office.” In preparation for the muster he ordered the census of burghers according to districts</w:t>
      </w:r>
      <w:r w:rsidR="00CB1324">
        <w:rPr>
          <w:rFonts w:ascii="Times New Roman" w:hAnsi="Times New Roman"/>
          <w:sz w:val="24"/>
          <w:szCs w:val="24"/>
        </w:rPr>
        <w:t>,</w:t>
      </w:r>
      <w:r w:rsidR="005E4646" w:rsidRPr="00921196">
        <w:rPr>
          <w:rFonts w:ascii="Times New Roman" w:hAnsi="Times New Roman"/>
          <w:sz w:val="24"/>
          <w:szCs w:val="24"/>
        </w:rPr>
        <w:t xml:space="preserve"> and the proclamation of “the time of this ceremony” among the citizens.</w:t>
      </w:r>
      <w:r w:rsidR="005E4646" w:rsidRPr="00921196">
        <w:rPr>
          <w:rStyle w:val="FootnoteReference"/>
        </w:rPr>
        <w:footnoteReference w:id="20"/>
      </w:r>
      <w:r w:rsidR="005E4646" w:rsidRPr="00921196">
        <w:rPr>
          <w:rFonts w:ascii="Times New Roman" w:hAnsi="Times New Roman"/>
          <w:sz w:val="24"/>
          <w:szCs w:val="24"/>
        </w:rPr>
        <w:t xml:space="preserve"> </w:t>
      </w:r>
      <w:r w:rsidR="00CB1324">
        <w:rPr>
          <w:rFonts w:ascii="Times New Roman" w:hAnsi="Times New Roman"/>
          <w:sz w:val="24"/>
          <w:szCs w:val="24"/>
        </w:rPr>
        <w:t>O</w:t>
      </w:r>
      <w:r w:rsidR="00CB1324" w:rsidRPr="00921196">
        <w:rPr>
          <w:rFonts w:ascii="Times New Roman" w:hAnsi="Times New Roman"/>
          <w:sz w:val="24"/>
          <w:szCs w:val="24"/>
        </w:rPr>
        <w:t>n May 18</w:t>
      </w:r>
      <w:r w:rsidR="00CB1324">
        <w:rPr>
          <w:rFonts w:ascii="Times New Roman" w:hAnsi="Times New Roman"/>
          <w:sz w:val="24"/>
          <w:szCs w:val="24"/>
        </w:rPr>
        <w:t>, t</w:t>
      </w:r>
      <w:r w:rsidR="005E4646" w:rsidRPr="00921196">
        <w:rPr>
          <w:rFonts w:ascii="Times New Roman" w:hAnsi="Times New Roman"/>
          <w:sz w:val="24"/>
          <w:szCs w:val="24"/>
        </w:rPr>
        <w:t xml:space="preserve">he council </w:t>
      </w:r>
      <w:r w:rsidR="0058385D" w:rsidRPr="00921196">
        <w:rPr>
          <w:rFonts w:ascii="Times New Roman" w:hAnsi="Times New Roman"/>
          <w:sz w:val="24"/>
          <w:szCs w:val="24"/>
        </w:rPr>
        <w:t xml:space="preserve">appointed the city officers responsible for the census and the muster. The significance of the event is </w:t>
      </w:r>
      <w:r w:rsidR="00CB1324">
        <w:rPr>
          <w:rFonts w:ascii="Times New Roman" w:hAnsi="Times New Roman"/>
          <w:sz w:val="24"/>
          <w:szCs w:val="24"/>
        </w:rPr>
        <w:t>clearly</w:t>
      </w:r>
      <w:r w:rsidR="0058385D" w:rsidRPr="00921196">
        <w:rPr>
          <w:rFonts w:ascii="Times New Roman" w:hAnsi="Times New Roman"/>
          <w:sz w:val="24"/>
          <w:szCs w:val="24"/>
        </w:rPr>
        <w:t xml:space="preserve"> </w:t>
      </w:r>
      <w:r w:rsidR="00EA409A" w:rsidRPr="00921196">
        <w:rPr>
          <w:rFonts w:ascii="Times New Roman" w:hAnsi="Times New Roman"/>
          <w:sz w:val="24"/>
          <w:szCs w:val="24"/>
        </w:rPr>
        <w:t>shown</w:t>
      </w:r>
      <w:r w:rsidR="0058385D" w:rsidRPr="00921196">
        <w:rPr>
          <w:rFonts w:ascii="Times New Roman" w:hAnsi="Times New Roman"/>
          <w:sz w:val="24"/>
          <w:szCs w:val="24"/>
        </w:rPr>
        <w:t xml:space="preserve"> by the fact that the committee was made up of four councillors and the first deputy notary. Eventually, the muster took place on July 4 and 5, two weeks after the planned date, presumably because of the time </w:t>
      </w:r>
      <w:r w:rsidR="00CB1324">
        <w:rPr>
          <w:rFonts w:ascii="Times New Roman" w:hAnsi="Times New Roman"/>
          <w:sz w:val="24"/>
          <w:szCs w:val="24"/>
        </w:rPr>
        <w:t>taken</w:t>
      </w:r>
      <w:r w:rsidR="0058385D" w:rsidRPr="00921196">
        <w:rPr>
          <w:rFonts w:ascii="Times New Roman" w:hAnsi="Times New Roman"/>
          <w:sz w:val="24"/>
          <w:szCs w:val="24"/>
        </w:rPr>
        <w:t xml:space="preserve"> to complete the census. </w:t>
      </w:r>
    </w:p>
    <w:p w14:paraId="2FC146B9" w14:textId="4DCA1674" w:rsidR="00B50FC5" w:rsidRPr="00921196" w:rsidRDefault="0058385D" w:rsidP="00B50FC5">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The census </w:t>
      </w:r>
      <w:r w:rsidR="00CB1324">
        <w:rPr>
          <w:rFonts w:ascii="Times New Roman" w:hAnsi="Times New Roman"/>
          <w:sz w:val="24"/>
          <w:szCs w:val="24"/>
        </w:rPr>
        <w:t>was drawn up in</w:t>
      </w:r>
      <w:r w:rsidRPr="00921196">
        <w:rPr>
          <w:rFonts w:ascii="Times New Roman" w:hAnsi="Times New Roman"/>
          <w:sz w:val="24"/>
          <w:szCs w:val="24"/>
        </w:rPr>
        <w:t xml:space="preserve"> </w:t>
      </w:r>
      <w:r w:rsidR="00CB1324">
        <w:rPr>
          <w:rFonts w:ascii="Times New Roman" w:hAnsi="Times New Roman"/>
          <w:sz w:val="24"/>
          <w:szCs w:val="24"/>
        </w:rPr>
        <w:t>a six-column form</w:t>
      </w:r>
      <w:r w:rsidRPr="00921196">
        <w:rPr>
          <w:rFonts w:ascii="Times New Roman" w:hAnsi="Times New Roman"/>
          <w:sz w:val="24"/>
          <w:szCs w:val="24"/>
        </w:rPr>
        <w:t xml:space="preserve">. </w:t>
      </w:r>
      <w:r w:rsidR="00630E9C" w:rsidRPr="00921196">
        <w:rPr>
          <w:rFonts w:ascii="Times New Roman" w:hAnsi="Times New Roman"/>
          <w:sz w:val="24"/>
          <w:szCs w:val="24"/>
        </w:rPr>
        <w:t xml:space="preserve">The burghers </w:t>
      </w:r>
      <w:r w:rsidR="005065EC" w:rsidRPr="00B97438">
        <w:rPr>
          <w:rFonts w:ascii="Times New Roman" w:hAnsi="Times New Roman"/>
          <w:sz w:val="24"/>
          <w:szCs w:val="24"/>
        </w:rPr>
        <w:t xml:space="preserve">were </w:t>
      </w:r>
      <w:r w:rsidR="00B97438" w:rsidRPr="00B97438">
        <w:rPr>
          <w:rFonts w:ascii="Times New Roman" w:hAnsi="Times New Roman"/>
          <w:sz w:val="24"/>
          <w:szCs w:val="24"/>
        </w:rPr>
        <w:t>assigned</w:t>
      </w:r>
      <w:r w:rsidR="005065EC" w:rsidRPr="00B97438">
        <w:rPr>
          <w:rFonts w:ascii="Times New Roman" w:hAnsi="Times New Roman"/>
          <w:sz w:val="24"/>
          <w:szCs w:val="24"/>
        </w:rPr>
        <w:t xml:space="preserve"> a continuous </w:t>
      </w:r>
      <w:r w:rsidR="00EA0ED0" w:rsidRPr="00B97438">
        <w:rPr>
          <w:rFonts w:ascii="Times New Roman" w:hAnsi="Times New Roman"/>
          <w:sz w:val="24"/>
          <w:szCs w:val="24"/>
        </w:rPr>
        <w:t xml:space="preserve">“serial number” </w:t>
      </w:r>
      <w:r w:rsidR="00630E9C" w:rsidRPr="00B97438">
        <w:rPr>
          <w:rFonts w:ascii="Times New Roman" w:hAnsi="Times New Roman"/>
          <w:sz w:val="24"/>
          <w:szCs w:val="24"/>
        </w:rPr>
        <w:t>a</w:t>
      </w:r>
      <w:r w:rsidR="00630E9C" w:rsidRPr="00921196">
        <w:rPr>
          <w:rFonts w:ascii="Times New Roman" w:hAnsi="Times New Roman"/>
          <w:sz w:val="24"/>
          <w:szCs w:val="24"/>
        </w:rPr>
        <w:t xml:space="preserve">s the census proceeded. This was followed by the house number and the name of the individual under the heading “Name of the burgher resident in this city, as listed”. Their age was entered under the </w:t>
      </w:r>
      <w:r w:rsidR="005065EC" w:rsidRPr="00921196">
        <w:rPr>
          <w:rFonts w:ascii="Times New Roman" w:hAnsi="Times New Roman"/>
          <w:sz w:val="24"/>
          <w:szCs w:val="24"/>
        </w:rPr>
        <w:t xml:space="preserve">next heading, </w:t>
      </w:r>
      <w:r w:rsidR="00630E9C" w:rsidRPr="00921196">
        <w:rPr>
          <w:rFonts w:ascii="Times New Roman" w:hAnsi="Times New Roman"/>
          <w:sz w:val="24"/>
          <w:szCs w:val="24"/>
        </w:rPr>
        <w:t xml:space="preserve">followed by columns titled “General remarks,” and “Fit to bear arms.” The list contained 670 names altogether. The general remarks </w:t>
      </w:r>
      <w:r w:rsidR="00CB1324">
        <w:rPr>
          <w:rFonts w:ascii="Times New Roman" w:hAnsi="Times New Roman"/>
          <w:sz w:val="24"/>
          <w:szCs w:val="24"/>
        </w:rPr>
        <w:t xml:space="preserve">also </w:t>
      </w:r>
      <w:r w:rsidR="00630E9C" w:rsidRPr="00921196">
        <w:rPr>
          <w:rFonts w:ascii="Times New Roman" w:hAnsi="Times New Roman"/>
          <w:sz w:val="24"/>
          <w:szCs w:val="24"/>
        </w:rPr>
        <w:t>included notes regarding fitness for service and uniform</w:t>
      </w:r>
      <w:r w:rsidR="00CB1324">
        <w:rPr>
          <w:rFonts w:ascii="Times New Roman" w:hAnsi="Times New Roman"/>
          <w:sz w:val="24"/>
          <w:szCs w:val="24"/>
        </w:rPr>
        <w:t xml:space="preserve"> ownership</w:t>
      </w:r>
      <w:r w:rsidR="00630E9C" w:rsidRPr="00921196">
        <w:rPr>
          <w:rFonts w:ascii="Times New Roman" w:hAnsi="Times New Roman"/>
          <w:sz w:val="24"/>
          <w:szCs w:val="24"/>
        </w:rPr>
        <w:t>. In the last column, fitness for service was indicated by Arabic numeral 1, while individuals deemed unfit were marked as “no.”</w:t>
      </w:r>
      <w:r w:rsidR="00630E9C" w:rsidRPr="00CB1324">
        <w:rPr>
          <w:rStyle w:val="FootnoteReference"/>
          <w:rFonts w:ascii="Times New Roman" w:hAnsi="Times New Roman"/>
        </w:rPr>
        <w:footnoteReference w:id="21"/>
      </w:r>
      <w:r w:rsidR="00630E9C" w:rsidRPr="00CB1324">
        <w:rPr>
          <w:rFonts w:ascii="Times New Roman" w:hAnsi="Times New Roman"/>
          <w:sz w:val="24"/>
          <w:szCs w:val="24"/>
        </w:rPr>
        <w:t xml:space="preserve"> </w:t>
      </w:r>
    </w:p>
    <w:p w14:paraId="1671CA39" w14:textId="78DFD15E" w:rsidR="00787480" w:rsidRPr="00921196" w:rsidRDefault="00C23E64" w:rsidP="00787480">
      <w:pPr>
        <w:spacing w:after="0" w:line="360" w:lineRule="auto"/>
        <w:ind w:firstLine="680"/>
        <w:jc w:val="both"/>
        <w:rPr>
          <w:rFonts w:ascii="Times New Roman" w:hAnsi="Times New Roman"/>
          <w:sz w:val="24"/>
          <w:szCs w:val="24"/>
        </w:rPr>
      </w:pPr>
      <w:r w:rsidRPr="00921196">
        <w:rPr>
          <w:rFonts w:ascii="Times New Roman" w:hAnsi="Times New Roman"/>
          <w:sz w:val="24"/>
          <w:szCs w:val="24"/>
        </w:rPr>
        <w:lastRenderedPageBreak/>
        <w:t>The notes in</w:t>
      </w:r>
      <w:r w:rsidR="00630E9C" w:rsidRPr="00921196">
        <w:rPr>
          <w:rFonts w:ascii="Times New Roman" w:hAnsi="Times New Roman"/>
          <w:sz w:val="24"/>
          <w:szCs w:val="24"/>
        </w:rPr>
        <w:t xml:space="preserve"> the general remarks column</w:t>
      </w:r>
      <w:r w:rsidRPr="00921196">
        <w:rPr>
          <w:rFonts w:ascii="Times New Roman" w:hAnsi="Times New Roman"/>
          <w:sz w:val="24"/>
          <w:szCs w:val="24"/>
        </w:rPr>
        <w:t xml:space="preserve"> </w:t>
      </w:r>
      <w:r w:rsidR="006F190E" w:rsidRPr="00921196">
        <w:rPr>
          <w:rFonts w:ascii="Times New Roman" w:hAnsi="Times New Roman"/>
          <w:sz w:val="24"/>
          <w:szCs w:val="24"/>
        </w:rPr>
        <w:t xml:space="preserve">provide an insight into the circle of burghers who were exempt from guard service for reasons beyond those stipulated in the regulations: </w:t>
      </w:r>
      <w:r w:rsidR="00CB1324">
        <w:rPr>
          <w:rFonts w:ascii="Times New Roman" w:hAnsi="Times New Roman"/>
          <w:sz w:val="24"/>
          <w:szCs w:val="24"/>
        </w:rPr>
        <w:t>nobles</w:t>
      </w:r>
      <w:r w:rsidR="006F190E" w:rsidRPr="00921196">
        <w:rPr>
          <w:rFonts w:ascii="Times New Roman" w:hAnsi="Times New Roman"/>
          <w:sz w:val="24"/>
          <w:szCs w:val="24"/>
        </w:rPr>
        <w:t>, city officials, doctors, lawyers, teachers and clerics.</w:t>
      </w:r>
      <w:r w:rsidR="006F190E" w:rsidRPr="00921196">
        <w:rPr>
          <w:rStyle w:val="FootnoteReference"/>
        </w:rPr>
        <w:footnoteReference w:id="22"/>
      </w:r>
      <w:r w:rsidR="00787480" w:rsidRPr="00921196">
        <w:rPr>
          <w:rFonts w:ascii="Times New Roman" w:hAnsi="Times New Roman"/>
          <w:sz w:val="24"/>
          <w:szCs w:val="24"/>
        </w:rPr>
        <w:t xml:space="preserve"> This, however, did not mean that such individuals were not to be found among the members of the </w:t>
      </w:r>
      <w:r w:rsidR="00B60588" w:rsidRPr="00921196">
        <w:rPr>
          <w:rFonts w:ascii="Times New Roman" w:hAnsi="Times New Roman"/>
          <w:sz w:val="24"/>
          <w:szCs w:val="24"/>
        </w:rPr>
        <w:t>guard</w:t>
      </w:r>
      <w:r w:rsidR="00787480" w:rsidRPr="00921196">
        <w:rPr>
          <w:rFonts w:ascii="Times New Roman" w:hAnsi="Times New Roman"/>
          <w:sz w:val="24"/>
          <w:szCs w:val="24"/>
        </w:rPr>
        <w:t>. A number of nob</w:t>
      </w:r>
      <w:r w:rsidR="00CB1324">
        <w:rPr>
          <w:rFonts w:ascii="Times New Roman" w:hAnsi="Times New Roman"/>
          <w:sz w:val="24"/>
          <w:szCs w:val="24"/>
        </w:rPr>
        <w:t>le burghers served in the guard;</w:t>
      </w:r>
      <w:r w:rsidR="00787480" w:rsidRPr="00921196">
        <w:rPr>
          <w:rFonts w:ascii="Times New Roman" w:hAnsi="Times New Roman"/>
          <w:sz w:val="24"/>
          <w:szCs w:val="24"/>
        </w:rPr>
        <w:t xml:space="preserve"> for example, the commander-in-chief himself was a count. </w:t>
      </w:r>
    </w:p>
    <w:p w14:paraId="0C632C31" w14:textId="62D3E0FB" w:rsidR="00B50FC5" w:rsidRPr="00921196" w:rsidRDefault="00787480" w:rsidP="00787480">
      <w:pPr>
        <w:spacing w:after="0" w:line="360" w:lineRule="auto"/>
        <w:ind w:firstLine="680"/>
        <w:jc w:val="both"/>
        <w:rPr>
          <w:rFonts w:ascii="Times New Roman" w:hAnsi="Times New Roman"/>
          <w:sz w:val="24"/>
          <w:szCs w:val="24"/>
        </w:rPr>
      </w:pPr>
      <w:r w:rsidRPr="00921196">
        <w:rPr>
          <w:rFonts w:ascii="Times New Roman" w:hAnsi="Times New Roman"/>
          <w:sz w:val="24"/>
          <w:szCs w:val="24"/>
        </w:rPr>
        <w:t>Although the above quoted last lines of the Regulation drew attention to those who neglected their duty in the guard, the census reveals that</w:t>
      </w:r>
      <w:r w:rsidR="001F2B29" w:rsidRPr="00921196">
        <w:rPr>
          <w:rFonts w:ascii="Times New Roman" w:hAnsi="Times New Roman"/>
          <w:sz w:val="24"/>
          <w:szCs w:val="24"/>
        </w:rPr>
        <w:t>,</w:t>
      </w:r>
      <w:r w:rsidRPr="00921196">
        <w:rPr>
          <w:rFonts w:ascii="Times New Roman" w:hAnsi="Times New Roman"/>
          <w:sz w:val="24"/>
          <w:szCs w:val="24"/>
        </w:rPr>
        <w:t xml:space="preserve"> </w:t>
      </w:r>
      <w:r w:rsidR="0029237C">
        <w:rPr>
          <w:rFonts w:ascii="Times New Roman" w:hAnsi="Times New Roman"/>
          <w:sz w:val="24"/>
          <w:szCs w:val="24"/>
        </w:rPr>
        <w:t xml:space="preserve">conversely, </w:t>
      </w:r>
      <w:r w:rsidRPr="00921196">
        <w:rPr>
          <w:rFonts w:ascii="Times New Roman" w:hAnsi="Times New Roman"/>
          <w:sz w:val="24"/>
          <w:szCs w:val="24"/>
        </w:rPr>
        <w:t>there were uniformed personnel serving in the guard who did not in fact possess burgher</w:t>
      </w:r>
      <w:r w:rsidR="00E223E1" w:rsidRPr="00921196">
        <w:rPr>
          <w:rFonts w:ascii="Times New Roman" w:hAnsi="Times New Roman"/>
          <w:sz w:val="24"/>
          <w:szCs w:val="24"/>
        </w:rPr>
        <w:t>s’ rights in the city. The regu</w:t>
      </w:r>
      <w:r w:rsidR="001F2B29" w:rsidRPr="00921196">
        <w:rPr>
          <w:rFonts w:ascii="Times New Roman" w:hAnsi="Times New Roman"/>
          <w:sz w:val="24"/>
          <w:szCs w:val="24"/>
        </w:rPr>
        <w:t xml:space="preserve">lation did not prohibit this per se. </w:t>
      </w:r>
      <w:r w:rsidR="00E223E1" w:rsidRPr="00921196">
        <w:rPr>
          <w:rFonts w:ascii="Times New Roman" w:hAnsi="Times New Roman"/>
          <w:sz w:val="24"/>
          <w:szCs w:val="24"/>
        </w:rPr>
        <w:t>T</w:t>
      </w:r>
      <w:r w:rsidR="001F2B29" w:rsidRPr="00921196">
        <w:rPr>
          <w:rFonts w:ascii="Times New Roman" w:hAnsi="Times New Roman"/>
          <w:sz w:val="24"/>
          <w:szCs w:val="24"/>
        </w:rPr>
        <w:t xml:space="preserve">he city councillors appointed to </w:t>
      </w:r>
      <w:r w:rsidR="0029237C">
        <w:rPr>
          <w:rFonts w:ascii="Times New Roman" w:hAnsi="Times New Roman"/>
          <w:sz w:val="24"/>
          <w:szCs w:val="24"/>
        </w:rPr>
        <w:t>organise</w:t>
      </w:r>
      <w:r w:rsidR="001F2B29" w:rsidRPr="00921196">
        <w:rPr>
          <w:rFonts w:ascii="Times New Roman" w:hAnsi="Times New Roman"/>
          <w:sz w:val="24"/>
          <w:szCs w:val="24"/>
        </w:rPr>
        <w:t xml:space="preserve"> the muster drew up a separate list of those individuals who were members of the guard and guilds despite the fact that they</w:t>
      </w:r>
      <w:r w:rsidR="00E223E1" w:rsidRPr="00921196">
        <w:rPr>
          <w:rFonts w:ascii="Times New Roman" w:hAnsi="Times New Roman"/>
          <w:sz w:val="24"/>
          <w:szCs w:val="24"/>
        </w:rPr>
        <w:t xml:space="preserve"> had</w:t>
      </w:r>
      <w:r w:rsidR="001F2B29" w:rsidRPr="00921196">
        <w:rPr>
          <w:rFonts w:ascii="Times New Roman" w:hAnsi="Times New Roman"/>
          <w:sz w:val="24"/>
          <w:szCs w:val="24"/>
        </w:rPr>
        <w:t xml:space="preserve"> never </w:t>
      </w:r>
      <w:r w:rsidR="00E223E1" w:rsidRPr="00921196">
        <w:rPr>
          <w:rFonts w:ascii="Times New Roman" w:hAnsi="Times New Roman"/>
          <w:sz w:val="24"/>
          <w:szCs w:val="24"/>
        </w:rPr>
        <w:t xml:space="preserve">been </w:t>
      </w:r>
      <w:r w:rsidR="001F2B29" w:rsidRPr="00921196">
        <w:rPr>
          <w:rFonts w:ascii="Times New Roman" w:hAnsi="Times New Roman"/>
          <w:sz w:val="24"/>
          <w:szCs w:val="24"/>
        </w:rPr>
        <w:t>sworn</w:t>
      </w:r>
      <w:r w:rsidR="00E223E1" w:rsidRPr="00921196">
        <w:rPr>
          <w:rFonts w:ascii="Times New Roman" w:hAnsi="Times New Roman"/>
          <w:sz w:val="24"/>
          <w:szCs w:val="24"/>
        </w:rPr>
        <w:t xml:space="preserve"> in</w:t>
      </w:r>
      <w:r w:rsidR="001F2B29" w:rsidRPr="00921196">
        <w:rPr>
          <w:rFonts w:ascii="Times New Roman" w:hAnsi="Times New Roman"/>
          <w:sz w:val="24"/>
          <w:szCs w:val="24"/>
        </w:rPr>
        <w:t xml:space="preserve"> as burghers. The the city</w:t>
      </w:r>
      <w:r w:rsidR="00532520">
        <w:rPr>
          <w:rFonts w:ascii="Times New Roman" w:hAnsi="Times New Roman"/>
          <w:sz w:val="24"/>
          <w:szCs w:val="24"/>
        </w:rPr>
        <w:t xml:space="preserve"> leaders</w:t>
      </w:r>
      <w:r w:rsidR="001F2B29" w:rsidRPr="00921196">
        <w:rPr>
          <w:rFonts w:ascii="Times New Roman" w:hAnsi="Times New Roman"/>
          <w:sz w:val="24"/>
          <w:szCs w:val="24"/>
        </w:rPr>
        <w:t xml:space="preserve"> decided that their membership was against the rules</w:t>
      </w:r>
      <w:r w:rsidR="00532520">
        <w:rPr>
          <w:rFonts w:ascii="Times New Roman" w:hAnsi="Times New Roman"/>
          <w:sz w:val="24"/>
          <w:szCs w:val="24"/>
        </w:rPr>
        <w:t>—</w:t>
      </w:r>
      <w:r w:rsidR="00C467BB" w:rsidRPr="00921196">
        <w:rPr>
          <w:rFonts w:ascii="Times New Roman" w:hAnsi="Times New Roman"/>
          <w:sz w:val="24"/>
          <w:szCs w:val="24"/>
        </w:rPr>
        <w:t xml:space="preserve">it </w:t>
      </w:r>
      <w:r w:rsidR="00532520">
        <w:rPr>
          <w:rFonts w:ascii="Times New Roman" w:hAnsi="Times New Roman"/>
          <w:sz w:val="24"/>
          <w:szCs w:val="24"/>
        </w:rPr>
        <w:t>is justifiable to say</w:t>
      </w:r>
      <w:r w:rsidR="00C467BB" w:rsidRPr="00921196">
        <w:rPr>
          <w:rFonts w:ascii="Times New Roman" w:hAnsi="Times New Roman"/>
          <w:sz w:val="24"/>
          <w:szCs w:val="24"/>
        </w:rPr>
        <w:t xml:space="preserve"> that it </w:t>
      </w:r>
      <w:r w:rsidR="00532520">
        <w:rPr>
          <w:rFonts w:ascii="Times New Roman" w:hAnsi="Times New Roman"/>
          <w:sz w:val="24"/>
          <w:szCs w:val="24"/>
        </w:rPr>
        <w:t>violated</w:t>
      </w:r>
      <w:r w:rsidR="00C467BB" w:rsidRPr="00921196">
        <w:rPr>
          <w:rFonts w:ascii="Times New Roman" w:hAnsi="Times New Roman"/>
          <w:sz w:val="24"/>
          <w:szCs w:val="24"/>
        </w:rPr>
        <w:t xml:space="preserve"> the norm. This</w:t>
      </w:r>
      <w:r w:rsidR="00AF2C06" w:rsidRPr="00921196">
        <w:rPr>
          <w:rFonts w:ascii="Times New Roman" w:hAnsi="Times New Roman"/>
          <w:sz w:val="24"/>
          <w:szCs w:val="24"/>
        </w:rPr>
        <w:t xml:space="preserve"> list contained the name of thir</w:t>
      </w:r>
      <w:r w:rsidR="00C467BB" w:rsidRPr="00921196">
        <w:rPr>
          <w:rFonts w:ascii="Times New Roman" w:hAnsi="Times New Roman"/>
          <w:sz w:val="24"/>
          <w:szCs w:val="24"/>
        </w:rPr>
        <w:t>ty-three people of various trades.</w:t>
      </w:r>
      <w:r w:rsidR="00C467BB" w:rsidRPr="00921196">
        <w:rPr>
          <w:rStyle w:val="FootnoteReference"/>
        </w:rPr>
        <w:footnoteReference w:id="23"/>
      </w:r>
      <w:r w:rsidR="00C467BB" w:rsidRPr="00921196">
        <w:rPr>
          <w:rFonts w:ascii="Times New Roman" w:hAnsi="Times New Roman"/>
          <w:sz w:val="24"/>
          <w:szCs w:val="24"/>
        </w:rPr>
        <w:t xml:space="preserve"> The council resolution in this matter ordered that</w:t>
      </w:r>
      <w:r w:rsidR="005065EC" w:rsidRPr="00921196">
        <w:rPr>
          <w:rFonts w:ascii="Times New Roman" w:hAnsi="Times New Roman"/>
          <w:sz w:val="24"/>
          <w:szCs w:val="24"/>
        </w:rPr>
        <w:t xml:space="preserve"> </w:t>
      </w:r>
      <w:r w:rsidR="00AF2C06" w:rsidRPr="00921196">
        <w:rPr>
          <w:rFonts w:ascii="Times New Roman" w:hAnsi="Times New Roman"/>
          <w:sz w:val="24"/>
          <w:szCs w:val="24"/>
        </w:rPr>
        <w:t xml:space="preserve">this list had to be handed over to the heads of the guilds concerned. In their turn, the heads of the guilds </w:t>
      </w:r>
      <w:r w:rsidR="00532520">
        <w:rPr>
          <w:rFonts w:ascii="Times New Roman" w:hAnsi="Times New Roman"/>
          <w:sz w:val="24"/>
          <w:szCs w:val="24"/>
        </w:rPr>
        <w:t xml:space="preserve">were required </w:t>
      </w:r>
      <w:r w:rsidR="00AF2C06" w:rsidRPr="00921196">
        <w:rPr>
          <w:rFonts w:ascii="Times New Roman" w:hAnsi="Times New Roman"/>
          <w:sz w:val="24"/>
          <w:szCs w:val="24"/>
        </w:rPr>
        <w:t>to explain the benefits of burghership and instruct them to apply for it</w:t>
      </w:r>
      <w:r w:rsidR="005065EC" w:rsidRPr="00921196">
        <w:rPr>
          <w:rFonts w:ascii="Times New Roman" w:hAnsi="Times New Roman"/>
          <w:sz w:val="24"/>
          <w:szCs w:val="24"/>
        </w:rPr>
        <w:t>.</w:t>
      </w:r>
      <w:r w:rsidR="00E223E1" w:rsidRPr="00921196">
        <w:rPr>
          <w:rStyle w:val="FootnoteReference"/>
        </w:rPr>
        <w:footnoteReference w:id="24"/>
      </w:r>
      <w:r w:rsidR="00E223E1" w:rsidRPr="00921196">
        <w:rPr>
          <w:rFonts w:ascii="Times New Roman" w:hAnsi="Times New Roman"/>
          <w:sz w:val="24"/>
          <w:szCs w:val="24"/>
        </w:rPr>
        <w:t xml:space="preserve"> The strategies employed by these individuals remain speculative, but the principles behind the council resolution is clear.</w:t>
      </w:r>
      <w:r w:rsidR="00E223E1" w:rsidRPr="00921196">
        <w:rPr>
          <w:rStyle w:val="FootnoteReference"/>
        </w:rPr>
        <w:footnoteReference w:id="25"/>
      </w:r>
    </w:p>
    <w:p w14:paraId="332F5FE0" w14:textId="7E51F945" w:rsidR="00B50FC5" w:rsidRPr="00921196" w:rsidRDefault="00E223E1" w:rsidP="00B50FC5">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As for the people </w:t>
      </w:r>
      <w:r w:rsidR="00493D98" w:rsidRPr="00921196">
        <w:rPr>
          <w:rFonts w:ascii="Times New Roman" w:hAnsi="Times New Roman"/>
          <w:sz w:val="24"/>
          <w:szCs w:val="24"/>
        </w:rPr>
        <w:t xml:space="preserve">enumerated in this separate list, it seems that they deemed their participation in the </w:t>
      </w:r>
      <w:r w:rsidR="00B60588" w:rsidRPr="00921196">
        <w:rPr>
          <w:rFonts w:ascii="Times New Roman" w:hAnsi="Times New Roman"/>
          <w:sz w:val="24"/>
          <w:szCs w:val="24"/>
        </w:rPr>
        <w:t>guard</w:t>
      </w:r>
      <w:r w:rsidR="00493D98" w:rsidRPr="00921196">
        <w:rPr>
          <w:rFonts w:ascii="Times New Roman" w:hAnsi="Times New Roman"/>
          <w:sz w:val="24"/>
          <w:szCs w:val="24"/>
        </w:rPr>
        <w:t xml:space="preserve"> more important than pledging their burgher status. </w:t>
      </w:r>
      <w:r w:rsidR="00AF2C06" w:rsidRPr="00921196">
        <w:rPr>
          <w:rFonts w:ascii="Times New Roman" w:hAnsi="Times New Roman"/>
          <w:sz w:val="24"/>
          <w:szCs w:val="24"/>
        </w:rPr>
        <w:t>On one hand, t</w:t>
      </w:r>
      <w:r w:rsidR="00493D98" w:rsidRPr="00921196">
        <w:rPr>
          <w:rFonts w:ascii="Times New Roman" w:hAnsi="Times New Roman"/>
          <w:sz w:val="24"/>
          <w:szCs w:val="24"/>
        </w:rPr>
        <w:t xml:space="preserve">his may be explained by the </w:t>
      </w:r>
      <w:r w:rsidR="007A5193">
        <w:rPr>
          <w:rFonts w:ascii="Times New Roman" w:hAnsi="Times New Roman"/>
          <w:sz w:val="24"/>
          <w:szCs w:val="24"/>
        </w:rPr>
        <w:t>practical consideration</w:t>
      </w:r>
      <w:r w:rsidR="00EA409A">
        <w:rPr>
          <w:rFonts w:ascii="Times New Roman" w:hAnsi="Times New Roman"/>
          <w:sz w:val="24"/>
          <w:szCs w:val="24"/>
        </w:rPr>
        <w:t xml:space="preserve"> that burghership, which cost</w:t>
      </w:r>
      <w:r w:rsidR="00493D98" w:rsidRPr="00921196">
        <w:rPr>
          <w:rFonts w:ascii="Times New Roman" w:hAnsi="Times New Roman"/>
          <w:sz w:val="24"/>
          <w:szCs w:val="24"/>
        </w:rPr>
        <w:t xml:space="preserve"> a significant amount of money, was </w:t>
      </w:r>
      <w:r w:rsidR="00AF2C06" w:rsidRPr="00921196">
        <w:rPr>
          <w:rFonts w:ascii="Times New Roman" w:hAnsi="Times New Roman"/>
          <w:sz w:val="24"/>
          <w:szCs w:val="24"/>
        </w:rPr>
        <w:t>not appealing</w:t>
      </w:r>
      <w:r w:rsidR="00493D98" w:rsidRPr="00921196">
        <w:rPr>
          <w:rFonts w:ascii="Times New Roman" w:hAnsi="Times New Roman"/>
          <w:sz w:val="24"/>
          <w:szCs w:val="24"/>
        </w:rPr>
        <w:t xml:space="preserve"> and </w:t>
      </w:r>
      <w:r w:rsidR="00AF2C06" w:rsidRPr="00921196">
        <w:rPr>
          <w:rFonts w:ascii="Times New Roman" w:hAnsi="Times New Roman"/>
          <w:sz w:val="24"/>
          <w:szCs w:val="24"/>
        </w:rPr>
        <w:t xml:space="preserve">beneficial </w:t>
      </w:r>
      <w:r w:rsidR="007A5193">
        <w:rPr>
          <w:rFonts w:ascii="Times New Roman" w:hAnsi="Times New Roman"/>
          <w:sz w:val="24"/>
          <w:szCs w:val="24"/>
        </w:rPr>
        <w:t xml:space="preserve">enough </w:t>
      </w:r>
      <w:r w:rsidR="007A5193">
        <w:rPr>
          <w:rFonts w:ascii="Times New Roman" w:hAnsi="Times New Roman"/>
          <w:sz w:val="24"/>
          <w:szCs w:val="24"/>
        </w:rPr>
        <w:t>to make it worth such an investment</w:t>
      </w:r>
      <w:r w:rsidR="00AF2C06" w:rsidRPr="00921196">
        <w:rPr>
          <w:rFonts w:ascii="Times New Roman" w:hAnsi="Times New Roman"/>
          <w:sz w:val="24"/>
          <w:szCs w:val="24"/>
        </w:rPr>
        <w:t xml:space="preserve">, especially that its absence obviously did not hamper practicing their trade.  On the other hand, it is possible that they simply had insufficient funds to cover the costs of both burghership and </w:t>
      </w:r>
      <w:r w:rsidR="00B60588" w:rsidRPr="00921196">
        <w:rPr>
          <w:rFonts w:ascii="Times New Roman" w:hAnsi="Times New Roman"/>
          <w:sz w:val="24"/>
          <w:szCs w:val="24"/>
        </w:rPr>
        <w:t>guard</w:t>
      </w:r>
      <w:r w:rsidR="00AF2C06" w:rsidRPr="00921196">
        <w:rPr>
          <w:rFonts w:ascii="Times New Roman" w:hAnsi="Times New Roman"/>
          <w:sz w:val="24"/>
          <w:szCs w:val="24"/>
        </w:rPr>
        <w:t xml:space="preserve"> membership so they had to make a choice. Parti</w:t>
      </w:r>
      <w:r w:rsidR="007A5193">
        <w:rPr>
          <w:rFonts w:ascii="Times New Roman" w:hAnsi="Times New Roman"/>
          <w:sz w:val="24"/>
          <w:szCs w:val="24"/>
        </w:rPr>
        <w:t>cipating in the burghers’ guard</w:t>
      </w:r>
      <w:r w:rsidR="00AF2C06" w:rsidRPr="00921196">
        <w:rPr>
          <w:rFonts w:ascii="Times New Roman" w:hAnsi="Times New Roman"/>
          <w:sz w:val="24"/>
          <w:szCs w:val="24"/>
        </w:rPr>
        <w:t xml:space="preserve"> provided the</w:t>
      </w:r>
      <w:r w:rsidR="00463175" w:rsidRPr="00921196">
        <w:rPr>
          <w:rFonts w:ascii="Times New Roman" w:hAnsi="Times New Roman"/>
          <w:sz w:val="24"/>
          <w:szCs w:val="24"/>
        </w:rPr>
        <w:t>m with the</w:t>
      </w:r>
      <w:r w:rsidR="00AF2C06" w:rsidRPr="00921196">
        <w:rPr>
          <w:rFonts w:ascii="Times New Roman" w:hAnsi="Times New Roman"/>
          <w:sz w:val="24"/>
          <w:szCs w:val="24"/>
        </w:rPr>
        <w:t xml:space="preserve"> opportunity of appearing in front of the wider public of the city at certain occasions armed and uniformed </w:t>
      </w:r>
      <w:r w:rsidR="007A5193">
        <w:rPr>
          <w:rFonts w:ascii="Times New Roman" w:hAnsi="Times New Roman"/>
          <w:sz w:val="24"/>
          <w:szCs w:val="24"/>
        </w:rPr>
        <w:t>like</w:t>
      </w:r>
      <w:r w:rsidR="00AF2C06" w:rsidRPr="00921196">
        <w:rPr>
          <w:rFonts w:ascii="Times New Roman" w:hAnsi="Times New Roman"/>
          <w:sz w:val="24"/>
          <w:szCs w:val="24"/>
        </w:rPr>
        <w:t xml:space="preserve"> the burghers, which means that they </w:t>
      </w:r>
      <w:r w:rsidR="00463175" w:rsidRPr="00921196">
        <w:rPr>
          <w:rFonts w:ascii="Times New Roman" w:hAnsi="Times New Roman"/>
          <w:sz w:val="24"/>
          <w:szCs w:val="24"/>
        </w:rPr>
        <w:t>enjoy</w:t>
      </w:r>
      <w:r w:rsidR="007A5193">
        <w:rPr>
          <w:rFonts w:ascii="Times New Roman" w:hAnsi="Times New Roman"/>
          <w:sz w:val="24"/>
          <w:szCs w:val="24"/>
        </w:rPr>
        <w:t>ed</w:t>
      </w:r>
      <w:r w:rsidR="00463175" w:rsidRPr="00921196">
        <w:rPr>
          <w:rFonts w:ascii="Times New Roman" w:hAnsi="Times New Roman"/>
          <w:sz w:val="24"/>
          <w:szCs w:val="24"/>
        </w:rPr>
        <w:t xml:space="preserve"> </w:t>
      </w:r>
      <w:r w:rsidR="00700EDD" w:rsidRPr="00921196">
        <w:rPr>
          <w:rFonts w:ascii="Times New Roman" w:hAnsi="Times New Roman"/>
          <w:sz w:val="24"/>
          <w:szCs w:val="24"/>
        </w:rPr>
        <w:t xml:space="preserve">the </w:t>
      </w:r>
      <w:r w:rsidR="007A5193">
        <w:rPr>
          <w:rFonts w:ascii="Times New Roman" w:hAnsi="Times New Roman"/>
          <w:sz w:val="24"/>
          <w:szCs w:val="24"/>
        </w:rPr>
        <w:t xml:space="preserve">same level of </w:t>
      </w:r>
      <w:r w:rsidR="00700EDD" w:rsidRPr="00921196">
        <w:rPr>
          <w:rFonts w:ascii="Times New Roman" w:hAnsi="Times New Roman"/>
          <w:sz w:val="24"/>
          <w:szCs w:val="24"/>
        </w:rPr>
        <w:t xml:space="preserve">prestige </w:t>
      </w:r>
      <w:r w:rsidR="007A5193">
        <w:rPr>
          <w:rFonts w:ascii="Times New Roman" w:hAnsi="Times New Roman"/>
          <w:sz w:val="24"/>
          <w:szCs w:val="24"/>
        </w:rPr>
        <w:t xml:space="preserve">as those having the </w:t>
      </w:r>
      <w:r w:rsidR="00700EDD" w:rsidRPr="00921196">
        <w:rPr>
          <w:rFonts w:ascii="Times New Roman" w:hAnsi="Times New Roman"/>
          <w:sz w:val="24"/>
          <w:szCs w:val="24"/>
        </w:rPr>
        <w:t xml:space="preserve">burgher status. As noted in </w:t>
      </w:r>
      <w:r w:rsidR="007A2201" w:rsidRPr="00921196">
        <w:rPr>
          <w:rFonts w:ascii="Times New Roman" w:hAnsi="Times New Roman"/>
          <w:sz w:val="24"/>
          <w:szCs w:val="24"/>
        </w:rPr>
        <w:t xml:space="preserve">some of my </w:t>
      </w:r>
      <w:r w:rsidR="00700EDD" w:rsidRPr="00921196">
        <w:rPr>
          <w:rFonts w:ascii="Times New Roman" w:hAnsi="Times New Roman"/>
          <w:sz w:val="24"/>
          <w:szCs w:val="24"/>
        </w:rPr>
        <w:t xml:space="preserve">previous </w:t>
      </w:r>
      <w:r w:rsidR="007A5193">
        <w:rPr>
          <w:rFonts w:ascii="Times New Roman" w:hAnsi="Times New Roman"/>
          <w:sz w:val="24"/>
          <w:szCs w:val="24"/>
        </w:rPr>
        <w:t>works</w:t>
      </w:r>
      <w:r w:rsidR="00700EDD" w:rsidRPr="00921196">
        <w:rPr>
          <w:rFonts w:ascii="Times New Roman" w:hAnsi="Times New Roman"/>
          <w:sz w:val="24"/>
          <w:szCs w:val="24"/>
        </w:rPr>
        <w:t xml:space="preserve">, </w:t>
      </w:r>
      <w:r w:rsidR="007A2201" w:rsidRPr="00921196">
        <w:rPr>
          <w:rFonts w:ascii="Times New Roman" w:hAnsi="Times New Roman"/>
          <w:sz w:val="24"/>
          <w:szCs w:val="24"/>
        </w:rPr>
        <w:t xml:space="preserve">by the end of the nineteenth century one of the most important benefits of burghership in Košice was the social standing it represented. In other words, the value of this status, at least </w:t>
      </w:r>
      <w:r w:rsidR="007A2201" w:rsidRPr="00921196">
        <w:rPr>
          <w:rFonts w:ascii="Times New Roman" w:hAnsi="Times New Roman"/>
          <w:sz w:val="24"/>
          <w:szCs w:val="24"/>
        </w:rPr>
        <w:lastRenderedPageBreak/>
        <w:t xml:space="preserve">for part of the city’s population, was primarily that it indicated </w:t>
      </w:r>
      <w:r w:rsidR="007A5193">
        <w:rPr>
          <w:rFonts w:ascii="Times New Roman" w:hAnsi="Times New Roman"/>
          <w:sz w:val="24"/>
          <w:szCs w:val="24"/>
        </w:rPr>
        <w:t>an</w:t>
      </w:r>
      <w:r w:rsidR="007A2201" w:rsidRPr="00921196">
        <w:rPr>
          <w:rFonts w:ascii="Times New Roman" w:hAnsi="Times New Roman"/>
          <w:sz w:val="24"/>
          <w:szCs w:val="24"/>
        </w:rPr>
        <w:t xml:space="preserve"> affiliation with the Košice elite, which may have compensated for the decrease in practical benefits.</w:t>
      </w:r>
    </w:p>
    <w:p w14:paraId="68AFCB15" w14:textId="11D58719" w:rsidR="00B50FC5" w:rsidRPr="00921196" w:rsidRDefault="007A5193" w:rsidP="00B50FC5">
      <w:pPr>
        <w:spacing w:after="0" w:line="360" w:lineRule="auto"/>
        <w:ind w:firstLine="680"/>
        <w:jc w:val="both"/>
        <w:rPr>
          <w:rFonts w:ascii="Times New Roman" w:hAnsi="Times New Roman"/>
          <w:sz w:val="24"/>
          <w:szCs w:val="24"/>
        </w:rPr>
      </w:pPr>
      <w:r>
        <w:rPr>
          <w:rFonts w:ascii="Times New Roman" w:hAnsi="Times New Roman"/>
          <w:sz w:val="24"/>
          <w:szCs w:val="24"/>
        </w:rPr>
        <w:t>In view of</w:t>
      </w:r>
      <w:r w:rsidR="007A2201" w:rsidRPr="00921196">
        <w:rPr>
          <w:rFonts w:ascii="Times New Roman" w:hAnsi="Times New Roman"/>
          <w:sz w:val="24"/>
          <w:szCs w:val="24"/>
        </w:rPr>
        <w:t xml:space="preserve"> previous scholarship </w:t>
      </w:r>
      <w:r w:rsidR="00A04263" w:rsidRPr="00921196">
        <w:rPr>
          <w:rFonts w:ascii="Times New Roman" w:hAnsi="Times New Roman"/>
          <w:sz w:val="24"/>
          <w:szCs w:val="24"/>
        </w:rPr>
        <w:t xml:space="preserve">emphasising the decreasing </w:t>
      </w:r>
      <w:r>
        <w:rPr>
          <w:rFonts w:ascii="Times New Roman" w:hAnsi="Times New Roman"/>
          <w:sz w:val="24"/>
          <w:szCs w:val="24"/>
        </w:rPr>
        <w:t>appreciation of burghership and</w:t>
      </w:r>
      <w:r w:rsidR="007A2201" w:rsidRPr="00921196">
        <w:rPr>
          <w:rFonts w:ascii="Times New Roman" w:hAnsi="Times New Roman"/>
          <w:sz w:val="24"/>
          <w:szCs w:val="24"/>
        </w:rPr>
        <w:t xml:space="preserve"> </w:t>
      </w:r>
      <w:r w:rsidR="00A04263" w:rsidRPr="00921196">
        <w:rPr>
          <w:rFonts w:ascii="Times New Roman" w:hAnsi="Times New Roman"/>
          <w:sz w:val="24"/>
          <w:szCs w:val="24"/>
        </w:rPr>
        <w:t>the parallel process of the burghers</w:t>
      </w:r>
      <w:r>
        <w:rPr>
          <w:rFonts w:ascii="Times New Roman" w:hAnsi="Times New Roman"/>
          <w:sz w:val="24"/>
          <w:szCs w:val="24"/>
        </w:rPr>
        <w:t>’ efforts to control the number</w:t>
      </w:r>
      <w:r w:rsidR="00A04263" w:rsidRPr="00921196">
        <w:rPr>
          <w:rFonts w:ascii="Times New Roman" w:hAnsi="Times New Roman"/>
          <w:sz w:val="24"/>
          <w:szCs w:val="24"/>
        </w:rPr>
        <w:t xml:space="preserve"> of people receiving this privilege, it may seem surprising that the city council actually instructed guild members to apply for burghership. This council order, however, is </w:t>
      </w:r>
      <w:r w:rsidR="00AA6D4D" w:rsidRPr="00921196">
        <w:rPr>
          <w:rFonts w:ascii="Times New Roman" w:hAnsi="Times New Roman"/>
          <w:sz w:val="24"/>
          <w:szCs w:val="24"/>
        </w:rPr>
        <w:t xml:space="preserve">entirely </w:t>
      </w:r>
      <w:r w:rsidR="00A04263" w:rsidRPr="00921196">
        <w:rPr>
          <w:rFonts w:ascii="Times New Roman" w:hAnsi="Times New Roman"/>
          <w:sz w:val="24"/>
          <w:szCs w:val="24"/>
        </w:rPr>
        <w:t xml:space="preserve">explicable by the more generally held </w:t>
      </w:r>
      <w:r>
        <w:rPr>
          <w:rFonts w:ascii="Times New Roman" w:hAnsi="Times New Roman"/>
          <w:sz w:val="24"/>
          <w:szCs w:val="24"/>
        </w:rPr>
        <w:t>concept</w:t>
      </w:r>
      <w:r w:rsidR="00A04263" w:rsidRPr="00921196">
        <w:rPr>
          <w:rFonts w:ascii="Times New Roman" w:hAnsi="Times New Roman"/>
          <w:sz w:val="24"/>
          <w:szCs w:val="24"/>
        </w:rPr>
        <w:t xml:space="preserve"> of burghership that </w:t>
      </w:r>
      <w:r w:rsidR="00AA6D4D" w:rsidRPr="00921196">
        <w:rPr>
          <w:rFonts w:ascii="Times New Roman" w:hAnsi="Times New Roman"/>
          <w:sz w:val="24"/>
          <w:szCs w:val="24"/>
        </w:rPr>
        <w:t>emerges clearly in the debates surrounding the civic act, specifically the regulation of burghership, at the</w:t>
      </w:r>
      <w:r w:rsidR="00A04263" w:rsidRPr="00921196">
        <w:rPr>
          <w:rFonts w:ascii="Times New Roman" w:hAnsi="Times New Roman"/>
          <w:sz w:val="24"/>
          <w:szCs w:val="24"/>
        </w:rPr>
        <w:t xml:space="preserve"> </w:t>
      </w:r>
      <w:r w:rsidR="00AA6D4D" w:rsidRPr="00921196">
        <w:rPr>
          <w:rFonts w:ascii="Times New Roman" w:hAnsi="Times New Roman"/>
          <w:sz w:val="24"/>
          <w:szCs w:val="24"/>
        </w:rPr>
        <w:t>1843/44 sessions of the National Assembly.</w:t>
      </w:r>
      <w:r w:rsidR="00AA6D4D" w:rsidRPr="00921196">
        <w:rPr>
          <w:rStyle w:val="FootnoteReference"/>
        </w:rPr>
        <w:footnoteReference w:id="26"/>
      </w:r>
      <w:r w:rsidR="00AA6D4D" w:rsidRPr="00921196">
        <w:rPr>
          <w:rFonts w:ascii="Times New Roman" w:hAnsi="Times New Roman"/>
          <w:sz w:val="24"/>
          <w:szCs w:val="24"/>
        </w:rPr>
        <w:t xml:space="preserve"> </w:t>
      </w:r>
      <w:r w:rsidR="006E0BA4">
        <w:rPr>
          <w:rFonts w:ascii="Times New Roman" w:hAnsi="Times New Roman"/>
          <w:sz w:val="24"/>
          <w:szCs w:val="24"/>
        </w:rPr>
        <w:t>Besides</w:t>
      </w:r>
      <w:r w:rsidR="00AA6D4D" w:rsidRPr="00921196">
        <w:rPr>
          <w:rFonts w:ascii="Times New Roman" w:hAnsi="Times New Roman"/>
          <w:sz w:val="24"/>
          <w:szCs w:val="24"/>
        </w:rPr>
        <w:t xml:space="preserve"> the official civic bill drawn up by the opposition comprised of members of the liberal intellectual nobility, city legates, including those of Košice, conceived an alternative proposal which was eventually not tabled at the House of Commons.</w:t>
      </w:r>
      <w:r w:rsidR="00AA6D4D" w:rsidRPr="00921196">
        <w:rPr>
          <w:rStyle w:val="FootnoteReference"/>
        </w:rPr>
        <w:footnoteReference w:id="27"/>
      </w:r>
      <w:r w:rsidR="00AA6D4D" w:rsidRPr="00921196">
        <w:rPr>
          <w:rFonts w:ascii="Times New Roman" w:hAnsi="Times New Roman"/>
          <w:sz w:val="24"/>
          <w:szCs w:val="24"/>
        </w:rPr>
        <w:t xml:space="preserve"> The official bill, contrary to the cities’ proposal, intended to widen the eligibility criteria of burghership. Representatives of the burghers, however, did not simply wish to limit the scope of eligibility</w:t>
      </w:r>
      <w:r w:rsidR="006E0BA4">
        <w:rPr>
          <w:rFonts w:ascii="Times New Roman" w:hAnsi="Times New Roman"/>
          <w:sz w:val="24"/>
          <w:szCs w:val="24"/>
        </w:rPr>
        <w:t>. Their proposal</w:t>
      </w:r>
      <w:r w:rsidR="00AA6D4D" w:rsidRPr="00921196">
        <w:rPr>
          <w:rFonts w:ascii="Times New Roman" w:hAnsi="Times New Roman"/>
          <w:sz w:val="24"/>
          <w:szCs w:val="24"/>
        </w:rPr>
        <w:t xml:space="preserve"> require</w:t>
      </w:r>
      <w:r w:rsidR="006E0BA4">
        <w:rPr>
          <w:rFonts w:ascii="Times New Roman" w:hAnsi="Times New Roman"/>
          <w:sz w:val="24"/>
          <w:szCs w:val="24"/>
        </w:rPr>
        <w:t>d</w:t>
      </w:r>
      <w:r w:rsidR="00AA6D4D" w:rsidRPr="00921196">
        <w:rPr>
          <w:rFonts w:ascii="Times New Roman" w:hAnsi="Times New Roman"/>
          <w:sz w:val="24"/>
          <w:szCs w:val="24"/>
        </w:rPr>
        <w:t xml:space="preserve"> people to apply for burghership with more severe sanctions than those in the official bill, in fact they wanted to make </w:t>
      </w:r>
      <w:r w:rsidR="001B3A4B">
        <w:rPr>
          <w:rFonts w:ascii="Times New Roman" w:hAnsi="Times New Roman"/>
          <w:sz w:val="24"/>
          <w:szCs w:val="24"/>
        </w:rPr>
        <w:t>application</w:t>
      </w:r>
      <w:r w:rsidR="00AA6D4D" w:rsidRPr="00921196">
        <w:rPr>
          <w:rFonts w:ascii="Times New Roman" w:hAnsi="Times New Roman"/>
          <w:sz w:val="24"/>
          <w:szCs w:val="24"/>
        </w:rPr>
        <w:t xml:space="preserve"> mandatory. Whereas the liberal opposition’s bill stipulated that </w:t>
      </w:r>
      <w:r w:rsidR="001B3A4B">
        <w:rPr>
          <w:rFonts w:ascii="Times New Roman" w:hAnsi="Times New Roman"/>
          <w:sz w:val="24"/>
          <w:szCs w:val="24"/>
        </w:rPr>
        <w:t xml:space="preserve">all </w:t>
      </w:r>
      <w:r w:rsidR="00AA6D4D" w:rsidRPr="00921196">
        <w:rPr>
          <w:rFonts w:ascii="Times New Roman" w:hAnsi="Times New Roman"/>
          <w:sz w:val="24"/>
          <w:szCs w:val="24"/>
        </w:rPr>
        <w:t xml:space="preserve">artisans, factory owners and traders who were liable to pay taxes in the city and owned workshops, factories or trading offices in the municipal area would become burghers after three consecutive years of residence, the city representatives’ </w:t>
      </w:r>
      <w:r w:rsidR="001B3A4B">
        <w:rPr>
          <w:rFonts w:ascii="Times New Roman" w:hAnsi="Times New Roman"/>
          <w:sz w:val="24"/>
          <w:szCs w:val="24"/>
        </w:rPr>
        <w:t xml:space="preserve">alternative </w:t>
      </w:r>
      <w:r w:rsidR="00AA6D4D" w:rsidRPr="00921196">
        <w:rPr>
          <w:rFonts w:ascii="Times New Roman" w:hAnsi="Times New Roman"/>
          <w:sz w:val="24"/>
          <w:szCs w:val="24"/>
        </w:rPr>
        <w:t xml:space="preserve">proposal </w:t>
      </w:r>
      <w:r w:rsidR="004A5859" w:rsidRPr="00921196">
        <w:rPr>
          <w:rFonts w:ascii="Times New Roman" w:hAnsi="Times New Roman"/>
          <w:sz w:val="24"/>
          <w:szCs w:val="24"/>
        </w:rPr>
        <w:t xml:space="preserve">specified mandatory application after one year. </w:t>
      </w:r>
      <w:r w:rsidR="000659D1" w:rsidRPr="00921196">
        <w:rPr>
          <w:rFonts w:ascii="Times New Roman" w:hAnsi="Times New Roman"/>
          <w:sz w:val="24"/>
          <w:szCs w:val="24"/>
        </w:rPr>
        <w:t>Further, the official bill stipulated that those individuals who belong to none of the categories above but their income exceeds a certain limit (city 400, mid-sized town 300, small town 200 forint</w:t>
      </w:r>
      <w:r w:rsidR="001B3A4B">
        <w:rPr>
          <w:rFonts w:ascii="Times New Roman" w:hAnsi="Times New Roman"/>
          <w:sz w:val="24"/>
          <w:szCs w:val="24"/>
        </w:rPr>
        <w:t>s</w:t>
      </w:r>
      <w:r w:rsidR="000659D1" w:rsidRPr="00921196">
        <w:rPr>
          <w:rFonts w:ascii="Times New Roman" w:hAnsi="Times New Roman"/>
          <w:sz w:val="24"/>
          <w:szCs w:val="24"/>
        </w:rPr>
        <w:t>, respectively) had the choice of applying for burghership after four years of residence. As opposed to this, the city representatives proposed to make the application ma</w:t>
      </w:r>
      <w:r w:rsidR="001B3A4B">
        <w:rPr>
          <w:rFonts w:ascii="Times New Roman" w:hAnsi="Times New Roman"/>
          <w:sz w:val="24"/>
          <w:szCs w:val="24"/>
        </w:rPr>
        <w:t>ndatory for such persons after one</w:t>
      </w:r>
      <w:r w:rsidR="000659D1" w:rsidRPr="00921196">
        <w:rPr>
          <w:rFonts w:ascii="Times New Roman" w:hAnsi="Times New Roman"/>
          <w:sz w:val="24"/>
          <w:szCs w:val="24"/>
        </w:rPr>
        <w:t xml:space="preserve"> year of residence, stipulating precisely which occupations were concerned: civic and other officials, physicians, surgeons, lawyers, engineers, pharmacists, public educators, scholars, artists, </w:t>
      </w:r>
      <w:r w:rsidR="001B3A4B">
        <w:rPr>
          <w:rFonts w:ascii="Times New Roman" w:hAnsi="Times New Roman"/>
          <w:sz w:val="24"/>
          <w:szCs w:val="24"/>
        </w:rPr>
        <w:t xml:space="preserve">and </w:t>
      </w:r>
      <w:r w:rsidR="000659D1" w:rsidRPr="00921196">
        <w:rPr>
          <w:rFonts w:ascii="Times New Roman" w:hAnsi="Times New Roman"/>
          <w:sz w:val="24"/>
          <w:szCs w:val="24"/>
        </w:rPr>
        <w:t xml:space="preserve">investors. </w:t>
      </w:r>
    </w:p>
    <w:p w14:paraId="216A9D4F" w14:textId="3B681C04" w:rsidR="000659D1" w:rsidRPr="00921196" w:rsidRDefault="000659D1" w:rsidP="00B50FC5">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These proposals reveal the traditional ethos of civic communities: the burghers within the traditional estates system wished to </w:t>
      </w:r>
      <w:r w:rsidR="00D35A67" w:rsidRPr="00921196">
        <w:rPr>
          <w:rFonts w:ascii="Times New Roman" w:hAnsi="Times New Roman"/>
          <w:sz w:val="24"/>
          <w:szCs w:val="24"/>
        </w:rPr>
        <w:t>bind</w:t>
      </w:r>
      <w:r w:rsidRPr="00921196">
        <w:rPr>
          <w:rFonts w:ascii="Times New Roman" w:hAnsi="Times New Roman"/>
          <w:sz w:val="24"/>
          <w:szCs w:val="24"/>
        </w:rPr>
        <w:t xml:space="preserve"> </w:t>
      </w:r>
      <w:r w:rsidR="001B3A4B" w:rsidRPr="00921196">
        <w:rPr>
          <w:rFonts w:ascii="Times New Roman" w:hAnsi="Times New Roman"/>
          <w:sz w:val="24"/>
          <w:szCs w:val="24"/>
        </w:rPr>
        <w:t>to their city</w:t>
      </w:r>
      <w:r w:rsidR="001B3A4B" w:rsidRPr="00921196">
        <w:rPr>
          <w:rFonts w:ascii="Times New Roman" w:hAnsi="Times New Roman"/>
          <w:sz w:val="24"/>
          <w:szCs w:val="24"/>
        </w:rPr>
        <w:t xml:space="preserve"> </w:t>
      </w:r>
      <w:r w:rsidRPr="00921196">
        <w:rPr>
          <w:rFonts w:ascii="Times New Roman" w:hAnsi="Times New Roman"/>
          <w:sz w:val="24"/>
          <w:szCs w:val="24"/>
        </w:rPr>
        <w:t xml:space="preserve">people </w:t>
      </w:r>
      <w:r w:rsidR="001B3A4B">
        <w:rPr>
          <w:rFonts w:ascii="Times New Roman" w:hAnsi="Times New Roman"/>
          <w:sz w:val="24"/>
          <w:szCs w:val="24"/>
        </w:rPr>
        <w:t>of</w:t>
      </w:r>
      <w:r w:rsidRPr="00921196">
        <w:rPr>
          <w:rFonts w:ascii="Times New Roman" w:hAnsi="Times New Roman"/>
          <w:sz w:val="24"/>
          <w:szCs w:val="24"/>
        </w:rPr>
        <w:t xml:space="preserve"> </w:t>
      </w:r>
      <w:r w:rsidR="001B3A4B">
        <w:rPr>
          <w:rFonts w:ascii="Times New Roman" w:hAnsi="Times New Roman"/>
          <w:sz w:val="24"/>
          <w:szCs w:val="24"/>
        </w:rPr>
        <w:t xml:space="preserve">adequate wealth and </w:t>
      </w:r>
      <w:r w:rsidR="00221D6F" w:rsidRPr="00921196">
        <w:rPr>
          <w:rFonts w:ascii="Times New Roman" w:hAnsi="Times New Roman"/>
          <w:sz w:val="24"/>
          <w:szCs w:val="24"/>
        </w:rPr>
        <w:t>respectable occupation</w:t>
      </w:r>
      <w:r w:rsidR="001B3A4B">
        <w:rPr>
          <w:rFonts w:ascii="Times New Roman" w:hAnsi="Times New Roman"/>
          <w:sz w:val="24"/>
          <w:szCs w:val="24"/>
        </w:rPr>
        <w:t>s</w:t>
      </w:r>
      <w:r w:rsidR="00D35A67" w:rsidRPr="00921196">
        <w:rPr>
          <w:rFonts w:ascii="Times New Roman" w:hAnsi="Times New Roman"/>
          <w:sz w:val="24"/>
          <w:szCs w:val="24"/>
        </w:rPr>
        <w:t>.</w:t>
      </w:r>
      <w:r w:rsidR="00221D6F" w:rsidRPr="00921196">
        <w:rPr>
          <w:rFonts w:ascii="Times New Roman" w:hAnsi="Times New Roman"/>
          <w:sz w:val="24"/>
          <w:szCs w:val="24"/>
        </w:rPr>
        <w:t xml:space="preserve"> </w:t>
      </w:r>
      <w:r w:rsidR="00D35A67" w:rsidRPr="00921196">
        <w:rPr>
          <w:rFonts w:ascii="Times New Roman" w:hAnsi="Times New Roman"/>
          <w:sz w:val="24"/>
          <w:szCs w:val="24"/>
        </w:rPr>
        <w:t xml:space="preserve">In this vein, the guild masters enumerated </w:t>
      </w:r>
      <w:r w:rsidR="001B3A4B">
        <w:rPr>
          <w:rFonts w:ascii="Times New Roman" w:hAnsi="Times New Roman"/>
          <w:sz w:val="24"/>
          <w:szCs w:val="24"/>
        </w:rPr>
        <w:t>for</w:t>
      </w:r>
      <w:r w:rsidR="00D35A67" w:rsidRPr="00921196">
        <w:rPr>
          <w:rFonts w:ascii="Times New Roman" w:hAnsi="Times New Roman"/>
          <w:sz w:val="24"/>
          <w:szCs w:val="24"/>
        </w:rPr>
        <w:t xml:space="preserve"> the Košice muster were required to </w:t>
      </w:r>
      <w:r w:rsidR="009C25FE">
        <w:rPr>
          <w:rFonts w:ascii="Times New Roman" w:hAnsi="Times New Roman"/>
          <w:sz w:val="24"/>
          <w:szCs w:val="24"/>
        </w:rPr>
        <w:t>join</w:t>
      </w:r>
      <w:r w:rsidR="00D35A67" w:rsidRPr="00921196">
        <w:rPr>
          <w:rFonts w:ascii="Times New Roman" w:hAnsi="Times New Roman"/>
          <w:sz w:val="24"/>
          <w:szCs w:val="24"/>
        </w:rPr>
        <w:t xml:space="preserve"> the ranks of burghers. However, as the ensuing events demonstrate, t</w:t>
      </w:r>
      <w:r w:rsidR="009C25FE">
        <w:rPr>
          <w:rFonts w:ascii="Times New Roman" w:hAnsi="Times New Roman"/>
          <w:sz w:val="24"/>
          <w:szCs w:val="24"/>
        </w:rPr>
        <w:t>his norm</w:t>
      </w:r>
      <w:r w:rsidR="00EC2B7E" w:rsidRPr="00921196">
        <w:rPr>
          <w:rFonts w:ascii="Times New Roman" w:hAnsi="Times New Roman"/>
          <w:sz w:val="24"/>
          <w:szCs w:val="24"/>
        </w:rPr>
        <w:t xml:space="preserve"> upheld by the estate of burghers </w:t>
      </w:r>
      <w:r w:rsidR="009C25FE">
        <w:rPr>
          <w:rFonts w:ascii="Times New Roman" w:hAnsi="Times New Roman"/>
          <w:sz w:val="24"/>
          <w:szCs w:val="24"/>
        </w:rPr>
        <w:t>in control of</w:t>
      </w:r>
      <w:r w:rsidR="00EC2B7E" w:rsidRPr="00921196">
        <w:rPr>
          <w:rFonts w:ascii="Times New Roman" w:hAnsi="Times New Roman"/>
          <w:sz w:val="24"/>
          <w:szCs w:val="24"/>
        </w:rPr>
        <w:t xml:space="preserve"> the city governance, was not always successfully implemented in practice. It also seems that the Košice council’s orders were only partially </w:t>
      </w:r>
      <w:r w:rsidR="00EC2B7E" w:rsidRPr="00921196">
        <w:rPr>
          <w:rFonts w:ascii="Times New Roman" w:hAnsi="Times New Roman"/>
          <w:sz w:val="24"/>
          <w:szCs w:val="24"/>
        </w:rPr>
        <w:lastRenderedPageBreak/>
        <w:t xml:space="preserve">fulfilled. The analysis of </w:t>
      </w:r>
      <w:r w:rsidR="006C70BC" w:rsidRPr="00921196">
        <w:rPr>
          <w:rFonts w:ascii="Times New Roman" w:hAnsi="Times New Roman"/>
          <w:sz w:val="24"/>
          <w:szCs w:val="24"/>
        </w:rPr>
        <w:t xml:space="preserve">post-1842 </w:t>
      </w:r>
      <w:r w:rsidR="009C25FE" w:rsidRPr="00921196">
        <w:rPr>
          <w:rFonts w:ascii="Times New Roman" w:hAnsi="Times New Roman"/>
          <w:sz w:val="24"/>
          <w:szCs w:val="24"/>
        </w:rPr>
        <w:t xml:space="preserve">burghers’ </w:t>
      </w:r>
      <w:r w:rsidR="00EC2B7E" w:rsidRPr="00921196">
        <w:rPr>
          <w:rFonts w:ascii="Times New Roman" w:hAnsi="Times New Roman"/>
          <w:sz w:val="24"/>
          <w:szCs w:val="24"/>
        </w:rPr>
        <w:t xml:space="preserve">pledges yielded only fourteen names </w:t>
      </w:r>
      <w:r w:rsidR="009C25FE">
        <w:rPr>
          <w:rFonts w:ascii="Times New Roman" w:hAnsi="Times New Roman"/>
          <w:sz w:val="24"/>
          <w:szCs w:val="24"/>
        </w:rPr>
        <w:t xml:space="preserve">identified </w:t>
      </w:r>
      <w:r w:rsidR="00EC2B7E" w:rsidRPr="00921196">
        <w:rPr>
          <w:rFonts w:ascii="Times New Roman" w:hAnsi="Times New Roman"/>
          <w:sz w:val="24"/>
          <w:szCs w:val="24"/>
        </w:rPr>
        <w:t xml:space="preserve">out of the </w:t>
      </w:r>
      <w:r w:rsidR="009C25FE">
        <w:rPr>
          <w:rFonts w:ascii="Times New Roman" w:hAnsi="Times New Roman"/>
          <w:sz w:val="24"/>
          <w:szCs w:val="24"/>
        </w:rPr>
        <w:t>33</w:t>
      </w:r>
      <w:r w:rsidR="00EC2B7E" w:rsidRPr="00921196">
        <w:rPr>
          <w:rFonts w:ascii="Times New Roman" w:hAnsi="Times New Roman"/>
          <w:sz w:val="24"/>
          <w:szCs w:val="24"/>
        </w:rPr>
        <w:t xml:space="preserve"> masters who were instructed to apply.  Regarding the enforcement of the burghers’ norm, this proportion is all the more informative because these guild masters became the subject of special attention after </w:t>
      </w:r>
      <w:r w:rsidR="009C25FE" w:rsidRPr="00921196">
        <w:rPr>
          <w:rFonts w:ascii="Times New Roman" w:hAnsi="Times New Roman"/>
          <w:sz w:val="24"/>
          <w:szCs w:val="24"/>
        </w:rPr>
        <w:t>personal</w:t>
      </w:r>
      <w:r w:rsidR="009C25FE">
        <w:rPr>
          <w:rFonts w:ascii="Times New Roman" w:hAnsi="Times New Roman"/>
          <w:sz w:val="24"/>
          <w:szCs w:val="24"/>
        </w:rPr>
        <w:t>ly</w:t>
      </w:r>
      <w:r w:rsidR="009C25FE" w:rsidRPr="00921196">
        <w:rPr>
          <w:rFonts w:ascii="Times New Roman" w:hAnsi="Times New Roman"/>
          <w:sz w:val="24"/>
          <w:szCs w:val="24"/>
        </w:rPr>
        <w:t xml:space="preserve"> </w:t>
      </w:r>
      <w:r w:rsidR="00380891" w:rsidRPr="00921196">
        <w:rPr>
          <w:rFonts w:ascii="Times New Roman" w:hAnsi="Times New Roman"/>
          <w:sz w:val="24"/>
          <w:szCs w:val="24"/>
        </w:rPr>
        <w:t>receiving</w:t>
      </w:r>
      <w:r w:rsidR="00EC2B7E" w:rsidRPr="00921196">
        <w:rPr>
          <w:rFonts w:ascii="Times New Roman" w:hAnsi="Times New Roman"/>
          <w:sz w:val="24"/>
          <w:szCs w:val="24"/>
        </w:rPr>
        <w:t xml:space="preserve"> </w:t>
      </w:r>
      <w:r w:rsidR="009C25FE">
        <w:rPr>
          <w:rFonts w:ascii="Times New Roman" w:hAnsi="Times New Roman"/>
          <w:sz w:val="24"/>
          <w:szCs w:val="24"/>
        </w:rPr>
        <w:t xml:space="preserve">a </w:t>
      </w:r>
      <w:r w:rsidR="00EC2B7E" w:rsidRPr="00921196">
        <w:rPr>
          <w:rFonts w:ascii="Times New Roman" w:hAnsi="Times New Roman"/>
          <w:sz w:val="24"/>
          <w:szCs w:val="24"/>
        </w:rPr>
        <w:t xml:space="preserve">council order. </w:t>
      </w:r>
    </w:p>
    <w:p w14:paraId="4725BCB6" w14:textId="77777777" w:rsidR="009C25FE" w:rsidRDefault="00380891" w:rsidP="009C25FE">
      <w:pPr>
        <w:spacing w:after="0" w:line="360" w:lineRule="auto"/>
        <w:jc w:val="both"/>
        <w:rPr>
          <w:rFonts w:ascii="Times New Roman" w:hAnsi="Times New Roman"/>
          <w:sz w:val="24"/>
          <w:szCs w:val="24"/>
        </w:rPr>
      </w:pPr>
      <w:r w:rsidRPr="00921196">
        <w:rPr>
          <w:rFonts w:ascii="Times New Roman" w:hAnsi="Times New Roman"/>
          <w:sz w:val="24"/>
          <w:szCs w:val="24"/>
        </w:rPr>
        <w:tab/>
        <w:t xml:space="preserve">As noted previously, the uniform of the </w:t>
      </w:r>
      <w:r w:rsidR="005B3ABF" w:rsidRPr="00921196">
        <w:rPr>
          <w:rFonts w:ascii="Times New Roman" w:hAnsi="Times New Roman"/>
          <w:sz w:val="24"/>
          <w:szCs w:val="24"/>
        </w:rPr>
        <w:t xml:space="preserve">burghers’ guard was an express indication of social position. Its significance and prestige is suggested by the fact that for the occasion of the muster many former </w:t>
      </w:r>
      <w:r w:rsidR="00B60588" w:rsidRPr="00921196">
        <w:rPr>
          <w:rFonts w:ascii="Times New Roman" w:hAnsi="Times New Roman"/>
          <w:sz w:val="24"/>
          <w:szCs w:val="24"/>
        </w:rPr>
        <w:t>guardsmen</w:t>
      </w:r>
      <w:r w:rsidR="005B3ABF" w:rsidRPr="00921196">
        <w:rPr>
          <w:rFonts w:ascii="Times New Roman" w:hAnsi="Times New Roman"/>
          <w:sz w:val="24"/>
          <w:szCs w:val="24"/>
        </w:rPr>
        <w:t>, by that time deemed unfit for service due to old age or frailty, requested the council’s permission to keep their uniforms and do</w:t>
      </w:r>
      <w:r w:rsidR="009C25FE">
        <w:rPr>
          <w:rFonts w:ascii="Times New Roman" w:hAnsi="Times New Roman"/>
          <w:sz w:val="24"/>
          <w:szCs w:val="24"/>
        </w:rPr>
        <w:t xml:space="preserve">n them at ceremonial functions. </w:t>
      </w:r>
      <w:r w:rsidR="005B3ABF" w:rsidRPr="00921196">
        <w:rPr>
          <w:rFonts w:ascii="Times New Roman" w:hAnsi="Times New Roman"/>
          <w:sz w:val="24"/>
          <w:szCs w:val="24"/>
        </w:rPr>
        <w:t>The council normally honoured these requests as a recognition of their</w:t>
      </w:r>
      <w:r w:rsidR="005451E7" w:rsidRPr="00921196">
        <w:rPr>
          <w:rFonts w:ascii="Times New Roman" w:hAnsi="Times New Roman"/>
          <w:sz w:val="24"/>
          <w:szCs w:val="24"/>
        </w:rPr>
        <w:t xml:space="preserve"> individual</w:t>
      </w:r>
      <w:r w:rsidR="005B3ABF" w:rsidRPr="00921196">
        <w:rPr>
          <w:rFonts w:ascii="Times New Roman" w:hAnsi="Times New Roman"/>
          <w:sz w:val="24"/>
          <w:szCs w:val="24"/>
        </w:rPr>
        <w:t xml:space="preserve"> merits.</w:t>
      </w:r>
      <w:r w:rsidR="005065EC" w:rsidRPr="00921196">
        <w:rPr>
          <w:rStyle w:val="FootnoteReference"/>
        </w:rPr>
        <w:footnoteReference w:id="28"/>
      </w:r>
      <w:r w:rsidR="005065EC" w:rsidRPr="00921196">
        <w:rPr>
          <w:rFonts w:ascii="Times New Roman" w:hAnsi="Times New Roman"/>
          <w:sz w:val="24"/>
          <w:szCs w:val="24"/>
        </w:rPr>
        <w:t xml:space="preserve"> </w:t>
      </w:r>
      <w:r w:rsidR="005B3ABF" w:rsidRPr="00921196">
        <w:rPr>
          <w:rFonts w:ascii="Times New Roman" w:hAnsi="Times New Roman"/>
          <w:sz w:val="24"/>
          <w:szCs w:val="24"/>
        </w:rPr>
        <w:t xml:space="preserve">However, this benefit was not automatically granted in every case, as is illustrated by the case of a </w:t>
      </w:r>
      <w:r w:rsidR="009C25FE">
        <w:rPr>
          <w:rFonts w:ascii="Times New Roman" w:hAnsi="Times New Roman"/>
          <w:sz w:val="24"/>
          <w:szCs w:val="24"/>
        </w:rPr>
        <w:t xml:space="preserve">certain </w:t>
      </w:r>
      <w:r w:rsidR="005B3ABF" w:rsidRPr="00921196">
        <w:rPr>
          <w:rFonts w:ascii="Times New Roman" w:hAnsi="Times New Roman"/>
          <w:sz w:val="24"/>
          <w:szCs w:val="24"/>
        </w:rPr>
        <w:t xml:space="preserve">Ferenc Hausner. </w:t>
      </w:r>
    </w:p>
    <w:p w14:paraId="2C1B74AD" w14:textId="7E95B3E7" w:rsidR="005065EC" w:rsidRPr="009C25FE" w:rsidRDefault="005B3ABF" w:rsidP="009C25FE">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Hausner requested to be exempt from military service even though he was a </w:t>
      </w:r>
      <w:r w:rsidR="00EA409A" w:rsidRPr="00921196">
        <w:rPr>
          <w:rFonts w:ascii="Times New Roman" w:hAnsi="Times New Roman"/>
          <w:sz w:val="24"/>
          <w:szCs w:val="24"/>
        </w:rPr>
        <w:t>lieutenant</w:t>
      </w:r>
      <w:r w:rsidR="005065EC" w:rsidRPr="00921196">
        <w:rPr>
          <w:rFonts w:ascii="Times New Roman" w:hAnsi="Times New Roman"/>
          <w:sz w:val="24"/>
          <w:szCs w:val="24"/>
        </w:rPr>
        <w:t xml:space="preserve"> </w:t>
      </w:r>
      <w:r w:rsidRPr="00921196">
        <w:rPr>
          <w:rFonts w:ascii="Times New Roman" w:hAnsi="Times New Roman"/>
          <w:sz w:val="24"/>
          <w:szCs w:val="24"/>
        </w:rPr>
        <w:t>in the burghers’ guard, deemed fit for se</w:t>
      </w:r>
      <w:r w:rsidR="009C25FE">
        <w:rPr>
          <w:rFonts w:ascii="Times New Roman" w:hAnsi="Times New Roman"/>
          <w:sz w:val="24"/>
          <w:szCs w:val="24"/>
        </w:rPr>
        <w:t>rvice according to his superior. At the same time,</w:t>
      </w:r>
      <w:r w:rsidR="005451E7" w:rsidRPr="00921196">
        <w:rPr>
          <w:rFonts w:ascii="Times New Roman" w:hAnsi="Times New Roman"/>
          <w:sz w:val="24"/>
          <w:szCs w:val="24"/>
        </w:rPr>
        <w:t xml:space="preserve"> he</w:t>
      </w:r>
      <w:r w:rsidRPr="00921196">
        <w:rPr>
          <w:rFonts w:ascii="Times New Roman" w:hAnsi="Times New Roman"/>
          <w:sz w:val="24"/>
          <w:szCs w:val="24"/>
        </w:rPr>
        <w:t xml:space="preserve"> wished to hold onto both his uniform and rank. The commander-in-chief assumed that Hausner</w:t>
      </w:r>
      <w:r w:rsidR="009C25FE">
        <w:rPr>
          <w:rFonts w:ascii="Times New Roman" w:hAnsi="Times New Roman"/>
          <w:sz w:val="24"/>
          <w:szCs w:val="24"/>
        </w:rPr>
        <w:t>’s request meant that</w:t>
      </w:r>
      <w:r w:rsidRPr="00921196">
        <w:rPr>
          <w:rFonts w:ascii="Times New Roman" w:hAnsi="Times New Roman"/>
          <w:sz w:val="24"/>
          <w:szCs w:val="24"/>
        </w:rPr>
        <w:t xml:space="preserve"> relinquished his rank and </w:t>
      </w:r>
      <w:r w:rsidR="009C25FE">
        <w:rPr>
          <w:rFonts w:ascii="Times New Roman" w:hAnsi="Times New Roman"/>
          <w:sz w:val="24"/>
          <w:szCs w:val="24"/>
        </w:rPr>
        <w:t xml:space="preserve">he </w:t>
      </w:r>
      <w:r w:rsidRPr="00921196">
        <w:rPr>
          <w:rFonts w:ascii="Times New Roman" w:hAnsi="Times New Roman"/>
          <w:sz w:val="24"/>
          <w:szCs w:val="24"/>
        </w:rPr>
        <w:t xml:space="preserve">referred the request to the council accordingly. The council approved the commander’s decision and regarded </w:t>
      </w:r>
      <w:r w:rsidR="00B73CE5" w:rsidRPr="00921196">
        <w:rPr>
          <w:rFonts w:ascii="Times New Roman" w:hAnsi="Times New Roman"/>
          <w:sz w:val="24"/>
          <w:szCs w:val="24"/>
        </w:rPr>
        <w:t>Hausner’s</w:t>
      </w:r>
      <w:r w:rsidRPr="00921196">
        <w:rPr>
          <w:rFonts w:ascii="Times New Roman" w:hAnsi="Times New Roman"/>
          <w:sz w:val="24"/>
          <w:szCs w:val="24"/>
        </w:rPr>
        <w:t xml:space="preserve"> case as leaving the guard due to </w:t>
      </w:r>
      <w:r w:rsidR="008D7018">
        <w:rPr>
          <w:rFonts w:ascii="Times New Roman" w:hAnsi="Times New Roman"/>
          <w:sz w:val="24"/>
          <w:szCs w:val="24"/>
        </w:rPr>
        <w:t>unfitness,</w:t>
      </w:r>
      <w:r w:rsidR="00B73CE5" w:rsidRPr="00921196">
        <w:rPr>
          <w:rFonts w:ascii="Times New Roman" w:hAnsi="Times New Roman"/>
          <w:sz w:val="24"/>
          <w:szCs w:val="24"/>
        </w:rPr>
        <w:t xml:space="preserve"> prohibit</w:t>
      </w:r>
      <w:r w:rsidR="008D7018">
        <w:rPr>
          <w:rFonts w:ascii="Times New Roman" w:hAnsi="Times New Roman"/>
          <w:sz w:val="24"/>
          <w:szCs w:val="24"/>
        </w:rPr>
        <w:t>ing</w:t>
      </w:r>
      <w:r w:rsidR="00B73CE5" w:rsidRPr="00921196">
        <w:rPr>
          <w:rFonts w:ascii="Times New Roman" w:hAnsi="Times New Roman"/>
          <w:sz w:val="24"/>
          <w:szCs w:val="24"/>
        </w:rPr>
        <w:t xml:space="preserve"> him </w:t>
      </w:r>
      <w:r w:rsidR="008D7018">
        <w:rPr>
          <w:rFonts w:ascii="Times New Roman" w:hAnsi="Times New Roman"/>
          <w:sz w:val="24"/>
          <w:szCs w:val="24"/>
        </w:rPr>
        <w:t>to</w:t>
      </w:r>
      <w:r w:rsidR="00B73CE5" w:rsidRPr="00921196">
        <w:rPr>
          <w:rFonts w:ascii="Times New Roman" w:hAnsi="Times New Roman"/>
          <w:sz w:val="24"/>
          <w:szCs w:val="24"/>
        </w:rPr>
        <w:t xml:space="preserve"> wear his uniform thereafter. </w:t>
      </w:r>
      <w:r w:rsidR="008D7018">
        <w:rPr>
          <w:rFonts w:ascii="Times New Roman" w:hAnsi="Times New Roman"/>
          <w:sz w:val="24"/>
          <w:szCs w:val="24"/>
        </w:rPr>
        <w:t>Hausner</w:t>
      </w:r>
      <w:r w:rsidR="00B73CE5" w:rsidRPr="00921196">
        <w:rPr>
          <w:rFonts w:ascii="Times New Roman" w:hAnsi="Times New Roman"/>
          <w:sz w:val="24"/>
          <w:szCs w:val="24"/>
        </w:rPr>
        <w:t xml:space="preserve"> immediately appealed against the </w:t>
      </w:r>
      <w:r w:rsidR="005451E7" w:rsidRPr="00921196">
        <w:rPr>
          <w:rFonts w:ascii="Times New Roman" w:hAnsi="Times New Roman"/>
          <w:sz w:val="24"/>
          <w:szCs w:val="24"/>
        </w:rPr>
        <w:t>ruling and explained that he did not wish to relinquish his rank as officer. At the same time he petitioned the council to caution the “governor” of the guard on account of handling his case incorrectly</w:t>
      </w:r>
      <w:r w:rsidR="008D7018">
        <w:rPr>
          <w:rFonts w:ascii="Times New Roman" w:hAnsi="Times New Roman"/>
          <w:sz w:val="24"/>
          <w:szCs w:val="24"/>
        </w:rPr>
        <w:t>,</w:t>
      </w:r>
      <w:r w:rsidR="005451E7" w:rsidRPr="00921196">
        <w:rPr>
          <w:rFonts w:ascii="Times New Roman" w:hAnsi="Times New Roman"/>
          <w:sz w:val="24"/>
          <w:szCs w:val="24"/>
        </w:rPr>
        <w:t xml:space="preserve"> which in turn prompted the council to reprimand Hausner for being offensive and inappropriate with the commander.</w:t>
      </w:r>
      <w:r w:rsidR="005451E7" w:rsidRPr="00921196">
        <w:rPr>
          <w:rStyle w:val="FootnoteReference"/>
        </w:rPr>
        <w:footnoteReference w:id="29"/>
      </w:r>
      <w:r w:rsidR="005451E7" w:rsidRPr="00921196">
        <w:rPr>
          <w:rFonts w:ascii="Times New Roman" w:hAnsi="Times New Roman"/>
          <w:sz w:val="24"/>
          <w:szCs w:val="24"/>
        </w:rPr>
        <w:t xml:space="preserve"> Although </w:t>
      </w:r>
      <w:r w:rsidR="009374F2" w:rsidRPr="00921196">
        <w:rPr>
          <w:rFonts w:ascii="Times New Roman" w:hAnsi="Times New Roman"/>
          <w:sz w:val="24"/>
          <w:szCs w:val="24"/>
        </w:rPr>
        <w:t>the</w:t>
      </w:r>
      <w:r w:rsidR="005451E7" w:rsidRPr="00921196">
        <w:rPr>
          <w:rFonts w:ascii="Times New Roman" w:hAnsi="Times New Roman"/>
          <w:sz w:val="24"/>
          <w:szCs w:val="24"/>
        </w:rPr>
        <w:t xml:space="preserve"> petition as recorded in the council minutes did not actually contain inappropriate phrases, his appeal in itself violated the norms of communicating with city administrators by </w:t>
      </w:r>
      <w:r w:rsidR="00F5585C">
        <w:rPr>
          <w:rFonts w:ascii="Times New Roman" w:hAnsi="Times New Roman"/>
          <w:sz w:val="24"/>
          <w:szCs w:val="24"/>
        </w:rPr>
        <w:t>questioning</w:t>
      </w:r>
      <w:r w:rsidR="005451E7" w:rsidRPr="00921196">
        <w:rPr>
          <w:rFonts w:ascii="Times New Roman" w:hAnsi="Times New Roman"/>
          <w:sz w:val="24"/>
          <w:szCs w:val="24"/>
        </w:rPr>
        <w:t xml:space="preserve"> the </w:t>
      </w:r>
      <w:r w:rsidR="00725035" w:rsidRPr="00921196">
        <w:rPr>
          <w:rFonts w:ascii="Times New Roman" w:hAnsi="Times New Roman"/>
          <w:sz w:val="24"/>
          <w:szCs w:val="24"/>
        </w:rPr>
        <w:t xml:space="preserve">soundness of his superior’s decision. As will be demonstrated, however, </w:t>
      </w:r>
      <w:r w:rsidR="003A4E30" w:rsidRPr="00921196">
        <w:rPr>
          <w:rFonts w:ascii="Times New Roman" w:hAnsi="Times New Roman"/>
          <w:sz w:val="24"/>
          <w:szCs w:val="24"/>
        </w:rPr>
        <w:t xml:space="preserve">even graver transgressions were </w:t>
      </w:r>
      <w:r w:rsidR="00EA409A" w:rsidRPr="00921196">
        <w:rPr>
          <w:rFonts w:ascii="Times New Roman" w:hAnsi="Times New Roman"/>
          <w:sz w:val="24"/>
          <w:szCs w:val="24"/>
        </w:rPr>
        <w:t>committed</w:t>
      </w:r>
      <w:r w:rsidR="003A4E30" w:rsidRPr="00921196">
        <w:rPr>
          <w:rFonts w:ascii="Times New Roman" w:hAnsi="Times New Roman"/>
          <w:sz w:val="24"/>
          <w:szCs w:val="24"/>
        </w:rPr>
        <w:t xml:space="preserve"> in the course of the preparations for the muster.</w:t>
      </w:r>
    </w:p>
    <w:p w14:paraId="2A57C4AF" w14:textId="155F4539" w:rsidR="005065EC" w:rsidRPr="00921196" w:rsidRDefault="00B60588" w:rsidP="005065EC">
      <w:pPr>
        <w:spacing w:after="0" w:line="360" w:lineRule="auto"/>
        <w:ind w:firstLine="680"/>
        <w:jc w:val="both"/>
      </w:pPr>
      <w:r w:rsidRPr="00921196">
        <w:rPr>
          <w:rFonts w:ascii="Times New Roman" w:hAnsi="Times New Roman"/>
          <w:sz w:val="24"/>
          <w:szCs w:val="24"/>
        </w:rPr>
        <w:t>Guard</w:t>
      </w:r>
      <w:r w:rsidR="003A4E30" w:rsidRPr="00921196">
        <w:rPr>
          <w:rFonts w:ascii="Times New Roman" w:hAnsi="Times New Roman"/>
          <w:sz w:val="24"/>
          <w:szCs w:val="24"/>
        </w:rPr>
        <w:t xml:space="preserve"> service and wearing uniforms were not equally appealing for all. </w:t>
      </w:r>
      <w:r w:rsidR="009931B2">
        <w:rPr>
          <w:rFonts w:ascii="Times New Roman" w:hAnsi="Times New Roman"/>
          <w:sz w:val="24"/>
          <w:szCs w:val="24"/>
        </w:rPr>
        <w:t xml:space="preserve">As demonstrated above, </w:t>
      </w:r>
      <w:r w:rsidR="003A4E30" w:rsidRPr="00921196">
        <w:rPr>
          <w:rFonts w:ascii="Times New Roman" w:hAnsi="Times New Roman"/>
          <w:sz w:val="24"/>
          <w:szCs w:val="24"/>
        </w:rPr>
        <w:t>some individuals without burgher status were ready to serve in the guard</w:t>
      </w:r>
      <w:r w:rsidR="009931B2">
        <w:rPr>
          <w:rFonts w:ascii="Times New Roman" w:hAnsi="Times New Roman"/>
          <w:sz w:val="24"/>
          <w:szCs w:val="24"/>
        </w:rPr>
        <w:t>,</w:t>
      </w:r>
      <w:r w:rsidR="003A4E30" w:rsidRPr="00921196">
        <w:rPr>
          <w:rFonts w:ascii="Times New Roman" w:hAnsi="Times New Roman"/>
          <w:sz w:val="24"/>
          <w:szCs w:val="24"/>
        </w:rPr>
        <w:t xml:space="preserve"> </w:t>
      </w:r>
      <w:r w:rsidR="009931B2">
        <w:rPr>
          <w:rFonts w:ascii="Times New Roman" w:hAnsi="Times New Roman"/>
          <w:sz w:val="24"/>
          <w:szCs w:val="24"/>
        </w:rPr>
        <w:t>e</w:t>
      </w:r>
      <w:r w:rsidR="009931B2" w:rsidRPr="00921196">
        <w:rPr>
          <w:rFonts w:ascii="Times New Roman" w:hAnsi="Times New Roman"/>
          <w:sz w:val="24"/>
          <w:szCs w:val="24"/>
        </w:rPr>
        <w:t xml:space="preserve">ven though they were not obliged to do so, </w:t>
      </w:r>
      <w:r w:rsidR="003A4E30" w:rsidRPr="00921196">
        <w:rPr>
          <w:rFonts w:ascii="Times New Roman" w:hAnsi="Times New Roman"/>
          <w:sz w:val="24"/>
          <w:szCs w:val="24"/>
        </w:rPr>
        <w:t xml:space="preserve">probably for the associated social prestige. </w:t>
      </w:r>
      <w:r w:rsidR="00C27953" w:rsidRPr="00921196">
        <w:rPr>
          <w:rFonts w:ascii="Times New Roman" w:hAnsi="Times New Roman"/>
          <w:sz w:val="24"/>
          <w:szCs w:val="24"/>
        </w:rPr>
        <w:t>On the other hand,</w:t>
      </w:r>
      <w:r w:rsidR="003A4E30" w:rsidRPr="00921196">
        <w:rPr>
          <w:rFonts w:ascii="Times New Roman" w:hAnsi="Times New Roman"/>
          <w:sz w:val="24"/>
          <w:szCs w:val="24"/>
        </w:rPr>
        <w:t xml:space="preserve"> some burghers considered their obligation burdensome and sought reasons to excuse themselves </w:t>
      </w:r>
      <w:r w:rsidR="00C27953" w:rsidRPr="00921196">
        <w:rPr>
          <w:rFonts w:ascii="Times New Roman" w:hAnsi="Times New Roman"/>
          <w:sz w:val="24"/>
          <w:szCs w:val="24"/>
        </w:rPr>
        <w:t>often</w:t>
      </w:r>
      <w:r w:rsidR="003A4E30" w:rsidRPr="00921196">
        <w:rPr>
          <w:rFonts w:ascii="Times New Roman" w:hAnsi="Times New Roman"/>
          <w:sz w:val="24"/>
          <w:szCs w:val="24"/>
        </w:rPr>
        <w:t xml:space="preserve"> </w:t>
      </w:r>
      <w:r w:rsidR="00C27953" w:rsidRPr="00921196">
        <w:rPr>
          <w:rFonts w:ascii="Times New Roman" w:hAnsi="Times New Roman"/>
          <w:sz w:val="24"/>
          <w:szCs w:val="24"/>
        </w:rPr>
        <w:t xml:space="preserve">vocally </w:t>
      </w:r>
      <w:r w:rsidR="003A4E30" w:rsidRPr="00921196">
        <w:rPr>
          <w:rFonts w:ascii="Times New Roman" w:hAnsi="Times New Roman"/>
          <w:sz w:val="24"/>
          <w:szCs w:val="24"/>
        </w:rPr>
        <w:t>express</w:t>
      </w:r>
      <w:r w:rsidR="00C27953" w:rsidRPr="00921196">
        <w:rPr>
          <w:rFonts w:ascii="Times New Roman" w:hAnsi="Times New Roman"/>
          <w:sz w:val="24"/>
          <w:szCs w:val="24"/>
        </w:rPr>
        <w:t xml:space="preserve">ing their </w:t>
      </w:r>
      <w:r w:rsidR="009931B2">
        <w:rPr>
          <w:rFonts w:ascii="Times New Roman" w:hAnsi="Times New Roman"/>
          <w:sz w:val="24"/>
          <w:szCs w:val="24"/>
        </w:rPr>
        <w:t>dissatisfaction</w:t>
      </w:r>
      <w:r w:rsidR="00C27953" w:rsidRPr="00921196">
        <w:rPr>
          <w:rFonts w:ascii="Times New Roman" w:hAnsi="Times New Roman"/>
          <w:sz w:val="24"/>
          <w:szCs w:val="24"/>
        </w:rPr>
        <w:t>.</w:t>
      </w:r>
      <w:r w:rsidR="003A4E30" w:rsidRPr="00921196">
        <w:rPr>
          <w:rFonts w:ascii="Times New Roman" w:hAnsi="Times New Roman"/>
          <w:sz w:val="24"/>
          <w:szCs w:val="24"/>
        </w:rPr>
        <w:t xml:space="preserve"> </w:t>
      </w:r>
      <w:r w:rsidR="00C27953" w:rsidRPr="00921196">
        <w:rPr>
          <w:rFonts w:ascii="Times New Roman" w:hAnsi="Times New Roman"/>
          <w:sz w:val="24"/>
          <w:szCs w:val="24"/>
        </w:rPr>
        <w:t xml:space="preserve">The men enlisted as fit for service in the muster census were instructed </w:t>
      </w:r>
      <w:r w:rsidR="009931B2" w:rsidRPr="00921196">
        <w:rPr>
          <w:rFonts w:ascii="Times New Roman" w:hAnsi="Times New Roman"/>
          <w:sz w:val="24"/>
          <w:szCs w:val="24"/>
        </w:rPr>
        <w:t xml:space="preserve">to </w:t>
      </w:r>
      <w:r w:rsidR="009931B2">
        <w:rPr>
          <w:rFonts w:ascii="Times New Roman" w:hAnsi="Times New Roman"/>
          <w:sz w:val="24"/>
          <w:szCs w:val="24"/>
        </w:rPr>
        <w:t>report</w:t>
      </w:r>
      <w:r w:rsidR="009931B2" w:rsidRPr="00921196">
        <w:rPr>
          <w:rFonts w:ascii="Times New Roman" w:hAnsi="Times New Roman"/>
          <w:sz w:val="24"/>
          <w:szCs w:val="24"/>
        </w:rPr>
        <w:t xml:space="preserve"> </w:t>
      </w:r>
      <w:r w:rsidR="009374F2" w:rsidRPr="00921196">
        <w:rPr>
          <w:rFonts w:ascii="Times New Roman" w:hAnsi="Times New Roman"/>
          <w:sz w:val="24"/>
          <w:szCs w:val="24"/>
        </w:rPr>
        <w:t xml:space="preserve">in the yard of the council </w:t>
      </w:r>
      <w:r w:rsidR="009931B2" w:rsidRPr="00921196">
        <w:rPr>
          <w:rFonts w:ascii="Times New Roman" w:hAnsi="Times New Roman"/>
          <w:sz w:val="24"/>
          <w:szCs w:val="24"/>
        </w:rPr>
        <w:t>in a prior notice</w:t>
      </w:r>
      <w:r w:rsidR="009931B2">
        <w:rPr>
          <w:rFonts w:ascii="Times New Roman" w:hAnsi="Times New Roman"/>
          <w:sz w:val="24"/>
          <w:szCs w:val="24"/>
        </w:rPr>
        <w:t>,</w:t>
      </w:r>
      <w:r w:rsidR="009931B2" w:rsidRPr="00921196">
        <w:rPr>
          <w:rFonts w:ascii="Times New Roman" w:hAnsi="Times New Roman"/>
          <w:sz w:val="24"/>
          <w:szCs w:val="24"/>
        </w:rPr>
        <w:t xml:space="preserve"> </w:t>
      </w:r>
      <w:r w:rsidR="009374F2" w:rsidRPr="00921196">
        <w:rPr>
          <w:rFonts w:ascii="Times New Roman" w:hAnsi="Times New Roman"/>
          <w:sz w:val="24"/>
          <w:szCs w:val="24"/>
        </w:rPr>
        <w:t xml:space="preserve">and each </w:t>
      </w:r>
      <w:r w:rsidR="009374F2" w:rsidRPr="00921196">
        <w:rPr>
          <w:rFonts w:ascii="Times New Roman" w:hAnsi="Times New Roman"/>
          <w:sz w:val="24"/>
          <w:szCs w:val="24"/>
        </w:rPr>
        <w:lastRenderedPageBreak/>
        <w:t xml:space="preserve">was handed a printed copy of the service regulations of the guard. The report about the muster recorded the absence of forty-two enlisted persons. The minutes </w:t>
      </w:r>
      <w:r w:rsidR="009931B2">
        <w:rPr>
          <w:rFonts w:ascii="Times New Roman" w:hAnsi="Times New Roman"/>
          <w:sz w:val="24"/>
          <w:szCs w:val="24"/>
        </w:rPr>
        <w:t>noted</w:t>
      </w:r>
      <w:r w:rsidR="009374F2" w:rsidRPr="00921196">
        <w:rPr>
          <w:rFonts w:ascii="Times New Roman" w:hAnsi="Times New Roman"/>
          <w:sz w:val="24"/>
          <w:szCs w:val="24"/>
        </w:rPr>
        <w:t xml:space="preserve"> that seven of the truants had sought exemption on account of poor health, five gave other reasons for their absence</w:t>
      </w:r>
      <w:r w:rsidR="009931B2">
        <w:rPr>
          <w:rFonts w:ascii="Times New Roman" w:hAnsi="Times New Roman"/>
          <w:sz w:val="24"/>
          <w:szCs w:val="24"/>
        </w:rPr>
        <w:t>,</w:t>
      </w:r>
      <w:r w:rsidR="009374F2" w:rsidRPr="00921196">
        <w:rPr>
          <w:rFonts w:ascii="Times New Roman" w:hAnsi="Times New Roman"/>
          <w:sz w:val="24"/>
          <w:szCs w:val="24"/>
        </w:rPr>
        <w:t xml:space="preserve"> and thirty gave no notice or explanation. These cases were to be examined further by the council.</w:t>
      </w:r>
    </w:p>
    <w:p w14:paraId="06F4F647" w14:textId="3EF1BC42" w:rsidR="005065EC" w:rsidRPr="00921196" w:rsidRDefault="006C7359" w:rsidP="0036349A">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There were more serious misdemeanours as well, which were </w:t>
      </w:r>
      <w:r w:rsidR="009931B2" w:rsidRPr="00921196">
        <w:rPr>
          <w:rFonts w:ascii="Times New Roman" w:hAnsi="Times New Roman"/>
          <w:sz w:val="24"/>
          <w:szCs w:val="24"/>
        </w:rPr>
        <w:t>indignantly</w:t>
      </w:r>
      <w:r w:rsidR="009931B2" w:rsidRPr="00921196">
        <w:rPr>
          <w:rFonts w:ascii="Times New Roman" w:hAnsi="Times New Roman"/>
          <w:sz w:val="24"/>
          <w:szCs w:val="24"/>
        </w:rPr>
        <w:t xml:space="preserve"> </w:t>
      </w:r>
      <w:r w:rsidRPr="00921196">
        <w:rPr>
          <w:rFonts w:ascii="Times New Roman" w:hAnsi="Times New Roman"/>
          <w:sz w:val="24"/>
          <w:szCs w:val="24"/>
        </w:rPr>
        <w:t xml:space="preserve">reported to the council by public prosecutor Lajos Dobay, the guard’s military prosecutor </w:t>
      </w:r>
      <w:r w:rsidR="009931B2">
        <w:rPr>
          <w:rFonts w:ascii="Times New Roman" w:hAnsi="Times New Roman"/>
          <w:sz w:val="24"/>
          <w:szCs w:val="24"/>
        </w:rPr>
        <w:t>in the rank of captain</w:t>
      </w:r>
      <w:r w:rsidR="00A06EAC" w:rsidRPr="00921196">
        <w:rPr>
          <w:rFonts w:ascii="Times New Roman" w:hAnsi="Times New Roman"/>
          <w:sz w:val="24"/>
          <w:szCs w:val="24"/>
        </w:rPr>
        <w:t xml:space="preserve">. According to </w:t>
      </w:r>
      <w:r w:rsidR="009931B2" w:rsidRPr="00921196">
        <w:rPr>
          <w:rFonts w:ascii="Times New Roman" w:hAnsi="Times New Roman"/>
          <w:sz w:val="24"/>
          <w:szCs w:val="24"/>
        </w:rPr>
        <w:t>Dobay</w:t>
      </w:r>
      <w:r w:rsidR="00A06EAC" w:rsidRPr="00921196">
        <w:rPr>
          <w:rFonts w:ascii="Times New Roman" w:hAnsi="Times New Roman"/>
          <w:sz w:val="24"/>
          <w:szCs w:val="24"/>
        </w:rPr>
        <w:t>, several burghers forewent their manners and duty when they received the notice to enlist for the muster</w:t>
      </w:r>
      <w:r w:rsidR="005065EC" w:rsidRPr="00921196">
        <w:rPr>
          <w:rFonts w:ascii="Times New Roman" w:hAnsi="Times New Roman"/>
          <w:sz w:val="24"/>
          <w:szCs w:val="24"/>
        </w:rPr>
        <w:t xml:space="preserve">. </w:t>
      </w:r>
      <w:r w:rsidR="00A06EAC" w:rsidRPr="00921196">
        <w:rPr>
          <w:rFonts w:ascii="Times New Roman" w:hAnsi="Times New Roman"/>
          <w:sz w:val="24"/>
          <w:szCs w:val="24"/>
        </w:rPr>
        <w:t xml:space="preserve">Some not only addressed the official </w:t>
      </w:r>
      <w:r w:rsidR="00613120" w:rsidRPr="00921196">
        <w:rPr>
          <w:rFonts w:ascii="Times New Roman" w:hAnsi="Times New Roman"/>
          <w:sz w:val="24"/>
          <w:szCs w:val="24"/>
        </w:rPr>
        <w:t xml:space="preserve">who was </w:t>
      </w:r>
      <w:r w:rsidR="00A06EAC" w:rsidRPr="00921196">
        <w:rPr>
          <w:rFonts w:ascii="Times New Roman" w:hAnsi="Times New Roman"/>
          <w:sz w:val="24"/>
          <w:szCs w:val="24"/>
        </w:rPr>
        <w:t>delivering the notice</w:t>
      </w:r>
      <w:r w:rsidR="00613120" w:rsidRPr="00921196">
        <w:rPr>
          <w:rFonts w:ascii="Times New Roman" w:hAnsi="Times New Roman"/>
          <w:sz w:val="24"/>
          <w:szCs w:val="24"/>
        </w:rPr>
        <w:t>s</w:t>
      </w:r>
      <w:r w:rsidR="00A06EAC" w:rsidRPr="00921196">
        <w:rPr>
          <w:rFonts w:ascii="Times New Roman" w:hAnsi="Times New Roman"/>
          <w:sz w:val="24"/>
          <w:szCs w:val="24"/>
        </w:rPr>
        <w:t xml:space="preserve"> </w:t>
      </w:r>
      <w:r w:rsidR="009931B2">
        <w:rPr>
          <w:rFonts w:ascii="Times New Roman" w:hAnsi="Times New Roman"/>
          <w:sz w:val="24"/>
          <w:szCs w:val="24"/>
        </w:rPr>
        <w:t>using</w:t>
      </w:r>
      <w:r w:rsidR="00A06EAC" w:rsidRPr="00921196">
        <w:rPr>
          <w:rFonts w:ascii="Times New Roman" w:hAnsi="Times New Roman"/>
          <w:sz w:val="24"/>
          <w:szCs w:val="24"/>
        </w:rPr>
        <w:t xml:space="preserve"> “inappropriate phrases,” but went as far as the “boundless impropriety” of throwing the regulation booklet and the order to appear into the street without much ado. The prosecutor named some of the disturbers of peace who in his estimation transgressed in an especially grievous manner. For example, when </w:t>
      </w:r>
      <w:r w:rsidR="009931B2">
        <w:rPr>
          <w:rFonts w:ascii="Times New Roman" w:hAnsi="Times New Roman"/>
          <w:sz w:val="24"/>
          <w:szCs w:val="24"/>
        </w:rPr>
        <w:t>master</w:t>
      </w:r>
      <w:r w:rsidR="009931B2" w:rsidRPr="00921196">
        <w:rPr>
          <w:rFonts w:ascii="Times New Roman" w:hAnsi="Times New Roman"/>
          <w:sz w:val="24"/>
          <w:szCs w:val="24"/>
        </w:rPr>
        <w:t xml:space="preserve"> </w:t>
      </w:r>
      <w:r w:rsidR="00A06EAC" w:rsidRPr="00921196">
        <w:rPr>
          <w:rFonts w:ascii="Times New Roman" w:hAnsi="Times New Roman"/>
          <w:sz w:val="24"/>
          <w:szCs w:val="24"/>
        </w:rPr>
        <w:t>soaper</w:t>
      </w:r>
      <w:r w:rsidR="00EA409A">
        <w:rPr>
          <w:rFonts w:ascii="Times New Roman" w:hAnsi="Times New Roman"/>
          <w:sz w:val="24"/>
          <w:szCs w:val="24"/>
        </w:rPr>
        <w:t xml:space="preserve"> </w:t>
      </w:r>
      <w:r w:rsidR="00A06EAC" w:rsidRPr="00921196">
        <w:rPr>
          <w:rFonts w:ascii="Times New Roman" w:hAnsi="Times New Roman"/>
          <w:sz w:val="24"/>
          <w:szCs w:val="24"/>
        </w:rPr>
        <w:t>Dániel Hajdú threw the missive and regulations into the street, he was heard to exclaim “your masters have nothing to eat and they force us to serve</w:t>
      </w:r>
      <w:r w:rsidR="00A5416F">
        <w:rPr>
          <w:rFonts w:ascii="Times New Roman" w:hAnsi="Times New Roman"/>
          <w:sz w:val="24"/>
          <w:szCs w:val="24"/>
        </w:rPr>
        <w:t xml:space="preserve"> them</w:t>
      </w:r>
      <w:r w:rsidR="00A06EAC" w:rsidRPr="00921196">
        <w:rPr>
          <w:rFonts w:ascii="Times New Roman" w:hAnsi="Times New Roman"/>
          <w:sz w:val="24"/>
          <w:szCs w:val="24"/>
        </w:rPr>
        <w:t xml:space="preserve">?” István Mihályi and Simon Turnusz </w:t>
      </w:r>
      <w:r w:rsidR="009931B2">
        <w:rPr>
          <w:rFonts w:ascii="Times New Roman" w:hAnsi="Times New Roman"/>
          <w:sz w:val="24"/>
          <w:szCs w:val="24"/>
        </w:rPr>
        <w:t xml:space="preserve">also </w:t>
      </w:r>
      <w:r w:rsidR="006E38FC" w:rsidRPr="00921196">
        <w:rPr>
          <w:rFonts w:ascii="Times New Roman" w:hAnsi="Times New Roman"/>
          <w:sz w:val="24"/>
          <w:szCs w:val="24"/>
        </w:rPr>
        <w:t xml:space="preserve">derided the </w:t>
      </w:r>
      <w:r w:rsidR="00B60588" w:rsidRPr="00921196">
        <w:rPr>
          <w:rFonts w:ascii="Times New Roman" w:hAnsi="Times New Roman"/>
          <w:sz w:val="24"/>
          <w:szCs w:val="24"/>
        </w:rPr>
        <w:t>guard</w:t>
      </w:r>
      <w:r w:rsidR="006E38FC" w:rsidRPr="00921196">
        <w:rPr>
          <w:rFonts w:ascii="Times New Roman" w:hAnsi="Times New Roman"/>
          <w:sz w:val="24"/>
          <w:szCs w:val="24"/>
        </w:rPr>
        <w:t xml:space="preserve"> and made insulting comments about the council in a local shop, while two </w:t>
      </w:r>
      <w:r w:rsidR="0036349A" w:rsidRPr="00921196">
        <w:rPr>
          <w:rFonts w:ascii="Times New Roman" w:hAnsi="Times New Roman"/>
          <w:sz w:val="24"/>
          <w:szCs w:val="24"/>
        </w:rPr>
        <w:t>others,</w:t>
      </w:r>
      <w:r w:rsidR="006E38FC" w:rsidRPr="00921196">
        <w:rPr>
          <w:rFonts w:ascii="Times New Roman" w:hAnsi="Times New Roman"/>
          <w:sz w:val="24"/>
          <w:szCs w:val="24"/>
        </w:rPr>
        <w:t xml:space="preserve"> simply referred to by the</w:t>
      </w:r>
      <w:r w:rsidR="00613120" w:rsidRPr="00921196">
        <w:rPr>
          <w:rFonts w:ascii="Times New Roman" w:hAnsi="Times New Roman"/>
          <w:sz w:val="24"/>
          <w:szCs w:val="24"/>
        </w:rPr>
        <w:t>ir</w:t>
      </w:r>
      <w:r w:rsidR="006E38FC" w:rsidRPr="00921196">
        <w:rPr>
          <w:rFonts w:ascii="Times New Roman" w:hAnsi="Times New Roman"/>
          <w:sz w:val="24"/>
          <w:szCs w:val="24"/>
        </w:rPr>
        <w:t xml:space="preserve"> surnames as Hagegon and Hmell</w:t>
      </w:r>
      <w:r w:rsidR="0036349A" w:rsidRPr="00921196">
        <w:rPr>
          <w:rFonts w:ascii="Times New Roman" w:hAnsi="Times New Roman"/>
          <w:sz w:val="24"/>
          <w:szCs w:val="24"/>
        </w:rPr>
        <w:t>,</w:t>
      </w:r>
      <w:r w:rsidR="006E38FC" w:rsidRPr="00921196">
        <w:rPr>
          <w:rFonts w:ascii="Times New Roman" w:hAnsi="Times New Roman"/>
          <w:sz w:val="24"/>
          <w:szCs w:val="24"/>
        </w:rPr>
        <w:t xml:space="preserve"> did so in a tavern. </w:t>
      </w:r>
      <w:r w:rsidR="0036349A" w:rsidRPr="00921196">
        <w:rPr>
          <w:rFonts w:ascii="Times New Roman" w:hAnsi="Times New Roman"/>
          <w:sz w:val="24"/>
          <w:szCs w:val="24"/>
        </w:rPr>
        <w:t xml:space="preserve">Dobay </w:t>
      </w:r>
      <w:r w:rsidR="006E38FC" w:rsidRPr="00921196">
        <w:rPr>
          <w:rFonts w:ascii="Times New Roman" w:hAnsi="Times New Roman"/>
          <w:sz w:val="24"/>
          <w:szCs w:val="24"/>
        </w:rPr>
        <w:t xml:space="preserve">furnished his </w:t>
      </w:r>
      <w:r w:rsidR="00613120" w:rsidRPr="00921196">
        <w:rPr>
          <w:rFonts w:ascii="Times New Roman" w:hAnsi="Times New Roman"/>
          <w:sz w:val="24"/>
          <w:szCs w:val="24"/>
        </w:rPr>
        <w:t>speech with further names of burghers who rejected the notice and shouted that they refuse</w:t>
      </w:r>
      <w:r w:rsidR="0036349A" w:rsidRPr="00921196">
        <w:rPr>
          <w:rFonts w:ascii="Times New Roman" w:hAnsi="Times New Roman"/>
          <w:sz w:val="24"/>
          <w:szCs w:val="24"/>
        </w:rPr>
        <w:t>d</w:t>
      </w:r>
      <w:r w:rsidR="00613120" w:rsidRPr="00921196">
        <w:rPr>
          <w:rFonts w:ascii="Times New Roman" w:hAnsi="Times New Roman"/>
          <w:sz w:val="24"/>
          <w:szCs w:val="24"/>
        </w:rPr>
        <w:t xml:space="preserve"> to be ordered around by anyone. One person used force to throw out the messenger delivering the notices. The prosecutor also </w:t>
      </w:r>
      <w:r w:rsidR="0036349A" w:rsidRPr="00921196">
        <w:rPr>
          <w:rFonts w:ascii="Times New Roman" w:hAnsi="Times New Roman"/>
          <w:sz w:val="24"/>
          <w:szCs w:val="24"/>
        </w:rPr>
        <w:t>reported that he was aware that some younger burghers were inciting civil disobedience. In another instance, the previously mentioned clockmaker, István Mihályi, appeared at the muster in his “private clothing” bearing no arms and refused to make the required oath “with boundless impropriety.”</w:t>
      </w:r>
      <w:r w:rsidR="005065EC" w:rsidRPr="00921196">
        <w:rPr>
          <w:rFonts w:ascii="Times New Roman" w:hAnsi="Times New Roman"/>
          <w:sz w:val="24"/>
          <w:szCs w:val="24"/>
          <w:vertAlign w:val="superscript"/>
        </w:rPr>
        <w:footnoteReference w:id="30"/>
      </w:r>
    </w:p>
    <w:p w14:paraId="41FEFA4B" w14:textId="2AE7C526" w:rsidR="005065EC" w:rsidRPr="00921196" w:rsidRDefault="00884C2F" w:rsidP="00B10333">
      <w:pPr>
        <w:spacing w:after="0" w:line="360" w:lineRule="auto"/>
        <w:ind w:firstLine="680"/>
        <w:jc w:val="both"/>
        <w:rPr>
          <w:rFonts w:ascii="Times New Roman" w:hAnsi="Times New Roman"/>
          <w:sz w:val="24"/>
          <w:szCs w:val="24"/>
        </w:rPr>
      </w:pPr>
      <w:r w:rsidRPr="00921196">
        <w:rPr>
          <w:rFonts w:ascii="Times New Roman" w:hAnsi="Times New Roman"/>
          <w:sz w:val="24"/>
          <w:szCs w:val="24"/>
        </w:rPr>
        <w:tab/>
        <w:t xml:space="preserve">Besides the actual violation of the </w:t>
      </w:r>
      <w:r w:rsidR="00B60588" w:rsidRPr="00921196">
        <w:rPr>
          <w:rFonts w:ascii="Times New Roman" w:hAnsi="Times New Roman"/>
          <w:sz w:val="24"/>
          <w:szCs w:val="24"/>
        </w:rPr>
        <w:t>guard</w:t>
      </w:r>
      <w:r w:rsidRPr="00921196">
        <w:rPr>
          <w:rFonts w:ascii="Times New Roman" w:hAnsi="Times New Roman"/>
          <w:sz w:val="24"/>
          <w:szCs w:val="24"/>
        </w:rPr>
        <w:t xml:space="preserve"> regulations, these cases fundamentally challenged </w:t>
      </w:r>
      <w:r w:rsidR="0063598B" w:rsidRPr="00921196">
        <w:rPr>
          <w:rFonts w:ascii="Times New Roman" w:hAnsi="Times New Roman"/>
          <w:sz w:val="24"/>
          <w:szCs w:val="24"/>
        </w:rPr>
        <w:t>the behaviour norms of the respect demanded by the civic administration</w:t>
      </w:r>
      <w:r w:rsidR="00BB16C2" w:rsidRPr="00921196">
        <w:rPr>
          <w:rFonts w:ascii="Times New Roman" w:hAnsi="Times New Roman"/>
          <w:sz w:val="24"/>
          <w:szCs w:val="24"/>
        </w:rPr>
        <w:t xml:space="preserve"> acting on behalf of the city, and these were</w:t>
      </w:r>
      <w:r w:rsidR="0063598B" w:rsidRPr="00921196">
        <w:rPr>
          <w:rFonts w:ascii="Times New Roman" w:hAnsi="Times New Roman"/>
          <w:sz w:val="24"/>
          <w:szCs w:val="24"/>
        </w:rPr>
        <w:t xml:space="preserve"> </w:t>
      </w:r>
      <w:r w:rsidR="00BB16C2" w:rsidRPr="00921196">
        <w:rPr>
          <w:rFonts w:ascii="Times New Roman" w:hAnsi="Times New Roman"/>
          <w:sz w:val="24"/>
          <w:szCs w:val="24"/>
        </w:rPr>
        <w:t>judged more severely than simple truancy at the muster.  The magistrate, however, was rather forgiving with the rebels</w:t>
      </w:r>
      <w:r w:rsidR="00B10333" w:rsidRPr="00921196">
        <w:rPr>
          <w:rFonts w:ascii="Times New Roman" w:hAnsi="Times New Roman"/>
          <w:sz w:val="24"/>
          <w:szCs w:val="24"/>
        </w:rPr>
        <w:t xml:space="preserve"> in the end</w:t>
      </w:r>
      <w:r w:rsidR="00BB16C2" w:rsidRPr="00921196">
        <w:rPr>
          <w:rFonts w:ascii="Times New Roman" w:hAnsi="Times New Roman"/>
          <w:sz w:val="24"/>
          <w:szCs w:val="24"/>
        </w:rPr>
        <w:t xml:space="preserve">. Perhaps the council, simply seeking to restore peace, </w:t>
      </w:r>
      <w:r w:rsidR="00D94224">
        <w:rPr>
          <w:rFonts w:ascii="Times New Roman" w:hAnsi="Times New Roman"/>
          <w:sz w:val="24"/>
          <w:szCs w:val="24"/>
        </w:rPr>
        <w:t>found</w:t>
      </w:r>
      <w:r w:rsidR="00BB16C2" w:rsidRPr="00921196">
        <w:rPr>
          <w:rFonts w:ascii="Times New Roman" w:hAnsi="Times New Roman"/>
          <w:sz w:val="24"/>
          <w:szCs w:val="24"/>
        </w:rPr>
        <w:t xml:space="preserve"> it </w:t>
      </w:r>
      <w:r w:rsidR="00D94224">
        <w:rPr>
          <w:rFonts w:ascii="Times New Roman" w:hAnsi="Times New Roman"/>
          <w:sz w:val="24"/>
          <w:szCs w:val="24"/>
        </w:rPr>
        <w:t>wiser</w:t>
      </w:r>
      <w:r w:rsidR="00BB16C2" w:rsidRPr="00921196">
        <w:rPr>
          <w:rFonts w:ascii="Times New Roman" w:hAnsi="Times New Roman"/>
          <w:sz w:val="24"/>
          <w:szCs w:val="24"/>
        </w:rPr>
        <w:t xml:space="preserve"> to </w:t>
      </w:r>
      <w:r w:rsidR="00B10333" w:rsidRPr="00921196">
        <w:rPr>
          <w:rFonts w:ascii="Times New Roman" w:hAnsi="Times New Roman"/>
          <w:sz w:val="24"/>
          <w:szCs w:val="24"/>
        </w:rPr>
        <w:t>avoid</w:t>
      </w:r>
      <w:r w:rsidR="00BB16C2" w:rsidRPr="00921196">
        <w:rPr>
          <w:rFonts w:ascii="Times New Roman" w:hAnsi="Times New Roman"/>
          <w:sz w:val="24"/>
          <w:szCs w:val="24"/>
        </w:rPr>
        <w:t xml:space="preserve"> escalating the situation by exacting severe punishments.</w:t>
      </w:r>
      <w:r w:rsidR="00B10333" w:rsidRPr="00921196">
        <w:rPr>
          <w:rFonts w:ascii="Times New Roman" w:hAnsi="Times New Roman"/>
          <w:sz w:val="24"/>
          <w:szCs w:val="24"/>
        </w:rPr>
        <w:t xml:space="preserve"> </w:t>
      </w:r>
      <w:r w:rsidR="00273047">
        <w:rPr>
          <w:rFonts w:ascii="Times New Roman" w:hAnsi="Times New Roman"/>
          <w:sz w:val="24"/>
          <w:szCs w:val="24"/>
        </w:rPr>
        <w:t>D</w:t>
      </w:r>
      <w:r w:rsidR="00B10333" w:rsidRPr="00921196">
        <w:rPr>
          <w:rFonts w:ascii="Times New Roman" w:hAnsi="Times New Roman"/>
          <w:sz w:val="24"/>
          <w:szCs w:val="24"/>
        </w:rPr>
        <w:t xml:space="preserve">espite the fact that the disorderly individuals would </w:t>
      </w:r>
      <w:r w:rsidR="00273047">
        <w:rPr>
          <w:rFonts w:ascii="Times New Roman" w:hAnsi="Times New Roman"/>
          <w:sz w:val="24"/>
          <w:szCs w:val="24"/>
        </w:rPr>
        <w:t xml:space="preserve">have </w:t>
      </w:r>
      <w:r w:rsidR="00B10333" w:rsidRPr="00921196">
        <w:rPr>
          <w:rFonts w:ascii="Times New Roman" w:hAnsi="Times New Roman"/>
          <w:sz w:val="24"/>
          <w:szCs w:val="24"/>
        </w:rPr>
        <w:t>deserve</w:t>
      </w:r>
      <w:r w:rsidR="00273047">
        <w:rPr>
          <w:rFonts w:ascii="Times New Roman" w:hAnsi="Times New Roman"/>
          <w:sz w:val="24"/>
          <w:szCs w:val="24"/>
        </w:rPr>
        <w:t>d</w:t>
      </w:r>
      <w:r w:rsidR="00B10333" w:rsidRPr="00921196">
        <w:rPr>
          <w:rFonts w:ascii="Times New Roman" w:hAnsi="Times New Roman"/>
          <w:sz w:val="24"/>
          <w:szCs w:val="24"/>
        </w:rPr>
        <w:t xml:space="preserve"> more severe punishment on account of breach of duty, </w:t>
      </w:r>
      <w:r w:rsidR="00273047" w:rsidRPr="00921196">
        <w:rPr>
          <w:rFonts w:ascii="Times New Roman" w:hAnsi="Times New Roman"/>
          <w:sz w:val="24"/>
          <w:szCs w:val="24"/>
        </w:rPr>
        <w:t>the council resolution</w:t>
      </w:r>
      <w:r w:rsidR="00273047" w:rsidRPr="00921196">
        <w:rPr>
          <w:rFonts w:ascii="Times New Roman" w:hAnsi="Times New Roman"/>
          <w:sz w:val="24"/>
          <w:szCs w:val="24"/>
        </w:rPr>
        <w:t xml:space="preserve"> </w:t>
      </w:r>
      <w:r w:rsidR="00B10333" w:rsidRPr="00921196">
        <w:rPr>
          <w:rFonts w:ascii="Times New Roman" w:hAnsi="Times New Roman"/>
          <w:sz w:val="24"/>
          <w:szCs w:val="24"/>
        </w:rPr>
        <w:t xml:space="preserve">only issued </w:t>
      </w:r>
      <w:r w:rsidR="00273047">
        <w:rPr>
          <w:rFonts w:ascii="Times New Roman" w:hAnsi="Times New Roman"/>
          <w:sz w:val="24"/>
          <w:szCs w:val="24"/>
        </w:rPr>
        <w:t xml:space="preserve">them </w:t>
      </w:r>
      <w:r w:rsidR="00B10333" w:rsidRPr="00921196">
        <w:rPr>
          <w:rFonts w:ascii="Times New Roman" w:hAnsi="Times New Roman"/>
          <w:sz w:val="24"/>
          <w:szCs w:val="24"/>
        </w:rPr>
        <w:t xml:space="preserve">a warning to refrain from such behaviour in the future. The most severe sentence was given to István Mihályi </w:t>
      </w:r>
      <w:r w:rsidR="00B10333" w:rsidRPr="00921196">
        <w:rPr>
          <w:rFonts w:ascii="Times New Roman" w:hAnsi="Times New Roman"/>
          <w:sz w:val="24"/>
          <w:szCs w:val="24"/>
        </w:rPr>
        <w:lastRenderedPageBreak/>
        <w:t xml:space="preserve">the clockmaker, who was summoned to appear before the council to be reprimanded (or to </w:t>
      </w:r>
      <w:r w:rsidR="00A46D88" w:rsidRPr="00921196">
        <w:rPr>
          <w:rFonts w:ascii="Times New Roman" w:hAnsi="Times New Roman"/>
          <w:sz w:val="24"/>
          <w:szCs w:val="24"/>
        </w:rPr>
        <w:t>hear</w:t>
      </w:r>
      <w:r w:rsidR="00B10333" w:rsidRPr="00921196">
        <w:rPr>
          <w:rFonts w:ascii="Times New Roman" w:hAnsi="Times New Roman"/>
          <w:sz w:val="24"/>
          <w:szCs w:val="24"/>
        </w:rPr>
        <w:t xml:space="preserve"> the council’s warning</w:t>
      </w:r>
      <w:r w:rsidR="00273047">
        <w:rPr>
          <w:rFonts w:ascii="Times New Roman" w:hAnsi="Times New Roman"/>
          <w:sz w:val="24"/>
          <w:szCs w:val="24"/>
        </w:rPr>
        <w:t>)</w:t>
      </w:r>
      <w:r w:rsidR="00273047" w:rsidRPr="00273047">
        <w:rPr>
          <w:rFonts w:ascii="Times New Roman" w:hAnsi="Times New Roman"/>
          <w:sz w:val="24"/>
          <w:szCs w:val="24"/>
        </w:rPr>
        <w:t xml:space="preserve"> </w:t>
      </w:r>
      <w:r w:rsidR="00273047" w:rsidRPr="00921196">
        <w:rPr>
          <w:rFonts w:ascii="Times New Roman" w:hAnsi="Times New Roman"/>
          <w:sz w:val="24"/>
          <w:szCs w:val="24"/>
        </w:rPr>
        <w:t>in person</w:t>
      </w:r>
      <w:r w:rsidR="00B10333" w:rsidRPr="00921196">
        <w:rPr>
          <w:rFonts w:ascii="Times New Roman" w:hAnsi="Times New Roman"/>
          <w:sz w:val="24"/>
          <w:szCs w:val="24"/>
        </w:rPr>
        <w:t>.</w:t>
      </w:r>
      <w:r w:rsidR="005065EC" w:rsidRPr="00921196">
        <w:rPr>
          <w:rStyle w:val="FootnoteReference"/>
        </w:rPr>
        <w:footnoteReference w:id="31"/>
      </w:r>
    </w:p>
    <w:p w14:paraId="16AAF8BB" w14:textId="77777777" w:rsidR="00273047" w:rsidRDefault="00B10333" w:rsidP="00305C90">
      <w:pPr>
        <w:spacing w:after="0" w:line="360" w:lineRule="auto"/>
        <w:ind w:firstLine="680"/>
        <w:jc w:val="both"/>
        <w:rPr>
          <w:rFonts w:ascii="Times New Roman" w:hAnsi="Times New Roman"/>
          <w:sz w:val="24"/>
          <w:szCs w:val="24"/>
        </w:rPr>
      </w:pPr>
      <w:r w:rsidRPr="00921196">
        <w:tab/>
      </w:r>
      <w:r w:rsidRPr="00921196">
        <w:rPr>
          <w:rFonts w:ascii="Times New Roman" w:hAnsi="Times New Roman"/>
          <w:sz w:val="24"/>
          <w:szCs w:val="24"/>
        </w:rPr>
        <w:t xml:space="preserve">The personal summons </w:t>
      </w:r>
      <w:r w:rsidR="00C842A0" w:rsidRPr="00921196">
        <w:rPr>
          <w:rFonts w:ascii="Times New Roman" w:hAnsi="Times New Roman"/>
          <w:sz w:val="24"/>
          <w:szCs w:val="24"/>
        </w:rPr>
        <w:t>carried significant</w:t>
      </w:r>
      <w:r w:rsidRPr="00921196">
        <w:rPr>
          <w:rFonts w:ascii="Times New Roman" w:hAnsi="Times New Roman"/>
          <w:sz w:val="24"/>
          <w:szCs w:val="24"/>
        </w:rPr>
        <w:t xml:space="preserve"> weight and the subject sought recourse. He drew up an appeal </w:t>
      </w:r>
      <w:r w:rsidR="0059552B" w:rsidRPr="00921196">
        <w:rPr>
          <w:rFonts w:ascii="Times New Roman" w:hAnsi="Times New Roman"/>
          <w:sz w:val="24"/>
          <w:szCs w:val="24"/>
        </w:rPr>
        <w:t>in which he stated</w:t>
      </w:r>
      <w:r w:rsidRPr="00921196">
        <w:rPr>
          <w:rFonts w:ascii="Times New Roman" w:hAnsi="Times New Roman"/>
          <w:sz w:val="24"/>
          <w:szCs w:val="24"/>
        </w:rPr>
        <w:t xml:space="preserve"> that </w:t>
      </w:r>
      <w:r w:rsidR="00C842A0" w:rsidRPr="00921196">
        <w:rPr>
          <w:rFonts w:ascii="Times New Roman" w:hAnsi="Times New Roman"/>
          <w:sz w:val="24"/>
          <w:szCs w:val="24"/>
        </w:rPr>
        <w:t xml:space="preserve">in his opinion the sentence was unfair as it was decided on without </w:t>
      </w:r>
      <w:r w:rsidR="0059552B" w:rsidRPr="00921196">
        <w:rPr>
          <w:rFonts w:ascii="Times New Roman" w:hAnsi="Times New Roman"/>
          <w:sz w:val="24"/>
          <w:szCs w:val="24"/>
        </w:rPr>
        <w:t xml:space="preserve">interrogation and pleaded for </w:t>
      </w:r>
      <w:r w:rsidR="00444F05" w:rsidRPr="00921196">
        <w:rPr>
          <w:rFonts w:ascii="Times New Roman" w:hAnsi="Times New Roman"/>
          <w:sz w:val="24"/>
          <w:szCs w:val="24"/>
        </w:rPr>
        <w:t>his exoneration</w:t>
      </w:r>
      <w:r w:rsidRPr="00921196">
        <w:rPr>
          <w:rFonts w:ascii="Times New Roman" w:hAnsi="Times New Roman"/>
          <w:sz w:val="24"/>
          <w:szCs w:val="24"/>
        </w:rPr>
        <w:t xml:space="preserve"> </w:t>
      </w:r>
      <w:r w:rsidR="0059552B" w:rsidRPr="00921196">
        <w:rPr>
          <w:rFonts w:ascii="Times New Roman" w:hAnsi="Times New Roman"/>
          <w:sz w:val="24"/>
          <w:szCs w:val="24"/>
        </w:rPr>
        <w:t xml:space="preserve">“as an otherwise obedient burgher from this burdensome resolution.” Should the council refuse to grant this, he requested the suspension of the </w:t>
      </w:r>
      <w:r w:rsidR="00C63BDA" w:rsidRPr="00921196">
        <w:rPr>
          <w:rFonts w:ascii="Times New Roman" w:hAnsi="Times New Roman"/>
          <w:sz w:val="24"/>
          <w:szCs w:val="24"/>
        </w:rPr>
        <w:t xml:space="preserve">resolution until he receives a reply </w:t>
      </w:r>
      <w:r w:rsidR="0059552B" w:rsidRPr="00921196">
        <w:rPr>
          <w:rFonts w:ascii="Times New Roman" w:hAnsi="Times New Roman"/>
          <w:sz w:val="24"/>
          <w:szCs w:val="24"/>
        </w:rPr>
        <w:t xml:space="preserve">to his appeal filed at the </w:t>
      </w:r>
      <w:r w:rsidR="00305C90" w:rsidRPr="00921196">
        <w:rPr>
          <w:rFonts w:ascii="Times New Roman" w:hAnsi="Times New Roman"/>
          <w:sz w:val="24"/>
          <w:szCs w:val="24"/>
        </w:rPr>
        <w:t>Locumtenential Council</w:t>
      </w:r>
      <w:r w:rsidR="0059552B" w:rsidRPr="00921196">
        <w:rPr>
          <w:rFonts w:ascii="Times New Roman" w:hAnsi="Times New Roman"/>
          <w:sz w:val="24"/>
          <w:szCs w:val="24"/>
        </w:rPr>
        <w:t xml:space="preserve">. This means that the clockmaker </w:t>
      </w:r>
      <w:r w:rsidR="00273047">
        <w:rPr>
          <w:rFonts w:ascii="Times New Roman" w:hAnsi="Times New Roman"/>
          <w:sz w:val="24"/>
          <w:szCs w:val="24"/>
        </w:rPr>
        <w:t xml:space="preserve">also </w:t>
      </w:r>
      <w:r w:rsidR="00C63BDA" w:rsidRPr="00921196">
        <w:rPr>
          <w:rFonts w:ascii="Times New Roman" w:hAnsi="Times New Roman"/>
          <w:sz w:val="24"/>
          <w:szCs w:val="24"/>
        </w:rPr>
        <w:t>lodged a complaint</w:t>
      </w:r>
      <w:r w:rsidR="0059552B" w:rsidRPr="00921196">
        <w:rPr>
          <w:rFonts w:ascii="Times New Roman" w:hAnsi="Times New Roman"/>
          <w:sz w:val="24"/>
          <w:szCs w:val="24"/>
        </w:rPr>
        <w:t xml:space="preserve"> to the central government overseeing the city administration in the name of the king</w:t>
      </w:r>
      <w:r w:rsidR="00C63BDA" w:rsidRPr="00921196">
        <w:rPr>
          <w:rFonts w:ascii="Times New Roman" w:hAnsi="Times New Roman"/>
          <w:sz w:val="24"/>
          <w:szCs w:val="24"/>
        </w:rPr>
        <w:t>. His appeal, furthermore, also contained another criticism: Mihályi advised the city administration that</w:t>
      </w:r>
      <w:r w:rsidR="00273047">
        <w:rPr>
          <w:rFonts w:ascii="Times New Roman" w:hAnsi="Times New Roman"/>
          <w:sz w:val="24"/>
          <w:szCs w:val="24"/>
        </w:rPr>
        <w:t xml:space="preserve"> the</w:t>
      </w:r>
      <w:r w:rsidR="00C63BDA" w:rsidRPr="00921196">
        <w:rPr>
          <w:rFonts w:ascii="Times New Roman" w:hAnsi="Times New Roman"/>
          <w:sz w:val="24"/>
          <w:szCs w:val="24"/>
        </w:rPr>
        <w:t xml:space="preserve"> guard regulations which were handed out at the muster should be collected and reissued once a more competent person rewrites the text. The council naturally rejected this and refused to honour his appeal. Mihályi’s argument in his own </w:t>
      </w:r>
      <w:r w:rsidR="00EA409A" w:rsidRPr="00921196">
        <w:rPr>
          <w:rFonts w:ascii="Times New Roman" w:hAnsi="Times New Roman"/>
          <w:sz w:val="24"/>
          <w:szCs w:val="24"/>
        </w:rPr>
        <w:t>defence</w:t>
      </w:r>
      <w:r w:rsidR="00C63BDA" w:rsidRPr="00921196">
        <w:rPr>
          <w:rFonts w:ascii="Times New Roman" w:hAnsi="Times New Roman"/>
          <w:sz w:val="24"/>
          <w:szCs w:val="24"/>
        </w:rPr>
        <w:t xml:space="preserve"> </w:t>
      </w:r>
      <w:r w:rsidR="00EA3A21" w:rsidRPr="00921196">
        <w:rPr>
          <w:rFonts w:ascii="Times New Roman" w:hAnsi="Times New Roman"/>
          <w:sz w:val="24"/>
          <w:szCs w:val="24"/>
        </w:rPr>
        <w:t xml:space="preserve">was </w:t>
      </w:r>
      <w:r w:rsidR="00C63BDA" w:rsidRPr="00921196">
        <w:rPr>
          <w:rFonts w:ascii="Times New Roman" w:hAnsi="Times New Roman"/>
          <w:sz w:val="24"/>
          <w:szCs w:val="24"/>
        </w:rPr>
        <w:t>met by the council’s “most serious disapproval.” Unfortunately the appeal was not preserved so the details are only known fr</w:t>
      </w:r>
      <w:r w:rsidR="009D0A11">
        <w:rPr>
          <w:rFonts w:ascii="Times New Roman" w:hAnsi="Times New Roman"/>
          <w:sz w:val="24"/>
          <w:szCs w:val="24"/>
        </w:rPr>
        <w:t>om references ma</w:t>
      </w:r>
      <w:r w:rsidR="00273047">
        <w:rPr>
          <w:rFonts w:ascii="Times New Roman" w:hAnsi="Times New Roman"/>
          <w:sz w:val="24"/>
          <w:szCs w:val="24"/>
        </w:rPr>
        <w:t>de to it in the minutes of council meetings</w:t>
      </w:r>
      <w:r w:rsidR="00C63BDA" w:rsidRPr="00921196">
        <w:rPr>
          <w:rFonts w:ascii="Times New Roman" w:hAnsi="Times New Roman"/>
          <w:sz w:val="24"/>
          <w:szCs w:val="24"/>
        </w:rPr>
        <w:t xml:space="preserve">. </w:t>
      </w:r>
    </w:p>
    <w:p w14:paraId="1A8353BD" w14:textId="4821B285" w:rsidR="005065EC" w:rsidRPr="00921196" w:rsidRDefault="00C63BDA" w:rsidP="00305C90">
      <w:pPr>
        <w:spacing w:after="0" w:line="360" w:lineRule="auto"/>
        <w:ind w:firstLine="680"/>
        <w:jc w:val="both"/>
        <w:rPr>
          <w:rFonts w:ascii="Times New Roman" w:hAnsi="Times New Roman"/>
          <w:sz w:val="24"/>
          <w:szCs w:val="24"/>
        </w:rPr>
      </w:pPr>
      <w:r w:rsidRPr="00921196">
        <w:rPr>
          <w:rFonts w:ascii="Times New Roman" w:hAnsi="Times New Roman"/>
          <w:sz w:val="24"/>
          <w:szCs w:val="24"/>
        </w:rPr>
        <w:t>The council resolution also notes that the appeal was not even written by Mihályi himself. According to the councillors</w:t>
      </w:r>
      <w:r w:rsidR="00AA7DCB" w:rsidRPr="00921196">
        <w:rPr>
          <w:rFonts w:ascii="Times New Roman" w:hAnsi="Times New Roman"/>
          <w:sz w:val="24"/>
          <w:szCs w:val="24"/>
        </w:rPr>
        <w:t>,</w:t>
      </w:r>
      <w:r w:rsidRPr="00921196">
        <w:rPr>
          <w:rFonts w:ascii="Times New Roman" w:hAnsi="Times New Roman"/>
          <w:sz w:val="24"/>
          <w:szCs w:val="24"/>
        </w:rPr>
        <w:t xml:space="preserve"> the “</w:t>
      </w:r>
      <w:r w:rsidR="00617A01" w:rsidRPr="00921196">
        <w:rPr>
          <w:rFonts w:ascii="Times New Roman" w:hAnsi="Times New Roman"/>
          <w:sz w:val="24"/>
          <w:szCs w:val="24"/>
        </w:rPr>
        <w:t xml:space="preserve">inappropriate phrases, wholly </w:t>
      </w:r>
      <w:r w:rsidR="00EA409A" w:rsidRPr="00921196">
        <w:rPr>
          <w:rFonts w:ascii="Times New Roman" w:hAnsi="Times New Roman"/>
          <w:sz w:val="24"/>
          <w:szCs w:val="24"/>
        </w:rPr>
        <w:t>incompatible</w:t>
      </w:r>
      <w:r w:rsidR="00617A01" w:rsidRPr="00921196">
        <w:rPr>
          <w:rFonts w:ascii="Times New Roman" w:hAnsi="Times New Roman"/>
          <w:sz w:val="24"/>
          <w:szCs w:val="24"/>
        </w:rPr>
        <w:t xml:space="preserve"> with the dignity of the municipal authority” suggest that the appeal was in fact written by the </w:t>
      </w:r>
      <w:r w:rsidR="00EA409A" w:rsidRPr="00921196">
        <w:rPr>
          <w:rFonts w:ascii="Times New Roman" w:hAnsi="Times New Roman"/>
          <w:sz w:val="24"/>
          <w:szCs w:val="24"/>
        </w:rPr>
        <w:t>appellant’s</w:t>
      </w:r>
      <w:r w:rsidR="00617A01" w:rsidRPr="00921196">
        <w:rPr>
          <w:rFonts w:ascii="Times New Roman" w:hAnsi="Times New Roman"/>
          <w:sz w:val="24"/>
          <w:szCs w:val="24"/>
        </w:rPr>
        <w:t xml:space="preserve"> brother, Károly Mihályi. </w:t>
      </w:r>
      <w:r w:rsidR="00AA7DCB" w:rsidRPr="00921196">
        <w:rPr>
          <w:rFonts w:ascii="Times New Roman" w:hAnsi="Times New Roman"/>
          <w:sz w:val="24"/>
          <w:szCs w:val="24"/>
        </w:rPr>
        <w:t xml:space="preserve">This man was a lawyer who had been previously reprimanded for the disrespectful tone </w:t>
      </w:r>
      <w:r w:rsidR="00273047">
        <w:rPr>
          <w:rFonts w:ascii="Times New Roman" w:hAnsi="Times New Roman"/>
          <w:sz w:val="24"/>
          <w:szCs w:val="24"/>
        </w:rPr>
        <w:t>used in</w:t>
      </w:r>
      <w:r w:rsidR="00AA7DCB" w:rsidRPr="00921196">
        <w:rPr>
          <w:rFonts w:ascii="Times New Roman" w:hAnsi="Times New Roman"/>
          <w:sz w:val="24"/>
          <w:szCs w:val="24"/>
        </w:rPr>
        <w:t xml:space="preserve"> his communications to the council. Károly Mihályi was thus also reminded to keep the rules of correct behaviour. At the same time, the council also instructed the notary to delete certain passages in the appeal, including the sentence “the law’s shield</w:t>
      </w:r>
      <w:r w:rsidR="00C16201" w:rsidRPr="00921196">
        <w:rPr>
          <w:rFonts w:ascii="Times New Roman" w:hAnsi="Times New Roman"/>
          <w:sz w:val="24"/>
          <w:szCs w:val="24"/>
        </w:rPr>
        <w:t xml:space="preserve"> is</w:t>
      </w:r>
      <w:r w:rsidR="00AA7DCB" w:rsidRPr="00921196">
        <w:rPr>
          <w:rFonts w:ascii="Times New Roman" w:hAnsi="Times New Roman"/>
          <w:sz w:val="24"/>
          <w:szCs w:val="24"/>
        </w:rPr>
        <w:t xml:space="preserve"> extended over our homeland</w:t>
      </w:r>
      <w:r w:rsidR="00C16201" w:rsidRPr="00921196">
        <w:rPr>
          <w:rFonts w:ascii="Times New Roman" w:hAnsi="Times New Roman"/>
          <w:sz w:val="24"/>
          <w:szCs w:val="24"/>
        </w:rPr>
        <w:t xml:space="preserve"> for everyone to be protected against tyranny</w:t>
      </w:r>
      <w:r w:rsidR="00AA7DCB" w:rsidRPr="00921196">
        <w:rPr>
          <w:rFonts w:ascii="Times New Roman" w:hAnsi="Times New Roman"/>
          <w:sz w:val="24"/>
          <w:szCs w:val="24"/>
        </w:rPr>
        <w:t>.”</w:t>
      </w:r>
      <w:r w:rsidR="00870D2F" w:rsidRPr="00921196">
        <w:rPr>
          <w:rStyle w:val="FootnoteReference"/>
        </w:rPr>
        <w:footnoteReference w:id="32"/>
      </w:r>
      <w:r w:rsidR="00870D2F" w:rsidRPr="00921196">
        <w:rPr>
          <w:rFonts w:ascii="Times New Roman" w:hAnsi="Times New Roman"/>
          <w:sz w:val="24"/>
          <w:szCs w:val="24"/>
        </w:rPr>
        <w:t xml:space="preserve"> The case was drawn out until the beginning of the following year. On December 18, the </w:t>
      </w:r>
      <w:r w:rsidR="00305C90" w:rsidRPr="00921196">
        <w:rPr>
          <w:rFonts w:ascii="Times New Roman" w:hAnsi="Times New Roman"/>
          <w:sz w:val="24"/>
          <w:szCs w:val="24"/>
        </w:rPr>
        <w:t>Locumtenential Council</w:t>
      </w:r>
      <w:r w:rsidR="00870D2F" w:rsidRPr="00921196">
        <w:rPr>
          <w:rFonts w:ascii="Times New Roman" w:hAnsi="Times New Roman"/>
          <w:sz w:val="24"/>
          <w:szCs w:val="24"/>
        </w:rPr>
        <w:t xml:space="preserve"> </w:t>
      </w:r>
      <w:r w:rsidR="00305C90" w:rsidRPr="00921196">
        <w:rPr>
          <w:rFonts w:ascii="Times New Roman" w:hAnsi="Times New Roman"/>
          <w:sz w:val="24"/>
          <w:szCs w:val="24"/>
        </w:rPr>
        <w:t>rejected the Mihályi brothers’ complaint. István Mihályi eventually appeared before the council in person on January 3, 1843, and was “reprimanded for his inappropriate conduct by the chair.”</w:t>
      </w:r>
      <w:r w:rsidR="005065EC" w:rsidRPr="00921196">
        <w:rPr>
          <w:rStyle w:val="FootnoteReference"/>
        </w:rPr>
        <w:footnoteReference w:id="33"/>
      </w:r>
    </w:p>
    <w:p w14:paraId="3B3033BB" w14:textId="728703A0" w:rsidR="005065EC" w:rsidRPr="00921196" w:rsidRDefault="00C16201" w:rsidP="00A46D88">
      <w:pPr>
        <w:spacing w:after="0" w:line="360" w:lineRule="auto"/>
        <w:ind w:firstLine="680"/>
        <w:jc w:val="both"/>
        <w:rPr>
          <w:rFonts w:ascii="Times New Roman" w:hAnsi="Times New Roman"/>
          <w:sz w:val="24"/>
          <w:szCs w:val="24"/>
        </w:rPr>
      </w:pPr>
      <w:r w:rsidRPr="00921196">
        <w:rPr>
          <w:rFonts w:ascii="Times New Roman" w:hAnsi="Times New Roman"/>
          <w:sz w:val="24"/>
          <w:szCs w:val="24"/>
        </w:rPr>
        <w:t xml:space="preserve">This case, naturally, not only indicates the weight carried by the council’s verbal caution. </w:t>
      </w:r>
      <w:r w:rsidR="001E06A7" w:rsidRPr="00921196">
        <w:rPr>
          <w:rFonts w:ascii="Times New Roman" w:hAnsi="Times New Roman"/>
          <w:sz w:val="24"/>
          <w:szCs w:val="24"/>
        </w:rPr>
        <w:t>The more consequential “breaches” observed at the muster can be considered as manifest civil disobedience</w:t>
      </w:r>
      <w:r w:rsidR="00A44BBB" w:rsidRPr="00921196">
        <w:rPr>
          <w:rFonts w:ascii="Times New Roman" w:hAnsi="Times New Roman"/>
          <w:sz w:val="24"/>
          <w:szCs w:val="24"/>
        </w:rPr>
        <w:t xml:space="preserve">, whereby the burghers’ guard was not the target, but rather a pretext </w:t>
      </w:r>
      <w:r w:rsidR="00444F05" w:rsidRPr="00921196">
        <w:rPr>
          <w:rFonts w:ascii="Times New Roman" w:hAnsi="Times New Roman"/>
          <w:sz w:val="24"/>
          <w:szCs w:val="24"/>
        </w:rPr>
        <w:t xml:space="preserve">to criticise </w:t>
      </w:r>
      <w:r w:rsidR="00444F05" w:rsidRPr="00921196">
        <w:rPr>
          <w:rFonts w:ascii="Times New Roman" w:hAnsi="Times New Roman"/>
          <w:sz w:val="24"/>
          <w:szCs w:val="24"/>
        </w:rPr>
        <w:lastRenderedPageBreak/>
        <w:t>the city administration and to openly express dissatisfaction with the amount of power invested in the council. Going beyond simple attacks on the authority of the council, its arbitrary exercise of power was being challenged, some people going as far as questioning the legitimacy of the institution as such: in the words of the wealthy artisan burgher Dániel Hajdú quoted in the prosecutor’s report, “your masters have nothing to eat and they force us to serve</w:t>
      </w:r>
      <w:r w:rsidR="00A5416F">
        <w:rPr>
          <w:rFonts w:ascii="Times New Roman" w:hAnsi="Times New Roman"/>
          <w:sz w:val="24"/>
          <w:szCs w:val="24"/>
        </w:rPr>
        <w:t xml:space="preserve"> them</w:t>
      </w:r>
      <w:r w:rsidR="00444F05" w:rsidRPr="00921196">
        <w:rPr>
          <w:rFonts w:ascii="Times New Roman" w:hAnsi="Times New Roman"/>
          <w:sz w:val="24"/>
          <w:szCs w:val="24"/>
        </w:rPr>
        <w:t xml:space="preserve">.” Similarly to him, the </w:t>
      </w:r>
      <w:r w:rsidR="00A5416F">
        <w:rPr>
          <w:rFonts w:ascii="Times New Roman" w:hAnsi="Times New Roman"/>
          <w:sz w:val="24"/>
          <w:szCs w:val="24"/>
        </w:rPr>
        <w:t xml:space="preserve">other </w:t>
      </w:r>
      <w:r w:rsidR="00444F05" w:rsidRPr="00921196">
        <w:rPr>
          <w:rFonts w:ascii="Times New Roman" w:hAnsi="Times New Roman"/>
          <w:sz w:val="24"/>
          <w:szCs w:val="24"/>
        </w:rPr>
        <w:t>troublemakers indicted by name all hailed from burgher families of high standing. Deputy prosecutor Károly Mihályi, for example, had a civic office at the time of the muster, and despite of</w:t>
      </w:r>
      <w:r w:rsidR="00872BF3" w:rsidRPr="00921196">
        <w:rPr>
          <w:rFonts w:ascii="Times New Roman" w:hAnsi="Times New Roman"/>
          <w:sz w:val="24"/>
          <w:szCs w:val="24"/>
        </w:rPr>
        <w:t>—</w:t>
      </w:r>
      <w:r w:rsidR="00444F05" w:rsidRPr="00921196">
        <w:rPr>
          <w:rFonts w:ascii="Times New Roman" w:hAnsi="Times New Roman"/>
          <w:sz w:val="24"/>
          <w:szCs w:val="24"/>
        </w:rPr>
        <w:t>or because of</w:t>
      </w:r>
      <w:r w:rsidR="00872BF3" w:rsidRPr="00921196">
        <w:rPr>
          <w:rFonts w:ascii="Times New Roman" w:hAnsi="Times New Roman"/>
          <w:sz w:val="24"/>
          <w:szCs w:val="24"/>
        </w:rPr>
        <w:t>—</w:t>
      </w:r>
      <w:r w:rsidR="00444F05" w:rsidRPr="00921196">
        <w:rPr>
          <w:rFonts w:ascii="Times New Roman" w:hAnsi="Times New Roman"/>
          <w:sz w:val="24"/>
          <w:szCs w:val="24"/>
        </w:rPr>
        <w:t xml:space="preserve">his series of conflicts with the city council he was even </w:t>
      </w:r>
      <w:r w:rsidR="00872BF3" w:rsidRPr="00921196">
        <w:rPr>
          <w:rFonts w:ascii="Times New Roman" w:hAnsi="Times New Roman"/>
          <w:sz w:val="24"/>
          <w:szCs w:val="24"/>
        </w:rPr>
        <w:t>elected as a member of</w:t>
      </w:r>
      <w:r w:rsidR="00444F05" w:rsidRPr="00921196">
        <w:rPr>
          <w:rFonts w:ascii="Times New Roman" w:hAnsi="Times New Roman"/>
          <w:sz w:val="24"/>
          <w:szCs w:val="24"/>
        </w:rPr>
        <w:t xml:space="preserve"> </w:t>
      </w:r>
      <w:r w:rsidR="00062DD9" w:rsidRPr="00921196">
        <w:rPr>
          <w:rFonts w:ascii="Times New Roman" w:hAnsi="Times New Roman"/>
          <w:sz w:val="24"/>
          <w:szCs w:val="24"/>
        </w:rPr>
        <w:t xml:space="preserve">the </w:t>
      </w:r>
      <w:r w:rsidR="001024CD" w:rsidRPr="00921196">
        <w:rPr>
          <w:rFonts w:ascii="Times New Roman" w:hAnsi="Times New Roman"/>
          <w:i/>
          <w:sz w:val="24"/>
          <w:szCs w:val="24"/>
        </w:rPr>
        <w:t xml:space="preserve">electa </w:t>
      </w:r>
      <w:r w:rsidR="00062DD9" w:rsidRPr="00921196">
        <w:rPr>
          <w:rFonts w:ascii="Times New Roman" w:hAnsi="Times New Roman"/>
          <w:i/>
          <w:sz w:val="24"/>
          <w:szCs w:val="24"/>
        </w:rPr>
        <w:t>communitas</w:t>
      </w:r>
      <w:r w:rsidR="00A46D88" w:rsidRPr="00921196">
        <w:rPr>
          <w:rFonts w:ascii="Times New Roman" w:hAnsi="Times New Roman"/>
          <w:sz w:val="24"/>
          <w:szCs w:val="24"/>
        </w:rPr>
        <w:t xml:space="preserve"> in 1846</w:t>
      </w:r>
      <w:r w:rsidR="005065EC" w:rsidRPr="00921196">
        <w:rPr>
          <w:rFonts w:ascii="Times New Roman" w:hAnsi="Times New Roman"/>
          <w:sz w:val="24"/>
          <w:szCs w:val="24"/>
        </w:rPr>
        <w:t>.</w:t>
      </w:r>
      <w:r w:rsidR="005065EC" w:rsidRPr="00921196">
        <w:rPr>
          <w:rStyle w:val="FootnoteReference"/>
        </w:rPr>
        <w:footnoteReference w:id="34"/>
      </w:r>
      <w:r w:rsidR="005065EC" w:rsidRPr="00921196">
        <w:rPr>
          <w:rFonts w:ascii="Times New Roman" w:hAnsi="Times New Roman"/>
          <w:sz w:val="24"/>
          <w:szCs w:val="24"/>
        </w:rPr>
        <w:t xml:space="preserve"> </w:t>
      </w:r>
      <w:r w:rsidR="00A46D88" w:rsidRPr="00921196">
        <w:rPr>
          <w:rFonts w:ascii="Times New Roman" w:hAnsi="Times New Roman"/>
          <w:sz w:val="24"/>
          <w:szCs w:val="24"/>
        </w:rPr>
        <w:t xml:space="preserve">In </w:t>
      </w:r>
      <w:r w:rsidR="005065EC" w:rsidRPr="00921196">
        <w:rPr>
          <w:rFonts w:ascii="Times New Roman" w:hAnsi="Times New Roman"/>
          <w:sz w:val="24"/>
          <w:szCs w:val="24"/>
        </w:rPr>
        <w:t>1848</w:t>
      </w:r>
      <w:r w:rsidR="00A46D88" w:rsidRPr="00921196">
        <w:rPr>
          <w:rFonts w:ascii="Times New Roman" w:hAnsi="Times New Roman"/>
          <w:sz w:val="24"/>
          <w:szCs w:val="24"/>
        </w:rPr>
        <w:t xml:space="preserve"> the Košice burghers voted him and master soaper Dániel Hajdú into the twelve-member “revolutionary committee,” established following the model of Pest to act along—and to some extent </w:t>
      </w:r>
      <w:r w:rsidR="00A5416F" w:rsidRPr="00921196">
        <w:rPr>
          <w:rFonts w:ascii="Times New Roman" w:hAnsi="Times New Roman"/>
          <w:sz w:val="24"/>
          <w:szCs w:val="24"/>
        </w:rPr>
        <w:t>oversee</w:t>
      </w:r>
      <w:r w:rsidR="00A46D88" w:rsidRPr="00921196">
        <w:rPr>
          <w:rFonts w:ascii="Times New Roman" w:hAnsi="Times New Roman"/>
          <w:sz w:val="24"/>
          <w:szCs w:val="24"/>
        </w:rPr>
        <w:t xml:space="preserve">—the city council.  </w:t>
      </w:r>
      <w:r w:rsidR="006F6935" w:rsidRPr="00921196">
        <w:rPr>
          <w:rFonts w:ascii="Times New Roman" w:hAnsi="Times New Roman"/>
          <w:sz w:val="24"/>
          <w:szCs w:val="24"/>
        </w:rPr>
        <w:t>This means that the critics of the civic power rela</w:t>
      </w:r>
      <w:r w:rsidR="00A5416F">
        <w:rPr>
          <w:rFonts w:ascii="Times New Roman" w:hAnsi="Times New Roman"/>
          <w:sz w:val="24"/>
          <w:szCs w:val="24"/>
        </w:rPr>
        <w:t>tions at the time of the muster</w:t>
      </w:r>
      <w:r w:rsidR="006F6935" w:rsidRPr="00921196">
        <w:rPr>
          <w:rFonts w:ascii="Times New Roman" w:hAnsi="Times New Roman"/>
          <w:sz w:val="24"/>
          <w:szCs w:val="24"/>
        </w:rPr>
        <w:t xml:space="preserve"> later emerged as </w:t>
      </w:r>
      <w:r w:rsidR="00992757" w:rsidRPr="00921196">
        <w:rPr>
          <w:rFonts w:ascii="Times New Roman" w:hAnsi="Times New Roman"/>
          <w:sz w:val="24"/>
          <w:szCs w:val="24"/>
        </w:rPr>
        <w:t>the</w:t>
      </w:r>
      <w:r w:rsidR="006F6935" w:rsidRPr="00921196">
        <w:rPr>
          <w:rFonts w:ascii="Times New Roman" w:hAnsi="Times New Roman"/>
          <w:sz w:val="24"/>
          <w:szCs w:val="24"/>
        </w:rPr>
        <w:t xml:space="preserve"> opposition to the council, seemingly enjoying popularity and reputation among the citizens. </w:t>
      </w:r>
      <w:r w:rsidR="005065EC" w:rsidRPr="00921196">
        <w:rPr>
          <w:rFonts w:ascii="Times New Roman" w:hAnsi="Times New Roman"/>
          <w:sz w:val="24"/>
          <w:szCs w:val="24"/>
        </w:rPr>
        <w:t xml:space="preserve"> </w:t>
      </w:r>
    </w:p>
    <w:p w14:paraId="5076DBA1" w14:textId="7D986528" w:rsidR="00992757" w:rsidRPr="00921196" w:rsidRDefault="00992757" w:rsidP="005065EC">
      <w:pPr>
        <w:spacing w:after="0" w:line="360" w:lineRule="auto"/>
        <w:ind w:firstLine="680"/>
        <w:jc w:val="both"/>
        <w:rPr>
          <w:rFonts w:ascii="Times New Roman" w:hAnsi="Times New Roman"/>
          <w:sz w:val="24"/>
          <w:szCs w:val="24"/>
        </w:rPr>
      </w:pPr>
      <w:r w:rsidRPr="00921196">
        <w:rPr>
          <w:rFonts w:ascii="Times New Roman" w:hAnsi="Times New Roman"/>
          <w:sz w:val="24"/>
          <w:szCs w:val="24"/>
        </w:rPr>
        <w:t>In all, the documents and council resolutions written at the time of the muster reveal the conflictual nature of the practice of norms</w:t>
      </w:r>
      <w:r w:rsidR="00A5416F">
        <w:rPr>
          <w:rFonts w:ascii="Times New Roman" w:hAnsi="Times New Roman"/>
          <w:sz w:val="24"/>
          <w:szCs w:val="24"/>
        </w:rPr>
        <w:t xml:space="preserve">: </w:t>
      </w:r>
      <w:r w:rsidRPr="00921196">
        <w:rPr>
          <w:rFonts w:ascii="Times New Roman" w:hAnsi="Times New Roman"/>
          <w:sz w:val="24"/>
          <w:szCs w:val="24"/>
        </w:rPr>
        <w:t xml:space="preserve">the efforts of those in power to </w:t>
      </w:r>
      <w:r w:rsidR="00576791" w:rsidRPr="00921196">
        <w:rPr>
          <w:rFonts w:ascii="Times New Roman" w:hAnsi="Times New Roman"/>
          <w:sz w:val="24"/>
          <w:szCs w:val="24"/>
        </w:rPr>
        <w:t>ensure compliance</w:t>
      </w:r>
      <w:r w:rsidRPr="00921196">
        <w:rPr>
          <w:rFonts w:ascii="Times New Roman" w:hAnsi="Times New Roman"/>
          <w:sz w:val="24"/>
          <w:szCs w:val="24"/>
        </w:rPr>
        <w:t xml:space="preserve"> and </w:t>
      </w:r>
      <w:r w:rsidR="00A5416F">
        <w:rPr>
          <w:rFonts w:ascii="Times New Roman" w:hAnsi="Times New Roman"/>
          <w:sz w:val="24"/>
          <w:szCs w:val="24"/>
        </w:rPr>
        <w:t xml:space="preserve">to </w:t>
      </w:r>
      <w:r w:rsidRPr="00921196">
        <w:rPr>
          <w:rFonts w:ascii="Times New Roman" w:hAnsi="Times New Roman"/>
          <w:sz w:val="24"/>
          <w:szCs w:val="24"/>
        </w:rPr>
        <w:t>implement the norms they uphold</w:t>
      </w:r>
      <w:r w:rsidR="00576791" w:rsidRPr="00921196">
        <w:rPr>
          <w:rFonts w:ascii="Times New Roman" w:hAnsi="Times New Roman"/>
          <w:sz w:val="24"/>
          <w:szCs w:val="24"/>
        </w:rPr>
        <w:t xml:space="preserve"> </w:t>
      </w:r>
      <w:r w:rsidR="00A5416F">
        <w:rPr>
          <w:rFonts w:ascii="Times New Roman" w:hAnsi="Times New Roman"/>
          <w:sz w:val="24"/>
          <w:szCs w:val="24"/>
        </w:rPr>
        <w:t xml:space="preserve">may </w:t>
      </w:r>
      <w:r w:rsidR="00576791" w:rsidRPr="00921196">
        <w:rPr>
          <w:rFonts w:ascii="Times New Roman" w:hAnsi="Times New Roman"/>
          <w:sz w:val="24"/>
          <w:szCs w:val="24"/>
        </w:rPr>
        <w:t xml:space="preserve">overlap or conflict with the way in which their </w:t>
      </w:r>
      <w:r w:rsidR="00A5416F">
        <w:rPr>
          <w:rFonts w:ascii="Times New Roman" w:hAnsi="Times New Roman"/>
          <w:sz w:val="24"/>
          <w:szCs w:val="24"/>
        </w:rPr>
        <w:t>inferiors</w:t>
      </w:r>
      <w:r w:rsidR="00576791" w:rsidRPr="00921196">
        <w:rPr>
          <w:rFonts w:ascii="Times New Roman" w:hAnsi="Times New Roman"/>
          <w:sz w:val="24"/>
          <w:szCs w:val="24"/>
        </w:rPr>
        <w:t xml:space="preserve"> adhere to the</w:t>
      </w:r>
      <w:r w:rsidR="00A5416F">
        <w:rPr>
          <w:rFonts w:ascii="Times New Roman" w:hAnsi="Times New Roman"/>
          <w:sz w:val="24"/>
          <w:szCs w:val="24"/>
        </w:rPr>
        <w:t>se</w:t>
      </w:r>
      <w:r w:rsidR="00576791" w:rsidRPr="00921196">
        <w:rPr>
          <w:rFonts w:ascii="Times New Roman" w:hAnsi="Times New Roman"/>
          <w:sz w:val="24"/>
          <w:szCs w:val="24"/>
        </w:rPr>
        <w:t>. The actions of those involved in the incidents surrounding the muster were determined by their perception o</w:t>
      </w:r>
      <w:r w:rsidR="00A5416F">
        <w:rPr>
          <w:rFonts w:ascii="Times New Roman" w:hAnsi="Times New Roman"/>
          <w:sz w:val="24"/>
          <w:szCs w:val="24"/>
        </w:rPr>
        <w:t>f the legal order of their city as well as</w:t>
      </w:r>
      <w:r w:rsidR="00576791" w:rsidRPr="00921196">
        <w:rPr>
          <w:rFonts w:ascii="Times New Roman" w:hAnsi="Times New Roman"/>
          <w:sz w:val="24"/>
          <w:szCs w:val="24"/>
        </w:rPr>
        <w:t xml:space="preserve"> their attitudes to burghership </w:t>
      </w:r>
      <w:r w:rsidR="00A5416F">
        <w:rPr>
          <w:rFonts w:ascii="Times New Roman" w:hAnsi="Times New Roman"/>
          <w:sz w:val="24"/>
          <w:szCs w:val="24"/>
        </w:rPr>
        <w:t>and</w:t>
      </w:r>
      <w:r w:rsidR="00576791" w:rsidRPr="00921196">
        <w:rPr>
          <w:rFonts w:ascii="Times New Roman" w:hAnsi="Times New Roman"/>
          <w:sz w:val="24"/>
          <w:szCs w:val="24"/>
        </w:rPr>
        <w:t xml:space="preserve"> </w:t>
      </w:r>
      <w:r w:rsidR="00A5416F">
        <w:rPr>
          <w:rFonts w:ascii="Times New Roman" w:hAnsi="Times New Roman"/>
          <w:sz w:val="24"/>
          <w:szCs w:val="24"/>
        </w:rPr>
        <w:t xml:space="preserve">its </w:t>
      </w:r>
      <w:r w:rsidR="00576791" w:rsidRPr="00921196">
        <w:rPr>
          <w:rFonts w:ascii="Times New Roman" w:hAnsi="Times New Roman"/>
          <w:sz w:val="24"/>
          <w:szCs w:val="24"/>
        </w:rPr>
        <w:t xml:space="preserve">benefits and duties. The conflicts shed light on the discrepancies between social practices, which clearly indicate that the estate of burghers was far from homogeneous. The diversity of </w:t>
      </w:r>
      <w:r w:rsidR="00EA409A" w:rsidRPr="00921196">
        <w:rPr>
          <w:rFonts w:ascii="Times New Roman" w:hAnsi="Times New Roman"/>
          <w:sz w:val="24"/>
          <w:szCs w:val="24"/>
        </w:rPr>
        <w:t>behaviours</w:t>
      </w:r>
      <w:r w:rsidR="00576791" w:rsidRPr="00921196">
        <w:rPr>
          <w:rFonts w:ascii="Times New Roman" w:hAnsi="Times New Roman"/>
          <w:sz w:val="24"/>
          <w:szCs w:val="24"/>
        </w:rPr>
        <w:t xml:space="preserve"> reflects the changes in the composition and conceptualisation of </w:t>
      </w:r>
      <w:r w:rsidR="00A5416F">
        <w:rPr>
          <w:rFonts w:ascii="Times New Roman" w:hAnsi="Times New Roman"/>
          <w:sz w:val="24"/>
          <w:szCs w:val="24"/>
        </w:rPr>
        <w:t>burghers as a category in the</w:t>
      </w:r>
      <w:r w:rsidR="00576791" w:rsidRPr="00921196">
        <w:rPr>
          <w:rFonts w:ascii="Times New Roman" w:hAnsi="Times New Roman"/>
          <w:sz w:val="24"/>
          <w:szCs w:val="24"/>
        </w:rPr>
        <w:t xml:space="preserve"> estate</w:t>
      </w:r>
      <w:r w:rsidR="00A5416F">
        <w:rPr>
          <w:rFonts w:ascii="Times New Roman" w:hAnsi="Times New Roman"/>
          <w:sz w:val="24"/>
          <w:szCs w:val="24"/>
        </w:rPr>
        <w:t>s system</w:t>
      </w:r>
      <w:r w:rsidR="00576791" w:rsidRPr="00921196">
        <w:rPr>
          <w:rFonts w:ascii="Times New Roman" w:hAnsi="Times New Roman"/>
          <w:sz w:val="24"/>
          <w:szCs w:val="24"/>
        </w:rPr>
        <w:t>. Thus, the episode of the Košice muster must be interpreted in the context of the continuous and gradual transformation of the estates system</w:t>
      </w:r>
      <w:r w:rsidR="00A5416F">
        <w:rPr>
          <w:rFonts w:ascii="Times New Roman" w:hAnsi="Times New Roman"/>
          <w:sz w:val="24"/>
          <w:szCs w:val="24"/>
        </w:rPr>
        <w:t xml:space="preserve"> itself</w:t>
      </w:r>
      <w:r w:rsidR="00576791" w:rsidRPr="00921196">
        <w:rPr>
          <w:rFonts w:ascii="Times New Roman" w:hAnsi="Times New Roman"/>
          <w:sz w:val="24"/>
          <w:szCs w:val="24"/>
        </w:rPr>
        <w:t xml:space="preserve">. It </w:t>
      </w:r>
      <w:r w:rsidR="00132994" w:rsidRPr="00921196">
        <w:rPr>
          <w:rFonts w:ascii="Times New Roman" w:hAnsi="Times New Roman"/>
          <w:sz w:val="24"/>
          <w:szCs w:val="24"/>
        </w:rPr>
        <w:t>provides a glimpse into the way</w:t>
      </w:r>
      <w:r w:rsidR="00062DD9" w:rsidRPr="00921196">
        <w:rPr>
          <w:rFonts w:ascii="Times New Roman" w:hAnsi="Times New Roman"/>
          <w:sz w:val="24"/>
          <w:szCs w:val="24"/>
        </w:rPr>
        <w:t>s</w:t>
      </w:r>
      <w:r w:rsidR="00132994" w:rsidRPr="00921196">
        <w:rPr>
          <w:rFonts w:ascii="Times New Roman" w:hAnsi="Times New Roman"/>
          <w:sz w:val="24"/>
          <w:szCs w:val="24"/>
        </w:rPr>
        <w:t xml:space="preserve"> in which social actors interpret</w:t>
      </w:r>
      <w:r w:rsidR="009F1070">
        <w:rPr>
          <w:rFonts w:ascii="Times New Roman" w:hAnsi="Times New Roman"/>
          <w:sz w:val="24"/>
          <w:szCs w:val="24"/>
        </w:rPr>
        <w:t>ed</w:t>
      </w:r>
      <w:r w:rsidR="00132994" w:rsidRPr="00921196">
        <w:rPr>
          <w:rFonts w:ascii="Times New Roman" w:hAnsi="Times New Roman"/>
          <w:sz w:val="24"/>
          <w:szCs w:val="24"/>
        </w:rPr>
        <w:t xml:space="preserve"> </w:t>
      </w:r>
      <w:r w:rsidR="00062DD9" w:rsidRPr="00921196">
        <w:rPr>
          <w:rFonts w:ascii="Times New Roman" w:hAnsi="Times New Roman"/>
          <w:sz w:val="24"/>
          <w:szCs w:val="24"/>
        </w:rPr>
        <w:t xml:space="preserve">the </w:t>
      </w:r>
      <w:r w:rsidR="00132994" w:rsidRPr="00921196">
        <w:rPr>
          <w:rFonts w:ascii="Times New Roman" w:hAnsi="Times New Roman"/>
          <w:sz w:val="24"/>
          <w:szCs w:val="24"/>
        </w:rPr>
        <w:t xml:space="preserve">norms associated with the </w:t>
      </w:r>
      <w:r w:rsidR="00A5416F">
        <w:rPr>
          <w:rFonts w:ascii="Times New Roman" w:hAnsi="Times New Roman"/>
          <w:sz w:val="24"/>
          <w:szCs w:val="24"/>
        </w:rPr>
        <w:t xml:space="preserve">current political </w:t>
      </w:r>
      <w:r w:rsidR="00062DD9" w:rsidRPr="00921196">
        <w:rPr>
          <w:rFonts w:ascii="Times New Roman" w:hAnsi="Times New Roman"/>
          <w:sz w:val="24"/>
          <w:szCs w:val="24"/>
        </w:rPr>
        <w:t xml:space="preserve">establishment </w:t>
      </w:r>
      <w:r w:rsidR="00A5416F">
        <w:rPr>
          <w:rFonts w:ascii="Times New Roman" w:hAnsi="Times New Roman"/>
          <w:sz w:val="24"/>
          <w:szCs w:val="24"/>
        </w:rPr>
        <w:t>of the</w:t>
      </w:r>
      <w:r w:rsidR="00062DD9" w:rsidRPr="00921196">
        <w:rPr>
          <w:rFonts w:ascii="Times New Roman" w:hAnsi="Times New Roman"/>
          <w:sz w:val="24"/>
          <w:szCs w:val="24"/>
        </w:rPr>
        <w:t xml:space="preserve"> estates system as well as the means by which they shape</w:t>
      </w:r>
      <w:r w:rsidR="009F1070">
        <w:rPr>
          <w:rFonts w:ascii="Times New Roman" w:hAnsi="Times New Roman"/>
          <w:sz w:val="24"/>
          <w:szCs w:val="24"/>
        </w:rPr>
        <w:t>d</w:t>
      </w:r>
      <w:r w:rsidR="00062DD9" w:rsidRPr="00921196">
        <w:rPr>
          <w:rFonts w:ascii="Times New Roman" w:hAnsi="Times New Roman"/>
          <w:sz w:val="24"/>
          <w:szCs w:val="24"/>
        </w:rPr>
        <w:t xml:space="preserve"> and challenge</w:t>
      </w:r>
      <w:r w:rsidR="009F1070">
        <w:rPr>
          <w:rFonts w:ascii="Times New Roman" w:hAnsi="Times New Roman"/>
          <w:sz w:val="24"/>
          <w:szCs w:val="24"/>
        </w:rPr>
        <w:t>d</w:t>
      </w:r>
      <w:r w:rsidR="00062DD9" w:rsidRPr="00921196">
        <w:rPr>
          <w:rFonts w:ascii="Times New Roman" w:hAnsi="Times New Roman"/>
          <w:sz w:val="24"/>
          <w:szCs w:val="24"/>
        </w:rPr>
        <w:t xml:space="preserve"> them as part of their </w:t>
      </w:r>
      <w:r w:rsidR="00A5416F">
        <w:rPr>
          <w:rFonts w:ascii="Times New Roman" w:hAnsi="Times New Roman"/>
          <w:sz w:val="24"/>
          <w:szCs w:val="24"/>
        </w:rPr>
        <w:t xml:space="preserve">own </w:t>
      </w:r>
      <w:r w:rsidR="00062DD9" w:rsidRPr="00921196">
        <w:rPr>
          <w:rFonts w:ascii="Times New Roman" w:hAnsi="Times New Roman"/>
          <w:sz w:val="24"/>
          <w:szCs w:val="24"/>
        </w:rPr>
        <w:t xml:space="preserve">social practice. </w:t>
      </w:r>
    </w:p>
    <w:p w14:paraId="433D5E02" w14:textId="711A1FF6" w:rsidR="005065EC" w:rsidRPr="00921196" w:rsidRDefault="005065EC" w:rsidP="005065EC">
      <w:pPr>
        <w:spacing w:after="0" w:line="360" w:lineRule="auto"/>
        <w:ind w:firstLine="680"/>
        <w:jc w:val="both"/>
        <w:rPr>
          <w:rFonts w:ascii="Times New Roman" w:hAnsi="Times New Roman"/>
          <w:sz w:val="24"/>
          <w:szCs w:val="24"/>
        </w:rPr>
      </w:pPr>
    </w:p>
    <w:p w14:paraId="244C3ABC" w14:textId="77777777" w:rsidR="005065EC" w:rsidRPr="00921196" w:rsidRDefault="005065EC" w:rsidP="005065EC">
      <w:pPr>
        <w:spacing w:after="0" w:line="360" w:lineRule="auto"/>
        <w:ind w:firstLine="680"/>
        <w:jc w:val="both"/>
        <w:rPr>
          <w:rFonts w:ascii="Times New Roman" w:hAnsi="Times New Roman"/>
          <w:sz w:val="24"/>
          <w:szCs w:val="24"/>
        </w:rPr>
      </w:pPr>
    </w:p>
    <w:p w14:paraId="1B760721" w14:textId="5E694ED3" w:rsidR="005065EC" w:rsidRPr="007057D0" w:rsidRDefault="007057D0" w:rsidP="005065EC">
      <w:pPr>
        <w:spacing w:after="0"/>
        <w:rPr>
          <w:rFonts w:ascii="Times New Roman" w:hAnsi="Times New Roman"/>
          <w:b/>
          <w:sz w:val="24"/>
          <w:szCs w:val="24"/>
        </w:rPr>
      </w:pPr>
      <w:r w:rsidRPr="007057D0">
        <w:rPr>
          <w:rFonts w:ascii="Times New Roman" w:hAnsi="Times New Roman"/>
          <w:b/>
          <w:sz w:val="24"/>
          <w:szCs w:val="24"/>
        </w:rPr>
        <w:t>Sources</w:t>
      </w:r>
    </w:p>
    <w:p w14:paraId="19FC45BF" w14:textId="77777777" w:rsidR="005065EC" w:rsidRPr="00921196" w:rsidRDefault="005065EC" w:rsidP="005065EC">
      <w:pPr>
        <w:spacing w:after="0"/>
        <w:rPr>
          <w:rFonts w:ascii="Times New Roman" w:hAnsi="Times New Roman"/>
          <w:sz w:val="24"/>
          <w:szCs w:val="24"/>
        </w:rPr>
      </w:pPr>
    </w:p>
    <w:p w14:paraId="7E0C722C" w14:textId="77777777" w:rsidR="005065EC" w:rsidRPr="00921196" w:rsidRDefault="005065EC" w:rsidP="005065EC">
      <w:pPr>
        <w:spacing w:after="0"/>
        <w:rPr>
          <w:rFonts w:ascii="Times New Roman" w:hAnsi="Times New Roman"/>
          <w:sz w:val="24"/>
          <w:szCs w:val="24"/>
        </w:rPr>
      </w:pPr>
      <w:r w:rsidRPr="00921196">
        <w:rPr>
          <w:rFonts w:ascii="Times New Roman" w:hAnsi="Times New Roman"/>
          <w:sz w:val="24"/>
          <w:szCs w:val="24"/>
        </w:rPr>
        <w:t>TÜJ</w:t>
      </w:r>
    </w:p>
    <w:p w14:paraId="0CB51F97" w14:textId="5DF446DD" w:rsidR="005065EC" w:rsidRPr="00921196" w:rsidRDefault="005065EC" w:rsidP="005065EC">
      <w:pPr>
        <w:spacing w:after="0"/>
      </w:pPr>
      <w:r w:rsidRPr="00921196">
        <w:rPr>
          <w:rFonts w:ascii="Times New Roman" w:hAnsi="Times New Roman"/>
          <w:sz w:val="24"/>
          <w:szCs w:val="24"/>
        </w:rPr>
        <w:t>Archív Mesta Košice,</w:t>
      </w:r>
      <w:r w:rsidR="007057D0">
        <w:rPr>
          <w:rFonts w:ascii="Times New Roman" w:hAnsi="Times New Roman"/>
          <w:sz w:val="24"/>
          <w:szCs w:val="24"/>
        </w:rPr>
        <w:t xml:space="preserve"> </w:t>
      </w:r>
      <w:r w:rsidRPr="00921196">
        <w:rPr>
          <w:rFonts w:ascii="Times New Roman" w:hAnsi="Times New Roman"/>
          <w:sz w:val="24"/>
          <w:szCs w:val="24"/>
        </w:rPr>
        <w:t xml:space="preserve">Stredna Manipulacia. Magistrátni súd (J.) </w:t>
      </w:r>
      <w:r w:rsidRPr="00921196">
        <w:rPr>
          <w:rFonts w:ascii="Times New Roman" w:hAnsi="Times New Roman"/>
          <w:i/>
          <w:sz w:val="24"/>
          <w:szCs w:val="24"/>
        </w:rPr>
        <w:t>Tanácsülések Jegyzőkönyve</w:t>
      </w:r>
      <w:r w:rsidR="007057D0">
        <w:rPr>
          <w:rFonts w:ascii="Times New Roman" w:hAnsi="Times New Roman"/>
          <w:sz w:val="24"/>
          <w:szCs w:val="24"/>
        </w:rPr>
        <w:t xml:space="preserve"> [Council meeting protocols]</w:t>
      </w:r>
      <w:r w:rsidRPr="00921196">
        <w:rPr>
          <w:rFonts w:ascii="Times New Roman" w:hAnsi="Times New Roman"/>
          <w:sz w:val="24"/>
          <w:szCs w:val="24"/>
        </w:rPr>
        <w:t xml:space="preserve">. </w:t>
      </w:r>
      <w:r w:rsidR="007057D0">
        <w:rPr>
          <w:rFonts w:ascii="Times New Roman" w:hAnsi="Times New Roman"/>
          <w:sz w:val="24"/>
          <w:szCs w:val="24"/>
        </w:rPr>
        <w:t>From 1840 onwards</w:t>
      </w:r>
      <w:r w:rsidRPr="00921196">
        <w:rPr>
          <w:rFonts w:ascii="Times New Roman" w:hAnsi="Times New Roman"/>
          <w:i/>
          <w:sz w:val="24"/>
          <w:szCs w:val="24"/>
        </w:rPr>
        <w:t>.</w:t>
      </w:r>
    </w:p>
    <w:p w14:paraId="1B898D85" w14:textId="77777777" w:rsidR="005065EC" w:rsidRPr="00921196" w:rsidRDefault="005065EC" w:rsidP="005065EC">
      <w:pPr>
        <w:spacing w:after="0"/>
        <w:rPr>
          <w:rFonts w:ascii="Times New Roman" w:hAnsi="Times New Roman"/>
          <w:i/>
          <w:sz w:val="24"/>
          <w:szCs w:val="24"/>
        </w:rPr>
      </w:pPr>
    </w:p>
    <w:p w14:paraId="0706DA7F" w14:textId="77777777" w:rsidR="005065EC" w:rsidRPr="00921196" w:rsidRDefault="005065EC" w:rsidP="005065EC">
      <w:pPr>
        <w:spacing w:after="0"/>
        <w:rPr>
          <w:rFonts w:ascii="Times New Roman" w:hAnsi="Times New Roman"/>
          <w:i/>
          <w:sz w:val="24"/>
          <w:szCs w:val="24"/>
        </w:rPr>
      </w:pPr>
      <w:r w:rsidRPr="00921196">
        <w:rPr>
          <w:rFonts w:ascii="Times New Roman" w:hAnsi="Times New Roman"/>
          <w:i/>
          <w:sz w:val="24"/>
          <w:szCs w:val="24"/>
        </w:rPr>
        <w:t>1000 év törvényei</w:t>
      </w:r>
    </w:p>
    <w:p w14:paraId="2CF8EFF0" w14:textId="120D92E4" w:rsidR="005065EC" w:rsidRPr="00921196" w:rsidRDefault="005065EC" w:rsidP="005065EC">
      <w:pPr>
        <w:spacing w:after="0"/>
        <w:rPr>
          <w:rFonts w:ascii="Times New Roman" w:hAnsi="Times New Roman"/>
          <w:sz w:val="24"/>
          <w:szCs w:val="24"/>
        </w:rPr>
      </w:pPr>
      <w:r w:rsidRPr="00921196">
        <w:rPr>
          <w:rFonts w:ascii="Times New Roman" w:hAnsi="Times New Roman"/>
          <w:i/>
          <w:sz w:val="24"/>
          <w:szCs w:val="24"/>
        </w:rPr>
        <w:t>1000 év törvényei</w:t>
      </w:r>
      <w:r w:rsidR="009B70F2">
        <w:rPr>
          <w:rFonts w:ascii="Times New Roman" w:hAnsi="Times New Roman"/>
          <w:sz w:val="24"/>
          <w:szCs w:val="24"/>
        </w:rPr>
        <w:t xml:space="preserve"> [Laws of a Mil</w:t>
      </w:r>
      <w:r w:rsidR="00EA409A">
        <w:rPr>
          <w:rFonts w:ascii="Times New Roman" w:hAnsi="Times New Roman"/>
          <w:sz w:val="24"/>
          <w:szCs w:val="24"/>
        </w:rPr>
        <w:t>l</w:t>
      </w:r>
      <w:r w:rsidR="009B70F2">
        <w:rPr>
          <w:rFonts w:ascii="Times New Roman" w:hAnsi="Times New Roman"/>
          <w:sz w:val="24"/>
          <w:szCs w:val="24"/>
        </w:rPr>
        <w:t>ennium]</w:t>
      </w:r>
      <w:r w:rsidRPr="00921196">
        <w:rPr>
          <w:rFonts w:ascii="Times New Roman" w:hAnsi="Times New Roman"/>
          <w:sz w:val="24"/>
          <w:szCs w:val="24"/>
        </w:rPr>
        <w:t xml:space="preserve">. </w:t>
      </w:r>
      <w:hyperlink r:id="rId7" w:history="1">
        <w:r w:rsidRPr="00921196">
          <w:rPr>
            <w:rStyle w:val="Hyperlink"/>
            <w:rFonts w:ascii="Times New Roman" w:hAnsi="Times New Roman"/>
            <w:sz w:val="24"/>
            <w:szCs w:val="24"/>
          </w:rPr>
          <w:t>www.1000ev.hu</w:t>
        </w:r>
      </w:hyperlink>
    </w:p>
    <w:p w14:paraId="65198DB2" w14:textId="77777777" w:rsidR="005065EC" w:rsidRPr="00921196" w:rsidRDefault="005065EC" w:rsidP="005065EC">
      <w:pPr>
        <w:spacing w:after="0"/>
        <w:ind w:firstLine="680"/>
        <w:rPr>
          <w:rFonts w:ascii="Times New Roman" w:hAnsi="Times New Roman"/>
          <w:sz w:val="24"/>
          <w:szCs w:val="24"/>
        </w:rPr>
      </w:pPr>
    </w:p>
    <w:p w14:paraId="205DD8C2" w14:textId="31B6CD74" w:rsidR="005065EC" w:rsidRPr="00921196" w:rsidRDefault="005065EC" w:rsidP="005065EC">
      <w:pPr>
        <w:pStyle w:val="FootnoteText"/>
        <w:spacing w:after="0"/>
        <w:rPr>
          <w:rFonts w:ascii="Times New Roman" w:hAnsi="Times New Roman"/>
          <w:i/>
          <w:sz w:val="24"/>
          <w:szCs w:val="24"/>
        </w:rPr>
      </w:pPr>
      <w:r w:rsidRPr="00921196">
        <w:rPr>
          <w:rFonts w:ascii="Times New Roman" w:hAnsi="Times New Roman"/>
          <w:i/>
          <w:sz w:val="24"/>
          <w:szCs w:val="24"/>
        </w:rPr>
        <w:t xml:space="preserve">Törvény Czikkely </w:t>
      </w:r>
      <w:r w:rsidR="009B70F2">
        <w:rPr>
          <w:rFonts w:ascii="Times New Roman" w:hAnsi="Times New Roman"/>
          <w:sz w:val="24"/>
          <w:szCs w:val="24"/>
        </w:rPr>
        <w:t xml:space="preserve">[Article] </w:t>
      </w:r>
      <w:r w:rsidRPr="00921196">
        <w:rPr>
          <w:rFonts w:ascii="Times New Roman" w:hAnsi="Times New Roman"/>
          <w:i/>
          <w:sz w:val="24"/>
          <w:szCs w:val="24"/>
        </w:rPr>
        <w:t>1843</w:t>
      </w:r>
    </w:p>
    <w:p w14:paraId="4B513DF4" w14:textId="0C881145" w:rsidR="005065EC" w:rsidRPr="00921196" w:rsidRDefault="005065EC" w:rsidP="005065EC">
      <w:pPr>
        <w:pStyle w:val="FootnoteText"/>
        <w:spacing w:after="0"/>
        <w:rPr>
          <w:rFonts w:ascii="Times New Roman" w:eastAsia="Times New Roman" w:hAnsi="Times New Roman"/>
          <w:i/>
          <w:sz w:val="24"/>
          <w:szCs w:val="24"/>
        </w:rPr>
      </w:pPr>
      <w:r w:rsidRPr="00921196">
        <w:rPr>
          <w:rFonts w:ascii="Times New Roman" w:hAnsi="Times New Roman"/>
          <w:i/>
          <w:sz w:val="24"/>
          <w:szCs w:val="24"/>
        </w:rPr>
        <w:t>Törvény Czikkely. A Királyi Városokról</w:t>
      </w:r>
      <w:r w:rsidRPr="00921196">
        <w:rPr>
          <w:rFonts w:ascii="Times New Roman" w:hAnsi="Times New Roman"/>
          <w:sz w:val="24"/>
          <w:szCs w:val="24"/>
        </w:rPr>
        <w:t xml:space="preserve">. </w:t>
      </w:r>
      <w:r w:rsidR="009B70F2">
        <w:rPr>
          <w:rFonts w:ascii="Times New Roman" w:hAnsi="Times New Roman"/>
          <w:sz w:val="24"/>
          <w:szCs w:val="24"/>
        </w:rPr>
        <w:t xml:space="preserve">[Free Royal Towns Act] </w:t>
      </w:r>
      <w:r w:rsidRPr="00921196">
        <w:rPr>
          <w:rFonts w:ascii="Times New Roman" w:hAnsi="Times New Roman"/>
          <w:sz w:val="24"/>
          <w:szCs w:val="24"/>
        </w:rPr>
        <w:t>Pozsony</w:t>
      </w:r>
      <w:r w:rsidR="007057D0">
        <w:rPr>
          <w:rFonts w:ascii="Times New Roman" w:hAnsi="Times New Roman"/>
          <w:sz w:val="24"/>
          <w:szCs w:val="24"/>
        </w:rPr>
        <w:t xml:space="preserve"> [Bratislava]</w:t>
      </w:r>
      <w:r w:rsidRPr="00921196">
        <w:rPr>
          <w:rFonts w:ascii="Times New Roman" w:hAnsi="Times New Roman"/>
          <w:sz w:val="24"/>
          <w:szCs w:val="24"/>
        </w:rPr>
        <w:t>, 1843.</w:t>
      </w:r>
    </w:p>
    <w:p w14:paraId="7F4F806C" w14:textId="77777777" w:rsidR="007057D0" w:rsidRDefault="007057D0" w:rsidP="005065EC">
      <w:pPr>
        <w:spacing w:after="0"/>
        <w:rPr>
          <w:rFonts w:ascii="Times New Roman" w:eastAsia="Times New Roman" w:hAnsi="Times New Roman"/>
          <w:i/>
          <w:sz w:val="24"/>
          <w:szCs w:val="24"/>
        </w:rPr>
      </w:pPr>
    </w:p>
    <w:p w14:paraId="06C28B51" w14:textId="27278219" w:rsidR="005065EC" w:rsidRPr="009B70F2" w:rsidRDefault="005065EC" w:rsidP="005065EC">
      <w:pPr>
        <w:spacing w:after="0"/>
        <w:rPr>
          <w:rFonts w:ascii="Times New Roman" w:hAnsi="Times New Roman"/>
          <w:i/>
          <w:sz w:val="24"/>
          <w:szCs w:val="24"/>
        </w:rPr>
      </w:pPr>
      <w:r w:rsidRPr="009B70F2">
        <w:rPr>
          <w:rFonts w:ascii="Times New Roman" w:eastAsia="Times New Roman" w:hAnsi="Times New Roman"/>
          <w:i/>
          <w:sz w:val="24"/>
          <w:szCs w:val="24"/>
        </w:rPr>
        <w:t xml:space="preserve">Az 1843-dik évi ország gyűlésen jelenlévő szabad királyi városok követeinek javaslata </w:t>
      </w:r>
      <w:r w:rsidR="009B70F2" w:rsidRPr="009B70F2">
        <w:rPr>
          <w:rFonts w:ascii="Times New Roman" w:eastAsia="Times New Roman" w:hAnsi="Times New Roman"/>
          <w:sz w:val="24"/>
          <w:szCs w:val="24"/>
        </w:rPr>
        <w:t>[</w:t>
      </w:r>
      <w:r w:rsidR="009B70F2" w:rsidRPr="009B70F2">
        <w:rPr>
          <w:rFonts w:ascii="Times New Roman" w:hAnsi="Times New Roman"/>
          <w:iCs/>
          <w:sz w:val="24"/>
          <w:szCs w:val="24"/>
        </w:rPr>
        <w:t>Proposition by the legates of free royal towns in attendance at the 1843 Diet</w:t>
      </w:r>
      <w:r w:rsidR="009B70F2" w:rsidRPr="009B70F2">
        <w:rPr>
          <w:rFonts w:ascii="Times New Roman" w:eastAsia="Times New Roman" w:hAnsi="Times New Roman"/>
          <w:sz w:val="24"/>
          <w:szCs w:val="24"/>
        </w:rPr>
        <w:t>]</w:t>
      </w:r>
      <w:r w:rsidR="009B70F2" w:rsidRPr="009B70F2">
        <w:rPr>
          <w:rFonts w:ascii="Times New Roman" w:eastAsia="Times New Roman" w:hAnsi="Times New Roman"/>
          <w:i/>
          <w:sz w:val="24"/>
          <w:szCs w:val="24"/>
        </w:rPr>
        <w:t xml:space="preserve"> </w:t>
      </w:r>
      <w:r w:rsidRPr="009B70F2">
        <w:rPr>
          <w:rFonts w:ascii="Times New Roman" w:eastAsia="Times New Roman" w:hAnsi="Times New Roman"/>
          <w:sz w:val="24"/>
          <w:szCs w:val="24"/>
        </w:rPr>
        <w:t>1843.</w:t>
      </w:r>
    </w:p>
    <w:p w14:paraId="70675573" w14:textId="2EDBC8F3" w:rsidR="005065EC" w:rsidRPr="00921196" w:rsidRDefault="005065EC" w:rsidP="005065EC">
      <w:pPr>
        <w:spacing w:after="0"/>
        <w:rPr>
          <w:rFonts w:ascii="Times New Roman" w:hAnsi="Times New Roman"/>
          <w:sz w:val="24"/>
          <w:szCs w:val="24"/>
        </w:rPr>
      </w:pPr>
      <w:r w:rsidRPr="00921196">
        <w:rPr>
          <w:rFonts w:ascii="Times New Roman" w:hAnsi="Times New Roman"/>
          <w:i/>
          <w:sz w:val="24"/>
          <w:szCs w:val="24"/>
        </w:rPr>
        <w:t>Az 1843-dik évi ország gyűlésen jelenlévő szabad királyi városok követeinek külön tartott tanácskozási üléseiben a részükről előlegesen készített elrendezési vázolatnak a kerületi választmány munkálataival lett egybe hasonlításával készült és megállapított javaslata a szabad királyi városok belszerkezetét tárgyazó törvény czikkely iránt.</w:t>
      </w:r>
      <w:r w:rsidR="007057D0">
        <w:rPr>
          <w:rFonts w:ascii="Times New Roman" w:hAnsi="Times New Roman"/>
          <w:sz w:val="24"/>
          <w:szCs w:val="24"/>
        </w:rPr>
        <w:t xml:space="preserve"> Pozsony [Bratislava]</w:t>
      </w:r>
      <w:r w:rsidRPr="00921196">
        <w:rPr>
          <w:rFonts w:ascii="Times New Roman" w:hAnsi="Times New Roman"/>
          <w:sz w:val="24"/>
          <w:szCs w:val="24"/>
        </w:rPr>
        <w:t xml:space="preserve">, 1843. </w:t>
      </w:r>
    </w:p>
    <w:p w14:paraId="4746115E" w14:textId="77777777" w:rsidR="005065EC" w:rsidRPr="00921196" w:rsidRDefault="005065EC" w:rsidP="005065EC">
      <w:pPr>
        <w:spacing w:after="0"/>
        <w:ind w:firstLine="680"/>
        <w:rPr>
          <w:rFonts w:ascii="Times New Roman" w:hAnsi="Times New Roman"/>
          <w:sz w:val="24"/>
          <w:szCs w:val="24"/>
        </w:rPr>
      </w:pPr>
    </w:p>
    <w:p w14:paraId="66150EE6" w14:textId="77777777" w:rsidR="005065EC" w:rsidRPr="00921196" w:rsidRDefault="005065EC" w:rsidP="005065EC">
      <w:pPr>
        <w:spacing w:after="0"/>
        <w:ind w:firstLine="680"/>
        <w:rPr>
          <w:rFonts w:ascii="Times New Roman" w:hAnsi="Times New Roman"/>
          <w:sz w:val="24"/>
          <w:szCs w:val="24"/>
        </w:rPr>
      </w:pPr>
    </w:p>
    <w:p w14:paraId="50E97FE5" w14:textId="588F749D" w:rsidR="005065EC" w:rsidRPr="007057D0" w:rsidRDefault="007057D0" w:rsidP="005065EC">
      <w:pPr>
        <w:spacing w:after="0"/>
        <w:rPr>
          <w:rFonts w:ascii="Times New Roman" w:hAnsi="Times New Roman"/>
          <w:b/>
          <w:sz w:val="24"/>
          <w:szCs w:val="24"/>
        </w:rPr>
      </w:pPr>
      <w:r w:rsidRPr="007057D0">
        <w:rPr>
          <w:rFonts w:ascii="Times New Roman" w:hAnsi="Times New Roman"/>
          <w:b/>
          <w:sz w:val="24"/>
          <w:szCs w:val="24"/>
        </w:rPr>
        <w:t>References</w:t>
      </w:r>
    </w:p>
    <w:p w14:paraId="260E74D1" w14:textId="77777777" w:rsidR="005065EC" w:rsidRPr="009B70F2" w:rsidRDefault="005065EC" w:rsidP="007057D0">
      <w:pPr>
        <w:spacing w:after="120" w:line="240" w:lineRule="auto"/>
        <w:rPr>
          <w:rFonts w:ascii="Times New Roman" w:hAnsi="Times New Roman"/>
          <w:sz w:val="24"/>
          <w:szCs w:val="24"/>
        </w:rPr>
      </w:pPr>
    </w:p>
    <w:p w14:paraId="13A45011" w14:textId="77777777" w:rsidR="005065EC" w:rsidRPr="009B70F2" w:rsidRDefault="005065EC" w:rsidP="009B70F2">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Bácskai</w:t>
      </w:r>
      <w:r w:rsidRPr="009B70F2">
        <w:rPr>
          <w:rFonts w:ascii="Times New Roman" w:hAnsi="Times New Roman"/>
          <w:sz w:val="24"/>
          <w:szCs w:val="24"/>
        </w:rPr>
        <w:t xml:space="preserve"> 1989a.</w:t>
      </w:r>
    </w:p>
    <w:p w14:paraId="21A0635C" w14:textId="0A965CB6" w:rsidR="005065EC" w:rsidRPr="009B70F2" w:rsidRDefault="00EA409A" w:rsidP="009B70F2">
      <w:pPr>
        <w:spacing w:after="120" w:line="240" w:lineRule="auto"/>
        <w:ind w:left="706" w:hanging="706"/>
        <w:rPr>
          <w:rFonts w:ascii="Times New Roman" w:hAnsi="Times New Roman"/>
          <w:sz w:val="24"/>
          <w:szCs w:val="24"/>
        </w:rPr>
      </w:pPr>
      <w:r w:rsidRPr="00EA409A">
        <w:rPr>
          <w:rFonts w:ascii="Times New Roman" w:hAnsi="Times New Roman"/>
          <w:smallCaps/>
          <w:sz w:val="24"/>
          <w:szCs w:val="24"/>
        </w:rPr>
        <w:t>Vera</w:t>
      </w:r>
      <w:r w:rsidRPr="009B70F2">
        <w:rPr>
          <w:smallCaps/>
        </w:rPr>
        <w:t xml:space="preserve"> </w:t>
      </w:r>
      <w:r w:rsidR="005065EC" w:rsidRPr="009B70F2">
        <w:rPr>
          <w:rFonts w:ascii="Times New Roman" w:hAnsi="Times New Roman"/>
          <w:smallCaps/>
          <w:sz w:val="24"/>
          <w:szCs w:val="24"/>
        </w:rPr>
        <w:t>Bácskai</w:t>
      </w:r>
      <w:r w:rsidR="005065EC" w:rsidRPr="009B70F2">
        <w:rPr>
          <w:rFonts w:ascii="Times New Roman" w:hAnsi="Times New Roman"/>
          <w:sz w:val="24"/>
          <w:szCs w:val="24"/>
        </w:rPr>
        <w:t>: Az 1848 előtti városi társadalom kutatásának főbb forrásairól</w:t>
      </w:r>
      <w:r w:rsidR="009B70F2">
        <w:rPr>
          <w:rFonts w:ascii="Times New Roman" w:hAnsi="Times New Roman"/>
          <w:sz w:val="24"/>
          <w:szCs w:val="24"/>
        </w:rPr>
        <w:t xml:space="preserve"> [On the sources for investigating pre-1848 urban society]</w:t>
      </w:r>
      <w:r w:rsidR="005065EC" w:rsidRPr="009B70F2">
        <w:rPr>
          <w:rFonts w:ascii="Times New Roman" w:hAnsi="Times New Roman"/>
          <w:sz w:val="24"/>
          <w:szCs w:val="24"/>
        </w:rPr>
        <w:t xml:space="preserve">. In: Erdmann Gyula (szerk.): </w:t>
      </w:r>
      <w:r w:rsidR="005065EC" w:rsidRPr="009B70F2">
        <w:rPr>
          <w:rFonts w:ascii="Times New Roman" w:hAnsi="Times New Roman"/>
          <w:i/>
          <w:sz w:val="24"/>
          <w:szCs w:val="24"/>
        </w:rPr>
        <w:t>Kutatás–módszertan.</w:t>
      </w:r>
      <w:r w:rsidR="005065EC" w:rsidRPr="009B70F2">
        <w:rPr>
          <w:rFonts w:ascii="Times New Roman" w:hAnsi="Times New Roman"/>
          <w:sz w:val="24"/>
          <w:szCs w:val="24"/>
        </w:rPr>
        <w:t xml:space="preserve"> Rendi társadalom – polgári társadalom 2. Gyula, 1989. 10–20.  </w:t>
      </w:r>
    </w:p>
    <w:p w14:paraId="3FFD5D1C" w14:textId="77777777" w:rsidR="009B70F2" w:rsidRDefault="009B70F2" w:rsidP="009B70F2">
      <w:pPr>
        <w:pStyle w:val="pcim"/>
        <w:spacing w:before="0" w:beforeAutospacing="0" w:after="120" w:afterAutospacing="0"/>
        <w:ind w:left="706" w:hanging="706"/>
        <w:rPr>
          <w:smallCaps/>
          <w:lang w:val="en-GB"/>
        </w:rPr>
      </w:pPr>
    </w:p>
    <w:p w14:paraId="05E6C08D" w14:textId="77777777" w:rsidR="009B70F2" w:rsidRDefault="009B70F2" w:rsidP="009B70F2">
      <w:pPr>
        <w:pStyle w:val="pcim"/>
        <w:spacing w:before="0" w:beforeAutospacing="0" w:after="120" w:afterAutospacing="0"/>
        <w:ind w:left="706" w:hanging="706"/>
        <w:rPr>
          <w:lang w:val="en-GB"/>
        </w:rPr>
      </w:pPr>
      <w:r w:rsidRPr="009B70F2">
        <w:rPr>
          <w:smallCaps/>
          <w:lang w:val="en-GB"/>
        </w:rPr>
        <w:t>Bácskai</w:t>
      </w:r>
      <w:r w:rsidRPr="009B70F2">
        <w:rPr>
          <w:lang w:val="en-GB"/>
        </w:rPr>
        <w:t xml:space="preserve"> 1989b </w:t>
      </w:r>
    </w:p>
    <w:p w14:paraId="3B68D698" w14:textId="456F5628" w:rsidR="009B70F2" w:rsidRPr="009B70F2" w:rsidRDefault="00EA409A" w:rsidP="0040704F">
      <w:pPr>
        <w:pStyle w:val="pcim"/>
        <w:spacing w:before="0" w:beforeAutospacing="0" w:after="120" w:afterAutospacing="0"/>
        <w:ind w:left="706" w:hanging="706"/>
        <w:rPr>
          <w:lang w:val="en-GB"/>
        </w:rPr>
      </w:pPr>
      <w:r w:rsidRPr="00EA409A">
        <w:rPr>
          <w:smallCaps/>
          <w:lang w:val="en-GB"/>
        </w:rPr>
        <w:t>Vera</w:t>
      </w:r>
      <w:r w:rsidRPr="009B70F2">
        <w:rPr>
          <w:smallCaps/>
          <w:lang w:val="en-GB"/>
        </w:rPr>
        <w:t xml:space="preserve"> </w:t>
      </w:r>
      <w:r w:rsidR="009B70F2" w:rsidRPr="009B70F2">
        <w:rPr>
          <w:smallCaps/>
          <w:lang w:val="en-GB"/>
        </w:rPr>
        <w:t>Bácskai</w:t>
      </w:r>
      <w:r w:rsidR="009B70F2" w:rsidRPr="009B70F2">
        <w:rPr>
          <w:lang w:val="en-GB"/>
        </w:rPr>
        <w:t xml:space="preserve">: </w:t>
      </w:r>
      <w:r w:rsidR="009B70F2" w:rsidRPr="009B70F2">
        <w:rPr>
          <w:i/>
          <w:color w:val="000000"/>
          <w:lang w:val="en-GB"/>
        </w:rPr>
        <w:t xml:space="preserve">Towns and </w:t>
      </w:r>
      <w:r w:rsidR="009B70F2">
        <w:rPr>
          <w:i/>
          <w:color w:val="000000"/>
          <w:lang w:val="en-GB"/>
        </w:rPr>
        <w:t>U</w:t>
      </w:r>
      <w:r w:rsidR="009B70F2" w:rsidRPr="009B70F2">
        <w:rPr>
          <w:i/>
          <w:color w:val="000000"/>
          <w:lang w:val="en-GB"/>
        </w:rPr>
        <w:t xml:space="preserve">rban </w:t>
      </w:r>
      <w:r w:rsidR="009B70F2">
        <w:rPr>
          <w:i/>
          <w:color w:val="000000"/>
          <w:lang w:val="en-GB"/>
        </w:rPr>
        <w:t>S</w:t>
      </w:r>
      <w:r w:rsidR="009B70F2" w:rsidRPr="009B70F2">
        <w:rPr>
          <w:i/>
          <w:color w:val="000000"/>
          <w:lang w:val="en-GB"/>
        </w:rPr>
        <w:t xml:space="preserve">ociety in </w:t>
      </w:r>
      <w:r w:rsidR="009B70F2">
        <w:rPr>
          <w:i/>
          <w:color w:val="000000"/>
          <w:lang w:val="en-GB"/>
        </w:rPr>
        <w:t>E</w:t>
      </w:r>
      <w:r w:rsidR="009B70F2" w:rsidRPr="009B70F2">
        <w:rPr>
          <w:i/>
          <w:color w:val="000000"/>
          <w:lang w:val="en-GB"/>
        </w:rPr>
        <w:t xml:space="preserve">arly </w:t>
      </w:r>
      <w:r w:rsidR="009B70F2">
        <w:rPr>
          <w:i/>
          <w:color w:val="000000"/>
          <w:lang w:val="en-GB"/>
        </w:rPr>
        <w:t>N</w:t>
      </w:r>
      <w:r w:rsidR="009B70F2" w:rsidRPr="009B70F2">
        <w:rPr>
          <w:i/>
          <w:color w:val="000000"/>
          <w:lang w:val="en-GB"/>
        </w:rPr>
        <w:t>ineteenth-</w:t>
      </w:r>
      <w:r w:rsidR="009B70F2">
        <w:rPr>
          <w:i/>
          <w:color w:val="000000"/>
          <w:lang w:val="en-GB"/>
        </w:rPr>
        <w:t>C</w:t>
      </w:r>
      <w:r w:rsidR="009B70F2" w:rsidRPr="009B70F2">
        <w:rPr>
          <w:i/>
          <w:color w:val="000000"/>
          <w:lang w:val="en-GB"/>
        </w:rPr>
        <w:t>entury Hungary</w:t>
      </w:r>
      <w:r w:rsidR="0040704F">
        <w:rPr>
          <w:i/>
          <w:color w:val="000000"/>
          <w:lang w:val="en-GB"/>
        </w:rPr>
        <w:t xml:space="preserve">. </w:t>
      </w:r>
      <w:r w:rsidR="009B70F2" w:rsidRPr="009B70F2">
        <w:rPr>
          <w:color w:val="000000"/>
          <w:lang w:val="en-GB"/>
        </w:rPr>
        <w:t>Budapest: Akadémiai Kiadó, 1989. </w:t>
      </w:r>
    </w:p>
    <w:p w14:paraId="21108954" w14:textId="77777777" w:rsidR="005065EC" w:rsidRPr="009B70F2" w:rsidRDefault="005065EC" w:rsidP="009B70F2">
      <w:pPr>
        <w:spacing w:after="120" w:line="240" w:lineRule="auto"/>
        <w:ind w:left="706" w:hanging="706"/>
        <w:rPr>
          <w:rFonts w:ascii="Times New Roman" w:hAnsi="Times New Roman"/>
          <w:sz w:val="24"/>
          <w:szCs w:val="24"/>
        </w:rPr>
      </w:pPr>
    </w:p>
    <w:p w14:paraId="12712B3E" w14:textId="77777777" w:rsidR="005065EC" w:rsidRPr="009B70F2" w:rsidRDefault="005065EC" w:rsidP="009B70F2">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Cerutti</w:t>
      </w:r>
      <w:r w:rsidRPr="009B70F2">
        <w:rPr>
          <w:rFonts w:ascii="Times New Roman" w:hAnsi="Times New Roman"/>
          <w:sz w:val="24"/>
          <w:szCs w:val="24"/>
        </w:rPr>
        <w:t xml:space="preserve"> 1995.</w:t>
      </w:r>
    </w:p>
    <w:p w14:paraId="1A94A731" w14:textId="1C7AE5EA" w:rsidR="005065EC" w:rsidRPr="009B70F2" w:rsidRDefault="00EA409A" w:rsidP="009B70F2">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 xml:space="preserve">Simona </w:t>
      </w:r>
      <w:r w:rsidR="005065EC" w:rsidRPr="009B70F2">
        <w:rPr>
          <w:rFonts w:ascii="Times New Roman" w:hAnsi="Times New Roman"/>
          <w:smallCaps/>
          <w:sz w:val="24"/>
          <w:szCs w:val="24"/>
        </w:rPr>
        <w:t>Cerutti,</w:t>
      </w:r>
      <w:r w:rsidR="005065EC" w:rsidRPr="009B70F2">
        <w:rPr>
          <w:rFonts w:ascii="Times New Roman" w:hAnsi="Times New Roman"/>
          <w:sz w:val="24"/>
          <w:szCs w:val="24"/>
        </w:rPr>
        <w:t>: Normes et pratiques, ou de la légitimité de leur opposition. In: Lepetit, Bernard (dir.):</w:t>
      </w:r>
      <w:r w:rsidR="009B70F2">
        <w:rPr>
          <w:rFonts w:ascii="Times New Roman" w:hAnsi="Times New Roman"/>
          <w:sz w:val="24"/>
          <w:szCs w:val="24"/>
        </w:rPr>
        <w:t xml:space="preserve"> </w:t>
      </w:r>
      <w:r w:rsidR="005065EC" w:rsidRPr="009B70F2">
        <w:rPr>
          <w:rFonts w:ascii="Times New Roman" w:hAnsi="Times New Roman"/>
          <w:sz w:val="24"/>
          <w:szCs w:val="24"/>
        </w:rPr>
        <w:t xml:space="preserve">Les formes de l’expérience–Une autre histoire sociale. Paris, 127–149. </w:t>
      </w:r>
    </w:p>
    <w:p w14:paraId="53DEC915" w14:textId="77777777" w:rsidR="005065EC" w:rsidRPr="009B70F2" w:rsidRDefault="005065EC" w:rsidP="009B70F2">
      <w:pPr>
        <w:spacing w:after="120" w:line="240" w:lineRule="auto"/>
        <w:ind w:left="706" w:hanging="706"/>
        <w:rPr>
          <w:rFonts w:ascii="Times New Roman" w:hAnsi="Times New Roman"/>
          <w:smallCaps/>
          <w:sz w:val="24"/>
          <w:szCs w:val="24"/>
        </w:rPr>
      </w:pPr>
    </w:p>
    <w:p w14:paraId="24D51302" w14:textId="77777777" w:rsidR="005065EC" w:rsidRPr="009B70F2" w:rsidRDefault="005065EC" w:rsidP="009B70F2">
      <w:pPr>
        <w:spacing w:after="120" w:line="240" w:lineRule="auto"/>
        <w:ind w:left="706" w:hanging="706"/>
        <w:rPr>
          <w:rFonts w:ascii="Times New Roman" w:hAnsi="Times New Roman"/>
          <w:smallCaps/>
          <w:sz w:val="24"/>
          <w:szCs w:val="24"/>
        </w:rPr>
      </w:pPr>
      <w:r w:rsidRPr="009B70F2">
        <w:rPr>
          <w:rFonts w:ascii="Times New Roman" w:hAnsi="Times New Roman"/>
          <w:smallCaps/>
          <w:sz w:val="24"/>
          <w:szCs w:val="24"/>
        </w:rPr>
        <w:t>Czoch 1997.</w:t>
      </w:r>
    </w:p>
    <w:p w14:paraId="1D46E82E" w14:textId="32C7B104" w:rsidR="005065EC" w:rsidRPr="009B70F2" w:rsidRDefault="00EA409A" w:rsidP="009B70F2">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 xml:space="preserve">Gábor </w:t>
      </w:r>
      <w:r w:rsidR="005065EC" w:rsidRPr="009B70F2">
        <w:rPr>
          <w:rFonts w:ascii="Times New Roman" w:hAnsi="Times New Roman"/>
          <w:smallCaps/>
          <w:sz w:val="24"/>
          <w:szCs w:val="24"/>
        </w:rPr>
        <w:t>Czoch</w:t>
      </w:r>
      <w:r w:rsidR="005065EC" w:rsidRPr="009B70F2">
        <w:rPr>
          <w:rFonts w:ascii="Times New Roman" w:hAnsi="Times New Roman"/>
          <w:sz w:val="24"/>
          <w:szCs w:val="24"/>
        </w:rPr>
        <w:t xml:space="preserve">: </w:t>
      </w:r>
      <w:r w:rsidR="005065EC" w:rsidRPr="009B70F2">
        <w:rPr>
          <w:rFonts w:ascii="Times New Roman" w:hAnsi="Times New Roman"/>
          <w:i/>
          <w:sz w:val="24"/>
          <w:szCs w:val="24"/>
        </w:rPr>
        <w:t>Városlakók és polgárok. Kassa társadalma a 19. század első felében</w:t>
      </w:r>
      <w:r w:rsidR="009B70F2">
        <w:rPr>
          <w:rFonts w:ascii="Times New Roman" w:hAnsi="Times New Roman"/>
          <w:sz w:val="24"/>
          <w:szCs w:val="24"/>
        </w:rPr>
        <w:t xml:space="preserve"> [Townspeople and burghers. </w:t>
      </w:r>
      <w:r w:rsidR="009B70F2" w:rsidRPr="009B70F2">
        <w:rPr>
          <w:rFonts w:ascii="Times New Roman" w:hAnsi="Times New Roman"/>
          <w:sz w:val="24"/>
          <w:szCs w:val="24"/>
        </w:rPr>
        <w:t xml:space="preserve">Košice </w:t>
      </w:r>
      <w:r w:rsidR="003C1058">
        <w:rPr>
          <w:rFonts w:ascii="Times New Roman" w:hAnsi="Times New Roman"/>
          <w:sz w:val="24"/>
          <w:szCs w:val="24"/>
        </w:rPr>
        <w:t>s</w:t>
      </w:r>
      <w:r w:rsidR="009B70F2">
        <w:rPr>
          <w:rFonts w:ascii="Times New Roman" w:hAnsi="Times New Roman"/>
          <w:sz w:val="24"/>
          <w:szCs w:val="24"/>
        </w:rPr>
        <w:t>ociety in the first half of the nineteenth century]</w:t>
      </w:r>
      <w:r w:rsidR="005065EC" w:rsidRPr="009B70F2">
        <w:rPr>
          <w:rFonts w:ascii="Times New Roman" w:hAnsi="Times New Roman"/>
          <w:sz w:val="24"/>
          <w:szCs w:val="24"/>
        </w:rPr>
        <w:t>. Kandidátusi értekezés. Budapest, 1997.</w:t>
      </w:r>
    </w:p>
    <w:p w14:paraId="4445E5E2" w14:textId="77777777" w:rsidR="005065EC" w:rsidRPr="009B70F2" w:rsidRDefault="005065EC" w:rsidP="009B70F2">
      <w:pPr>
        <w:spacing w:after="120" w:line="240" w:lineRule="auto"/>
        <w:ind w:left="706" w:hanging="706"/>
        <w:rPr>
          <w:rFonts w:ascii="Times New Roman" w:hAnsi="Times New Roman"/>
          <w:smallCaps/>
          <w:sz w:val="24"/>
          <w:szCs w:val="24"/>
        </w:rPr>
      </w:pPr>
    </w:p>
    <w:p w14:paraId="4890D948" w14:textId="77777777" w:rsidR="005065EC" w:rsidRPr="009B70F2" w:rsidRDefault="005065EC" w:rsidP="009B70F2">
      <w:pPr>
        <w:spacing w:after="120" w:line="240" w:lineRule="auto"/>
        <w:ind w:left="706" w:hanging="706"/>
        <w:rPr>
          <w:rFonts w:ascii="Times New Roman" w:hAnsi="Times New Roman"/>
          <w:smallCaps/>
          <w:sz w:val="24"/>
          <w:szCs w:val="24"/>
        </w:rPr>
      </w:pPr>
      <w:r w:rsidRPr="009B70F2">
        <w:rPr>
          <w:rFonts w:ascii="Times New Roman" w:hAnsi="Times New Roman"/>
          <w:smallCaps/>
          <w:sz w:val="24"/>
          <w:szCs w:val="24"/>
        </w:rPr>
        <w:t>Czoch 2009.</w:t>
      </w:r>
    </w:p>
    <w:p w14:paraId="77EC7240" w14:textId="6FCA2624" w:rsidR="005065EC" w:rsidRPr="009B70F2" w:rsidRDefault="00EA409A" w:rsidP="009B70F2">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 xml:space="preserve">Gábor </w:t>
      </w:r>
      <w:r w:rsidR="005065EC" w:rsidRPr="009B70F2">
        <w:rPr>
          <w:rFonts w:ascii="Times New Roman" w:hAnsi="Times New Roman"/>
          <w:smallCaps/>
          <w:sz w:val="24"/>
          <w:szCs w:val="24"/>
        </w:rPr>
        <w:t>Czoch</w:t>
      </w:r>
      <w:r w:rsidR="005065EC" w:rsidRPr="009B70F2">
        <w:rPr>
          <w:rFonts w:ascii="Times New Roman" w:hAnsi="Times New Roman"/>
          <w:sz w:val="24"/>
          <w:szCs w:val="24"/>
        </w:rPr>
        <w:t>: „</w:t>
      </w:r>
      <w:r w:rsidR="005065EC" w:rsidRPr="009B70F2">
        <w:rPr>
          <w:rFonts w:ascii="Times New Roman" w:hAnsi="Times New Roman"/>
          <w:i/>
          <w:sz w:val="24"/>
          <w:szCs w:val="24"/>
        </w:rPr>
        <w:t>A városok szíverek”. Tanulmányok Kassáról és a reformkori városokról</w:t>
      </w:r>
      <w:r w:rsidR="009B70F2">
        <w:rPr>
          <w:rFonts w:ascii="Times New Roman" w:hAnsi="Times New Roman"/>
          <w:sz w:val="24"/>
          <w:szCs w:val="24"/>
        </w:rPr>
        <w:t xml:space="preserve"> [‘Cities are arteries.’ Studies about</w:t>
      </w:r>
      <w:r w:rsidR="009B70F2" w:rsidRPr="009B70F2">
        <w:t xml:space="preserve"> </w:t>
      </w:r>
      <w:r w:rsidR="009B70F2" w:rsidRPr="009B70F2">
        <w:rPr>
          <w:rFonts w:ascii="Times New Roman" w:hAnsi="Times New Roman"/>
          <w:sz w:val="24"/>
          <w:szCs w:val="24"/>
        </w:rPr>
        <w:t>Košice</w:t>
      </w:r>
      <w:r w:rsidR="009B70F2">
        <w:rPr>
          <w:rFonts w:ascii="Times New Roman" w:hAnsi="Times New Roman"/>
          <w:sz w:val="24"/>
          <w:szCs w:val="24"/>
        </w:rPr>
        <w:t xml:space="preserve"> and the towns of the Hungarian Reform Era]</w:t>
      </w:r>
      <w:r w:rsidR="005065EC" w:rsidRPr="009B70F2">
        <w:rPr>
          <w:rFonts w:ascii="Times New Roman" w:hAnsi="Times New Roman"/>
          <w:sz w:val="24"/>
          <w:szCs w:val="24"/>
        </w:rPr>
        <w:t xml:space="preserve">. </w:t>
      </w:r>
      <w:r w:rsidR="009B70F2">
        <w:rPr>
          <w:rFonts w:ascii="Times New Roman" w:hAnsi="Times New Roman"/>
          <w:sz w:val="24"/>
          <w:szCs w:val="24"/>
        </w:rPr>
        <w:t>Bratislava</w:t>
      </w:r>
      <w:r w:rsidR="005065EC" w:rsidRPr="009B70F2">
        <w:rPr>
          <w:rFonts w:ascii="Times New Roman" w:hAnsi="Times New Roman"/>
          <w:sz w:val="24"/>
          <w:szCs w:val="24"/>
        </w:rPr>
        <w:t>, 2009.</w:t>
      </w:r>
    </w:p>
    <w:p w14:paraId="44E7EBF3" w14:textId="77777777" w:rsidR="005065EC" w:rsidRPr="009B70F2" w:rsidRDefault="005065EC" w:rsidP="009B70F2">
      <w:pPr>
        <w:spacing w:after="120" w:line="240" w:lineRule="auto"/>
        <w:ind w:left="706" w:hanging="706"/>
        <w:rPr>
          <w:rFonts w:ascii="Times New Roman" w:hAnsi="Times New Roman"/>
          <w:sz w:val="24"/>
          <w:szCs w:val="24"/>
        </w:rPr>
      </w:pPr>
    </w:p>
    <w:p w14:paraId="105395EF" w14:textId="77777777" w:rsidR="005065EC" w:rsidRPr="009B70F2" w:rsidRDefault="005065EC" w:rsidP="009B70F2">
      <w:pPr>
        <w:spacing w:after="120" w:line="240" w:lineRule="auto"/>
        <w:ind w:left="706" w:hanging="706"/>
        <w:rPr>
          <w:rFonts w:ascii="Times New Roman" w:hAnsi="Times New Roman"/>
          <w:smallCaps/>
          <w:sz w:val="24"/>
          <w:szCs w:val="24"/>
        </w:rPr>
      </w:pPr>
      <w:r w:rsidRPr="009B70F2">
        <w:rPr>
          <w:rFonts w:ascii="Times New Roman" w:hAnsi="Times New Roman"/>
          <w:smallCaps/>
          <w:sz w:val="24"/>
          <w:szCs w:val="24"/>
        </w:rPr>
        <w:t>Czoch 2012.</w:t>
      </w:r>
    </w:p>
    <w:p w14:paraId="5FE5F8AC" w14:textId="47D21486" w:rsidR="005065EC" w:rsidRPr="009B70F2" w:rsidRDefault="00EA409A" w:rsidP="00EA409A">
      <w:pPr>
        <w:spacing w:after="120" w:line="240" w:lineRule="auto"/>
        <w:ind w:left="706" w:hanging="706"/>
        <w:rPr>
          <w:rFonts w:ascii="Times New Roman" w:hAnsi="Times New Roman"/>
          <w:bCs/>
          <w:sz w:val="24"/>
          <w:szCs w:val="24"/>
        </w:rPr>
      </w:pPr>
      <w:r w:rsidRPr="009B70F2">
        <w:rPr>
          <w:rFonts w:ascii="Times New Roman" w:hAnsi="Times New Roman"/>
          <w:smallCaps/>
          <w:sz w:val="24"/>
          <w:szCs w:val="24"/>
        </w:rPr>
        <w:t xml:space="preserve">Gábor </w:t>
      </w:r>
      <w:r w:rsidR="005065EC" w:rsidRPr="009B70F2">
        <w:rPr>
          <w:rFonts w:ascii="Times New Roman" w:hAnsi="Times New Roman"/>
          <w:smallCaps/>
          <w:sz w:val="24"/>
          <w:szCs w:val="24"/>
        </w:rPr>
        <w:t>Czoch</w:t>
      </w:r>
      <w:r w:rsidR="005065EC" w:rsidRPr="009B70F2">
        <w:rPr>
          <w:rFonts w:ascii="Times New Roman" w:hAnsi="Times New Roman"/>
          <w:sz w:val="24"/>
          <w:szCs w:val="24"/>
        </w:rPr>
        <w:t>:</w:t>
      </w:r>
      <w:r>
        <w:rPr>
          <w:rFonts w:ascii="Times New Roman" w:hAnsi="Times New Roman"/>
          <w:sz w:val="24"/>
          <w:szCs w:val="24"/>
        </w:rPr>
        <w:t xml:space="preserve"> </w:t>
      </w:r>
      <w:r w:rsidR="005065EC" w:rsidRPr="009B70F2">
        <w:rPr>
          <w:rFonts w:ascii="Times New Roman" w:hAnsi="Times New Roman"/>
          <w:bCs/>
          <w:sz w:val="24"/>
          <w:szCs w:val="24"/>
        </w:rPr>
        <w:t>The Transformation of Urban Space in the First Half of the Nineteenth Century in Hungary and in</w:t>
      </w:r>
      <w:r w:rsidR="00225578">
        <w:rPr>
          <w:rFonts w:ascii="Times New Roman" w:hAnsi="Times New Roman"/>
          <w:bCs/>
          <w:sz w:val="24"/>
          <w:szCs w:val="24"/>
        </w:rPr>
        <w:t xml:space="preserve"> </w:t>
      </w:r>
      <w:r w:rsidR="005065EC" w:rsidRPr="009B70F2">
        <w:rPr>
          <w:rFonts w:ascii="Times New Roman" w:hAnsi="Times New Roman"/>
          <w:bCs/>
          <w:sz w:val="24"/>
          <w:szCs w:val="24"/>
        </w:rPr>
        <w:t xml:space="preserve">the City of Kassa. </w:t>
      </w:r>
      <w:r w:rsidR="005065EC" w:rsidRPr="009B70F2">
        <w:rPr>
          <w:rFonts w:ascii="Times New Roman" w:hAnsi="Times New Roman"/>
          <w:bCs/>
          <w:i/>
          <w:sz w:val="24"/>
          <w:szCs w:val="24"/>
        </w:rPr>
        <w:t>The Hungarian Historical Review</w:t>
      </w:r>
      <w:r w:rsidR="005065EC" w:rsidRPr="009B70F2">
        <w:rPr>
          <w:rFonts w:ascii="Times New Roman" w:hAnsi="Times New Roman"/>
          <w:bCs/>
          <w:sz w:val="24"/>
          <w:szCs w:val="24"/>
        </w:rPr>
        <w:t>. Vol.1. No. 1–2. 2012. 104–133.</w:t>
      </w:r>
    </w:p>
    <w:p w14:paraId="1481B794" w14:textId="77777777" w:rsidR="005065EC" w:rsidRPr="009B70F2" w:rsidRDefault="005065EC" w:rsidP="009B70F2">
      <w:pPr>
        <w:spacing w:after="120" w:line="240" w:lineRule="auto"/>
        <w:ind w:left="706" w:hanging="706"/>
        <w:rPr>
          <w:rFonts w:ascii="Times New Roman" w:hAnsi="Times New Roman"/>
          <w:sz w:val="24"/>
          <w:szCs w:val="24"/>
        </w:rPr>
      </w:pPr>
    </w:p>
    <w:p w14:paraId="4F6C5B1E" w14:textId="77777777" w:rsidR="005065EC" w:rsidRPr="009B70F2" w:rsidRDefault="005065EC" w:rsidP="009B70F2">
      <w:pPr>
        <w:pStyle w:val="BodyText"/>
        <w:spacing w:after="120" w:line="240" w:lineRule="auto"/>
        <w:ind w:left="706" w:hanging="706"/>
        <w:jc w:val="both"/>
        <w:rPr>
          <w:rFonts w:ascii="Times New Roman" w:hAnsi="Times New Roman"/>
          <w:color w:val="000000"/>
          <w:sz w:val="24"/>
          <w:szCs w:val="24"/>
        </w:rPr>
      </w:pPr>
      <w:r w:rsidRPr="009B70F2">
        <w:rPr>
          <w:rFonts w:ascii="Times New Roman" w:hAnsi="Times New Roman"/>
          <w:smallCaps/>
          <w:color w:val="000000"/>
          <w:sz w:val="24"/>
          <w:szCs w:val="24"/>
        </w:rPr>
        <w:t>Czoch</w:t>
      </w:r>
      <w:r w:rsidRPr="009B70F2">
        <w:rPr>
          <w:rFonts w:ascii="Times New Roman" w:hAnsi="Times New Roman"/>
          <w:color w:val="000000"/>
          <w:sz w:val="24"/>
          <w:szCs w:val="24"/>
        </w:rPr>
        <w:t xml:space="preserve"> 2014. </w:t>
      </w:r>
    </w:p>
    <w:p w14:paraId="243BF0C8" w14:textId="55D59057" w:rsidR="005065EC" w:rsidRDefault="00EA409A" w:rsidP="00225578">
      <w:pPr>
        <w:pStyle w:val="BodyText"/>
        <w:spacing w:after="120" w:line="240" w:lineRule="auto"/>
        <w:ind w:left="706" w:hanging="706"/>
        <w:jc w:val="both"/>
        <w:rPr>
          <w:rFonts w:ascii="Times New Roman" w:hAnsi="Times New Roman"/>
          <w:color w:val="000000"/>
          <w:sz w:val="24"/>
          <w:szCs w:val="24"/>
        </w:rPr>
      </w:pPr>
      <w:r w:rsidRPr="009B70F2">
        <w:rPr>
          <w:rFonts w:ascii="Times New Roman" w:hAnsi="Times New Roman"/>
          <w:smallCaps/>
          <w:sz w:val="24"/>
          <w:szCs w:val="24"/>
        </w:rPr>
        <w:t xml:space="preserve">Gábor </w:t>
      </w:r>
      <w:r w:rsidR="005065EC" w:rsidRPr="009B70F2">
        <w:rPr>
          <w:rFonts w:ascii="Times New Roman" w:hAnsi="Times New Roman"/>
          <w:smallCaps/>
          <w:sz w:val="24"/>
          <w:szCs w:val="24"/>
        </w:rPr>
        <w:t>Czoch</w:t>
      </w:r>
      <w:r w:rsidR="005065EC" w:rsidRPr="009B70F2">
        <w:rPr>
          <w:rFonts w:ascii="Times New Roman" w:hAnsi="Times New Roman"/>
          <w:sz w:val="24"/>
          <w:szCs w:val="24"/>
        </w:rPr>
        <w:t xml:space="preserve">: </w:t>
      </w:r>
      <w:r w:rsidR="005065EC" w:rsidRPr="009B70F2">
        <w:rPr>
          <w:rFonts w:ascii="Times New Roman" w:hAnsi="Times New Roman"/>
          <w:color w:val="000000"/>
          <w:sz w:val="24"/>
          <w:szCs w:val="24"/>
        </w:rPr>
        <w:t>Otázky národnostného zloženia a jeho spoločenské dimenzie v Košiciach na základe súpisu z rokov 1850/1851</w:t>
      </w:r>
      <w:r w:rsidR="00225578">
        <w:rPr>
          <w:rFonts w:ascii="Times New Roman" w:hAnsi="Times New Roman"/>
          <w:color w:val="000000"/>
          <w:sz w:val="24"/>
          <w:szCs w:val="24"/>
        </w:rPr>
        <w:t xml:space="preserve"> [</w:t>
      </w:r>
      <w:r w:rsidR="00225578" w:rsidRPr="00225578">
        <w:rPr>
          <w:rFonts w:ascii="Times New Roman" w:hAnsi="Times New Roman"/>
          <w:color w:val="000000"/>
          <w:sz w:val="24"/>
          <w:szCs w:val="24"/>
          <w:highlight w:val="yellow"/>
        </w:rPr>
        <w:t>Questions Košice’s ethnic composition and its social dimension based on the 1850/1851 census</w:t>
      </w:r>
      <w:r w:rsidR="00225578">
        <w:rPr>
          <w:rFonts w:ascii="Times New Roman" w:hAnsi="Times New Roman"/>
          <w:color w:val="000000"/>
          <w:sz w:val="24"/>
          <w:szCs w:val="24"/>
        </w:rPr>
        <w:t>]</w:t>
      </w:r>
      <w:r w:rsidR="005065EC" w:rsidRPr="009B70F2">
        <w:rPr>
          <w:rFonts w:ascii="Times New Roman" w:hAnsi="Times New Roman"/>
          <w:color w:val="000000"/>
          <w:sz w:val="24"/>
          <w:szCs w:val="24"/>
        </w:rPr>
        <w:t>. Kor(r)idor. Szlovák-Magyar Történeti Folyóirat/Slovensko–maďarský historický časopis. 2014. 2. 22</w:t>
      </w:r>
      <w:r w:rsidR="005065EC" w:rsidRPr="009B70F2">
        <w:rPr>
          <w:rFonts w:ascii="Times New Roman" w:hAnsi="Times New Roman"/>
          <w:color w:val="000000"/>
          <w:sz w:val="24"/>
          <w:szCs w:val="24"/>
        </w:rPr>
        <w:sym w:font="Symbol" w:char="F02D"/>
      </w:r>
      <w:r w:rsidR="005065EC" w:rsidRPr="009B70F2">
        <w:rPr>
          <w:rFonts w:ascii="Times New Roman" w:hAnsi="Times New Roman"/>
          <w:color w:val="000000"/>
          <w:sz w:val="24"/>
          <w:szCs w:val="24"/>
        </w:rPr>
        <w:t>38</w:t>
      </w:r>
    </w:p>
    <w:p w14:paraId="2A7B958B" w14:textId="77777777" w:rsidR="00225578" w:rsidRPr="00225578" w:rsidRDefault="00225578" w:rsidP="00225578">
      <w:pPr>
        <w:pStyle w:val="BodyText"/>
        <w:spacing w:after="120" w:line="240" w:lineRule="auto"/>
        <w:ind w:left="706" w:hanging="706"/>
        <w:jc w:val="both"/>
        <w:rPr>
          <w:rFonts w:ascii="Times New Roman" w:hAnsi="Times New Roman"/>
          <w:bCs/>
          <w:sz w:val="24"/>
          <w:szCs w:val="24"/>
        </w:rPr>
      </w:pPr>
    </w:p>
    <w:p w14:paraId="2A90F6CF" w14:textId="34381602" w:rsidR="005065EC" w:rsidRPr="009B70F2" w:rsidRDefault="005065EC" w:rsidP="009B70F2">
      <w:pPr>
        <w:pStyle w:val="Heading1"/>
        <w:spacing w:after="120"/>
        <w:ind w:left="706" w:hanging="706"/>
        <w:rPr>
          <w:rFonts w:ascii="Times New Roman" w:hAnsi="Times New Roman"/>
          <w:b w:val="0"/>
          <w:bCs w:val="0"/>
          <w:smallCaps/>
          <w:sz w:val="24"/>
          <w:szCs w:val="24"/>
        </w:rPr>
      </w:pPr>
      <w:r w:rsidRPr="009B70F2">
        <w:rPr>
          <w:rFonts w:ascii="Times New Roman" w:hAnsi="Times New Roman"/>
          <w:b w:val="0"/>
          <w:bCs w:val="0"/>
          <w:smallCaps/>
          <w:sz w:val="24"/>
          <w:szCs w:val="24"/>
        </w:rPr>
        <w:t>Czoch–H</w:t>
      </w:r>
      <w:r w:rsidR="0040704F">
        <w:rPr>
          <w:rFonts w:ascii="Times New Roman" w:hAnsi="Times New Roman"/>
          <w:b w:val="0"/>
          <w:bCs w:val="0"/>
          <w:smallCaps/>
          <w:sz w:val="24"/>
          <w:szCs w:val="24"/>
        </w:rPr>
        <w:t>.</w:t>
      </w:r>
      <w:r w:rsidRPr="009B70F2">
        <w:rPr>
          <w:rFonts w:ascii="Times New Roman" w:hAnsi="Times New Roman"/>
          <w:b w:val="0"/>
          <w:bCs w:val="0"/>
          <w:smallCaps/>
          <w:sz w:val="24"/>
          <w:szCs w:val="24"/>
        </w:rPr>
        <w:t xml:space="preserve"> Németh  –Tóth 2017. </w:t>
      </w:r>
    </w:p>
    <w:p w14:paraId="165927FC" w14:textId="11024F91" w:rsidR="005065EC" w:rsidRPr="009B70F2" w:rsidRDefault="00EA409A" w:rsidP="009B70F2">
      <w:pPr>
        <w:pStyle w:val="Heading1"/>
        <w:spacing w:after="120"/>
        <w:ind w:left="706" w:hanging="706"/>
        <w:rPr>
          <w:rFonts w:ascii="Times New Roman" w:hAnsi="Times New Roman"/>
          <w:b w:val="0"/>
          <w:sz w:val="24"/>
          <w:szCs w:val="24"/>
        </w:rPr>
      </w:pPr>
      <w:r w:rsidRPr="009B70F2">
        <w:rPr>
          <w:rFonts w:ascii="Times New Roman" w:hAnsi="Times New Roman"/>
          <w:b w:val="0"/>
          <w:bCs w:val="0"/>
          <w:smallCaps/>
          <w:sz w:val="24"/>
          <w:szCs w:val="24"/>
        </w:rPr>
        <w:t xml:space="preserve">Gábor </w:t>
      </w:r>
      <w:r w:rsidR="005065EC" w:rsidRPr="009B70F2">
        <w:rPr>
          <w:rFonts w:ascii="Times New Roman" w:hAnsi="Times New Roman"/>
          <w:b w:val="0"/>
          <w:bCs w:val="0"/>
          <w:smallCaps/>
          <w:sz w:val="24"/>
          <w:szCs w:val="24"/>
        </w:rPr>
        <w:t>Czoch–</w:t>
      </w:r>
      <w:r w:rsidRPr="00EA409A">
        <w:rPr>
          <w:rFonts w:ascii="Times New Roman" w:hAnsi="Times New Roman"/>
          <w:b w:val="0"/>
          <w:bCs w:val="0"/>
          <w:smallCaps/>
          <w:sz w:val="24"/>
          <w:szCs w:val="24"/>
        </w:rPr>
        <w:t xml:space="preserve"> </w:t>
      </w:r>
      <w:r w:rsidRPr="009B70F2">
        <w:rPr>
          <w:rFonts w:ascii="Times New Roman" w:hAnsi="Times New Roman"/>
          <w:b w:val="0"/>
          <w:bCs w:val="0"/>
          <w:smallCaps/>
          <w:sz w:val="24"/>
          <w:szCs w:val="24"/>
        </w:rPr>
        <w:t xml:space="preserve">István </w:t>
      </w:r>
      <w:r w:rsidR="005065EC" w:rsidRPr="009B70F2">
        <w:rPr>
          <w:rFonts w:ascii="Times New Roman" w:hAnsi="Times New Roman"/>
          <w:b w:val="0"/>
          <w:bCs w:val="0"/>
          <w:smallCaps/>
          <w:sz w:val="24"/>
          <w:szCs w:val="24"/>
        </w:rPr>
        <w:t>H</w:t>
      </w:r>
      <w:r w:rsidR="0040704F">
        <w:rPr>
          <w:rFonts w:ascii="Times New Roman" w:hAnsi="Times New Roman"/>
          <w:b w:val="0"/>
          <w:bCs w:val="0"/>
          <w:smallCaps/>
          <w:sz w:val="24"/>
          <w:szCs w:val="24"/>
        </w:rPr>
        <w:t>.</w:t>
      </w:r>
      <w:r w:rsidR="005065EC" w:rsidRPr="009B70F2">
        <w:rPr>
          <w:rFonts w:ascii="Times New Roman" w:hAnsi="Times New Roman"/>
          <w:b w:val="0"/>
          <w:bCs w:val="0"/>
          <w:smallCaps/>
          <w:sz w:val="24"/>
          <w:szCs w:val="24"/>
        </w:rPr>
        <w:t xml:space="preserve"> Németh–</w:t>
      </w:r>
      <w:r w:rsidRPr="00EA409A">
        <w:rPr>
          <w:rFonts w:ascii="Times New Roman" w:hAnsi="Times New Roman"/>
          <w:b w:val="0"/>
          <w:bCs w:val="0"/>
          <w:smallCaps/>
          <w:sz w:val="24"/>
          <w:szCs w:val="24"/>
        </w:rPr>
        <w:t xml:space="preserve"> </w:t>
      </w:r>
      <w:r w:rsidRPr="009B70F2">
        <w:rPr>
          <w:rFonts w:ascii="Times New Roman" w:hAnsi="Times New Roman"/>
          <w:b w:val="0"/>
          <w:bCs w:val="0"/>
          <w:smallCaps/>
          <w:sz w:val="24"/>
          <w:szCs w:val="24"/>
        </w:rPr>
        <w:t xml:space="preserve">Árpád </w:t>
      </w:r>
      <w:r w:rsidR="005065EC" w:rsidRPr="009B70F2">
        <w:rPr>
          <w:rFonts w:ascii="Times New Roman" w:hAnsi="Times New Roman"/>
          <w:b w:val="0"/>
          <w:bCs w:val="0"/>
          <w:smallCaps/>
          <w:sz w:val="24"/>
          <w:szCs w:val="24"/>
        </w:rPr>
        <w:t xml:space="preserve">Tóth: </w:t>
      </w:r>
      <w:r w:rsidR="005065EC" w:rsidRPr="009B70F2">
        <w:rPr>
          <w:rFonts w:ascii="Times New Roman" w:hAnsi="Times New Roman"/>
          <w:b w:val="0"/>
          <w:bCs w:val="0"/>
          <w:sz w:val="24"/>
          <w:szCs w:val="24"/>
        </w:rPr>
        <w:t xml:space="preserve">Urban communities and their burghers in the Kingdom of Hungary (1750-1850). The possibilities databases offer for historical analysis. In: </w:t>
      </w:r>
      <w:r w:rsidR="005065EC" w:rsidRPr="009B70F2">
        <w:rPr>
          <w:rFonts w:ascii="Times New Roman" w:hAnsi="Times New Roman"/>
          <w:b w:val="0"/>
          <w:i/>
          <w:sz w:val="24"/>
          <w:szCs w:val="24"/>
        </w:rPr>
        <w:t>Cities and Solidarities Urban Communities in Pre-Modern Europe</w:t>
      </w:r>
      <w:r w:rsidR="005065EC" w:rsidRPr="009B70F2">
        <w:rPr>
          <w:rFonts w:ascii="Times New Roman" w:hAnsi="Times New Roman"/>
          <w:b w:val="0"/>
          <w:sz w:val="24"/>
          <w:szCs w:val="24"/>
        </w:rPr>
        <w:t xml:space="preserve"> (Edited by Colson, Justin – Steensel, Arie van), Routledge, 2017, 188 – 207. </w:t>
      </w:r>
    </w:p>
    <w:p w14:paraId="261533D2" w14:textId="77777777" w:rsidR="005065EC" w:rsidRPr="009B70F2" w:rsidRDefault="005065EC" w:rsidP="00225578">
      <w:pPr>
        <w:spacing w:after="120" w:line="240" w:lineRule="auto"/>
        <w:rPr>
          <w:rFonts w:ascii="Times New Roman" w:hAnsi="Times New Roman"/>
          <w:sz w:val="24"/>
          <w:szCs w:val="24"/>
        </w:rPr>
      </w:pPr>
    </w:p>
    <w:p w14:paraId="1671C340" w14:textId="7A162FF9" w:rsidR="005065EC" w:rsidRPr="009B70F2" w:rsidRDefault="005065EC" w:rsidP="009B70F2">
      <w:pPr>
        <w:spacing w:after="120" w:line="240" w:lineRule="auto"/>
        <w:ind w:left="706" w:hanging="706"/>
        <w:rPr>
          <w:rFonts w:ascii="Times New Roman" w:hAnsi="Times New Roman"/>
          <w:smallCaps/>
          <w:sz w:val="24"/>
          <w:szCs w:val="24"/>
        </w:rPr>
      </w:pPr>
      <w:r w:rsidRPr="009B70F2">
        <w:rPr>
          <w:rFonts w:ascii="Times New Roman" w:hAnsi="Times New Roman"/>
          <w:smallCaps/>
          <w:sz w:val="24"/>
          <w:szCs w:val="24"/>
        </w:rPr>
        <w:t>Kállay 1989</w:t>
      </w:r>
      <w:r w:rsidR="00225578">
        <w:rPr>
          <w:rFonts w:ascii="Times New Roman" w:hAnsi="Times New Roman"/>
          <w:smallCaps/>
          <w:sz w:val="24"/>
          <w:szCs w:val="24"/>
        </w:rPr>
        <w:t>.</w:t>
      </w:r>
    </w:p>
    <w:p w14:paraId="255C3E6D" w14:textId="7E313F0D" w:rsidR="005065EC" w:rsidRPr="009B70F2" w:rsidRDefault="00EA409A" w:rsidP="009B70F2">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 xml:space="preserve">István </w:t>
      </w:r>
      <w:r w:rsidR="005065EC" w:rsidRPr="009B70F2">
        <w:rPr>
          <w:rFonts w:ascii="Times New Roman" w:hAnsi="Times New Roman"/>
          <w:smallCaps/>
          <w:sz w:val="24"/>
          <w:szCs w:val="24"/>
        </w:rPr>
        <w:t>Kállay</w:t>
      </w:r>
      <w:r w:rsidR="005065EC" w:rsidRPr="009B70F2">
        <w:rPr>
          <w:rFonts w:ascii="Times New Roman" w:hAnsi="Times New Roman"/>
          <w:sz w:val="24"/>
          <w:szCs w:val="24"/>
        </w:rPr>
        <w:t xml:space="preserve">: </w:t>
      </w:r>
      <w:r w:rsidR="005065EC" w:rsidRPr="009B70F2">
        <w:rPr>
          <w:rFonts w:ascii="Times New Roman" w:hAnsi="Times New Roman"/>
          <w:i/>
          <w:sz w:val="24"/>
          <w:szCs w:val="24"/>
        </w:rPr>
        <w:t>A városi önkormányzat hatásköre Magyarországon 1686</w:t>
      </w:r>
      <w:r w:rsidR="00225578">
        <w:rPr>
          <w:rFonts w:ascii="Times New Roman" w:hAnsi="Times New Roman"/>
          <w:i/>
          <w:sz w:val="24"/>
          <w:szCs w:val="24"/>
        </w:rPr>
        <w:t>–</w:t>
      </w:r>
      <w:r w:rsidR="005065EC" w:rsidRPr="009B70F2">
        <w:rPr>
          <w:rFonts w:ascii="Times New Roman" w:hAnsi="Times New Roman"/>
          <w:i/>
          <w:sz w:val="24"/>
          <w:szCs w:val="24"/>
        </w:rPr>
        <w:t>1848</w:t>
      </w:r>
      <w:r w:rsidR="00225578">
        <w:rPr>
          <w:rFonts w:ascii="Times New Roman" w:hAnsi="Times New Roman"/>
          <w:sz w:val="24"/>
          <w:szCs w:val="24"/>
        </w:rPr>
        <w:t xml:space="preserve"> [The jurisdiction of municipal government in Hungary </w:t>
      </w:r>
      <w:r w:rsidR="00225578" w:rsidRPr="00225578">
        <w:rPr>
          <w:rFonts w:ascii="Times New Roman" w:hAnsi="Times New Roman"/>
          <w:sz w:val="24"/>
          <w:szCs w:val="24"/>
        </w:rPr>
        <w:t>1686–1848</w:t>
      </w:r>
      <w:r w:rsidR="00225578">
        <w:rPr>
          <w:rFonts w:ascii="Times New Roman" w:hAnsi="Times New Roman"/>
          <w:sz w:val="24"/>
          <w:szCs w:val="24"/>
        </w:rPr>
        <w:t>]</w:t>
      </w:r>
      <w:r w:rsidR="005065EC" w:rsidRPr="009B70F2">
        <w:rPr>
          <w:rFonts w:ascii="Times New Roman" w:hAnsi="Times New Roman"/>
          <w:sz w:val="24"/>
          <w:szCs w:val="24"/>
        </w:rPr>
        <w:t>. Budapest, 1989.</w:t>
      </w:r>
    </w:p>
    <w:p w14:paraId="5ED39CB5" w14:textId="77777777" w:rsidR="005065EC" w:rsidRPr="009B70F2" w:rsidRDefault="005065EC" w:rsidP="009B70F2">
      <w:pPr>
        <w:spacing w:after="120" w:line="240" w:lineRule="auto"/>
        <w:ind w:left="706" w:hanging="706"/>
        <w:rPr>
          <w:rFonts w:ascii="Times New Roman" w:hAnsi="Times New Roman"/>
          <w:sz w:val="24"/>
          <w:szCs w:val="24"/>
        </w:rPr>
      </w:pPr>
    </w:p>
    <w:p w14:paraId="0BB919C8" w14:textId="77777777" w:rsidR="00EA409A" w:rsidRPr="009B70F2" w:rsidRDefault="00EA409A" w:rsidP="00EA409A">
      <w:pPr>
        <w:spacing w:after="120" w:line="240" w:lineRule="auto"/>
        <w:ind w:left="706" w:hanging="706"/>
        <w:rPr>
          <w:rFonts w:ascii="Times New Roman" w:hAnsi="Times New Roman"/>
          <w:smallCaps/>
          <w:sz w:val="24"/>
          <w:szCs w:val="24"/>
        </w:rPr>
      </w:pPr>
      <w:r w:rsidRPr="009B70F2">
        <w:rPr>
          <w:rFonts w:ascii="Times New Roman" w:hAnsi="Times New Roman"/>
          <w:smallCaps/>
          <w:sz w:val="24"/>
          <w:szCs w:val="24"/>
        </w:rPr>
        <w:t>Nagy 1975.</w:t>
      </w:r>
    </w:p>
    <w:p w14:paraId="571ECC12" w14:textId="77777777" w:rsidR="00EA409A" w:rsidRPr="009B70F2" w:rsidRDefault="00EA409A" w:rsidP="00EA409A">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Lajos</w:t>
      </w:r>
      <w:r w:rsidRPr="009B70F2">
        <w:rPr>
          <w:rFonts w:ascii="Times New Roman" w:hAnsi="Times New Roman"/>
          <w:sz w:val="24"/>
          <w:szCs w:val="24"/>
        </w:rPr>
        <w:t xml:space="preserve"> </w:t>
      </w:r>
      <w:r w:rsidRPr="009B70F2">
        <w:rPr>
          <w:rFonts w:ascii="Times New Roman" w:hAnsi="Times New Roman"/>
          <w:smallCaps/>
          <w:sz w:val="24"/>
          <w:szCs w:val="24"/>
        </w:rPr>
        <w:t xml:space="preserve">Nagy </w:t>
      </w:r>
      <w:r w:rsidRPr="009B70F2">
        <w:rPr>
          <w:rFonts w:ascii="Times New Roman" w:hAnsi="Times New Roman"/>
          <w:sz w:val="24"/>
          <w:szCs w:val="24"/>
        </w:rPr>
        <w:t>1975: Budapest története 1790</w:t>
      </w:r>
      <w:r>
        <w:rPr>
          <w:rFonts w:ascii="Times New Roman" w:hAnsi="Times New Roman"/>
          <w:i/>
          <w:sz w:val="24"/>
          <w:szCs w:val="24"/>
        </w:rPr>
        <w:t>–</w:t>
      </w:r>
      <w:r w:rsidRPr="009B70F2">
        <w:rPr>
          <w:rFonts w:ascii="Times New Roman" w:hAnsi="Times New Roman"/>
          <w:sz w:val="24"/>
          <w:szCs w:val="24"/>
        </w:rPr>
        <w:t>1848</w:t>
      </w:r>
      <w:r>
        <w:rPr>
          <w:rFonts w:ascii="Times New Roman" w:hAnsi="Times New Roman"/>
          <w:sz w:val="24"/>
          <w:szCs w:val="24"/>
        </w:rPr>
        <w:t xml:space="preserve"> [The history of Budapest </w:t>
      </w:r>
      <w:r w:rsidRPr="009B70F2">
        <w:rPr>
          <w:rFonts w:ascii="Times New Roman" w:hAnsi="Times New Roman"/>
          <w:sz w:val="24"/>
          <w:szCs w:val="24"/>
        </w:rPr>
        <w:t>1790</w:t>
      </w:r>
      <w:r>
        <w:rPr>
          <w:rFonts w:ascii="Times New Roman" w:hAnsi="Times New Roman"/>
          <w:i/>
          <w:sz w:val="24"/>
          <w:szCs w:val="24"/>
        </w:rPr>
        <w:t>–</w:t>
      </w:r>
      <w:r w:rsidRPr="009B70F2">
        <w:rPr>
          <w:rFonts w:ascii="Times New Roman" w:hAnsi="Times New Roman"/>
          <w:sz w:val="24"/>
          <w:szCs w:val="24"/>
        </w:rPr>
        <w:t>1848</w:t>
      </w:r>
      <w:r>
        <w:rPr>
          <w:rFonts w:ascii="Times New Roman" w:hAnsi="Times New Roman"/>
          <w:sz w:val="24"/>
          <w:szCs w:val="24"/>
        </w:rPr>
        <w:t>]</w:t>
      </w:r>
      <w:r w:rsidRPr="009B70F2">
        <w:rPr>
          <w:rFonts w:ascii="Times New Roman" w:hAnsi="Times New Roman"/>
          <w:sz w:val="24"/>
          <w:szCs w:val="24"/>
        </w:rPr>
        <w:t xml:space="preserve">. In: </w:t>
      </w:r>
      <w:r w:rsidRPr="009B70F2">
        <w:rPr>
          <w:rFonts w:ascii="Times New Roman" w:hAnsi="Times New Roman"/>
          <w:smallCaps/>
          <w:sz w:val="24"/>
          <w:szCs w:val="24"/>
        </w:rPr>
        <w:t>Nagy Lajos – Bónis György</w:t>
      </w:r>
      <w:r w:rsidRPr="009B70F2">
        <w:rPr>
          <w:rFonts w:ascii="Times New Roman" w:hAnsi="Times New Roman"/>
          <w:sz w:val="24"/>
          <w:szCs w:val="24"/>
        </w:rPr>
        <w:t xml:space="preserve">: </w:t>
      </w:r>
      <w:r w:rsidRPr="009B70F2">
        <w:rPr>
          <w:rFonts w:ascii="Times New Roman" w:hAnsi="Times New Roman"/>
          <w:i/>
          <w:sz w:val="24"/>
          <w:szCs w:val="24"/>
        </w:rPr>
        <w:t>Budapest története III. A török kiűzésétől a márciusi forradalomig</w:t>
      </w:r>
      <w:r w:rsidRPr="009B70F2">
        <w:rPr>
          <w:rFonts w:ascii="Times New Roman" w:hAnsi="Times New Roman"/>
          <w:i/>
          <w:iCs/>
          <w:sz w:val="24"/>
          <w:szCs w:val="24"/>
        </w:rPr>
        <w:t>.</w:t>
      </w:r>
      <w:r w:rsidRPr="009B70F2">
        <w:rPr>
          <w:rFonts w:ascii="Times New Roman" w:hAnsi="Times New Roman"/>
          <w:sz w:val="24"/>
          <w:szCs w:val="24"/>
        </w:rPr>
        <w:t xml:space="preserve"> </w:t>
      </w:r>
      <w:r>
        <w:rPr>
          <w:rFonts w:ascii="Times New Roman" w:hAnsi="Times New Roman"/>
          <w:sz w:val="24"/>
          <w:szCs w:val="24"/>
        </w:rPr>
        <w:t>Ed</w:t>
      </w:r>
      <w:r w:rsidRPr="009B70F2">
        <w:rPr>
          <w:rFonts w:ascii="Times New Roman" w:hAnsi="Times New Roman"/>
          <w:sz w:val="24"/>
          <w:szCs w:val="24"/>
        </w:rPr>
        <w:t xml:space="preserve">. </w:t>
      </w:r>
      <w:r w:rsidRPr="009B70F2">
        <w:rPr>
          <w:rFonts w:ascii="Times New Roman" w:hAnsi="Times New Roman"/>
          <w:smallCaps/>
          <w:sz w:val="24"/>
          <w:szCs w:val="24"/>
        </w:rPr>
        <w:t>Domokos</w:t>
      </w:r>
      <w:r w:rsidRPr="00EA409A">
        <w:rPr>
          <w:rFonts w:ascii="Times New Roman" w:hAnsi="Times New Roman"/>
          <w:smallCaps/>
          <w:sz w:val="24"/>
          <w:szCs w:val="24"/>
        </w:rPr>
        <w:t xml:space="preserve"> </w:t>
      </w:r>
      <w:r w:rsidRPr="009B70F2">
        <w:rPr>
          <w:rFonts w:ascii="Times New Roman" w:hAnsi="Times New Roman"/>
          <w:smallCaps/>
          <w:sz w:val="24"/>
          <w:szCs w:val="24"/>
        </w:rPr>
        <w:t>Kosáry</w:t>
      </w:r>
      <w:r w:rsidRPr="009B70F2">
        <w:rPr>
          <w:rFonts w:ascii="Times New Roman" w:hAnsi="Times New Roman"/>
          <w:sz w:val="24"/>
          <w:szCs w:val="24"/>
        </w:rPr>
        <w:t>. Budapest, 1975.</w:t>
      </w:r>
      <w:bookmarkStart w:id="1" w:name="pr2"/>
      <w:bookmarkEnd w:id="1"/>
      <w:r w:rsidRPr="009B70F2">
        <w:rPr>
          <w:rFonts w:ascii="Times New Roman" w:hAnsi="Times New Roman"/>
          <w:sz w:val="24"/>
          <w:szCs w:val="24"/>
        </w:rPr>
        <w:t xml:space="preserve"> </w:t>
      </w:r>
    </w:p>
    <w:p w14:paraId="5387B424" w14:textId="77777777" w:rsidR="00EA409A" w:rsidRDefault="00EA409A" w:rsidP="009B70F2">
      <w:pPr>
        <w:spacing w:after="120" w:line="240" w:lineRule="auto"/>
        <w:ind w:left="706" w:hanging="706"/>
        <w:rPr>
          <w:rFonts w:ascii="Times New Roman" w:hAnsi="Times New Roman"/>
          <w:smallCaps/>
          <w:sz w:val="24"/>
          <w:szCs w:val="24"/>
        </w:rPr>
      </w:pPr>
    </w:p>
    <w:p w14:paraId="772FC609" w14:textId="77777777" w:rsidR="005065EC" w:rsidRPr="009B70F2" w:rsidRDefault="005065EC" w:rsidP="009B70F2">
      <w:pPr>
        <w:spacing w:after="120" w:line="240" w:lineRule="auto"/>
        <w:ind w:left="706" w:hanging="706"/>
        <w:rPr>
          <w:rFonts w:ascii="Times New Roman" w:hAnsi="Times New Roman"/>
          <w:smallCaps/>
          <w:sz w:val="24"/>
          <w:szCs w:val="24"/>
        </w:rPr>
      </w:pPr>
      <w:r w:rsidRPr="009B70F2">
        <w:rPr>
          <w:rFonts w:ascii="Times New Roman" w:hAnsi="Times New Roman"/>
          <w:smallCaps/>
          <w:sz w:val="24"/>
          <w:szCs w:val="24"/>
        </w:rPr>
        <w:t>Oszetzky 1935.</w:t>
      </w:r>
    </w:p>
    <w:p w14:paraId="7ECD31E4" w14:textId="499BB3E4" w:rsidR="005065EC" w:rsidRPr="009B70F2" w:rsidRDefault="00EA409A" w:rsidP="009B70F2">
      <w:pPr>
        <w:spacing w:after="120" w:line="240" w:lineRule="auto"/>
        <w:ind w:left="706" w:hanging="706"/>
        <w:rPr>
          <w:rFonts w:ascii="Times New Roman" w:hAnsi="Times New Roman"/>
          <w:sz w:val="24"/>
          <w:szCs w:val="24"/>
        </w:rPr>
      </w:pPr>
      <w:r w:rsidRPr="009B70F2">
        <w:rPr>
          <w:rFonts w:ascii="Times New Roman" w:hAnsi="Times New Roman"/>
          <w:smallCaps/>
          <w:sz w:val="24"/>
          <w:szCs w:val="24"/>
        </w:rPr>
        <w:t xml:space="preserve">Dénes </w:t>
      </w:r>
      <w:r w:rsidR="005065EC" w:rsidRPr="009B70F2">
        <w:rPr>
          <w:rFonts w:ascii="Times New Roman" w:hAnsi="Times New Roman"/>
          <w:smallCaps/>
          <w:sz w:val="24"/>
          <w:szCs w:val="24"/>
        </w:rPr>
        <w:t>Oszetzky</w:t>
      </w:r>
      <w:r w:rsidR="005065EC" w:rsidRPr="009B70F2">
        <w:rPr>
          <w:rFonts w:ascii="Times New Roman" w:hAnsi="Times New Roman"/>
          <w:sz w:val="24"/>
          <w:szCs w:val="24"/>
        </w:rPr>
        <w:t xml:space="preserve">: </w:t>
      </w:r>
      <w:r w:rsidR="005065EC" w:rsidRPr="009B70F2">
        <w:rPr>
          <w:rFonts w:ascii="Times New Roman" w:hAnsi="Times New Roman"/>
          <w:i/>
          <w:sz w:val="24"/>
          <w:szCs w:val="24"/>
        </w:rPr>
        <w:t>A hazai polgárság társadalmi problémái a rendiség felbomlásakor</w:t>
      </w:r>
      <w:r w:rsidR="00225578">
        <w:rPr>
          <w:rFonts w:ascii="Times New Roman" w:hAnsi="Times New Roman"/>
          <w:i/>
          <w:sz w:val="24"/>
          <w:szCs w:val="24"/>
        </w:rPr>
        <w:t xml:space="preserve"> </w:t>
      </w:r>
      <w:r w:rsidR="00225578" w:rsidRPr="00225578">
        <w:rPr>
          <w:rFonts w:ascii="Times New Roman" w:hAnsi="Times New Roman"/>
          <w:sz w:val="24"/>
          <w:szCs w:val="24"/>
        </w:rPr>
        <w:t>[</w:t>
      </w:r>
      <w:r w:rsidR="00225578">
        <w:rPr>
          <w:rFonts w:ascii="Times New Roman" w:hAnsi="Times New Roman"/>
          <w:sz w:val="24"/>
          <w:szCs w:val="24"/>
        </w:rPr>
        <w:t>The social problems of the Hungarian burghers at the dissolution of the estates system</w:t>
      </w:r>
      <w:r w:rsidR="00225578" w:rsidRPr="00225578">
        <w:rPr>
          <w:rFonts w:ascii="Times New Roman" w:hAnsi="Times New Roman"/>
          <w:sz w:val="24"/>
          <w:szCs w:val="24"/>
        </w:rPr>
        <w:t>]</w:t>
      </w:r>
      <w:r w:rsidR="005065EC" w:rsidRPr="009B70F2">
        <w:rPr>
          <w:rFonts w:ascii="Times New Roman" w:hAnsi="Times New Roman"/>
          <w:sz w:val="24"/>
          <w:szCs w:val="24"/>
        </w:rPr>
        <w:t>. Budapest, 1935.</w:t>
      </w:r>
    </w:p>
    <w:p w14:paraId="20FFE3F4" w14:textId="77777777" w:rsidR="005065EC" w:rsidRPr="009B70F2" w:rsidRDefault="005065EC" w:rsidP="009B70F2">
      <w:pPr>
        <w:spacing w:after="120" w:line="240" w:lineRule="auto"/>
        <w:ind w:left="706" w:hanging="706"/>
        <w:rPr>
          <w:rFonts w:ascii="Times New Roman" w:hAnsi="Times New Roman"/>
          <w:sz w:val="24"/>
          <w:szCs w:val="24"/>
        </w:rPr>
      </w:pPr>
    </w:p>
    <w:p w14:paraId="3DEDC74E" w14:textId="77777777" w:rsidR="005065EC" w:rsidRPr="009B70F2" w:rsidRDefault="005065EC" w:rsidP="009B70F2">
      <w:pPr>
        <w:spacing w:after="120" w:line="240" w:lineRule="auto"/>
        <w:ind w:left="706" w:hanging="706"/>
        <w:rPr>
          <w:rFonts w:ascii="Times New Roman" w:hAnsi="Times New Roman"/>
          <w:sz w:val="24"/>
          <w:szCs w:val="24"/>
        </w:rPr>
      </w:pPr>
    </w:p>
    <w:p w14:paraId="0E0EB307" w14:textId="77777777" w:rsidR="0014596A" w:rsidRPr="009B70F2" w:rsidRDefault="0014596A" w:rsidP="009B70F2">
      <w:pPr>
        <w:spacing w:after="120" w:line="240" w:lineRule="auto"/>
        <w:ind w:left="706" w:hanging="706"/>
        <w:jc w:val="both"/>
        <w:rPr>
          <w:rFonts w:ascii="Times New Roman" w:hAnsi="Times New Roman"/>
          <w:sz w:val="24"/>
          <w:szCs w:val="24"/>
        </w:rPr>
      </w:pPr>
    </w:p>
    <w:sectPr w:rsidR="0014596A" w:rsidRPr="009B70F2">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01E7" w14:textId="77777777" w:rsidR="000066AB" w:rsidRDefault="000066AB" w:rsidP="00B50FC5">
      <w:pPr>
        <w:spacing w:after="0" w:line="240" w:lineRule="auto"/>
      </w:pPr>
      <w:r>
        <w:separator/>
      </w:r>
    </w:p>
  </w:endnote>
  <w:endnote w:type="continuationSeparator" w:id="0">
    <w:p w14:paraId="70A9511C" w14:textId="77777777" w:rsidR="000066AB" w:rsidRDefault="000066AB" w:rsidP="00B5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0CFF6" w14:textId="77777777" w:rsidR="00D777F0" w:rsidRDefault="00D777F0">
    <w:pPr>
      <w:pStyle w:val="Footer"/>
      <w:jc w:val="right"/>
    </w:pPr>
    <w:r>
      <w:fldChar w:fldCharType="begin"/>
    </w:r>
    <w:r>
      <w:instrText xml:space="preserve"> PAGE </w:instrText>
    </w:r>
    <w:r>
      <w:fldChar w:fldCharType="separate"/>
    </w:r>
    <w:r w:rsidR="00AF63C5">
      <w:rPr>
        <w:noProof/>
      </w:rPr>
      <w:t>16</w:t>
    </w:r>
    <w:r>
      <w:fldChar w:fldCharType="end"/>
    </w:r>
  </w:p>
  <w:p w14:paraId="75A6DE71" w14:textId="77777777" w:rsidR="00D777F0" w:rsidRDefault="00D77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7A0BB" w14:textId="77777777" w:rsidR="00D777F0" w:rsidRDefault="00D777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8C23F" w14:textId="77777777" w:rsidR="000066AB" w:rsidRDefault="000066AB" w:rsidP="00B50FC5">
      <w:pPr>
        <w:spacing w:after="0" w:line="240" w:lineRule="auto"/>
      </w:pPr>
      <w:r>
        <w:separator/>
      </w:r>
    </w:p>
  </w:footnote>
  <w:footnote w:type="continuationSeparator" w:id="0">
    <w:p w14:paraId="39942352" w14:textId="77777777" w:rsidR="000066AB" w:rsidRDefault="000066AB" w:rsidP="00B50FC5">
      <w:pPr>
        <w:spacing w:after="0" w:line="240" w:lineRule="auto"/>
      </w:pPr>
      <w:r>
        <w:continuationSeparator/>
      </w:r>
    </w:p>
  </w:footnote>
  <w:footnote w:id="1">
    <w:p w14:paraId="25AC0607" w14:textId="77777777" w:rsidR="00D777F0" w:rsidRPr="00225578" w:rsidRDefault="00D777F0" w:rsidP="00D17990">
      <w:pPr>
        <w:pStyle w:val="FootnoteText"/>
        <w:spacing w:after="0"/>
        <w:rPr>
          <w:rFonts w:ascii="Times New Roman" w:hAnsi="Times New Roman"/>
          <w:smallCaps/>
        </w:rPr>
      </w:pPr>
      <w:r w:rsidRPr="00225578">
        <w:rPr>
          <w:rStyle w:val="FootnoteReference"/>
          <w:rFonts w:ascii="Times New Roman" w:hAnsi="Times New Roman"/>
        </w:rPr>
        <w:footnoteRef/>
      </w:r>
      <w:r w:rsidRPr="00225578">
        <w:rPr>
          <w:rFonts w:ascii="Times New Roman" w:hAnsi="Times New Roman"/>
        </w:rPr>
        <w:t xml:space="preserve"> </w:t>
      </w:r>
      <w:r w:rsidRPr="00225578">
        <w:rPr>
          <w:rFonts w:ascii="Times New Roman" w:hAnsi="Times New Roman"/>
          <w:smallCaps/>
        </w:rPr>
        <w:t>Bácskai 1989. 10–11.</w:t>
      </w:r>
    </w:p>
  </w:footnote>
  <w:footnote w:id="2">
    <w:p w14:paraId="48471DE5" w14:textId="539C7BD8" w:rsidR="00D777F0" w:rsidRPr="00225578" w:rsidRDefault="00D777F0" w:rsidP="00D6516E">
      <w:pPr>
        <w:pStyle w:val="Default"/>
        <w:rPr>
          <w:rFonts w:ascii="Times New Roman" w:hAnsi="Times New Roman" w:cs="Times New Roman"/>
          <w:sz w:val="20"/>
          <w:szCs w:val="20"/>
          <w:lang w:val="en-GB"/>
        </w:rPr>
      </w:pPr>
      <w:r w:rsidRPr="00225578">
        <w:rPr>
          <w:rStyle w:val="FootnoteReference"/>
          <w:rFonts w:ascii="Times New Roman" w:hAnsi="Times New Roman" w:cs="Times New Roman"/>
          <w:sz w:val="20"/>
          <w:szCs w:val="20"/>
          <w:lang w:val="en-GB"/>
        </w:rPr>
        <w:footnoteRef/>
      </w:r>
      <w:r w:rsidRPr="00225578">
        <w:rPr>
          <w:rFonts w:ascii="Times New Roman" w:hAnsi="Times New Roman" w:cs="Times New Roman"/>
          <w:sz w:val="20"/>
          <w:szCs w:val="20"/>
          <w:lang w:val="en-GB"/>
        </w:rPr>
        <w:t xml:space="preserve">  In the administrative system that func</w:t>
      </w:r>
      <w:r w:rsidRPr="00225578">
        <w:rPr>
          <w:rFonts w:ascii="Times New Roman" w:hAnsi="Times New Roman" w:cs="Times New Roman"/>
          <w:sz w:val="20"/>
          <w:szCs w:val="20"/>
          <w:lang w:val="en-GB"/>
        </w:rPr>
        <w:softHyphen/>
        <w:t>tioned until the early 1870s, two types of towns could be distinguished: manorial or market towns, held by a landowner and having rather limited autonomy; and free royal towns, subject to direct royal authority and therefore independent of the county administration or landlords (</w:t>
      </w:r>
      <w:r w:rsidRPr="00225578">
        <w:rPr>
          <w:rFonts w:ascii="Times New Roman" w:hAnsi="Times New Roman" w:cs="Times New Roman"/>
          <w:i/>
          <w:iCs/>
          <w:sz w:val="20"/>
          <w:szCs w:val="20"/>
          <w:lang w:val="en-GB"/>
        </w:rPr>
        <w:t xml:space="preserve">oppida </w:t>
      </w:r>
      <w:r w:rsidRPr="00225578">
        <w:rPr>
          <w:rFonts w:ascii="Times New Roman" w:hAnsi="Times New Roman" w:cs="Times New Roman"/>
          <w:sz w:val="20"/>
          <w:szCs w:val="20"/>
          <w:lang w:val="en-GB"/>
        </w:rPr>
        <w:t xml:space="preserve">and </w:t>
      </w:r>
      <w:r w:rsidRPr="00225578">
        <w:rPr>
          <w:rFonts w:ascii="Times New Roman" w:hAnsi="Times New Roman" w:cs="Times New Roman"/>
          <w:i/>
          <w:iCs/>
          <w:sz w:val="20"/>
          <w:szCs w:val="20"/>
          <w:lang w:val="en-GB"/>
        </w:rPr>
        <w:t xml:space="preserve">liberae regiae civitates </w:t>
      </w:r>
      <w:r w:rsidRPr="00225578">
        <w:rPr>
          <w:rFonts w:ascii="Times New Roman" w:hAnsi="Times New Roman" w:cs="Times New Roman"/>
          <w:sz w:val="20"/>
          <w:szCs w:val="20"/>
          <w:lang w:val="en-GB"/>
        </w:rPr>
        <w:t>respec</w:t>
      </w:r>
      <w:r w:rsidRPr="00225578">
        <w:rPr>
          <w:rFonts w:ascii="Times New Roman" w:hAnsi="Times New Roman" w:cs="Times New Roman"/>
          <w:sz w:val="20"/>
          <w:szCs w:val="20"/>
          <w:lang w:val="en-GB"/>
        </w:rPr>
        <w:softHyphen/>
        <w:t>tively, as used in Latin until 1844). In the common legal perception of the early nineteenth century, only the latter were considered ‘real’ towns. In 1793 a  parliamentary comittee defined the free royal town as a burgher community that rules its own territory by privilege, has its own autonomy, is governed by the king only, is considered to have a collective noble identity in a legal sense, and is represented in the sessions of parliament, thereby partaking in legislation. After the Catholic clergy, titled aristocrats and lower nobility, the free royal towns comprised the ‘fourth estate’ of the kingdom, a privi</w:t>
      </w:r>
      <w:r w:rsidRPr="00225578">
        <w:rPr>
          <w:rFonts w:ascii="Times New Roman" w:hAnsi="Times New Roman" w:cs="Times New Roman"/>
          <w:sz w:val="20"/>
          <w:szCs w:val="20"/>
          <w:lang w:val="en-GB"/>
        </w:rPr>
        <w:softHyphen/>
        <w:t xml:space="preserve">leged class which consisted of only those inhabitants of free towns who possessed burgher rights. Although limited local burghership sometimes existed in manorial towns, the residents of the manorial towns were not recognized as part of the ‘fourth estate’ and therefore their legal status differed greatly from that of their counterparts in free royal towns. </w:t>
      </w:r>
    </w:p>
    <w:p w14:paraId="6B52C363" w14:textId="1DCE8826" w:rsidR="00D777F0" w:rsidRPr="00225578" w:rsidRDefault="00D777F0" w:rsidP="00D6516E">
      <w:pPr>
        <w:pStyle w:val="Default"/>
        <w:rPr>
          <w:rFonts w:ascii="Times New Roman" w:hAnsi="Times New Roman" w:cs="Times New Roman"/>
          <w:sz w:val="20"/>
          <w:szCs w:val="20"/>
          <w:lang w:val="en-GB"/>
        </w:rPr>
      </w:pPr>
      <w:r w:rsidRPr="00225578">
        <w:rPr>
          <w:rFonts w:ascii="Times New Roman" w:hAnsi="Times New Roman" w:cs="Times New Roman"/>
          <w:sz w:val="20"/>
          <w:szCs w:val="20"/>
          <w:lang w:val="en-GB"/>
        </w:rPr>
        <w:t>At the same time, as opposed to the earlier situation, only a minority of the urban population enjoyed burgher rights in the early nineteenth century. In the same period, the meaning of the word ‘burgher’ was widening in the unofficial language and a large proportion of urban residents—including those without burgher privileges—were also considered burghers based on their vocation, way of subsistence and lifestyle. In other words, by this time the category of burghership in the legal framework of the estates system no longer extended to those who were considered burghers (bourgeois) in the economic sense. This situation was further complicated by the fact that the burghers’ stratum also incorporate</w:t>
      </w:r>
      <w:r>
        <w:rPr>
          <w:rFonts w:ascii="Times New Roman" w:hAnsi="Times New Roman" w:cs="Times New Roman"/>
          <w:sz w:val="20"/>
          <w:szCs w:val="20"/>
          <w:lang w:val="en-GB"/>
        </w:rPr>
        <w:t>d individuals with noble titles;</w:t>
      </w:r>
      <w:r w:rsidRPr="00225578">
        <w:rPr>
          <w:rFonts w:ascii="Times New Roman" w:hAnsi="Times New Roman" w:cs="Times New Roman"/>
          <w:sz w:val="20"/>
          <w:szCs w:val="20"/>
          <w:lang w:val="en-GB"/>
        </w:rPr>
        <w:t xml:space="preserve"> </w:t>
      </w:r>
      <w:r>
        <w:rPr>
          <w:rFonts w:ascii="Times New Roman" w:hAnsi="Times New Roman" w:cs="Times New Roman"/>
          <w:sz w:val="20"/>
          <w:szCs w:val="20"/>
          <w:lang w:val="en-GB"/>
        </w:rPr>
        <w:t>in addition</w:t>
      </w:r>
      <w:r w:rsidRPr="00225578">
        <w:rPr>
          <w:rFonts w:ascii="Times New Roman" w:hAnsi="Times New Roman" w:cs="Times New Roman"/>
          <w:sz w:val="20"/>
          <w:szCs w:val="20"/>
          <w:lang w:val="en-GB"/>
        </w:rPr>
        <w:t>, by the early nineteenth century even aristocrats chose to pledge burghership in various cities—either to express their ties to the city or because it required burgher status to be involved in civic politics. In the society of the period which may be described as the “later estates system era,” the term burgher raises not only questions of terminology but also those of social composition. These altogether can be interpreted as signs of the</w:t>
      </w:r>
      <w:r>
        <w:rPr>
          <w:rFonts w:ascii="Times New Roman" w:hAnsi="Times New Roman" w:cs="Times New Roman"/>
          <w:sz w:val="20"/>
          <w:szCs w:val="20"/>
          <w:lang w:val="en-GB"/>
        </w:rPr>
        <w:t xml:space="preserve"> disintegration and gradual transf</w:t>
      </w:r>
      <w:r w:rsidRPr="00225578">
        <w:rPr>
          <w:rFonts w:ascii="Times New Roman" w:hAnsi="Times New Roman" w:cs="Times New Roman"/>
          <w:sz w:val="20"/>
          <w:szCs w:val="20"/>
          <w:lang w:val="en-GB"/>
        </w:rPr>
        <w:t xml:space="preserve">ormation of social organisation </w:t>
      </w:r>
      <w:r>
        <w:rPr>
          <w:rFonts w:ascii="Times New Roman" w:hAnsi="Times New Roman" w:cs="Times New Roman"/>
          <w:sz w:val="20"/>
          <w:szCs w:val="20"/>
          <w:lang w:val="en-GB"/>
        </w:rPr>
        <w:t>with</w:t>
      </w:r>
      <w:r w:rsidRPr="00225578">
        <w:rPr>
          <w:rFonts w:ascii="Times New Roman" w:hAnsi="Times New Roman" w:cs="Times New Roman"/>
          <w:sz w:val="20"/>
          <w:szCs w:val="20"/>
          <w:lang w:val="en-GB"/>
        </w:rPr>
        <w:t xml:space="preserve">in the estates </w:t>
      </w:r>
      <w:r w:rsidRPr="00A524ED">
        <w:rPr>
          <w:rFonts w:ascii="Times New Roman" w:hAnsi="Times New Roman" w:cs="Times New Roman"/>
          <w:sz w:val="20"/>
          <w:szCs w:val="20"/>
          <w:lang w:val="en-GB"/>
        </w:rPr>
        <w:t xml:space="preserve">system. See for example in </w:t>
      </w:r>
      <w:r w:rsidRPr="00A524ED">
        <w:rPr>
          <w:rFonts w:ascii="Times New Roman" w:hAnsi="Times New Roman" w:cs="Times New Roman"/>
          <w:smallCaps/>
          <w:sz w:val="20"/>
          <w:szCs w:val="20"/>
          <w:lang w:val="en-GB"/>
        </w:rPr>
        <w:t>Czoch</w:t>
      </w:r>
      <w:r w:rsidRPr="00A524ED">
        <w:rPr>
          <w:rFonts w:ascii="Times New Roman" w:hAnsi="Times New Roman" w:cs="Times New Roman"/>
          <w:sz w:val="20"/>
          <w:szCs w:val="20"/>
          <w:lang w:val="en-GB"/>
        </w:rPr>
        <w:t xml:space="preserve"> –</w:t>
      </w:r>
      <w:r w:rsidRPr="00A524ED">
        <w:rPr>
          <w:rFonts w:ascii="Times New Roman" w:hAnsi="Times New Roman" w:cs="Times New Roman"/>
          <w:smallCaps/>
          <w:sz w:val="20"/>
          <w:szCs w:val="20"/>
          <w:lang w:val="en-GB"/>
        </w:rPr>
        <w:t>H. Németh</w:t>
      </w:r>
      <w:r w:rsidRPr="00A524ED">
        <w:rPr>
          <w:rFonts w:ascii="Times New Roman" w:hAnsi="Times New Roman" w:cs="Times New Roman"/>
          <w:sz w:val="20"/>
          <w:szCs w:val="20"/>
          <w:lang w:val="en-GB"/>
        </w:rPr>
        <w:t>–</w:t>
      </w:r>
      <w:r w:rsidRPr="00A524ED">
        <w:rPr>
          <w:rFonts w:ascii="Times New Roman" w:hAnsi="Times New Roman" w:cs="Times New Roman"/>
          <w:smallCaps/>
          <w:sz w:val="20"/>
          <w:szCs w:val="20"/>
          <w:lang w:val="en-GB"/>
        </w:rPr>
        <w:t>Tóth</w:t>
      </w:r>
      <w:r w:rsidRPr="00A524ED">
        <w:rPr>
          <w:rFonts w:ascii="Times New Roman" w:hAnsi="Times New Roman" w:cs="Times New Roman"/>
          <w:sz w:val="20"/>
          <w:szCs w:val="20"/>
          <w:lang w:val="en-GB"/>
        </w:rPr>
        <w:t xml:space="preserve"> 2017: 191–192.</w:t>
      </w:r>
      <w:r w:rsidRPr="00225578">
        <w:rPr>
          <w:rFonts w:ascii="Times New Roman" w:hAnsi="Times New Roman" w:cs="Times New Roman"/>
          <w:sz w:val="20"/>
          <w:szCs w:val="20"/>
          <w:lang w:val="en-GB"/>
        </w:rPr>
        <w:t xml:space="preserve"> </w:t>
      </w:r>
    </w:p>
  </w:footnote>
  <w:footnote w:id="3">
    <w:p w14:paraId="09EEA6BC" w14:textId="2E7FD911" w:rsidR="00D777F0" w:rsidRPr="00225578" w:rsidRDefault="00D777F0" w:rsidP="00762C2C">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hAnsi="Times New Roman"/>
        </w:rPr>
        <w:t xml:space="preserve"> For a social historical analysis of the relationship between norm and practice, see C</w:t>
      </w:r>
      <w:r w:rsidRPr="00225578">
        <w:rPr>
          <w:rFonts w:ascii="Times New Roman" w:hAnsi="Times New Roman"/>
          <w:smallCaps/>
        </w:rPr>
        <w:t>erutti</w:t>
      </w:r>
      <w:r w:rsidRPr="00225578">
        <w:rPr>
          <w:rFonts w:ascii="Times New Roman" w:hAnsi="Times New Roman"/>
        </w:rPr>
        <w:t xml:space="preserve"> 1995. </w:t>
      </w:r>
    </w:p>
  </w:footnote>
  <w:footnote w:id="4">
    <w:p w14:paraId="2E7A969C" w14:textId="308397D8" w:rsidR="00D777F0" w:rsidRPr="00225578" w:rsidRDefault="00D777F0" w:rsidP="004B35D9">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hAnsi="Times New Roman"/>
        </w:rPr>
        <w:t xml:space="preserve"> Instead of the Hungarian and German names of the town (Kassa and Kaschau, respectively) I will use the Slovakian Košice in accordance with the present-day usage.  For the contemporary ethnic composition of the town, see </w:t>
      </w:r>
      <w:r w:rsidRPr="00225578">
        <w:rPr>
          <w:rFonts w:ascii="Times New Roman" w:hAnsi="Times New Roman"/>
          <w:smallCaps/>
        </w:rPr>
        <w:t>Czoch</w:t>
      </w:r>
      <w:r w:rsidRPr="00225578">
        <w:rPr>
          <w:rFonts w:ascii="Times New Roman" w:hAnsi="Times New Roman"/>
        </w:rPr>
        <w:t xml:space="preserve"> 2014. In the mid-nineteenth century, Košice had a population of about 12-13 000, which did not make it the most populous towns of the Kingdom of Hungary, but its government</w:t>
      </w:r>
      <w:r>
        <w:rPr>
          <w:rFonts w:ascii="Times New Roman" w:hAnsi="Times New Roman"/>
        </w:rPr>
        <w:t>al</w:t>
      </w:r>
      <w:r w:rsidRPr="00225578">
        <w:rPr>
          <w:rFonts w:ascii="Times New Roman" w:hAnsi="Times New Roman"/>
        </w:rPr>
        <w:t xml:space="preserve"> functions made it one of the most important. It was also the most important regional hub in the north-eastern part of the country due to its large commercial catchment area, buoyant economy</w:t>
      </w:r>
      <w:r>
        <w:rPr>
          <w:rFonts w:ascii="Times New Roman" w:hAnsi="Times New Roman"/>
        </w:rPr>
        <w:t>,</w:t>
      </w:r>
      <w:r w:rsidRPr="00225578">
        <w:rPr>
          <w:rFonts w:ascii="Times New Roman" w:hAnsi="Times New Roman"/>
        </w:rPr>
        <w:t xml:space="preserve"> and important ecclesiastical, educational and administrative centres</w:t>
      </w:r>
      <w:r>
        <w:rPr>
          <w:rFonts w:ascii="Times New Roman" w:hAnsi="Times New Roman"/>
        </w:rPr>
        <w:t>.</w:t>
      </w:r>
      <w:r w:rsidRPr="00225578">
        <w:rPr>
          <w:rFonts w:ascii="Times New Roman" w:hAnsi="Times New Roman"/>
        </w:rPr>
        <w:t xml:space="preserve"> More on this in English in </w:t>
      </w:r>
      <w:r w:rsidRPr="00225578">
        <w:rPr>
          <w:rFonts w:ascii="Times New Roman" w:hAnsi="Times New Roman"/>
          <w:smallCaps/>
        </w:rPr>
        <w:t>Czoch</w:t>
      </w:r>
      <w:r w:rsidRPr="00225578">
        <w:rPr>
          <w:rFonts w:ascii="Times New Roman" w:hAnsi="Times New Roman"/>
        </w:rPr>
        <w:t xml:space="preserve"> 2012.</w:t>
      </w:r>
    </w:p>
  </w:footnote>
  <w:footnote w:id="5">
    <w:p w14:paraId="2B1E36B6" w14:textId="2096E180" w:rsidR="00D777F0" w:rsidRPr="00225578" w:rsidRDefault="00D777F0" w:rsidP="00C91E4C">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hAnsi="Times New Roman"/>
        </w:rPr>
        <w:t xml:space="preserve"> For more information about these questions as well as a critical overview of previous scholarship and new research on the changing composition of the burgher community of free royal towns in this period, see </w:t>
      </w:r>
      <w:r w:rsidRPr="00225578">
        <w:rPr>
          <w:rFonts w:ascii="Times New Roman" w:hAnsi="Times New Roman"/>
          <w:smallCaps/>
        </w:rPr>
        <w:t xml:space="preserve">Bácskai </w:t>
      </w:r>
      <w:r>
        <w:rPr>
          <w:rFonts w:ascii="Times New Roman" w:hAnsi="Times New Roman"/>
        </w:rPr>
        <w:t>2006</w:t>
      </w:r>
      <w:r w:rsidRPr="00225578">
        <w:rPr>
          <w:rFonts w:ascii="Times New Roman" w:hAnsi="Times New Roman"/>
        </w:rPr>
        <w:t xml:space="preserve">, </w:t>
      </w:r>
      <w:r>
        <w:rPr>
          <w:rFonts w:ascii="Times New Roman" w:hAnsi="Times New Roman"/>
        </w:rPr>
        <w:t>and</w:t>
      </w:r>
      <w:r w:rsidRPr="00225578">
        <w:rPr>
          <w:rFonts w:ascii="Times New Roman" w:hAnsi="Times New Roman"/>
        </w:rPr>
        <w:t xml:space="preserve"> </w:t>
      </w:r>
      <w:r w:rsidRPr="00225578">
        <w:rPr>
          <w:rFonts w:ascii="Times New Roman" w:hAnsi="Times New Roman"/>
          <w:smallCaps/>
        </w:rPr>
        <w:t>Czoch–H.</w:t>
      </w:r>
      <w:r>
        <w:rPr>
          <w:rFonts w:ascii="Times New Roman" w:hAnsi="Times New Roman"/>
          <w:smallCaps/>
        </w:rPr>
        <w:t xml:space="preserve"> </w:t>
      </w:r>
      <w:r w:rsidRPr="00225578">
        <w:rPr>
          <w:rFonts w:ascii="Times New Roman" w:hAnsi="Times New Roman"/>
          <w:smallCaps/>
        </w:rPr>
        <w:t>Németh–Tóth</w:t>
      </w:r>
      <w:r w:rsidRPr="00225578">
        <w:rPr>
          <w:rFonts w:ascii="Times New Roman" w:hAnsi="Times New Roman"/>
        </w:rPr>
        <w:t xml:space="preserve"> 2017.   </w:t>
      </w:r>
    </w:p>
  </w:footnote>
  <w:footnote w:id="6">
    <w:p w14:paraId="44CCC096" w14:textId="62F130C7" w:rsidR="00D777F0" w:rsidRPr="00225578" w:rsidRDefault="00D777F0" w:rsidP="005A208E">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smallCaps/>
        </w:rPr>
        <w:t>Kállay</w:t>
      </w:r>
      <w:r w:rsidRPr="00225578">
        <w:rPr>
          <w:rFonts w:ascii="Times New Roman" w:hAnsi="Times New Roman"/>
        </w:rPr>
        <w:t xml:space="preserve"> 1989. 44. </w:t>
      </w:r>
      <w:r w:rsidRPr="00225578">
        <w:rPr>
          <w:rFonts w:ascii="Times New Roman" w:hAnsi="Times New Roman"/>
          <w:i/>
        </w:rPr>
        <w:t>Insurrectio</w:t>
      </w:r>
      <w:r w:rsidRPr="00225578">
        <w:rPr>
          <w:rFonts w:ascii="Times New Roman" w:hAnsi="Times New Roman"/>
        </w:rPr>
        <w:t xml:space="preserve"> is the term used to denote the military obligation of the nobility in the event of the country being attacked. The nobility was able to remain exempt from taxes on account of this institution until 1848. </w:t>
      </w:r>
    </w:p>
  </w:footnote>
  <w:footnote w:id="7">
    <w:p w14:paraId="4507676D" w14:textId="154C3FE3" w:rsidR="00D777F0" w:rsidRPr="00225578" w:rsidRDefault="00D777F0" w:rsidP="00C80D9C">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smallCaps/>
        </w:rPr>
        <w:t>Oszetzky</w:t>
      </w:r>
      <w:r w:rsidRPr="00225578">
        <w:rPr>
          <w:rFonts w:ascii="Times New Roman" w:hAnsi="Times New Roman"/>
        </w:rPr>
        <w:t xml:space="preserve"> 1935. 23; </w:t>
      </w:r>
      <w:r w:rsidRPr="00225578">
        <w:rPr>
          <w:rFonts w:ascii="Times New Roman" w:hAnsi="Times New Roman"/>
          <w:smallCaps/>
        </w:rPr>
        <w:t>Nagy</w:t>
      </w:r>
      <w:r w:rsidRPr="00225578">
        <w:rPr>
          <w:rFonts w:ascii="Times New Roman" w:hAnsi="Times New Roman"/>
        </w:rPr>
        <w:t xml:space="preserve"> 1975. 429.</w:t>
      </w:r>
    </w:p>
  </w:footnote>
  <w:footnote w:id="8">
    <w:p w14:paraId="2144F72D" w14:textId="231AFC4A" w:rsidR="00D777F0" w:rsidRPr="00225578" w:rsidRDefault="00D777F0" w:rsidP="00580447">
      <w:pPr>
        <w:pStyle w:val="FootnoteText"/>
        <w:spacing w:after="0"/>
        <w:jc w:val="both"/>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eastAsia="Times New Roman" w:hAnsi="Times New Roman"/>
        </w:rPr>
        <w:t>Article II, paragraph 13 of the 1</w:t>
      </w:r>
      <w:r w:rsidRPr="00225578">
        <w:rPr>
          <w:rFonts w:ascii="Times New Roman" w:hAnsi="Times New Roman"/>
        </w:rPr>
        <w:t xml:space="preserve">808 Law on </w:t>
      </w:r>
      <w:r w:rsidRPr="00225578">
        <w:rPr>
          <w:rFonts w:ascii="Times New Roman" w:hAnsi="Times New Roman"/>
          <w:i/>
        </w:rPr>
        <w:t>Insurrectio</w:t>
      </w:r>
      <w:r w:rsidRPr="00225578">
        <w:rPr>
          <w:rFonts w:ascii="Times New Roman" w:hAnsi="Times New Roman"/>
        </w:rPr>
        <w:t xml:space="preserve"> modified this by reinstating the duty of towns to equip and finance one cavalry soldier per county. In addition it confirmed the </w:t>
      </w:r>
      <w:r>
        <w:rPr>
          <w:rFonts w:ascii="Times New Roman" w:hAnsi="Times New Roman"/>
        </w:rPr>
        <w:t xml:space="preserve">previous obligation </w:t>
      </w:r>
      <w:r w:rsidRPr="00225578">
        <w:rPr>
          <w:rFonts w:ascii="Times New Roman" w:hAnsi="Times New Roman"/>
        </w:rPr>
        <w:t xml:space="preserve">to organise and maintain a burghers’ guard “in the event of open war, and all other threat, for the protection of internal security”. Articles of the 1805 Diet, in </w:t>
      </w:r>
      <w:r w:rsidRPr="00225578">
        <w:rPr>
          <w:rFonts w:ascii="Times New Roman" w:hAnsi="Times New Roman"/>
          <w:i/>
        </w:rPr>
        <w:t>1000 év törvényei</w:t>
      </w:r>
      <w:r w:rsidRPr="00225578">
        <w:rPr>
          <w:rFonts w:ascii="Times New Roman" w:hAnsi="Times New Roman"/>
        </w:rPr>
        <w:t>.</w:t>
      </w:r>
    </w:p>
  </w:footnote>
  <w:footnote w:id="9">
    <w:p w14:paraId="3AB5ECB2" w14:textId="5E9FA713" w:rsidR="00D777F0" w:rsidRPr="00225578" w:rsidRDefault="00D777F0" w:rsidP="00DA364E">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smallCaps/>
        </w:rPr>
        <w:t>Kállay</w:t>
      </w:r>
      <w:r w:rsidRPr="00225578">
        <w:rPr>
          <w:rFonts w:ascii="Times New Roman" w:hAnsi="Times New Roman"/>
        </w:rPr>
        <w:t xml:space="preserve"> 1989. 50</w:t>
      </w:r>
      <w:r>
        <w:rPr>
          <w:rFonts w:ascii="Times New Roman" w:hAnsi="Times New Roman"/>
        </w:rPr>
        <w:t>–</w:t>
      </w:r>
      <w:r w:rsidRPr="00225578">
        <w:rPr>
          <w:rFonts w:ascii="Times New Roman" w:hAnsi="Times New Roman"/>
        </w:rPr>
        <w:t xml:space="preserve">51; </w:t>
      </w:r>
      <w:r w:rsidRPr="00225578">
        <w:rPr>
          <w:rFonts w:ascii="Times New Roman" w:hAnsi="Times New Roman"/>
          <w:smallCaps/>
        </w:rPr>
        <w:t>Oszetzky</w:t>
      </w:r>
      <w:r w:rsidRPr="00225578">
        <w:rPr>
          <w:rFonts w:ascii="Times New Roman" w:hAnsi="Times New Roman"/>
        </w:rPr>
        <w:t xml:space="preserve"> 1935. 24.</w:t>
      </w:r>
    </w:p>
  </w:footnote>
  <w:footnote w:id="10">
    <w:p w14:paraId="7493DDA4" w14:textId="4B6D0020" w:rsidR="00D777F0" w:rsidRPr="00225578" w:rsidRDefault="00D777F0" w:rsidP="00086138">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i/>
          <w:iCs/>
        </w:rPr>
        <w:t>Regulation</w:t>
      </w:r>
      <w:r w:rsidRPr="00225578">
        <w:rPr>
          <w:rFonts w:ascii="Times New Roman" w:hAnsi="Times New Roman"/>
        </w:rPr>
        <w:t xml:space="preserve"> 1840. 1</w:t>
      </w:r>
      <w:r>
        <w:rPr>
          <w:rFonts w:ascii="Times New Roman" w:hAnsi="Times New Roman"/>
        </w:rPr>
        <w:t>–</w:t>
      </w:r>
      <w:r w:rsidRPr="00225578">
        <w:rPr>
          <w:rFonts w:ascii="Times New Roman" w:hAnsi="Times New Roman"/>
        </w:rPr>
        <w:t xml:space="preserve">2. As a side note, this </w:t>
      </w:r>
      <w:r>
        <w:rPr>
          <w:rFonts w:ascii="Times New Roman" w:hAnsi="Times New Roman"/>
        </w:rPr>
        <w:t>particular</w:t>
      </w:r>
      <w:r w:rsidRPr="00225578">
        <w:rPr>
          <w:rFonts w:ascii="Times New Roman" w:hAnsi="Times New Roman"/>
        </w:rPr>
        <w:t xml:space="preserve"> case demonstrates how the dual jurisdiction of two separate government authorities over free royal towns made day-to-day operation</w:t>
      </w:r>
      <w:r>
        <w:rPr>
          <w:rFonts w:ascii="Times New Roman" w:hAnsi="Times New Roman"/>
        </w:rPr>
        <w:t>s</w:t>
      </w:r>
      <w:r w:rsidRPr="00225578">
        <w:rPr>
          <w:rFonts w:ascii="Times New Roman" w:hAnsi="Times New Roman"/>
        </w:rPr>
        <w:t xml:space="preserve"> extremely difficult. The abolition of this </w:t>
      </w:r>
      <w:r>
        <w:rPr>
          <w:rFonts w:ascii="Times New Roman" w:hAnsi="Times New Roman"/>
        </w:rPr>
        <w:t xml:space="preserve">legal </w:t>
      </w:r>
      <w:r w:rsidRPr="00225578">
        <w:rPr>
          <w:rFonts w:ascii="Times New Roman" w:hAnsi="Times New Roman"/>
        </w:rPr>
        <w:t>practice, preferably placing the towns under the jurisdiction of the L</w:t>
      </w:r>
      <w:r>
        <w:rPr>
          <w:rFonts w:ascii="Times New Roman" w:hAnsi="Times New Roman"/>
        </w:rPr>
        <w:t>o</w:t>
      </w:r>
      <w:r w:rsidRPr="00225578">
        <w:rPr>
          <w:rFonts w:ascii="Times New Roman" w:hAnsi="Times New Roman"/>
        </w:rPr>
        <w:t>cumtene</w:t>
      </w:r>
      <w:r>
        <w:rPr>
          <w:rFonts w:ascii="Times New Roman" w:hAnsi="Times New Roman"/>
        </w:rPr>
        <w:t>n</w:t>
      </w:r>
      <w:r w:rsidRPr="00225578">
        <w:rPr>
          <w:rFonts w:ascii="Times New Roman" w:hAnsi="Times New Roman"/>
        </w:rPr>
        <w:t xml:space="preserve">tial Council, was one of the top priorities of town administrations in this period.  </w:t>
      </w:r>
    </w:p>
  </w:footnote>
  <w:footnote w:id="11">
    <w:p w14:paraId="0DDDFC5A" w14:textId="404648E7" w:rsidR="00D777F0" w:rsidRPr="00225578" w:rsidRDefault="00D777F0" w:rsidP="00316C14">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i/>
          <w:iCs/>
        </w:rPr>
        <w:t>Regulation</w:t>
      </w:r>
      <w:r w:rsidRPr="00225578">
        <w:rPr>
          <w:rFonts w:ascii="Times New Roman" w:hAnsi="Times New Roman"/>
        </w:rPr>
        <w:t xml:space="preserve"> 1840. 54. The burghers’ guard was mobilised  in 1831, in all probability due to the cholera outbreak and subsequent unrest in that year. This is also recorded in a contemporary council resolution: TÜJ 4360/1831. The council meeting protocols—until 1840 entitled as </w:t>
      </w:r>
      <w:r w:rsidRPr="00225578">
        <w:rPr>
          <w:rFonts w:ascii="Times New Roman" w:hAnsi="Times New Roman"/>
          <w:i/>
        </w:rPr>
        <w:t>Protocollum sessionum magistratualium</w:t>
      </w:r>
      <w:r w:rsidRPr="00225578">
        <w:rPr>
          <w:rFonts w:ascii="Times New Roman" w:hAnsi="Times New Roman"/>
        </w:rPr>
        <w:t xml:space="preserve">, from 1840 onwards as </w:t>
      </w:r>
      <w:r w:rsidRPr="00225578">
        <w:rPr>
          <w:rFonts w:ascii="Times New Roman" w:hAnsi="Times New Roman"/>
          <w:i/>
        </w:rPr>
        <w:t>Tanácsülések Jegyzőkönyve</w:t>
      </w:r>
      <w:r w:rsidRPr="00225578">
        <w:rPr>
          <w:rFonts w:ascii="Times New Roman" w:hAnsi="Times New Roman"/>
        </w:rPr>
        <w:t xml:space="preserve">—are held in the municipal archives, Archív Mesta Košice. Henceforth, the protocols will be referred to as TÜJ, followed by the serial number of the council resolution and the year. Similarly, documents related to minutes will be referred to as TÜJ </w:t>
      </w:r>
      <w:r w:rsidRPr="00225578">
        <w:rPr>
          <w:rFonts w:ascii="Times New Roman" w:hAnsi="Times New Roman"/>
          <w:i/>
        </w:rPr>
        <w:t>Documents</w:t>
      </w:r>
      <w:r w:rsidRPr="00225578">
        <w:rPr>
          <w:rFonts w:ascii="Times New Roman" w:hAnsi="Times New Roman"/>
        </w:rPr>
        <w:t>.</w:t>
      </w:r>
    </w:p>
  </w:footnote>
  <w:footnote w:id="12">
    <w:p w14:paraId="2369EB18" w14:textId="4DEBCD47" w:rsidR="00D777F0" w:rsidRPr="00225578" w:rsidRDefault="00D777F0" w:rsidP="00C0617F">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i/>
          <w:iCs/>
        </w:rPr>
        <w:t>Regulation</w:t>
      </w:r>
      <w:r w:rsidRPr="00225578">
        <w:rPr>
          <w:rFonts w:ascii="Times New Roman" w:hAnsi="Times New Roman"/>
        </w:rPr>
        <w:t xml:space="preserve"> 1840. 8.</w:t>
      </w:r>
    </w:p>
  </w:footnote>
  <w:footnote w:id="13">
    <w:p w14:paraId="31DFC4D1" w14:textId="1026217A" w:rsidR="00D777F0" w:rsidRPr="00225578" w:rsidRDefault="00D777F0" w:rsidP="006A029A">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hAnsi="Times New Roman"/>
        </w:rPr>
        <w:t xml:space="preserve"> In the absence of country-wide census, it is not possible to determine the number of individuals </w:t>
      </w:r>
      <w:r>
        <w:rPr>
          <w:rFonts w:ascii="Times New Roman" w:hAnsi="Times New Roman"/>
        </w:rPr>
        <w:t>who held burgher privileges</w:t>
      </w:r>
      <w:r w:rsidRPr="00225578">
        <w:rPr>
          <w:rFonts w:ascii="Times New Roman" w:hAnsi="Times New Roman"/>
        </w:rPr>
        <w:t xml:space="preserve"> in the 1840s. There are data available for individual towns, w</w:t>
      </w:r>
      <w:r>
        <w:rPr>
          <w:rFonts w:ascii="Times New Roman" w:hAnsi="Times New Roman"/>
        </w:rPr>
        <w:t>hich do suggest large variation</w:t>
      </w:r>
      <w:r w:rsidRPr="00225578">
        <w:rPr>
          <w:rFonts w:ascii="Times New Roman" w:hAnsi="Times New Roman"/>
        </w:rPr>
        <w:t xml:space="preserve">. In Pest, only 2% of the population were burghers, while in Debrecen this ratio was 11%, in Košice 5%. The only national census data come from 1828. According to this census, the burghers represented 13.6 per cent of the registered urban population. See </w:t>
      </w:r>
      <w:r w:rsidRPr="006A029A">
        <w:rPr>
          <w:rFonts w:ascii="Times New Roman" w:hAnsi="Times New Roman"/>
          <w:smallCaps/>
        </w:rPr>
        <w:t>Bácskai</w:t>
      </w:r>
      <w:r w:rsidRPr="00225578">
        <w:rPr>
          <w:rFonts w:ascii="Times New Roman" w:hAnsi="Times New Roman"/>
        </w:rPr>
        <w:t xml:space="preserve"> 1989b. and </w:t>
      </w:r>
      <w:r w:rsidRPr="006A029A">
        <w:rPr>
          <w:rFonts w:ascii="Times New Roman" w:hAnsi="Times New Roman"/>
          <w:smallCaps/>
        </w:rPr>
        <w:t>Czoch</w:t>
      </w:r>
      <w:r w:rsidRPr="00225578">
        <w:rPr>
          <w:rFonts w:ascii="Times New Roman" w:hAnsi="Times New Roman"/>
        </w:rPr>
        <w:t xml:space="preserve"> 2009: 94–96.</w:t>
      </w:r>
    </w:p>
  </w:footnote>
  <w:footnote w:id="14">
    <w:p w14:paraId="7C17CC94" w14:textId="55EF7B31" w:rsidR="00D777F0" w:rsidRPr="00225578" w:rsidRDefault="00D777F0" w:rsidP="00F6522C">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ab/>
        <w:t xml:space="preserve"> </w:t>
      </w:r>
    </w:p>
  </w:footnote>
  <w:footnote w:id="15">
    <w:p w14:paraId="42E35432" w14:textId="7198826A" w:rsidR="00D777F0" w:rsidRPr="00225578" w:rsidRDefault="00D777F0" w:rsidP="00B50FC5">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i/>
          <w:iCs/>
        </w:rPr>
        <w:t>Regulation</w:t>
      </w:r>
      <w:r w:rsidRPr="00225578">
        <w:rPr>
          <w:rFonts w:ascii="Times New Roman" w:hAnsi="Times New Roman"/>
        </w:rPr>
        <w:t xml:space="preserve"> 1840. 52.</w:t>
      </w:r>
    </w:p>
  </w:footnote>
  <w:footnote w:id="16">
    <w:p w14:paraId="47EEEFC9" w14:textId="04FB8318" w:rsidR="00D777F0" w:rsidRPr="00225578" w:rsidRDefault="00D777F0" w:rsidP="00C8349E">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hAnsi="Times New Roman"/>
          <w:i/>
          <w:iCs/>
        </w:rPr>
        <w:t xml:space="preserve"> </w:t>
      </w:r>
      <w:r w:rsidRPr="00225578">
        <w:rPr>
          <w:rFonts w:ascii="Times New Roman" w:hAnsi="Times New Roman"/>
          <w:i/>
          <w:iCs/>
        </w:rPr>
        <w:t>Regulation</w:t>
      </w:r>
      <w:r w:rsidRPr="00225578">
        <w:rPr>
          <w:rFonts w:ascii="Times New Roman" w:hAnsi="Times New Roman"/>
        </w:rPr>
        <w:t xml:space="preserve"> 1840. 56</w:t>
      </w:r>
      <w:r>
        <w:rPr>
          <w:rFonts w:ascii="Times New Roman" w:hAnsi="Times New Roman"/>
        </w:rPr>
        <w:t>–</w:t>
      </w:r>
      <w:r w:rsidRPr="00225578">
        <w:rPr>
          <w:rFonts w:ascii="Times New Roman" w:hAnsi="Times New Roman"/>
        </w:rPr>
        <w:t>58.</w:t>
      </w:r>
    </w:p>
  </w:footnote>
  <w:footnote w:id="17">
    <w:p w14:paraId="4A67262C" w14:textId="580C71FC" w:rsidR="00D777F0" w:rsidRPr="00225578" w:rsidRDefault="00D777F0" w:rsidP="00C8349E">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i/>
          <w:iCs/>
        </w:rPr>
        <w:t>Regulation</w:t>
      </w:r>
      <w:r w:rsidRPr="00225578">
        <w:rPr>
          <w:rFonts w:ascii="Times New Roman" w:hAnsi="Times New Roman"/>
        </w:rPr>
        <w:t xml:space="preserve"> 1840. 52.</w:t>
      </w:r>
    </w:p>
  </w:footnote>
  <w:footnote w:id="18">
    <w:p w14:paraId="7F11BEF8" w14:textId="2D230D64" w:rsidR="00D777F0" w:rsidRPr="00225578" w:rsidRDefault="00D777F0" w:rsidP="00C8349E">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i/>
          <w:iCs/>
        </w:rPr>
        <w:t>Regulation</w:t>
      </w:r>
      <w:r w:rsidRPr="00225578">
        <w:rPr>
          <w:rFonts w:ascii="Times New Roman" w:hAnsi="Times New Roman"/>
        </w:rPr>
        <w:t xml:space="preserve"> 1840.14.</w:t>
      </w:r>
    </w:p>
  </w:footnote>
  <w:footnote w:id="19">
    <w:p w14:paraId="57151AA0" w14:textId="63EEA7EB" w:rsidR="00D777F0" w:rsidRPr="00225578" w:rsidRDefault="00D777F0" w:rsidP="00345BBE">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i/>
          <w:iCs/>
        </w:rPr>
        <w:t>Regulation</w:t>
      </w:r>
      <w:r w:rsidRPr="00225578">
        <w:rPr>
          <w:rFonts w:ascii="Times New Roman" w:hAnsi="Times New Roman"/>
        </w:rPr>
        <w:t xml:space="preserve"> 1840. 62.</w:t>
      </w:r>
    </w:p>
  </w:footnote>
  <w:footnote w:id="20">
    <w:p w14:paraId="6CA0B2D5" w14:textId="55ACCA4C" w:rsidR="00D777F0" w:rsidRPr="00225578" w:rsidRDefault="00D777F0" w:rsidP="005E4646">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TÜJ 2833/1842.</w:t>
      </w:r>
    </w:p>
  </w:footnote>
  <w:footnote w:id="21">
    <w:p w14:paraId="22F15132" w14:textId="636791BE" w:rsidR="00D777F0" w:rsidRPr="00225578" w:rsidRDefault="00D777F0" w:rsidP="00630E9C">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 xml:space="preserve">TÜJ 4185/1842 </w:t>
      </w:r>
      <w:r w:rsidRPr="00225578">
        <w:rPr>
          <w:rFonts w:ascii="Times New Roman" w:hAnsi="Times New Roman"/>
          <w:i/>
        </w:rPr>
        <w:t>Documents</w:t>
      </w:r>
      <w:r w:rsidRPr="00225578">
        <w:rPr>
          <w:rFonts w:ascii="Times New Roman" w:hAnsi="Times New Roman"/>
        </w:rPr>
        <w:t>. As will be shown, 637 ou</w:t>
      </w:r>
      <w:r>
        <w:rPr>
          <w:rFonts w:ascii="Times New Roman" w:hAnsi="Times New Roman"/>
        </w:rPr>
        <w:t>t o</w:t>
      </w:r>
      <w:r w:rsidRPr="00225578">
        <w:rPr>
          <w:rFonts w:ascii="Times New Roman" w:hAnsi="Times New Roman"/>
        </w:rPr>
        <w:t xml:space="preserve">f the 670 individuals held burghership. As the town census of the year established that Košice’s population was 11 084, burghers constituted only 5.7% of  the total population. For more information about the data of contemporary censuses, see </w:t>
      </w:r>
      <w:r w:rsidRPr="00225578">
        <w:rPr>
          <w:rFonts w:ascii="Times New Roman" w:hAnsi="Times New Roman"/>
          <w:smallCaps/>
        </w:rPr>
        <w:t>Czoch</w:t>
      </w:r>
      <w:r w:rsidRPr="00225578">
        <w:rPr>
          <w:rFonts w:ascii="Times New Roman" w:hAnsi="Times New Roman"/>
        </w:rPr>
        <w:t xml:space="preserve"> 1997.</w:t>
      </w:r>
    </w:p>
  </w:footnote>
  <w:footnote w:id="22">
    <w:p w14:paraId="6EA39BDD" w14:textId="1767F4B8" w:rsidR="00D777F0" w:rsidRPr="00225578" w:rsidRDefault="00D777F0" w:rsidP="006F190E">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Some names are annotated with additional remarks such as “noble under no obligation,” “official under no obligation,” “lawyer under no obligation,” and so on.  </w:t>
      </w:r>
    </w:p>
  </w:footnote>
  <w:footnote w:id="23">
    <w:p w14:paraId="05A365C0" w14:textId="0A23FEC7" w:rsidR="00D777F0" w:rsidRPr="00225578" w:rsidRDefault="00D777F0" w:rsidP="00C467BB">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 xml:space="preserve">TÜJ 4185/1842 </w:t>
      </w:r>
      <w:r w:rsidRPr="00225578">
        <w:rPr>
          <w:rFonts w:ascii="Times New Roman" w:hAnsi="Times New Roman"/>
          <w:i/>
        </w:rPr>
        <w:t>Documents</w:t>
      </w:r>
      <w:r w:rsidRPr="00225578">
        <w:rPr>
          <w:rFonts w:ascii="Times New Roman" w:hAnsi="Times New Roman"/>
        </w:rPr>
        <w:t>.</w:t>
      </w:r>
    </w:p>
  </w:footnote>
  <w:footnote w:id="24">
    <w:p w14:paraId="6A28CD07" w14:textId="21F1DA28" w:rsidR="00D777F0" w:rsidRPr="00225578" w:rsidRDefault="00D777F0" w:rsidP="00E223E1">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TÜJ 4185/1842.</w:t>
      </w:r>
    </w:p>
  </w:footnote>
  <w:footnote w:id="25">
    <w:p w14:paraId="02135F1D" w14:textId="0FB34562" w:rsidR="00D777F0" w:rsidRPr="00225578" w:rsidRDefault="00D777F0" w:rsidP="00E223E1">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 xml:space="preserve">For the subsequent two sections, see also </w:t>
      </w:r>
      <w:r w:rsidRPr="00225578">
        <w:rPr>
          <w:rFonts w:ascii="Times New Roman" w:hAnsi="Times New Roman"/>
          <w:smallCaps/>
        </w:rPr>
        <w:t>Czoch</w:t>
      </w:r>
      <w:r w:rsidRPr="00225578">
        <w:rPr>
          <w:rFonts w:ascii="Times New Roman" w:hAnsi="Times New Roman"/>
        </w:rPr>
        <w:t xml:space="preserve"> 2009. 94</w:t>
      </w:r>
      <w:r>
        <w:rPr>
          <w:rFonts w:ascii="Times New Roman" w:hAnsi="Times New Roman"/>
        </w:rPr>
        <w:t>–</w:t>
      </w:r>
      <w:r w:rsidRPr="00225578">
        <w:rPr>
          <w:rFonts w:ascii="Times New Roman" w:hAnsi="Times New Roman"/>
        </w:rPr>
        <w:t>148.</w:t>
      </w:r>
    </w:p>
  </w:footnote>
  <w:footnote w:id="26">
    <w:p w14:paraId="7C61038A" w14:textId="5865CC6A" w:rsidR="00D777F0" w:rsidRPr="00225578" w:rsidRDefault="00D777F0" w:rsidP="00AA6D4D">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i/>
          <w:iCs/>
        </w:rPr>
        <w:t>Törvény Czikkely</w:t>
      </w:r>
      <w:r w:rsidRPr="00225578">
        <w:rPr>
          <w:rFonts w:ascii="Times New Roman" w:hAnsi="Times New Roman"/>
        </w:rPr>
        <w:t xml:space="preserve"> 1843.</w:t>
      </w:r>
    </w:p>
  </w:footnote>
  <w:footnote w:id="27">
    <w:p w14:paraId="2948088E" w14:textId="3F2A64B2" w:rsidR="00D777F0" w:rsidRPr="00225578" w:rsidRDefault="00D777F0" w:rsidP="00AA6D4D">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i/>
          <w:iCs/>
        </w:rPr>
        <w:t>Az 1843-dik évi ország gyűlésen jelenlévő szabad királyi városok követeinek javaslata</w:t>
      </w:r>
      <w:r w:rsidRPr="00225578">
        <w:rPr>
          <w:rFonts w:ascii="Times New Roman" w:hAnsi="Times New Roman"/>
          <w:iCs/>
        </w:rPr>
        <w:t xml:space="preserve"> </w:t>
      </w:r>
      <w:r w:rsidRPr="00225578">
        <w:rPr>
          <w:rFonts w:ascii="Times New Roman" w:hAnsi="Times New Roman"/>
        </w:rPr>
        <w:t>1843.</w:t>
      </w:r>
    </w:p>
  </w:footnote>
  <w:footnote w:id="28">
    <w:p w14:paraId="7774446D" w14:textId="1AE91C4B" w:rsidR="00D777F0" w:rsidRPr="00225578" w:rsidRDefault="00D777F0" w:rsidP="005065EC">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TÜJ 3865/1842.</w:t>
      </w:r>
    </w:p>
  </w:footnote>
  <w:footnote w:id="29">
    <w:p w14:paraId="27740405" w14:textId="7BEF208A" w:rsidR="00D777F0" w:rsidRPr="00225578" w:rsidRDefault="00D777F0" w:rsidP="005451E7">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hAnsi="Times New Roman"/>
        </w:rPr>
        <w:t xml:space="preserve"> TÜJ 3865/1842 and TÜJ 3990/1842.</w:t>
      </w:r>
    </w:p>
  </w:footnote>
  <w:footnote w:id="30">
    <w:p w14:paraId="2B847415" w14:textId="1FC05049" w:rsidR="00D777F0" w:rsidRPr="00225578" w:rsidRDefault="00D777F0" w:rsidP="005065EC">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The report consisting of a number of items:</w:t>
      </w:r>
      <w:r w:rsidRPr="00225578">
        <w:rPr>
          <w:rFonts w:ascii="Times New Roman" w:hAnsi="Times New Roman"/>
        </w:rPr>
        <w:t xml:space="preserve"> TÜJ 4185/1842 </w:t>
      </w:r>
      <w:r w:rsidRPr="00225578">
        <w:rPr>
          <w:rFonts w:ascii="Times New Roman" w:hAnsi="Times New Roman"/>
          <w:i/>
        </w:rPr>
        <w:t>Documents</w:t>
      </w:r>
      <w:r w:rsidRPr="00225578">
        <w:rPr>
          <w:rFonts w:ascii="Times New Roman" w:hAnsi="Times New Roman"/>
        </w:rPr>
        <w:t>.</w:t>
      </w:r>
    </w:p>
  </w:footnote>
  <w:footnote w:id="31">
    <w:p w14:paraId="1366099F" w14:textId="0F0A8272" w:rsidR="00D777F0" w:rsidRPr="00225578" w:rsidRDefault="00D777F0" w:rsidP="005065EC">
      <w:pPr>
        <w:pStyle w:val="FootnoteText"/>
        <w:spacing w:after="0"/>
        <w:rPr>
          <w:rFonts w:ascii="Times New Roman" w:hAnsi="Times New Roman"/>
        </w:rPr>
      </w:pPr>
      <w:r w:rsidRPr="00225578">
        <w:rPr>
          <w:rStyle w:val="FootnoteReference"/>
          <w:rFonts w:ascii="Times New Roman" w:hAnsi="Times New Roman"/>
        </w:rPr>
        <w:footnoteRef/>
      </w:r>
      <w:r>
        <w:rPr>
          <w:rFonts w:ascii="Times New Roman" w:eastAsia="Times New Roman" w:hAnsi="Times New Roman"/>
        </w:rPr>
        <w:t xml:space="preserve"> </w:t>
      </w:r>
      <w:r w:rsidRPr="00225578">
        <w:rPr>
          <w:rFonts w:ascii="Times New Roman" w:hAnsi="Times New Roman"/>
        </w:rPr>
        <w:t>TÜJ 4185/1842.</w:t>
      </w:r>
    </w:p>
  </w:footnote>
  <w:footnote w:id="32">
    <w:p w14:paraId="475B917B" w14:textId="213B0CB5" w:rsidR="00D777F0" w:rsidRPr="00225578" w:rsidRDefault="00D777F0" w:rsidP="00870D2F">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TÜJ 4481/1842.</w:t>
      </w:r>
    </w:p>
  </w:footnote>
  <w:footnote w:id="33">
    <w:p w14:paraId="2AD949D1" w14:textId="7163458E" w:rsidR="00D777F0" w:rsidRPr="00225578" w:rsidRDefault="00D777F0" w:rsidP="005065EC">
      <w:pPr>
        <w:pStyle w:val="FootnoteText"/>
        <w:spacing w:after="0"/>
        <w:rPr>
          <w:rFonts w:ascii="Times New Roman" w:hAnsi="Times New Roman"/>
        </w:rPr>
      </w:pPr>
      <w:r w:rsidRPr="00225578">
        <w:rPr>
          <w:rStyle w:val="FootnoteReference"/>
          <w:rFonts w:ascii="Times New Roman" w:hAnsi="Times New Roman"/>
        </w:rPr>
        <w:footnoteRef/>
      </w:r>
      <w:r w:rsidRPr="00225578">
        <w:rPr>
          <w:rFonts w:ascii="Times New Roman" w:eastAsia="Times New Roman" w:hAnsi="Times New Roman"/>
        </w:rPr>
        <w:t xml:space="preserve"> </w:t>
      </w:r>
      <w:r w:rsidRPr="00225578">
        <w:rPr>
          <w:rFonts w:ascii="Times New Roman" w:hAnsi="Times New Roman"/>
        </w:rPr>
        <w:t>TÜJ 103/1843.</w:t>
      </w:r>
    </w:p>
  </w:footnote>
  <w:footnote w:id="34">
    <w:p w14:paraId="6CF196FD" w14:textId="2AC7553B" w:rsidR="00D777F0" w:rsidRPr="00225578" w:rsidRDefault="00D777F0" w:rsidP="005065EC">
      <w:pPr>
        <w:pStyle w:val="FootnoteText"/>
        <w:rPr>
          <w:rFonts w:ascii="Times New Roman" w:hAnsi="Times New Roman"/>
        </w:rPr>
      </w:pPr>
      <w:r w:rsidRPr="00225578">
        <w:rPr>
          <w:rStyle w:val="FootnoteReference"/>
          <w:rFonts w:ascii="Times New Roman" w:hAnsi="Times New Roman"/>
        </w:rPr>
        <w:footnoteRef/>
      </w:r>
      <w:r w:rsidRPr="00225578">
        <w:rPr>
          <w:rFonts w:ascii="Times New Roman" w:hAnsi="Times New Roman"/>
        </w:rPr>
        <w:t xml:space="preserve"> The </w:t>
      </w:r>
      <w:r w:rsidRPr="00225578">
        <w:rPr>
          <w:rFonts w:ascii="Times New Roman" w:hAnsi="Times New Roman"/>
          <w:i/>
        </w:rPr>
        <w:t>Electa communitas</w:t>
      </w:r>
      <w:r w:rsidRPr="00225578">
        <w:rPr>
          <w:rFonts w:ascii="Times New Roman" w:hAnsi="Times New Roman"/>
        </w:rPr>
        <w:t xml:space="preserve">, also known as the external council (külső tanács), operated alongside the town council proper, which was often referred to as the internal council (belső tanács). Its main competence was the supervision of the town’s financial operation, and the election of the judge and members of the internal council out of its members. The </w:t>
      </w:r>
      <w:r w:rsidRPr="00225578">
        <w:rPr>
          <w:rFonts w:ascii="Times New Roman" w:hAnsi="Times New Roman"/>
          <w:i/>
        </w:rPr>
        <w:t>Electa communitas</w:t>
      </w:r>
      <w:r w:rsidRPr="00225578">
        <w:rPr>
          <w:rFonts w:ascii="Times New Roman" w:hAnsi="Times New Roman"/>
        </w:rPr>
        <w:t xml:space="preserve"> of Košice consisted of sixty members and the relationship between the external and internal council was often contentious.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C5"/>
    <w:rsid w:val="000066AB"/>
    <w:rsid w:val="00062DD9"/>
    <w:rsid w:val="000659D1"/>
    <w:rsid w:val="00086138"/>
    <w:rsid w:val="000B388A"/>
    <w:rsid w:val="000B75D8"/>
    <w:rsid w:val="000C59D9"/>
    <w:rsid w:val="000D4C3B"/>
    <w:rsid w:val="00100BDC"/>
    <w:rsid w:val="001024CD"/>
    <w:rsid w:val="00132994"/>
    <w:rsid w:val="0014533B"/>
    <w:rsid w:val="0014596A"/>
    <w:rsid w:val="00146EC1"/>
    <w:rsid w:val="00147C0D"/>
    <w:rsid w:val="0016070B"/>
    <w:rsid w:val="00161147"/>
    <w:rsid w:val="001B3A4B"/>
    <w:rsid w:val="001E06A7"/>
    <w:rsid w:val="001E360A"/>
    <w:rsid w:val="001F2B29"/>
    <w:rsid w:val="002076EB"/>
    <w:rsid w:val="00221D6F"/>
    <w:rsid w:val="00225578"/>
    <w:rsid w:val="00230B02"/>
    <w:rsid w:val="00273047"/>
    <w:rsid w:val="0029237C"/>
    <w:rsid w:val="00295170"/>
    <w:rsid w:val="00297C97"/>
    <w:rsid w:val="002E74CC"/>
    <w:rsid w:val="002F0742"/>
    <w:rsid w:val="0030207C"/>
    <w:rsid w:val="00305C90"/>
    <w:rsid w:val="00312A68"/>
    <w:rsid w:val="00316C14"/>
    <w:rsid w:val="00345271"/>
    <w:rsid w:val="00345BBE"/>
    <w:rsid w:val="0036349A"/>
    <w:rsid w:val="00371309"/>
    <w:rsid w:val="00380891"/>
    <w:rsid w:val="003A4E30"/>
    <w:rsid w:val="003C1058"/>
    <w:rsid w:val="004011EE"/>
    <w:rsid w:val="0040704F"/>
    <w:rsid w:val="00420C0B"/>
    <w:rsid w:val="00444F05"/>
    <w:rsid w:val="00463175"/>
    <w:rsid w:val="00493D98"/>
    <w:rsid w:val="004A5859"/>
    <w:rsid w:val="004B35D9"/>
    <w:rsid w:val="004C6FD1"/>
    <w:rsid w:val="004D3F2D"/>
    <w:rsid w:val="005065EC"/>
    <w:rsid w:val="00525E3F"/>
    <w:rsid w:val="005304C6"/>
    <w:rsid w:val="00532520"/>
    <w:rsid w:val="005451E7"/>
    <w:rsid w:val="00576791"/>
    <w:rsid w:val="00580447"/>
    <w:rsid w:val="005805A4"/>
    <w:rsid w:val="0058385D"/>
    <w:rsid w:val="00594DA0"/>
    <w:rsid w:val="0059552B"/>
    <w:rsid w:val="0059659D"/>
    <w:rsid w:val="005A208E"/>
    <w:rsid w:val="005A659F"/>
    <w:rsid w:val="005B3ABF"/>
    <w:rsid w:val="005E4646"/>
    <w:rsid w:val="00613120"/>
    <w:rsid w:val="00617A01"/>
    <w:rsid w:val="00630E9C"/>
    <w:rsid w:val="0063598B"/>
    <w:rsid w:val="00645A87"/>
    <w:rsid w:val="00661784"/>
    <w:rsid w:val="00675386"/>
    <w:rsid w:val="00687CCD"/>
    <w:rsid w:val="006A029A"/>
    <w:rsid w:val="006C70BC"/>
    <w:rsid w:val="006C7359"/>
    <w:rsid w:val="006E0BA4"/>
    <w:rsid w:val="006E38FC"/>
    <w:rsid w:val="006F190E"/>
    <w:rsid w:val="006F6935"/>
    <w:rsid w:val="00700EDD"/>
    <w:rsid w:val="007057D0"/>
    <w:rsid w:val="0071599D"/>
    <w:rsid w:val="0071755B"/>
    <w:rsid w:val="00725035"/>
    <w:rsid w:val="00762C2C"/>
    <w:rsid w:val="00786534"/>
    <w:rsid w:val="00787480"/>
    <w:rsid w:val="007A2201"/>
    <w:rsid w:val="007A40C0"/>
    <w:rsid w:val="007A5193"/>
    <w:rsid w:val="007D0E0E"/>
    <w:rsid w:val="007E1AD6"/>
    <w:rsid w:val="00851F4B"/>
    <w:rsid w:val="00870D2F"/>
    <w:rsid w:val="00872BF3"/>
    <w:rsid w:val="00884C2F"/>
    <w:rsid w:val="00890175"/>
    <w:rsid w:val="008A28B9"/>
    <w:rsid w:val="008C5237"/>
    <w:rsid w:val="008D7018"/>
    <w:rsid w:val="00921196"/>
    <w:rsid w:val="009374F2"/>
    <w:rsid w:val="00992757"/>
    <w:rsid w:val="009931B2"/>
    <w:rsid w:val="00997BAF"/>
    <w:rsid w:val="009A0481"/>
    <w:rsid w:val="009A6E16"/>
    <w:rsid w:val="009B26BA"/>
    <w:rsid w:val="009B5A11"/>
    <w:rsid w:val="009B70F2"/>
    <w:rsid w:val="009C25FE"/>
    <w:rsid w:val="009D0A11"/>
    <w:rsid w:val="009F1070"/>
    <w:rsid w:val="00A04263"/>
    <w:rsid w:val="00A06EAC"/>
    <w:rsid w:val="00A1438D"/>
    <w:rsid w:val="00A44BBB"/>
    <w:rsid w:val="00A46D88"/>
    <w:rsid w:val="00A524ED"/>
    <w:rsid w:val="00A5416F"/>
    <w:rsid w:val="00A81087"/>
    <w:rsid w:val="00A84227"/>
    <w:rsid w:val="00AA4C0B"/>
    <w:rsid w:val="00AA6D4D"/>
    <w:rsid w:val="00AA71EB"/>
    <w:rsid w:val="00AA7DCB"/>
    <w:rsid w:val="00AD2A7D"/>
    <w:rsid w:val="00AE3041"/>
    <w:rsid w:val="00AE75C0"/>
    <w:rsid w:val="00AF2C06"/>
    <w:rsid w:val="00AF63C5"/>
    <w:rsid w:val="00B10333"/>
    <w:rsid w:val="00B50FC5"/>
    <w:rsid w:val="00B60588"/>
    <w:rsid w:val="00B73CE5"/>
    <w:rsid w:val="00B97438"/>
    <w:rsid w:val="00BB16C2"/>
    <w:rsid w:val="00BC1B3B"/>
    <w:rsid w:val="00C0617F"/>
    <w:rsid w:val="00C16201"/>
    <w:rsid w:val="00C23E64"/>
    <w:rsid w:val="00C27953"/>
    <w:rsid w:val="00C40265"/>
    <w:rsid w:val="00C467BB"/>
    <w:rsid w:val="00C63BDA"/>
    <w:rsid w:val="00C80D9C"/>
    <w:rsid w:val="00C8349E"/>
    <w:rsid w:val="00C842A0"/>
    <w:rsid w:val="00C91E4C"/>
    <w:rsid w:val="00CB1324"/>
    <w:rsid w:val="00CD2C23"/>
    <w:rsid w:val="00CF2BAC"/>
    <w:rsid w:val="00CF3631"/>
    <w:rsid w:val="00D05876"/>
    <w:rsid w:val="00D17990"/>
    <w:rsid w:val="00D35A67"/>
    <w:rsid w:val="00D6516E"/>
    <w:rsid w:val="00D777F0"/>
    <w:rsid w:val="00D93200"/>
    <w:rsid w:val="00D94224"/>
    <w:rsid w:val="00DA364E"/>
    <w:rsid w:val="00DB6682"/>
    <w:rsid w:val="00DB78DC"/>
    <w:rsid w:val="00DD70AB"/>
    <w:rsid w:val="00E223E1"/>
    <w:rsid w:val="00E3221F"/>
    <w:rsid w:val="00E427B4"/>
    <w:rsid w:val="00E768DD"/>
    <w:rsid w:val="00E91100"/>
    <w:rsid w:val="00EA0ED0"/>
    <w:rsid w:val="00EA3A21"/>
    <w:rsid w:val="00EA409A"/>
    <w:rsid w:val="00EC2B7E"/>
    <w:rsid w:val="00EC79BF"/>
    <w:rsid w:val="00EE02EA"/>
    <w:rsid w:val="00F01C87"/>
    <w:rsid w:val="00F548EA"/>
    <w:rsid w:val="00F5585C"/>
    <w:rsid w:val="00F65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7555"/>
  <w15:docId w15:val="{915405BA-72A9-4277-86A6-B70248BA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C5"/>
    <w:pPr>
      <w:suppressAutoHyphens/>
    </w:pPr>
    <w:rPr>
      <w:rFonts w:ascii="Calibri" w:eastAsia="Calibri" w:hAnsi="Calibri" w:cs="Times New Roman"/>
      <w:lang w:val="en-GB" w:eastAsia="zh-CN"/>
    </w:rPr>
  </w:style>
  <w:style w:type="paragraph" w:styleId="Heading1">
    <w:name w:val="heading 1"/>
    <w:basedOn w:val="Normal"/>
    <w:next w:val="Normal"/>
    <w:link w:val="Heading1Char"/>
    <w:uiPriority w:val="9"/>
    <w:qFormat/>
    <w:rsid w:val="005065EC"/>
    <w:pPr>
      <w:keepNext/>
      <w:suppressAutoHyphens w:val="0"/>
      <w:spacing w:before="240" w:after="60" w:line="240" w:lineRule="auto"/>
      <w:outlineLvl w:val="0"/>
    </w:pPr>
    <w:rPr>
      <w:rFonts w:ascii="Cambria" w:eastAsia="Times New Roman" w:hAnsi="Cambria"/>
      <w:b/>
      <w:bCs/>
      <w:kern w:val="32"/>
      <w:sz w:val="32"/>
      <w:szCs w:val="32"/>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jegyzet-karakterek">
    <w:name w:val="Lábjegyzet-karakterek"/>
    <w:rsid w:val="00B50FC5"/>
    <w:rPr>
      <w:vertAlign w:val="superscript"/>
    </w:rPr>
  </w:style>
  <w:style w:type="character" w:styleId="Hyperlink">
    <w:name w:val="Hyperlink"/>
    <w:rsid w:val="00B50FC5"/>
    <w:rPr>
      <w:color w:val="0000FF"/>
      <w:u w:val="single"/>
    </w:rPr>
  </w:style>
  <w:style w:type="paragraph" w:styleId="FootnoteText">
    <w:name w:val="footnote text"/>
    <w:basedOn w:val="Normal"/>
    <w:link w:val="FootnoteTextChar"/>
    <w:rsid w:val="00B50FC5"/>
    <w:rPr>
      <w:sz w:val="20"/>
      <w:szCs w:val="20"/>
    </w:rPr>
  </w:style>
  <w:style w:type="character" w:customStyle="1" w:styleId="FootnoteTextChar">
    <w:name w:val="Footnote Text Char"/>
    <w:basedOn w:val="DefaultParagraphFont"/>
    <w:link w:val="FootnoteText"/>
    <w:rsid w:val="00B50FC5"/>
    <w:rPr>
      <w:rFonts w:ascii="Calibri" w:eastAsia="Calibri" w:hAnsi="Calibri" w:cs="Times New Roman"/>
      <w:sz w:val="20"/>
      <w:szCs w:val="20"/>
      <w:lang w:val="hu-HU" w:eastAsia="zh-CN"/>
    </w:rPr>
  </w:style>
  <w:style w:type="paragraph" w:styleId="Footer">
    <w:name w:val="footer"/>
    <w:basedOn w:val="Normal"/>
    <w:link w:val="FooterChar"/>
    <w:rsid w:val="00B50FC5"/>
    <w:pPr>
      <w:tabs>
        <w:tab w:val="center" w:pos="4536"/>
        <w:tab w:val="right" w:pos="9072"/>
      </w:tabs>
    </w:pPr>
  </w:style>
  <w:style w:type="character" w:customStyle="1" w:styleId="FooterChar">
    <w:name w:val="Footer Char"/>
    <w:basedOn w:val="DefaultParagraphFont"/>
    <w:link w:val="Footer"/>
    <w:rsid w:val="00B50FC5"/>
    <w:rPr>
      <w:rFonts w:ascii="Calibri" w:eastAsia="Calibri" w:hAnsi="Calibri" w:cs="Times New Roman"/>
      <w:lang w:val="hu-HU" w:eastAsia="zh-CN"/>
    </w:rPr>
  </w:style>
  <w:style w:type="paragraph" w:styleId="BalloonText">
    <w:name w:val="Balloon Text"/>
    <w:basedOn w:val="Normal"/>
    <w:link w:val="BalloonTextChar"/>
    <w:uiPriority w:val="99"/>
    <w:semiHidden/>
    <w:unhideWhenUsed/>
    <w:rsid w:val="00B50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FC5"/>
    <w:rPr>
      <w:rFonts w:ascii="Tahoma" w:eastAsia="Calibri" w:hAnsi="Tahoma" w:cs="Tahoma"/>
      <w:sz w:val="16"/>
      <w:szCs w:val="16"/>
      <w:lang w:val="hu-HU" w:eastAsia="zh-C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hu-HU"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45271"/>
    <w:rPr>
      <w:b/>
      <w:bCs/>
    </w:rPr>
  </w:style>
  <w:style w:type="character" w:customStyle="1" w:styleId="CommentSubjectChar">
    <w:name w:val="Comment Subject Char"/>
    <w:basedOn w:val="CommentTextChar"/>
    <w:link w:val="CommentSubject"/>
    <w:uiPriority w:val="99"/>
    <w:semiHidden/>
    <w:rsid w:val="00345271"/>
    <w:rPr>
      <w:rFonts w:ascii="Calibri" w:eastAsia="Calibri" w:hAnsi="Calibri" w:cs="Times New Roman"/>
      <w:b/>
      <w:bCs/>
      <w:sz w:val="20"/>
      <w:szCs w:val="20"/>
      <w:lang w:val="hu-HU" w:eastAsia="zh-CN"/>
    </w:rPr>
  </w:style>
  <w:style w:type="character" w:styleId="FootnoteReference">
    <w:name w:val="footnote reference"/>
    <w:rsid w:val="004B35D9"/>
    <w:rPr>
      <w:vertAlign w:val="superscript"/>
    </w:rPr>
  </w:style>
  <w:style w:type="paragraph" w:customStyle="1" w:styleId="Default">
    <w:name w:val="Default"/>
    <w:rsid w:val="004B35D9"/>
    <w:pPr>
      <w:autoSpaceDE w:val="0"/>
      <w:autoSpaceDN w:val="0"/>
      <w:adjustRightInd w:val="0"/>
      <w:spacing w:after="0" w:line="240" w:lineRule="auto"/>
    </w:pPr>
    <w:rPr>
      <w:rFonts w:ascii="Times" w:hAnsi="Times" w:cs="Times"/>
      <w:color w:val="000000"/>
      <w:sz w:val="24"/>
      <w:szCs w:val="24"/>
    </w:rPr>
  </w:style>
  <w:style w:type="character" w:customStyle="1" w:styleId="Heading1Char">
    <w:name w:val="Heading 1 Char"/>
    <w:basedOn w:val="DefaultParagraphFont"/>
    <w:link w:val="Heading1"/>
    <w:uiPriority w:val="9"/>
    <w:rsid w:val="005065EC"/>
    <w:rPr>
      <w:rFonts w:ascii="Cambria" w:eastAsia="Times New Roman" w:hAnsi="Cambria" w:cs="Times New Roman"/>
      <w:b/>
      <w:bCs/>
      <w:kern w:val="32"/>
      <w:sz w:val="32"/>
      <w:szCs w:val="32"/>
      <w:lang w:val="hu-HU" w:eastAsia="hu-HU"/>
    </w:rPr>
  </w:style>
  <w:style w:type="paragraph" w:styleId="BodyText">
    <w:name w:val="Body Text"/>
    <w:basedOn w:val="Normal"/>
    <w:link w:val="BodyTextChar"/>
    <w:rsid w:val="005065EC"/>
    <w:pPr>
      <w:spacing w:after="140" w:line="288" w:lineRule="auto"/>
    </w:pPr>
  </w:style>
  <w:style w:type="character" w:customStyle="1" w:styleId="BodyTextChar">
    <w:name w:val="Body Text Char"/>
    <w:basedOn w:val="DefaultParagraphFont"/>
    <w:link w:val="BodyText"/>
    <w:rsid w:val="005065EC"/>
    <w:rPr>
      <w:rFonts w:ascii="Calibri" w:eastAsia="Calibri" w:hAnsi="Calibri" w:cs="Times New Roman"/>
      <w:lang w:val="hu-HU" w:eastAsia="zh-CN"/>
    </w:rPr>
  </w:style>
  <w:style w:type="paragraph" w:customStyle="1" w:styleId="pcim">
    <w:name w:val="pcim"/>
    <w:basedOn w:val="Normal"/>
    <w:rsid w:val="005065EC"/>
    <w:pPr>
      <w:suppressAutoHyphens w:val="0"/>
      <w:spacing w:before="100" w:beforeAutospacing="1" w:after="100" w:afterAutospacing="1" w:line="240" w:lineRule="auto"/>
    </w:pPr>
    <w:rPr>
      <w:rFonts w:ascii="Times New Roman" w:eastAsia="Times New Roman" w:hAnsi="Times New Roman"/>
      <w:sz w:val="24"/>
      <w:szCs w:val="24"/>
      <w:lang w:val="de-DE" w:eastAsia="de-DE"/>
    </w:rPr>
  </w:style>
  <w:style w:type="character" w:styleId="EndnoteReference">
    <w:name w:val="endnote reference"/>
    <w:basedOn w:val="DefaultParagraphFont"/>
    <w:uiPriority w:val="99"/>
    <w:semiHidden/>
    <w:unhideWhenUsed/>
    <w:rsid w:val="005B3ABF"/>
    <w:rPr>
      <w:vertAlign w:val="superscript"/>
    </w:rPr>
  </w:style>
  <w:style w:type="character" w:customStyle="1" w:styleId="tm-p-em">
    <w:name w:val="tm-p-em"/>
    <w:basedOn w:val="DefaultParagraphFont"/>
    <w:rsid w:val="00B9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00ev.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67396A-EE87-45EA-A0FD-15BEEDF1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16</Pages>
  <Words>4499</Words>
  <Characters>30327</Characters>
  <Application>Microsoft Office Word</Application>
  <DocSecurity>0</DocSecurity>
  <Lines>473</Lines>
  <Paragraphs>77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czocha</dc:creator>
  <cp:lastModifiedBy>CEU</cp:lastModifiedBy>
  <cp:revision>112</cp:revision>
  <dcterms:created xsi:type="dcterms:W3CDTF">2018-02-05T08:15:00Z</dcterms:created>
  <dcterms:modified xsi:type="dcterms:W3CDTF">2018-02-27T20:40:00Z</dcterms:modified>
</cp:coreProperties>
</file>