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A9" w:rsidRPr="00565E73" w:rsidRDefault="005822A9" w:rsidP="00565E73">
      <w:pPr>
        <w:pStyle w:val="Header"/>
        <w:jc w:val="right"/>
        <w:rPr>
          <w:sz w:val="19"/>
          <w:szCs w:val="19"/>
        </w:rPr>
      </w:pPr>
      <w:r w:rsidRPr="00565E73">
        <w:rPr>
          <w:sz w:val="19"/>
          <w:szCs w:val="19"/>
        </w:rPr>
        <w:t>[Handw</w:t>
      </w:r>
      <w:r w:rsidR="00565E73" w:rsidRPr="00565E73">
        <w:rPr>
          <w:sz w:val="19"/>
          <w:szCs w:val="19"/>
        </w:rPr>
        <w:t>riting: ITAN credit and refund]</w:t>
      </w:r>
    </w:p>
    <w:p w:rsidR="00DE3286" w:rsidRPr="00565E73" w:rsidRDefault="00DE3286" w:rsidP="00DE3286">
      <w:pPr>
        <w:pStyle w:val="Header"/>
        <w:jc w:val="center"/>
        <w:rPr>
          <w:sz w:val="19"/>
          <w:szCs w:val="19"/>
        </w:rPr>
      </w:pPr>
      <w:r w:rsidRPr="00565E73">
        <w:rPr>
          <w:sz w:val="19"/>
          <w:szCs w:val="19"/>
        </w:rPr>
        <w:t>[Seal of the Republic of Peru]</w:t>
      </w:r>
    </w:p>
    <w:p w:rsidR="00DE3286" w:rsidRDefault="00DE3286" w:rsidP="00DE3286">
      <w:pPr>
        <w:pStyle w:val="Header"/>
        <w:jc w:val="center"/>
      </w:pPr>
    </w:p>
    <w:p w:rsidR="00DE3286" w:rsidRPr="00DE3286" w:rsidRDefault="00DE3286" w:rsidP="00DE3286">
      <w:pPr>
        <w:pStyle w:val="Header"/>
        <w:jc w:val="center"/>
        <w:rPr>
          <w:rFonts w:ascii="Kunstler Script" w:hAnsi="Kunstler Script"/>
          <w:b/>
          <w:sz w:val="72"/>
          <w:szCs w:val="72"/>
        </w:rPr>
      </w:pPr>
      <w:r>
        <w:rPr>
          <w:rFonts w:ascii="Kunstler Script" w:hAnsi="Kunstler Script"/>
          <w:b/>
          <w:sz w:val="72"/>
          <w:szCs w:val="72"/>
        </w:rPr>
        <w:t xml:space="preserve">                </w:t>
      </w:r>
      <w:r w:rsidR="00B74068">
        <w:rPr>
          <w:rFonts w:ascii="Kunstler Script" w:hAnsi="Kunstler Script"/>
          <w:b/>
          <w:sz w:val="72"/>
          <w:szCs w:val="72"/>
        </w:rPr>
        <w:t xml:space="preserve">  </w:t>
      </w:r>
      <w:r w:rsidRPr="00DE3286">
        <w:rPr>
          <w:rFonts w:ascii="Kunstler Script" w:hAnsi="Kunstler Script"/>
          <w:b/>
          <w:sz w:val="72"/>
          <w:szCs w:val="72"/>
        </w:rPr>
        <w:t>Tax Court</w:t>
      </w:r>
      <w:r>
        <w:rPr>
          <w:rFonts w:ascii="Kunstler Script" w:hAnsi="Kunstler Script"/>
          <w:b/>
          <w:sz w:val="72"/>
          <w:szCs w:val="72"/>
        </w:rPr>
        <w:t xml:space="preserve">      </w:t>
      </w:r>
      <w:r w:rsidR="00B74068">
        <w:rPr>
          <w:rFonts w:ascii="Kunstler Script" w:hAnsi="Kunstler Script"/>
          <w:b/>
          <w:sz w:val="72"/>
          <w:szCs w:val="72"/>
        </w:rPr>
        <w:t xml:space="preserve">       </w:t>
      </w:r>
      <w:r w:rsidRPr="00D1597F">
        <w:rPr>
          <w:rFonts w:cstheme="minorHAnsi"/>
          <w:b/>
          <w:sz w:val="24"/>
          <w:szCs w:val="24"/>
        </w:rPr>
        <w:t>No. 10055-1-2012</w:t>
      </w:r>
    </w:p>
    <w:p w:rsidR="00CC7C7C" w:rsidRPr="00D1597F" w:rsidRDefault="005822A9">
      <w:pPr>
        <w:rPr>
          <w:sz w:val="19"/>
          <w:szCs w:val="19"/>
        </w:rPr>
      </w:pPr>
      <w:r w:rsidRPr="00D1597F">
        <w:rPr>
          <w:b/>
          <w:sz w:val="19"/>
          <w:szCs w:val="19"/>
        </w:rPr>
        <w:t>RECORD NO.</w:t>
      </w:r>
      <w:r w:rsidRPr="00D1597F">
        <w:rPr>
          <w:sz w:val="19"/>
          <w:szCs w:val="19"/>
        </w:rPr>
        <w:tab/>
      </w:r>
      <w:r w:rsidRPr="00D1597F">
        <w:rPr>
          <w:sz w:val="19"/>
          <w:szCs w:val="19"/>
        </w:rPr>
        <w:tab/>
        <w:t>:</w:t>
      </w:r>
      <w:r w:rsidRPr="00D1597F">
        <w:rPr>
          <w:sz w:val="19"/>
          <w:szCs w:val="19"/>
        </w:rPr>
        <w:tab/>
        <w:t>5860-2011</w:t>
      </w:r>
    </w:p>
    <w:p w:rsidR="005822A9" w:rsidRPr="00D1597F" w:rsidRDefault="005822A9">
      <w:pPr>
        <w:rPr>
          <w:sz w:val="19"/>
          <w:szCs w:val="19"/>
        </w:rPr>
      </w:pPr>
      <w:r w:rsidRPr="00D1597F">
        <w:rPr>
          <w:b/>
          <w:sz w:val="19"/>
          <w:szCs w:val="19"/>
        </w:rPr>
        <w:t>INTERESTED PARTY</w:t>
      </w:r>
      <w:r w:rsidRPr="00D1597F">
        <w:rPr>
          <w:sz w:val="19"/>
          <w:szCs w:val="19"/>
        </w:rPr>
        <w:tab/>
        <w:t>:</w:t>
      </w:r>
    </w:p>
    <w:p w:rsidR="005822A9" w:rsidRPr="00D1597F" w:rsidRDefault="005822A9">
      <w:pPr>
        <w:rPr>
          <w:sz w:val="19"/>
          <w:szCs w:val="19"/>
        </w:rPr>
      </w:pPr>
      <w:r w:rsidRPr="00D1597F">
        <w:rPr>
          <w:b/>
          <w:sz w:val="19"/>
          <w:szCs w:val="19"/>
        </w:rPr>
        <w:t>SUBJECT</w:t>
      </w:r>
      <w:r w:rsidRPr="00D1597F">
        <w:rPr>
          <w:sz w:val="19"/>
          <w:szCs w:val="19"/>
        </w:rPr>
        <w:tab/>
      </w:r>
      <w:r w:rsidRPr="00D1597F">
        <w:rPr>
          <w:sz w:val="19"/>
          <w:szCs w:val="19"/>
        </w:rPr>
        <w:tab/>
      </w:r>
      <w:r w:rsidR="00B74068" w:rsidRPr="00D1597F">
        <w:rPr>
          <w:sz w:val="19"/>
          <w:szCs w:val="19"/>
        </w:rPr>
        <w:tab/>
      </w:r>
      <w:r w:rsidRPr="00D1597F">
        <w:rPr>
          <w:sz w:val="19"/>
          <w:szCs w:val="19"/>
        </w:rPr>
        <w:t>:</w:t>
      </w:r>
      <w:r w:rsidRPr="00D1597F">
        <w:rPr>
          <w:sz w:val="19"/>
          <w:szCs w:val="19"/>
        </w:rPr>
        <w:tab/>
        <w:t>Refund</w:t>
      </w:r>
    </w:p>
    <w:p w:rsidR="005822A9" w:rsidRPr="00D1597F" w:rsidRDefault="005822A9">
      <w:pPr>
        <w:rPr>
          <w:sz w:val="19"/>
          <w:szCs w:val="19"/>
        </w:rPr>
      </w:pPr>
      <w:r w:rsidRPr="00D1597F">
        <w:rPr>
          <w:b/>
          <w:sz w:val="19"/>
          <w:szCs w:val="19"/>
        </w:rPr>
        <w:t>ORIGEN</w:t>
      </w:r>
      <w:r w:rsidRPr="00D1597F">
        <w:rPr>
          <w:sz w:val="19"/>
          <w:szCs w:val="19"/>
        </w:rPr>
        <w:tab/>
      </w:r>
      <w:r w:rsidRPr="00D1597F">
        <w:rPr>
          <w:sz w:val="19"/>
          <w:szCs w:val="19"/>
        </w:rPr>
        <w:tab/>
      </w:r>
      <w:r w:rsidR="00B74068" w:rsidRPr="00D1597F">
        <w:rPr>
          <w:sz w:val="19"/>
          <w:szCs w:val="19"/>
        </w:rPr>
        <w:tab/>
      </w:r>
      <w:r w:rsidRPr="00D1597F">
        <w:rPr>
          <w:sz w:val="19"/>
          <w:szCs w:val="19"/>
        </w:rPr>
        <w:t>:</w:t>
      </w:r>
      <w:r w:rsidRPr="00D1597F">
        <w:rPr>
          <w:sz w:val="19"/>
          <w:szCs w:val="19"/>
        </w:rPr>
        <w:tab/>
        <w:t>Lima</w:t>
      </w:r>
    </w:p>
    <w:p w:rsidR="005822A9" w:rsidRPr="00D1597F" w:rsidRDefault="005822A9">
      <w:pPr>
        <w:rPr>
          <w:sz w:val="19"/>
          <w:szCs w:val="19"/>
        </w:rPr>
      </w:pPr>
      <w:r w:rsidRPr="00D1597F">
        <w:rPr>
          <w:b/>
          <w:sz w:val="19"/>
          <w:szCs w:val="19"/>
        </w:rPr>
        <w:t>DATE</w:t>
      </w:r>
      <w:r w:rsidRPr="00D1597F">
        <w:rPr>
          <w:sz w:val="19"/>
          <w:szCs w:val="19"/>
        </w:rPr>
        <w:tab/>
      </w:r>
      <w:r w:rsidRPr="00D1597F">
        <w:rPr>
          <w:sz w:val="19"/>
          <w:szCs w:val="19"/>
        </w:rPr>
        <w:tab/>
      </w:r>
      <w:r w:rsidRPr="00D1597F">
        <w:rPr>
          <w:sz w:val="19"/>
          <w:szCs w:val="19"/>
        </w:rPr>
        <w:tab/>
        <w:t>:</w:t>
      </w:r>
      <w:r w:rsidRPr="00D1597F">
        <w:rPr>
          <w:sz w:val="19"/>
          <w:szCs w:val="19"/>
        </w:rPr>
        <w:tab/>
        <w:t>Lima, June 22, 2012</w:t>
      </w:r>
    </w:p>
    <w:p w:rsidR="005822A9" w:rsidRPr="00D1597F" w:rsidRDefault="005822A9">
      <w:pPr>
        <w:rPr>
          <w:sz w:val="19"/>
          <w:szCs w:val="19"/>
        </w:rPr>
      </w:pPr>
    </w:p>
    <w:p w:rsidR="005822A9" w:rsidRPr="00D1597F" w:rsidRDefault="009C2C24" w:rsidP="00B74068">
      <w:pPr>
        <w:jc w:val="both"/>
        <w:rPr>
          <w:sz w:val="19"/>
          <w:szCs w:val="19"/>
        </w:rPr>
      </w:pPr>
      <w:r w:rsidRPr="00D1597F">
        <w:rPr>
          <w:b/>
          <w:sz w:val="19"/>
          <w:szCs w:val="19"/>
        </w:rPr>
        <w:t>IN VIEW OF</w:t>
      </w:r>
      <w:r w:rsidR="00011E5C" w:rsidRPr="00D1597F">
        <w:rPr>
          <w:sz w:val="19"/>
          <w:szCs w:val="19"/>
        </w:rPr>
        <w:t xml:space="preserve"> the appeal </w:t>
      </w:r>
      <w:r w:rsidR="00E0078D" w:rsidRPr="00D1597F">
        <w:rPr>
          <w:sz w:val="19"/>
          <w:szCs w:val="19"/>
        </w:rPr>
        <w:t>brought</w:t>
      </w:r>
      <w:r w:rsidR="00011E5C" w:rsidRPr="00D1597F">
        <w:rPr>
          <w:sz w:val="19"/>
          <w:szCs w:val="19"/>
        </w:rPr>
        <w:t xml:space="preserve"> by [blank] against Administrative Resolution No. 0150140009628 of March 29, 2011, issued by the </w:t>
      </w:r>
      <w:r w:rsidR="00B14C6D" w:rsidRPr="00D1597F">
        <w:rPr>
          <w:sz w:val="19"/>
          <w:szCs w:val="19"/>
        </w:rPr>
        <w:t>Division</w:t>
      </w:r>
      <w:r w:rsidR="006006A4" w:rsidRPr="00D1597F">
        <w:rPr>
          <w:sz w:val="19"/>
          <w:szCs w:val="19"/>
        </w:rPr>
        <w:t xml:space="preserve"> of Major National Taxpayers of the </w:t>
      </w:r>
      <w:r w:rsidR="00B0083E" w:rsidRPr="00D1597F">
        <w:rPr>
          <w:sz w:val="19"/>
          <w:szCs w:val="19"/>
        </w:rPr>
        <w:t xml:space="preserve">National </w:t>
      </w:r>
      <w:r w:rsidR="00B14C6D" w:rsidRPr="00D1597F">
        <w:rPr>
          <w:sz w:val="19"/>
          <w:szCs w:val="19"/>
        </w:rPr>
        <w:t>Department of</w:t>
      </w:r>
      <w:r w:rsidR="00B0083E" w:rsidRPr="00D1597F">
        <w:rPr>
          <w:sz w:val="19"/>
          <w:szCs w:val="19"/>
        </w:rPr>
        <w:t xml:space="preserve"> Customs and Tax Administration (SUNAT</w:t>
      </w:r>
      <w:r w:rsidR="00BA56A3" w:rsidRPr="00D1597F">
        <w:rPr>
          <w:sz w:val="19"/>
          <w:szCs w:val="19"/>
        </w:rPr>
        <w:t>,</w:t>
      </w:r>
      <w:r w:rsidR="00B0083E" w:rsidRPr="00D1597F">
        <w:rPr>
          <w:sz w:val="19"/>
          <w:szCs w:val="19"/>
        </w:rPr>
        <w:t xml:space="preserve"> for its acronym in Spanish), </w:t>
      </w:r>
      <w:r w:rsidRPr="00D1597F">
        <w:rPr>
          <w:sz w:val="19"/>
          <w:szCs w:val="19"/>
        </w:rPr>
        <w:t>which declared groundless</w:t>
      </w:r>
      <w:r w:rsidR="00E0078D" w:rsidRPr="00D1597F">
        <w:rPr>
          <w:sz w:val="19"/>
          <w:szCs w:val="19"/>
        </w:rPr>
        <w:t xml:space="preserve"> </w:t>
      </w:r>
      <w:r w:rsidRPr="00D1597F">
        <w:rPr>
          <w:sz w:val="19"/>
          <w:szCs w:val="19"/>
        </w:rPr>
        <w:t xml:space="preserve">the complaint against Administrative Resolution No. 012-018-0006533/SUNAT, which declared improper the request for refund of </w:t>
      </w:r>
      <w:r w:rsidR="00971ABA" w:rsidRPr="00D1597F">
        <w:rPr>
          <w:sz w:val="19"/>
          <w:szCs w:val="19"/>
        </w:rPr>
        <w:t xml:space="preserve">the remaining balance of the </w:t>
      </w:r>
      <w:r w:rsidR="00D5798C" w:rsidRPr="00D1597F">
        <w:rPr>
          <w:sz w:val="19"/>
          <w:szCs w:val="19"/>
        </w:rPr>
        <w:t xml:space="preserve">Temporary </w:t>
      </w:r>
      <w:r w:rsidR="00971ABA" w:rsidRPr="00D1597F">
        <w:rPr>
          <w:sz w:val="19"/>
          <w:szCs w:val="19"/>
        </w:rPr>
        <w:t>Tax</w:t>
      </w:r>
      <w:r w:rsidR="00D5798C" w:rsidRPr="00D1597F">
        <w:rPr>
          <w:sz w:val="19"/>
          <w:szCs w:val="19"/>
        </w:rPr>
        <w:t xml:space="preserve"> on Net Assets</w:t>
      </w:r>
      <w:r w:rsidR="00971ABA" w:rsidRPr="00D1597F">
        <w:rPr>
          <w:sz w:val="19"/>
          <w:szCs w:val="19"/>
        </w:rPr>
        <w:t xml:space="preserve"> (ITAN</w:t>
      </w:r>
      <w:r w:rsidR="00BA56A3" w:rsidRPr="00D1597F">
        <w:rPr>
          <w:sz w:val="19"/>
          <w:szCs w:val="19"/>
        </w:rPr>
        <w:t>,</w:t>
      </w:r>
      <w:r w:rsidR="00971ABA" w:rsidRPr="00D1597F">
        <w:rPr>
          <w:sz w:val="19"/>
          <w:szCs w:val="19"/>
        </w:rPr>
        <w:t xml:space="preserve"> for its acronym in Spanish), corresponding to August 2005.</w:t>
      </w:r>
      <w:r w:rsidRPr="00D1597F">
        <w:rPr>
          <w:sz w:val="19"/>
          <w:szCs w:val="19"/>
        </w:rPr>
        <w:t xml:space="preserve"> </w:t>
      </w:r>
      <w:r w:rsidR="00B14C6D" w:rsidRPr="00D1597F">
        <w:rPr>
          <w:sz w:val="19"/>
          <w:szCs w:val="19"/>
        </w:rPr>
        <w:t xml:space="preserve"> </w:t>
      </w:r>
    </w:p>
    <w:p w:rsidR="00BA56A3" w:rsidRPr="00D1597F" w:rsidRDefault="00BA56A3" w:rsidP="00B74068">
      <w:pPr>
        <w:jc w:val="both"/>
        <w:rPr>
          <w:sz w:val="19"/>
          <w:szCs w:val="19"/>
        </w:rPr>
      </w:pPr>
    </w:p>
    <w:p w:rsidR="00BA56A3" w:rsidRPr="00D1597F" w:rsidRDefault="001D691C" w:rsidP="00B74068">
      <w:pPr>
        <w:jc w:val="both"/>
        <w:rPr>
          <w:b/>
          <w:sz w:val="19"/>
          <w:szCs w:val="19"/>
        </w:rPr>
      </w:pPr>
      <w:r w:rsidRPr="00D1597F">
        <w:rPr>
          <w:b/>
          <w:sz w:val="19"/>
          <w:szCs w:val="19"/>
        </w:rPr>
        <w:t>WHEREAS:</w:t>
      </w:r>
    </w:p>
    <w:p w:rsidR="001D691C" w:rsidRPr="00D1597F" w:rsidRDefault="001D691C" w:rsidP="00B74068">
      <w:pPr>
        <w:jc w:val="both"/>
        <w:rPr>
          <w:sz w:val="19"/>
          <w:szCs w:val="19"/>
        </w:rPr>
      </w:pPr>
    </w:p>
    <w:p w:rsidR="001D691C" w:rsidRPr="00D1597F" w:rsidRDefault="001D691C" w:rsidP="00B74068">
      <w:pPr>
        <w:jc w:val="both"/>
        <w:rPr>
          <w:sz w:val="19"/>
          <w:szCs w:val="19"/>
        </w:rPr>
      </w:pPr>
      <w:r w:rsidRPr="00D1597F">
        <w:rPr>
          <w:sz w:val="19"/>
          <w:szCs w:val="19"/>
        </w:rPr>
        <w:t xml:space="preserve">The appellant states that subsequent to the </w:t>
      </w:r>
      <w:r w:rsidR="001E18F5" w:rsidRPr="00D1597F">
        <w:rPr>
          <w:sz w:val="19"/>
          <w:szCs w:val="19"/>
        </w:rPr>
        <w:t>end of tax</w:t>
      </w:r>
      <w:r w:rsidRPr="00D1597F">
        <w:rPr>
          <w:sz w:val="19"/>
          <w:szCs w:val="19"/>
        </w:rPr>
        <w:t xml:space="preserve"> year 2005</w:t>
      </w:r>
      <w:r w:rsidR="00D5798C" w:rsidRPr="00D1597F">
        <w:rPr>
          <w:sz w:val="19"/>
          <w:szCs w:val="19"/>
        </w:rPr>
        <w:t>, she submitted</w:t>
      </w:r>
      <w:r w:rsidR="001E18F5" w:rsidRPr="00D1597F">
        <w:rPr>
          <w:sz w:val="19"/>
          <w:szCs w:val="19"/>
        </w:rPr>
        <w:t xml:space="preserve"> her request for ref</w:t>
      </w:r>
      <w:r w:rsidR="00D5798C" w:rsidRPr="00D1597F">
        <w:rPr>
          <w:sz w:val="19"/>
          <w:szCs w:val="19"/>
        </w:rPr>
        <w:t xml:space="preserve">und of the Temporary </w:t>
      </w:r>
      <w:r w:rsidR="001E18F5" w:rsidRPr="00D1597F">
        <w:rPr>
          <w:sz w:val="19"/>
          <w:szCs w:val="19"/>
        </w:rPr>
        <w:t>Tax</w:t>
      </w:r>
      <w:r w:rsidR="00D5798C" w:rsidRPr="00D1597F">
        <w:rPr>
          <w:sz w:val="19"/>
          <w:szCs w:val="19"/>
        </w:rPr>
        <w:t xml:space="preserve"> on Net Assets</w:t>
      </w:r>
      <w:r w:rsidR="001E18F5" w:rsidRPr="00D1597F">
        <w:rPr>
          <w:sz w:val="19"/>
          <w:szCs w:val="19"/>
        </w:rPr>
        <w:t xml:space="preserve"> (ITAN) corre</w:t>
      </w:r>
      <w:r w:rsidR="00D5798C" w:rsidRPr="00D1597F">
        <w:rPr>
          <w:sz w:val="19"/>
          <w:szCs w:val="19"/>
        </w:rPr>
        <w:t>sponding to the month of August</w:t>
      </w:r>
      <w:r w:rsidR="001E18F5" w:rsidRPr="00D1597F">
        <w:rPr>
          <w:sz w:val="19"/>
          <w:szCs w:val="19"/>
        </w:rPr>
        <w:t xml:space="preserve"> 2005, basing her request on the fact that said amount could not be used as an income tax credit for tax year 2005</w:t>
      </w:r>
      <w:r w:rsidR="00D5798C" w:rsidRPr="00D1597F">
        <w:rPr>
          <w:sz w:val="19"/>
          <w:szCs w:val="19"/>
        </w:rPr>
        <w:t>.</w:t>
      </w:r>
    </w:p>
    <w:p w:rsidR="001D691C" w:rsidRPr="00D1597F" w:rsidRDefault="001D691C" w:rsidP="00B74068">
      <w:pPr>
        <w:jc w:val="both"/>
        <w:rPr>
          <w:sz w:val="19"/>
          <w:szCs w:val="19"/>
        </w:rPr>
      </w:pPr>
    </w:p>
    <w:p w:rsidR="00D5798C" w:rsidRPr="00D1597F" w:rsidRDefault="00D5798C" w:rsidP="00B74068">
      <w:pPr>
        <w:jc w:val="both"/>
        <w:rPr>
          <w:sz w:val="19"/>
          <w:szCs w:val="19"/>
        </w:rPr>
      </w:pPr>
      <w:r w:rsidRPr="00D1597F">
        <w:rPr>
          <w:sz w:val="19"/>
          <w:szCs w:val="19"/>
        </w:rPr>
        <w:t xml:space="preserve">The appellant also indicates that in accordance with the rules governing the Temporary Tax on Net Assets, said tax can be applied as a credit against </w:t>
      </w:r>
      <w:r w:rsidR="006F1FF0" w:rsidRPr="00D1597F">
        <w:rPr>
          <w:sz w:val="19"/>
          <w:szCs w:val="19"/>
        </w:rPr>
        <w:t xml:space="preserve">estimated tax </w:t>
      </w:r>
      <w:r w:rsidR="0044309C" w:rsidRPr="00D1597F">
        <w:rPr>
          <w:sz w:val="19"/>
          <w:szCs w:val="19"/>
        </w:rPr>
        <w:t xml:space="preserve">payments and the </w:t>
      </w:r>
      <w:r w:rsidR="006F1FF0" w:rsidRPr="00D1597F">
        <w:rPr>
          <w:sz w:val="19"/>
          <w:szCs w:val="19"/>
        </w:rPr>
        <w:t xml:space="preserve">tax </w:t>
      </w:r>
      <w:r w:rsidR="0044309C" w:rsidRPr="00D1597F">
        <w:rPr>
          <w:sz w:val="19"/>
          <w:szCs w:val="19"/>
        </w:rPr>
        <w:t xml:space="preserve">for </w:t>
      </w:r>
      <w:r w:rsidR="00992090">
        <w:rPr>
          <w:sz w:val="19"/>
          <w:szCs w:val="19"/>
        </w:rPr>
        <w:t xml:space="preserve">income tax </w:t>
      </w:r>
      <w:r w:rsidR="0044309C" w:rsidRPr="00D1597F">
        <w:rPr>
          <w:sz w:val="19"/>
          <w:szCs w:val="19"/>
        </w:rPr>
        <w:t>regulari</w:t>
      </w:r>
      <w:r w:rsidR="00992090">
        <w:rPr>
          <w:sz w:val="19"/>
          <w:szCs w:val="19"/>
        </w:rPr>
        <w:t>zation</w:t>
      </w:r>
      <w:r w:rsidR="006F1FF0" w:rsidRPr="00D1597F">
        <w:rPr>
          <w:sz w:val="19"/>
          <w:szCs w:val="19"/>
        </w:rPr>
        <w:t xml:space="preserve"> for the same tax year, </w:t>
      </w:r>
      <w:r w:rsidR="0044309C" w:rsidRPr="00D1597F">
        <w:rPr>
          <w:sz w:val="19"/>
          <w:szCs w:val="19"/>
        </w:rPr>
        <w:t xml:space="preserve">even when payment had been made in an untimely manner, establishing </w:t>
      </w:r>
      <w:r w:rsidR="00677F3C" w:rsidRPr="00D1597F">
        <w:rPr>
          <w:sz w:val="19"/>
          <w:szCs w:val="19"/>
        </w:rPr>
        <w:t>the possibility of</w:t>
      </w:r>
      <w:r w:rsidR="0090325D" w:rsidRPr="00D1597F">
        <w:rPr>
          <w:sz w:val="19"/>
          <w:szCs w:val="19"/>
        </w:rPr>
        <w:t xml:space="preserve"> apply</w:t>
      </w:r>
      <w:r w:rsidR="00677F3C" w:rsidRPr="00D1597F">
        <w:rPr>
          <w:sz w:val="19"/>
          <w:szCs w:val="19"/>
        </w:rPr>
        <w:t>ing</w:t>
      </w:r>
      <w:r w:rsidR="0090325D" w:rsidRPr="00D1597F">
        <w:rPr>
          <w:sz w:val="19"/>
          <w:szCs w:val="19"/>
        </w:rPr>
        <w:t xml:space="preserve"> for a refund of </w:t>
      </w:r>
      <w:r w:rsidR="00964CE8" w:rsidRPr="00D1597F">
        <w:rPr>
          <w:sz w:val="19"/>
          <w:szCs w:val="19"/>
        </w:rPr>
        <w:t>the amount paid after filing</w:t>
      </w:r>
      <w:r w:rsidR="0090325D" w:rsidRPr="00D1597F">
        <w:rPr>
          <w:sz w:val="19"/>
          <w:szCs w:val="19"/>
        </w:rPr>
        <w:t xml:space="preserve"> the annual income tax </w:t>
      </w:r>
      <w:r w:rsidR="00677F3C" w:rsidRPr="00D1597F">
        <w:rPr>
          <w:sz w:val="19"/>
          <w:szCs w:val="19"/>
        </w:rPr>
        <w:t>return.</w:t>
      </w:r>
      <w:r w:rsidR="0044309C" w:rsidRPr="00D1597F">
        <w:rPr>
          <w:sz w:val="19"/>
          <w:szCs w:val="19"/>
        </w:rPr>
        <w:t xml:space="preserve"> </w:t>
      </w:r>
    </w:p>
    <w:p w:rsidR="005822A9" w:rsidRPr="00D1597F" w:rsidRDefault="005822A9" w:rsidP="00B74068">
      <w:pPr>
        <w:jc w:val="both"/>
        <w:rPr>
          <w:sz w:val="19"/>
          <w:szCs w:val="19"/>
        </w:rPr>
      </w:pPr>
      <w:r w:rsidRPr="00D1597F">
        <w:rPr>
          <w:sz w:val="19"/>
          <w:szCs w:val="19"/>
        </w:rPr>
        <w:tab/>
      </w:r>
    </w:p>
    <w:p w:rsidR="00CC7C7C" w:rsidRPr="00D1597F" w:rsidRDefault="00D302A8" w:rsidP="00B74068">
      <w:pPr>
        <w:jc w:val="both"/>
        <w:rPr>
          <w:sz w:val="19"/>
          <w:szCs w:val="19"/>
        </w:rPr>
      </w:pPr>
      <w:r w:rsidRPr="00D1597F">
        <w:rPr>
          <w:sz w:val="19"/>
          <w:szCs w:val="19"/>
        </w:rPr>
        <w:t>Additionally, the appellant maintains that neither the law nor the ITAN regulations expressly</w:t>
      </w:r>
      <w:r w:rsidR="00D1597F">
        <w:rPr>
          <w:sz w:val="19"/>
          <w:szCs w:val="19"/>
        </w:rPr>
        <w:t xml:space="preserve"> call for </w:t>
      </w:r>
      <w:r w:rsidRPr="00D1597F">
        <w:rPr>
          <w:sz w:val="19"/>
          <w:szCs w:val="19"/>
        </w:rPr>
        <w:t>untimely payment</w:t>
      </w:r>
      <w:r w:rsidR="00AB7CB2">
        <w:rPr>
          <w:sz w:val="19"/>
          <w:szCs w:val="19"/>
        </w:rPr>
        <w:t>s</w:t>
      </w:r>
      <w:r w:rsidR="00D1597F">
        <w:rPr>
          <w:sz w:val="19"/>
          <w:szCs w:val="19"/>
        </w:rPr>
        <w:t xml:space="preserve"> of the tax to </w:t>
      </w:r>
      <w:r w:rsidR="00AB7CB2">
        <w:rPr>
          <w:sz w:val="19"/>
          <w:szCs w:val="19"/>
        </w:rPr>
        <w:t>be penalized by revoking</w:t>
      </w:r>
      <w:r w:rsidR="00D1597F">
        <w:rPr>
          <w:sz w:val="19"/>
          <w:szCs w:val="19"/>
        </w:rPr>
        <w:t xml:space="preserve"> the right to a refund</w:t>
      </w:r>
      <w:r w:rsidRPr="00D1597F">
        <w:rPr>
          <w:sz w:val="19"/>
          <w:szCs w:val="19"/>
        </w:rPr>
        <w:t>, as the only condition stipulated for t</w:t>
      </w:r>
      <w:r w:rsidR="007030ED">
        <w:rPr>
          <w:sz w:val="19"/>
          <w:szCs w:val="19"/>
        </w:rPr>
        <w:t>he refund is that</w:t>
      </w:r>
      <w:r w:rsidRPr="00D1597F">
        <w:rPr>
          <w:sz w:val="19"/>
          <w:szCs w:val="19"/>
        </w:rPr>
        <w:t xml:space="preserve"> the annual income tax return</w:t>
      </w:r>
      <w:r w:rsidR="007030ED">
        <w:rPr>
          <w:sz w:val="19"/>
          <w:szCs w:val="19"/>
        </w:rPr>
        <w:t xml:space="preserve"> be filed</w:t>
      </w:r>
      <w:r w:rsidRPr="00D1597F">
        <w:rPr>
          <w:sz w:val="19"/>
          <w:szCs w:val="19"/>
        </w:rPr>
        <w:t>.</w:t>
      </w:r>
    </w:p>
    <w:p w:rsidR="00CC7C7C" w:rsidRPr="00D1597F" w:rsidRDefault="00CC7C7C" w:rsidP="00B74068">
      <w:pPr>
        <w:jc w:val="both"/>
        <w:rPr>
          <w:sz w:val="19"/>
          <w:szCs w:val="19"/>
        </w:rPr>
      </w:pPr>
    </w:p>
    <w:p w:rsidR="00CC7C7C" w:rsidRPr="00D1597F" w:rsidRDefault="00A85C4C" w:rsidP="00B74068">
      <w:pPr>
        <w:jc w:val="both"/>
        <w:rPr>
          <w:sz w:val="19"/>
          <w:szCs w:val="19"/>
        </w:rPr>
      </w:pPr>
      <w:r w:rsidRPr="00D1597F">
        <w:rPr>
          <w:sz w:val="19"/>
          <w:szCs w:val="19"/>
        </w:rPr>
        <w:t>She indicates that the present case involves</w:t>
      </w:r>
      <w:r w:rsidR="009766C0" w:rsidRPr="00D1597F">
        <w:rPr>
          <w:sz w:val="19"/>
          <w:szCs w:val="19"/>
        </w:rPr>
        <w:t xml:space="preserve"> the untimely payment of an ITAN installment (after the deadline for submission of the annual income tax return), which </w:t>
      </w:r>
      <w:r w:rsidRPr="00D1597F">
        <w:rPr>
          <w:sz w:val="19"/>
          <w:szCs w:val="19"/>
        </w:rPr>
        <w:t>became an overpayment as it could not be used as an income tax credit.</w:t>
      </w:r>
    </w:p>
    <w:p w:rsidR="00A85C4C" w:rsidRPr="00D1597F" w:rsidRDefault="00A85C4C" w:rsidP="00B74068">
      <w:pPr>
        <w:jc w:val="both"/>
        <w:rPr>
          <w:sz w:val="19"/>
          <w:szCs w:val="19"/>
        </w:rPr>
      </w:pPr>
    </w:p>
    <w:p w:rsidR="00A85C4C" w:rsidRPr="00D1597F" w:rsidRDefault="00A100AC" w:rsidP="00B74068">
      <w:pPr>
        <w:jc w:val="both"/>
        <w:rPr>
          <w:sz w:val="19"/>
          <w:szCs w:val="19"/>
        </w:rPr>
      </w:pPr>
      <w:r w:rsidRPr="00D1597F">
        <w:rPr>
          <w:sz w:val="19"/>
          <w:szCs w:val="19"/>
        </w:rPr>
        <w:t>Furthermore, the appellant alleges that the restrictive interpretation of the Administration</w:t>
      </w:r>
      <w:r w:rsidR="00FB3464">
        <w:rPr>
          <w:sz w:val="19"/>
          <w:szCs w:val="19"/>
        </w:rPr>
        <w:t xml:space="preserve"> in</w:t>
      </w:r>
      <w:r w:rsidRPr="00D1597F">
        <w:rPr>
          <w:sz w:val="19"/>
          <w:szCs w:val="19"/>
        </w:rPr>
        <w:t xml:space="preserve"> not recognizing her right to the ITAN re</w:t>
      </w:r>
      <w:r w:rsidR="00FB3464">
        <w:rPr>
          <w:sz w:val="19"/>
          <w:szCs w:val="19"/>
        </w:rPr>
        <w:t xml:space="preserve">fund corresponding to August </w:t>
      </w:r>
      <w:r w:rsidRPr="00D1597F">
        <w:rPr>
          <w:sz w:val="19"/>
          <w:szCs w:val="19"/>
        </w:rPr>
        <w:t xml:space="preserve">2005 infringes upon her right to equality, </w:t>
      </w:r>
      <w:r w:rsidR="00FB3464">
        <w:rPr>
          <w:sz w:val="19"/>
          <w:szCs w:val="19"/>
        </w:rPr>
        <w:t xml:space="preserve">given that </w:t>
      </w:r>
      <w:r w:rsidR="001C1757" w:rsidRPr="00D1597F">
        <w:rPr>
          <w:sz w:val="19"/>
          <w:szCs w:val="19"/>
        </w:rPr>
        <w:t>larger deductions would be accepted for individuals at the same or higher in</w:t>
      </w:r>
      <w:r w:rsidR="00FB3464">
        <w:rPr>
          <w:sz w:val="19"/>
          <w:szCs w:val="19"/>
        </w:rPr>
        <w:t>come level</w:t>
      </w:r>
      <w:r w:rsidR="001C1757" w:rsidRPr="00D1597F">
        <w:rPr>
          <w:sz w:val="19"/>
          <w:szCs w:val="19"/>
        </w:rPr>
        <w:t>, due solely to the fact of havin</w:t>
      </w:r>
      <w:r w:rsidR="00964CE8" w:rsidRPr="00D1597F">
        <w:rPr>
          <w:sz w:val="19"/>
          <w:szCs w:val="19"/>
        </w:rPr>
        <w:t>g paid the ITAN after filing</w:t>
      </w:r>
      <w:r w:rsidR="00FB3464">
        <w:rPr>
          <w:sz w:val="19"/>
          <w:szCs w:val="19"/>
        </w:rPr>
        <w:t xml:space="preserve"> the</w:t>
      </w:r>
      <w:r w:rsidR="001C1757" w:rsidRPr="00D1597F">
        <w:rPr>
          <w:sz w:val="19"/>
          <w:szCs w:val="19"/>
        </w:rPr>
        <w:t xml:space="preserve"> annual income tax return. Similarly, she mainta</w:t>
      </w:r>
      <w:r w:rsidR="001F7842">
        <w:rPr>
          <w:sz w:val="19"/>
          <w:szCs w:val="19"/>
        </w:rPr>
        <w:t>ins that the principle of</w:t>
      </w:r>
      <w:r w:rsidR="00F47F0B">
        <w:rPr>
          <w:sz w:val="19"/>
          <w:szCs w:val="19"/>
        </w:rPr>
        <w:t xml:space="preserve"> legal reservation</w:t>
      </w:r>
      <w:r w:rsidR="00854FC1" w:rsidRPr="00D1597F">
        <w:rPr>
          <w:sz w:val="19"/>
          <w:szCs w:val="19"/>
        </w:rPr>
        <w:t xml:space="preserve"> set forth in Ar</w:t>
      </w:r>
      <w:r w:rsidR="001F7842">
        <w:rPr>
          <w:sz w:val="19"/>
          <w:szCs w:val="19"/>
        </w:rPr>
        <w:t>ticle 74 of the Constitution is</w:t>
      </w:r>
      <w:r w:rsidR="00854FC1" w:rsidRPr="00D1597F">
        <w:rPr>
          <w:sz w:val="19"/>
          <w:szCs w:val="19"/>
        </w:rPr>
        <w:t xml:space="preserve"> thus infringed, as the law has not expressly provided for the nonrecognition of a refund for untimely payment of the ITAN.</w:t>
      </w:r>
    </w:p>
    <w:p w:rsidR="006E30E6" w:rsidRPr="00D1597F" w:rsidRDefault="006E30E6" w:rsidP="00B74068">
      <w:pPr>
        <w:jc w:val="both"/>
        <w:rPr>
          <w:sz w:val="19"/>
          <w:szCs w:val="19"/>
        </w:rPr>
      </w:pPr>
    </w:p>
    <w:p w:rsidR="006E30E6" w:rsidRPr="00D1597F" w:rsidRDefault="006E30E6" w:rsidP="00565E73">
      <w:pPr>
        <w:jc w:val="both"/>
        <w:rPr>
          <w:sz w:val="19"/>
          <w:szCs w:val="19"/>
        </w:rPr>
      </w:pPr>
      <w:r w:rsidRPr="00D1597F">
        <w:rPr>
          <w:sz w:val="19"/>
          <w:szCs w:val="19"/>
        </w:rPr>
        <w:t>Finally, she notes that in the present case a double penalty would exist</w:t>
      </w:r>
      <w:r w:rsidR="00A874E5" w:rsidRPr="00D1597F">
        <w:rPr>
          <w:sz w:val="19"/>
          <w:szCs w:val="19"/>
        </w:rPr>
        <w:t>: on</w:t>
      </w:r>
      <w:r w:rsidRPr="00D1597F">
        <w:rPr>
          <w:sz w:val="19"/>
          <w:szCs w:val="19"/>
        </w:rPr>
        <w:t xml:space="preserve"> one hand the </w:t>
      </w:r>
      <w:r w:rsidR="00A874E5" w:rsidRPr="00D1597F">
        <w:rPr>
          <w:sz w:val="19"/>
          <w:szCs w:val="19"/>
        </w:rPr>
        <w:t>default interest owed for late payment of the ITAN and on the other hand the nonrecognition of the right to apply the ITAN payment as a credit and/or to request a refund.</w:t>
      </w:r>
    </w:p>
    <w:p w:rsidR="00A874E5" w:rsidRPr="00D1597F" w:rsidRDefault="00A874E5" w:rsidP="00565E73">
      <w:pPr>
        <w:jc w:val="both"/>
        <w:rPr>
          <w:sz w:val="19"/>
          <w:szCs w:val="19"/>
        </w:rPr>
      </w:pPr>
    </w:p>
    <w:p w:rsidR="00A874E5" w:rsidRDefault="00B74068" w:rsidP="00565E73">
      <w:pPr>
        <w:jc w:val="both"/>
        <w:rPr>
          <w:sz w:val="19"/>
          <w:szCs w:val="19"/>
        </w:rPr>
      </w:pPr>
      <w:r w:rsidRPr="00D1597F">
        <w:rPr>
          <w:sz w:val="19"/>
          <w:szCs w:val="19"/>
        </w:rPr>
        <w:t xml:space="preserve">For its part, the Administration is in </w:t>
      </w:r>
      <w:r w:rsidR="00E202FD">
        <w:rPr>
          <w:sz w:val="19"/>
          <w:szCs w:val="19"/>
        </w:rPr>
        <w:t>compliance</w:t>
      </w:r>
      <w:r w:rsidR="00C923C0" w:rsidRPr="00D1597F">
        <w:rPr>
          <w:sz w:val="19"/>
          <w:szCs w:val="19"/>
        </w:rPr>
        <w:t xml:space="preserve"> with Article 8 of the Law of ITAN and Article 10 of its regulations; </w:t>
      </w:r>
      <w:r w:rsidR="0051372B" w:rsidRPr="00D1597F">
        <w:rPr>
          <w:sz w:val="19"/>
          <w:szCs w:val="19"/>
        </w:rPr>
        <w:t>the portion</w:t>
      </w:r>
      <w:r w:rsidR="00C923C0" w:rsidRPr="00D1597F">
        <w:rPr>
          <w:sz w:val="19"/>
          <w:szCs w:val="19"/>
        </w:rPr>
        <w:t xml:space="preserve"> of the ITAN credit </w:t>
      </w:r>
      <w:r w:rsidR="0051372B" w:rsidRPr="00D1597F">
        <w:rPr>
          <w:sz w:val="19"/>
          <w:szCs w:val="19"/>
        </w:rPr>
        <w:t xml:space="preserve">that </w:t>
      </w:r>
      <w:r w:rsidR="00C923C0" w:rsidRPr="00D1597F">
        <w:rPr>
          <w:sz w:val="19"/>
          <w:szCs w:val="19"/>
        </w:rPr>
        <w:t>cannot be cancelled out</w:t>
      </w:r>
      <w:r w:rsidR="0051372B" w:rsidRPr="00D1597F">
        <w:rPr>
          <w:sz w:val="19"/>
          <w:szCs w:val="19"/>
        </w:rPr>
        <w:t xml:space="preserve"> can </w:t>
      </w:r>
      <w:r w:rsidR="00935854">
        <w:rPr>
          <w:sz w:val="19"/>
          <w:szCs w:val="19"/>
        </w:rPr>
        <w:t>[</w:t>
      </w:r>
      <w:r w:rsidR="0051372B" w:rsidRPr="00D1597F">
        <w:rPr>
          <w:sz w:val="19"/>
          <w:szCs w:val="19"/>
        </w:rPr>
        <w:t xml:space="preserve">be </w:t>
      </w:r>
      <w:r w:rsidR="00935854">
        <w:rPr>
          <w:sz w:val="19"/>
          <w:szCs w:val="19"/>
        </w:rPr>
        <w:t>considered for</w:t>
      </w:r>
      <w:r w:rsidR="00A50CF4" w:rsidRPr="00D1597F">
        <w:rPr>
          <w:sz w:val="19"/>
          <w:szCs w:val="19"/>
        </w:rPr>
        <w:t xml:space="preserve"> refund</w:t>
      </w:r>
      <w:r w:rsidR="00935854">
        <w:rPr>
          <w:sz w:val="19"/>
          <w:szCs w:val="19"/>
        </w:rPr>
        <w:t>] [TN: wording in brackets is unclear]</w:t>
      </w:r>
      <w:r w:rsidR="00A50CF4" w:rsidRPr="00D1597F">
        <w:rPr>
          <w:sz w:val="19"/>
          <w:szCs w:val="19"/>
        </w:rPr>
        <w:t>; in that regard</w:t>
      </w:r>
      <w:r w:rsidR="00374FC3" w:rsidRPr="00D1597F">
        <w:rPr>
          <w:sz w:val="19"/>
          <w:szCs w:val="19"/>
        </w:rPr>
        <w:t xml:space="preserve">, </w:t>
      </w:r>
      <w:r w:rsidR="00437579" w:rsidRPr="00D1597F">
        <w:rPr>
          <w:sz w:val="19"/>
          <w:szCs w:val="19"/>
        </w:rPr>
        <w:t>ITAN payments made after submission of the annual income tax return or after the deadline for regularization</w:t>
      </w:r>
      <w:r w:rsidR="00374FC3" w:rsidRPr="00D1597F">
        <w:rPr>
          <w:sz w:val="19"/>
          <w:szCs w:val="19"/>
        </w:rPr>
        <w:t>,</w:t>
      </w:r>
      <w:r w:rsidR="00437579" w:rsidRPr="00D1597F">
        <w:rPr>
          <w:sz w:val="19"/>
          <w:szCs w:val="19"/>
        </w:rPr>
        <w:t xml:space="preserve"> </w:t>
      </w:r>
      <w:r w:rsidR="00C957CD" w:rsidRPr="00D1597F">
        <w:rPr>
          <w:sz w:val="19"/>
          <w:szCs w:val="19"/>
        </w:rPr>
        <w:t xml:space="preserve">inasmuch as it is no longer possible to apply them against the income tax, do not constitute a credit against said tax, so they </w:t>
      </w:r>
      <w:r w:rsidR="00A50CF4" w:rsidRPr="00D1597F">
        <w:rPr>
          <w:sz w:val="19"/>
          <w:szCs w:val="19"/>
        </w:rPr>
        <w:t>cannot be refunded either.</w:t>
      </w:r>
    </w:p>
    <w:p w:rsidR="00CB66F4" w:rsidRDefault="00CB66F4" w:rsidP="00565E73">
      <w:pPr>
        <w:jc w:val="both"/>
        <w:rPr>
          <w:sz w:val="19"/>
          <w:szCs w:val="19"/>
        </w:rPr>
      </w:pPr>
    </w:p>
    <w:p w:rsidR="00A55BC4" w:rsidRPr="00A55BC4" w:rsidRDefault="00A55BC4" w:rsidP="00A55BC4">
      <w:pPr>
        <w:pStyle w:val="Header"/>
        <w:rPr>
          <w:sz w:val="16"/>
          <w:szCs w:val="16"/>
        </w:rPr>
      </w:pPr>
      <w:r>
        <w:rPr>
          <w:sz w:val="16"/>
          <w:szCs w:val="16"/>
        </w:rPr>
        <w:t>[Illegible handwriting]</w:t>
      </w:r>
    </w:p>
    <w:p w:rsidR="00CB66F4" w:rsidRPr="00A55BC4" w:rsidRDefault="00CB66F4" w:rsidP="00CB66F4">
      <w:pPr>
        <w:pStyle w:val="Header"/>
        <w:jc w:val="center"/>
        <w:rPr>
          <w:sz w:val="19"/>
          <w:szCs w:val="19"/>
        </w:rPr>
      </w:pPr>
      <w:r w:rsidRPr="00A55BC4">
        <w:rPr>
          <w:sz w:val="19"/>
          <w:szCs w:val="19"/>
        </w:rPr>
        <w:lastRenderedPageBreak/>
        <w:t>[Seal of the Republic of Peru]</w:t>
      </w:r>
    </w:p>
    <w:p w:rsidR="00CB66F4" w:rsidRDefault="00CB66F4" w:rsidP="00CB66F4">
      <w:pPr>
        <w:pStyle w:val="Header"/>
        <w:jc w:val="center"/>
      </w:pPr>
    </w:p>
    <w:p w:rsidR="00CB66F4" w:rsidRPr="00DE3286" w:rsidRDefault="00CB66F4" w:rsidP="00CB66F4">
      <w:pPr>
        <w:pStyle w:val="Header"/>
        <w:jc w:val="center"/>
        <w:rPr>
          <w:rFonts w:ascii="Kunstler Script" w:hAnsi="Kunstler Script"/>
          <w:b/>
          <w:sz w:val="72"/>
          <w:szCs w:val="72"/>
        </w:rPr>
      </w:pPr>
      <w:r>
        <w:rPr>
          <w:rFonts w:ascii="Kunstler Script" w:hAnsi="Kunstler Script"/>
          <w:b/>
          <w:sz w:val="72"/>
          <w:szCs w:val="72"/>
        </w:rPr>
        <w:t xml:space="preserve">                  </w:t>
      </w:r>
      <w:r w:rsidRPr="00DE3286">
        <w:rPr>
          <w:rFonts w:ascii="Kunstler Script" w:hAnsi="Kunstler Script"/>
          <w:b/>
          <w:sz w:val="72"/>
          <w:szCs w:val="72"/>
        </w:rPr>
        <w:t>Tax Court</w:t>
      </w:r>
      <w:r>
        <w:rPr>
          <w:rFonts w:ascii="Kunstler Script" w:hAnsi="Kunstler Script"/>
          <w:b/>
          <w:sz w:val="72"/>
          <w:szCs w:val="72"/>
        </w:rPr>
        <w:t xml:space="preserve">             </w:t>
      </w:r>
      <w:r w:rsidRPr="00D1597F">
        <w:rPr>
          <w:rFonts w:cstheme="minorHAnsi"/>
          <w:b/>
          <w:sz w:val="24"/>
          <w:szCs w:val="24"/>
        </w:rPr>
        <w:t>No. 10055-1-2012</w:t>
      </w:r>
    </w:p>
    <w:p w:rsidR="00CB66F4" w:rsidRPr="00D1597F" w:rsidRDefault="00CB66F4">
      <w:pPr>
        <w:rPr>
          <w:sz w:val="19"/>
          <w:szCs w:val="19"/>
        </w:rPr>
      </w:pPr>
    </w:p>
    <w:p w:rsidR="00CC7C7C" w:rsidRPr="00D1597F" w:rsidRDefault="00CC7C7C" w:rsidP="00550403">
      <w:pPr>
        <w:jc w:val="both"/>
        <w:rPr>
          <w:sz w:val="19"/>
          <w:szCs w:val="19"/>
        </w:rPr>
      </w:pPr>
    </w:p>
    <w:p w:rsidR="00374FC3" w:rsidRPr="00565E73" w:rsidRDefault="00F9287A" w:rsidP="00550403">
      <w:pPr>
        <w:jc w:val="both"/>
        <w:rPr>
          <w:sz w:val="19"/>
          <w:szCs w:val="19"/>
        </w:rPr>
      </w:pPr>
      <w:r w:rsidRPr="00565E73">
        <w:rPr>
          <w:sz w:val="19"/>
          <w:szCs w:val="19"/>
        </w:rPr>
        <w:t>Article 1 of Law No. 28424 creates the ITAN, applicable to category three i</w:t>
      </w:r>
      <w:r w:rsidR="00D87730" w:rsidRPr="00565E73">
        <w:rPr>
          <w:sz w:val="19"/>
          <w:szCs w:val="19"/>
        </w:rPr>
        <w:t>ncome earners</w:t>
      </w:r>
      <w:r w:rsidRPr="00565E73">
        <w:rPr>
          <w:sz w:val="19"/>
          <w:szCs w:val="19"/>
        </w:rPr>
        <w:t xml:space="preserve"> subject to the income tax, which is applied on net assets on December 31 of the previous year, making it due on January 1 of each tax year.</w:t>
      </w:r>
    </w:p>
    <w:p w:rsidR="00F9287A" w:rsidRPr="00565E73" w:rsidRDefault="00F9287A" w:rsidP="00550403">
      <w:pPr>
        <w:jc w:val="both"/>
        <w:rPr>
          <w:sz w:val="19"/>
          <w:szCs w:val="19"/>
        </w:rPr>
      </w:pPr>
    </w:p>
    <w:p w:rsidR="00F9287A" w:rsidRPr="00565E73" w:rsidRDefault="00C67E69" w:rsidP="00550403">
      <w:pPr>
        <w:jc w:val="both"/>
        <w:rPr>
          <w:sz w:val="19"/>
          <w:szCs w:val="19"/>
        </w:rPr>
      </w:pPr>
      <w:r w:rsidRPr="00565E73">
        <w:rPr>
          <w:sz w:val="19"/>
          <w:szCs w:val="19"/>
        </w:rPr>
        <w:t>Article 8 of the same law states that the sum actually paid</w:t>
      </w:r>
      <w:r w:rsidR="00992090" w:rsidRPr="00565E73">
        <w:rPr>
          <w:sz w:val="19"/>
          <w:szCs w:val="19"/>
        </w:rPr>
        <w:t>, in whole or in part</w:t>
      </w:r>
      <w:r w:rsidRPr="00565E73">
        <w:rPr>
          <w:sz w:val="19"/>
          <w:szCs w:val="19"/>
        </w:rPr>
        <w:t>, toward this tax can be used as a credit against</w:t>
      </w:r>
      <w:r w:rsidR="005C3C37" w:rsidRPr="00565E73">
        <w:rPr>
          <w:sz w:val="19"/>
          <w:szCs w:val="19"/>
        </w:rPr>
        <w:t xml:space="preserve"> income tax installment payments for tax periods from March to December of the tax year for which the ITAN was paid, as long as this </w:t>
      </w:r>
      <w:r w:rsidR="001A5133" w:rsidRPr="00565E73">
        <w:rPr>
          <w:sz w:val="19"/>
          <w:szCs w:val="19"/>
        </w:rPr>
        <w:t>is confirmed by the deadline of each of the installment payments</w:t>
      </w:r>
      <w:r w:rsidR="00E95336" w:rsidRPr="00565E73">
        <w:rPr>
          <w:sz w:val="19"/>
          <w:szCs w:val="19"/>
        </w:rPr>
        <w:t>,</w:t>
      </w:r>
      <w:r w:rsidR="001A5133" w:rsidRPr="00565E73">
        <w:rPr>
          <w:sz w:val="19"/>
          <w:szCs w:val="19"/>
        </w:rPr>
        <w:t xml:space="preserve"> and against the payment for income tax regularization for the corresponding tax year; the full or partial ITAN payment can only be used as a credit during the tax year in which the payment is made; and if the refund option is chosen, this right only exists if the annua</w:t>
      </w:r>
      <w:r w:rsidR="00964CE8" w:rsidRPr="00565E73">
        <w:rPr>
          <w:sz w:val="19"/>
          <w:szCs w:val="19"/>
        </w:rPr>
        <w:t xml:space="preserve">l income tax return for the corresponding year is filed, </w:t>
      </w:r>
      <w:r w:rsidR="00225AC3" w:rsidRPr="00565E73">
        <w:rPr>
          <w:sz w:val="19"/>
          <w:szCs w:val="19"/>
        </w:rPr>
        <w:t xml:space="preserve">and </w:t>
      </w:r>
      <w:r w:rsidR="00E95336" w:rsidRPr="00565E73">
        <w:rPr>
          <w:sz w:val="19"/>
          <w:szCs w:val="19"/>
        </w:rPr>
        <w:t xml:space="preserve">the </w:t>
      </w:r>
      <w:r w:rsidR="00225AC3" w:rsidRPr="00565E73">
        <w:rPr>
          <w:sz w:val="19"/>
          <w:szCs w:val="19"/>
        </w:rPr>
        <w:t>tax loss or</w:t>
      </w:r>
      <w:r w:rsidR="00E95336" w:rsidRPr="00565E73">
        <w:rPr>
          <w:sz w:val="19"/>
          <w:szCs w:val="19"/>
        </w:rPr>
        <w:t xml:space="preserve"> lower income tax obtained on the basis of the general tax provisions</w:t>
      </w:r>
      <w:r w:rsidR="00225AC3" w:rsidRPr="00565E73">
        <w:rPr>
          <w:sz w:val="19"/>
          <w:szCs w:val="19"/>
        </w:rPr>
        <w:t xml:space="preserve"> must be demonstrated </w:t>
      </w:r>
      <w:r w:rsidR="00225AC3" w:rsidRPr="00565E73">
        <w:rPr>
          <w:sz w:val="19"/>
          <w:szCs w:val="19"/>
        </w:rPr>
        <w:t>for the purposes of requesting a refund</w:t>
      </w:r>
      <w:r w:rsidR="00225AC3" w:rsidRPr="00565E73">
        <w:rPr>
          <w:sz w:val="19"/>
          <w:szCs w:val="19"/>
        </w:rPr>
        <w:t>.</w:t>
      </w:r>
    </w:p>
    <w:p w:rsidR="00CC7C7C" w:rsidRPr="00565E73" w:rsidRDefault="00CC7C7C" w:rsidP="00550403">
      <w:pPr>
        <w:jc w:val="both"/>
        <w:rPr>
          <w:sz w:val="19"/>
          <w:szCs w:val="19"/>
        </w:rPr>
      </w:pPr>
    </w:p>
    <w:p w:rsidR="008E353F" w:rsidRPr="00565E73" w:rsidRDefault="00EF4CC3" w:rsidP="00550403">
      <w:pPr>
        <w:jc w:val="both"/>
        <w:rPr>
          <w:sz w:val="19"/>
          <w:szCs w:val="19"/>
        </w:rPr>
      </w:pPr>
      <w:r w:rsidRPr="00565E73">
        <w:rPr>
          <w:sz w:val="19"/>
          <w:szCs w:val="19"/>
        </w:rPr>
        <w:t xml:space="preserve">In accordance with parts b) and d) of Article 9 </w:t>
      </w:r>
      <w:r w:rsidR="00E8552D" w:rsidRPr="00565E73">
        <w:rPr>
          <w:sz w:val="19"/>
          <w:szCs w:val="19"/>
        </w:rPr>
        <w:t>of the regulations of the afore</w:t>
      </w:r>
      <w:r w:rsidRPr="00565E73">
        <w:rPr>
          <w:sz w:val="19"/>
          <w:szCs w:val="19"/>
        </w:rPr>
        <w:t xml:space="preserve">mentioned law, </w:t>
      </w:r>
      <w:r w:rsidR="00807022" w:rsidRPr="00565E73">
        <w:rPr>
          <w:sz w:val="19"/>
          <w:szCs w:val="19"/>
        </w:rPr>
        <w:t xml:space="preserve">approved by Supreme Decree No. </w:t>
      </w:r>
      <w:r w:rsidR="00991044" w:rsidRPr="00565E73">
        <w:rPr>
          <w:sz w:val="19"/>
          <w:szCs w:val="19"/>
        </w:rPr>
        <w:t xml:space="preserve">025-2005-EF, the ITAN actually paid will be considered a credit against installment payments or the income tax regularization payment; for the purposes of applying the credit, the ITAN will only be considered actually paid by the deadline for the income tax installment payment against which it can be applied; a tax actually paid after said deadline can only be applied as a credit </w:t>
      </w:r>
      <w:r w:rsidR="008E353F" w:rsidRPr="00565E73">
        <w:rPr>
          <w:sz w:val="19"/>
          <w:szCs w:val="19"/>
        </w:rPr>
        <w:t>against income tax installment pa</w:t>
      </w:r>
      <w:r w:rsidR="00F524BC" w:rsidRPr="00565E73">
        <w:rPr>
          <w:sz w:val="19"/>
          <w:szCs w:val="19"/>
        </w:rPr>
        <w:t>yments that are not overdue,</w:t>
      </w:r>
      <w:r w:rsidR="008E353F" w:rsidRPr="00565E73">
        <w:rPr>
          <w:sz w:val="19"/>
          <w:szCs w:val="19"/>
        </w:rPr>
        <w:t xml:space="preserve"> up to the installment payment corresponding to the tax period of December of the same tax year.</w:t>
      </w:r>
    </w:p>
    <w:p w:rsidR="008E353F" w:rsidRPr="00565E73" w:rsidRDefault="008E353F" w:rsidP="00550403">
      <w:pPr>
        <w:jc w:val="both"/>
        <w:rPr>
          <w:sz w:val="19"/>
          <w:szCs w:val="19"/>
        </w:rPr>
      </w:pPr>
    </w:p>
    <w:p w:rsidR="00CC7C7C" w:rsidRPr="00565E73" w:rsidRDefault="00A01194" w:rsidP="00550403">
      <w:pPr>
        <w:jc w:val="both"/>
        <w:rPr>
          <w:sz w:val="19"/>
          <w:szCs w:val="19"/>
        </w:rPr>
      </w:pPr>
      <w:r w:rsidRPr="00565E73">
        <w:rPr>
          <w:sz w:val="19"/>
          <w:szCs w:val="19"/>
        </w:rPr>
        <w:t>Part e) of the same article establishes that an ITAN actually</w:t>
      </w:r>
      <w:r w:rsidR="00E8552D" w:rsidRPr="00565E73">
        <w:rPr>
          <w:sz w:val="19"/>
          <w:szCs w:val="19"/>
        </w:rPr>
        <w:t xml:space="preserve"> paid by the deadline for the annual income tax return for that</w:t>
      </w:r>
      <w:r w:rsidRPr="00565E73">
        <w:rPr>
          <w:sz w:val="19"/>
          <w:szCs w:val="19"/>
        </w:rPr>
        <w:t xml:space="preserve"> tax year</w:t>
      </w:r>
      <w:r w:rsidR="00E8552D" w:rsidRPr="00565E73">
        <w:rPr>
          <w:sz w:val="19"/>
          <w:szCs w:val="19"/>
        </w:rPr>
        <w:t xml:space="preserve"> or by the time it is filed</w:t>
      </w:r>
      <w:r w:rsidRPr="00565E73">
        <w:rPr>
          <w:sz w:val="19"/>
          <w:szCs w:val="19"/>
        </w:rPr>
        <w:t xml:space="preserve">, whichever occurs first, </w:t>
      </w:r>
      <w:r w:rsidR="00E8552D" w:rsidRPr="00565E73">
        <w:rPr>
          <w:sz w:val="19"/>
          <w:szCs w:val="19"/>
        </w:rPr>
        <w:t xml:space="preserve">provided it has not been applied as a credit against installment payments referred to in part d) of said article, will constitute a credit to be applied against the income tax regularization payment for the tax year, to which the aforementioned Article 8 refers. </w:t>
      </w:r>
      <w:r w:rsidR="00991044" w:rsidRPr="00565E73">
        <w:rPr>
          <w:sz w:val="19"/>
          <w:szCs w:val="19"/>
        </w:rPr>
        <w:t xml:space="preserve"> </w:t>
      </w:r>
    </w:p>
    <w:p w:rsidR="00CC7C7C" w:rsidRPr="00565E73" w:rsidRDefault="00CC7C7C" w:rsidP="00550403">
      <w:pPr>
        <w:jc w:val="both"/>
        <w:rPr>
          <w:sz w:val="19"/>
          <w:szCs w:val="19"/>
        </w:rPr>
      </w:pPr>
    </w:p>
    <w:p w:rsidR="00CC7C7C" w:rsidRPr="00565E73" w:rsidRDefault="00753905" w:rsidP="00550403">
      <w:pPr>
        <w:jc w:val="both"/>
        <w:rPr>
          <w:sz w:val="19"/>
          <w:szCs w:val="19"/>
        </w:rPr>
      </w:pPr>
      <w:r w:rsidRPr="00565E73">
        <w:rPr>
          <w:sz w:val="19"/>
          <w:szCs w:val="19"/>
        </w:rPr>
        <w:t>Finally, Article 10 of the regulations states that</w:t>
      </w:r>
      <w:r w:rsidR="00B8561A" w:rsidRPr="00565E73">
        <w:rPr>
          <w:sz w:val="19"/>
          <w:szCs w:val="19"/>
        </w:rPr>
        <w:t xml:space="preserve"> if</w:t>
      </w:r>
      <w:r w:rsidRPr="00565E73">
        <w:rPr>
          <w:sz w:val="19"/>
          <w:szCs w:val="19"/>
        </w:rPr>
        <w:t xml:space="preserve"> after applying the ITAN against the monthly installment payments and/or against </w:t>
      </w:r>
      <w:r w:rsidR="00B8561A" w:rsidRPr="00565E73">
        <w:rPr>
          <w:sz w:val="19"/>
          <w:szCs w:val="19"/>
        </w:rPr>
        <w:t>the income tax regularization payment for the tax year in which the ITAN was paid, an unused balance remains, this amount can be refunded in accordance with the provisions set forth in Article 8 of the Law, as it cannot be applied against future income tax payments.</w:t>
      </w:r>
    </w:p>
    <w:p w:rsidR="00CC7C7C" w:rsidRPr="00565E73" w:rsidRDefault="00CC7C7C" w:rsidP="00550403">
      <w:pPr>
        <w:jc w:val="both"/>
        <w:rPr>
          <w:sz w:val="19"/>
          <w:szCs w:val="19"/>
        </w:rPr>
      </w:pPr>
    </w:p>
    <w:p w:rsidR="00CC7C7C" w:rsidRPr="00565E73" w:rsidRDefault="008134C4" w:rsidP="00550403">
      <w:pPr>
        <w:jc w:val="both"/>
        <w:rPr>
          <w:sz w:val="19"/>
          <w:szCs w:val="19"/>
        </w:rPr>
      </w:pPr>
      <w:r w:rsidRPr="00565E73">
        <w:rPr>
          <w:sz w:val="19"/>
          <w:szCs w:val="19"/>
        </w:rPr>
        <w:t>In the present c</w:t>
      </w:r>
      <w:r w:rsidR="007A37A5" w:rsidRPr="00565E73">
        <w:rPr>
          <w:sz w:val="19"/>
          <w:szCs w:val="19"/>
        </w:rPr>
        <w:t>ase, the appellant used Form</w:t>
      </w:r>
      <w:r w:rsidRPr="00565E73">
        <w:rPr>
          <w:sz w:val="19"/>
          <w:szCs w:val="19"/>
        </w:rPr>
        <w:t xml:space="preserve"> 4949 No. 01798192 (page 56)</w:t>
      </w:r>
      <w:r w:rsidR="007A37A5" w:rsidRPr="00565E73">
        <w:rPr>
          <w:sz w:val="19"/>
          <w:szCs w:val="19"/>
        </w:rPr>
        <w:t xml:space="preserve"> to request </w:t>
      </w:r>
      <w:r w:rsidRPr="00565E73">
        <w:rPr>
          <w:sz w:val="19"/>
          <w:szCs w:val="19"/>
        </w:rPr>
        <w:t xml:space="preserve">a refund of the ITAN corresponding to the month of August 2005 in the amount of </w:t>
      </w:r>
      <w:r w:rsidR="007A37A5" w:rsidRPr="00565E73">
        <w:rPr>
          <w:sz w:val="19"/>
          <w:szCs w:val="19"/>
        </w:rPr>
        <w:t>223</w:t>
      </w:r>
      <w:r w:rsidR="00F10689" w:rsidRPr="00565E73">
        <w:rPr>
          <w:sz w:val="19"/>
          <w:szCs w:val="19"/>
        </w:rPr>
        <w:t>,</w:t>
      </w:r>
      <w:r w:rsidR="007A37A5" w:rsidRPr="00565E73">
        <w:rPr>
          <w:sz w:val="19"/>
          <w:szCs w:val="19"/>
        </w:rPr>
        <w:t xml:space="preserve">012.00 </w:t>
      </w:r>
      <w:r w:rsidR="007A37A5" w:rsidRPr="00565E73">
        <w:rPr>
          <w:i/>
          <w:sz w:val="19"/>
          <w:szCs w:val="19"/>
        </w:rPr>
        <w:t>soles</w:t>
      </w:r>
      <w:r w:rsidR="007A37A5" w:rsidRPr="00565E73">
        <w:rPr>
          <w:sz w:val="19"/>
          <w:szCs w:val="19"/>
        </w:rPr>
        <w:t xml:space="preserve">.  </w:t>
      </w:r>
    </w:p>
    <w:p w:rsidR="00E20CE6" w:rsidRPr="00565E73" w:rsidRDefault="00E20CE6" w:rsidP="00550403">
      <w:pPr>
        <w:jc w:val="both"/>
        <w:rPr>
          <w:sz w:val="19"/>
          <w:szCs w:val="19"/>
        </w:rPr>
      </w:pPr>
    </w:p>
    <w:p w:rsidR="00CC7C7C" w:rsidRPr="00565E73" w:rsidRDefault="009D2F6D" w:rsidP="00550403">
      <w:pPr>
        <w:jc w:val="both"/>
        <w:rPr>
          <w:sz w:val="19"/>
          <w:szCs w:val="19"/>
        </w:rPr>
      </w:pPr>
      <w:r w:rsidRPr="00565E73">
        <w:rPr>
          <w:sz w:val="19"/>
          <w:szCs w:val="19"/>
        </w:rPr>
        <w:t>On t</w:t>
      </w:r>
      <w:r w:rsidR="00E20CE6" w:rsidRPr="00565E73">
        <w:rPr>
          <w:sz w:val="19"/>
          <w:szCs w:val="19"/>
        </w:rPr>
        <w:t>he</w:t>
      </w:r>
      <w:r w:rsidRPr="00565E73">
        <w:rPr>
          <w:sz w:val="19"/>
          <w:szCs w:val="19"/>
        </w:rPr>
        <w:t xml:space="preserve"> declaration</w:t>
      </w:r>
      <w:r w:rsidR="00E20CE6" w:rsidRPr="00565E73">
        <w:rPr>
          <w:sz w:val="19"/>
          <w:szCs w:val="19"/>
        </w:rPr>
        <w:t xml:space="preserve"> for the Temporary Tax on Net Assets corresponding to tax year 2005, filed by means of virtual Form </w:t>
      </w:r>
      <w:r w:rsidR="00EA48B0" w:rsidRPr="00565E73">
        <w:rPr>
          <w:sz w:val="19"/>
          <w:szCs w:val="19"/>
        </w:rPr>
        <w:t xml:space="preserve">PDT [Electronic Filing Program, PDT for its acronym in Spanish] No. 648 No. 300528 (pages 199 and 199 overleaf), it can be seen that the appellant </w:t>
      </w:r>
      <w:r w:rsidR="00255566" w:rsidRPr="00565E73">
        <w:rPr>
          <w:sz w:val="19"/>
          <w:szCs w:val="19"/>
        </w:rPr>
        <w:t>listed a tax amounting to</w:t>
      </w:r>
      <w:r w:rsidR="00DD63DE" w:rsidRPr="00565E73">
        <w:rPr>
          <w:sz w:val="19"/>
          <w:szCs w:val="19"/>
        </w:rPr>
        <w:t xml:space="preserve"> </w:t>
      </w:r>
      <w:r w:rsidR="00F10689" w:rsidRPr="00565E73">
        <w:rPr>
          <w:sz w:val="19"/>
          <w:szCs w:val="19"/>
        </w:rPr>
        <w:t xml:space="preserve">2,007,108.00 </w:t>
      </w:r>
      <w:r w:rsidR="00F10689" w:rsidRPr="00565E73">
        <w:rPr>
          <w:i/>
          <w:sz w:val="19"/>
          <w:szCs w:val="19"/>
        </w:rPr>
        <w:t>soles</w:t>
      </w:r>
      <w:r w:rsidR="00F10689" w:rsidRPr="00565E73">
        <w:rPr>
          <w:sz w:val="19"/>
          <w:szCs w:val="19"/>
        </w:rPr>
        <w:t xml:space="preserve"> and opted for payment in installments.</w:t>
      </w:r>
    </w:p>
    <w:p w:rsidR="00CC7C7C" w:rsidRPr="00565E73" w:rsidRDefault="00CC7C7C" w:rsidP="00550403">
      <w:pPr>
        <w:jc w:val="both"/>
        <w:rPr>
          <w:sz w:val="19"/>
          <w:szCs w:val="19"/>
        </w:rPr>
      </w:pPr>
    </w:p>
    <w:p w:rsidR="00F10689" w:rsidRPr="00565E73" w:rsidRDefault="009D2F6D" w:rsidP="00550403">
      <w:pPr>
        <w:jc w:val="both"/>
        <w:rPr>
          <w:sz w:val="19"/>
          <w:szCs w:val="19"/>
        </w:rPr>
      </w:pPr>
      <w:r w:rsidRPr="00565E73">
        <w:rPr>
          <w:sz w:val="19"/>
          <w:szCs w:val="19"/>
        </w:rPr>
        <w:t xml:space="preserve">On the annual income tax return for tax year 2005, filed by the appellant on April 3, 2006 by means </w:t>
      </w:r>
      <w:r w:rsidR="00245567" w:rsidRPr="00565E73">
        <w:rPr>
          <w:sz w:val="19"/>
          <w:szCs w:val="19"/>
        </w:rPr>
        <w:t>of virtual Form PDT 656 No. 300</w:t>
      </w:r>
      <w:r w:rsidRPr="00565E73">
        <w:rPr>
          <w:sz w:val="19"/>
          <w:szCs w:val="19"/>
        </w:rPr>
        <w:t>2966 (from pages 206 overleaf to 208)</w:t>
      </w:r>
      <w:r w:rsidR="00CB66F4" w:rsidRPr="00565E73">
        <w:rPr>
          <w:sz w:val="19"/>
          <w:szCs w:val="19"/>
        </w:rPr>
        <w:t>,</w:t>
      </w:r>
      <w:r w:rsidR="00245567" w:rsidRPr="00565E73">
        <w:rPr>
          <w:sz w:val="19"/>
          <w:szCs w:val="19"/>
        </w:rPr>
        <w:t xml:space="preserve"> and attached refund request, it can be seen that the appellant did not record any amount for ITAN payments.</w:t>
      </w:r>
    </w:p>
    <w:p w:rsidR="00245567" w:rsidRPr="00565E73" w:rsidRDefault="00245567" w:rsidP="00550403">
      <w:pPr>
        <w:jc w:val="both"/>
        <w:rPr>
          <w:sz w:val="19"/>
          <w:szCs w:val="19"/>
        </w:rPr>
      </w:pPr>
    </w:p>
    <w:p w:rsidR="00245567" w:rsidRPr="00565E73" w:rsidRDefault="005C0C5C" w:rsidP="00550403">
      <w:pPr>
        <w:jc w:val="both"/>
        <w:rPr>
          <w:sz w:val="19"/>
          <w:szCs w:val="19"/>
        </w:rPr>
      </w:pPr>
      <w:r w:rsidRPr="00565E73">
        <w:rPr>
          <w:sz w:val="19"/>
          <w:szCs w:val="19"/>
        </w:rPr>
        <w:t>On the</w:t>
      </w:r>
      <w:r w:rsidR="00657C7F" w:rsidRPr="00565E73">
        <w:rPr>
          <w:sz w:val="19"/>
          <w:szCs w:val="19"/>
        </w:rPr>
        <w:t xml:space="preserve"> ITAN</w:t>
      </w:r>
      <w:r w:rsidRPr="00565E73">
        <w:rPr>
          <w:sz w:val="19"/>
          <w:szCs w:val="19"/>
        </w:rPr>
        <w:t xml:space="preserve"> </w:t>
      </w:r>
      <w:r w:rsidR="00657C7F" w:rsidRPr="00565E73">
        <w:rPr>
          <w:sz w:val="19"/>
          <w:szCs w:val="19"/>
        </w:rPr>
        <w:t>payment receipt, attached by the appellant to her request for refund of the aforementioned tax (page 46), it can be seen that the payment for the aforementioned tax was made on July 14, 2006, that is, after the deadline for and the filing of the annual income tax return for tax year 2005.</w:t>
      </w:r>
      <w:r w:rsidR="00B12D18" w:rsidRPr="00565E73">
        <w:rPr>
          <w:rStyle w:val="FootnoteReference"/>
          <w:sz w:val="19"/>
          <w:szCs w:val="19"/>
        </w:rPr>
        <w:footnoteReference w:id="1"/>
      </w:r>
      <w:r w:rsidR="00657C7F" w:rsidRPr="00565E73">
        <w:rPr>
          <w:sz w:val="19"/>
          <w:szCs w:val="19"/>
        </w:rPr>
        <w:t xml:space="preserve"> </w:t>
      </w:r>
    </w:p>
    <w:p w:rsidR="00CC7C7C" w:rsidRPr="009D2F6D" w:rsidRDefault="00CC7C7C" w:rsidP="00550403">
      <w:pPr>
        <w:jc w:val="both"/>
        <w:rPr>
          <w:sz w:val="20"/>
          <w:szCs w:val="20"/>
        </w:rPr>
      </w:pPr>
    </w:p>
    <w:p w:rsidR="00565E73" w:rsidRDefault="00565E73" w:rsidP="00550403">
      <w:pPr>
        <w:jc w:val="both"/>
        <w:rPr>
          <w:sz w:val="20"/>
          <w:szCs w:val="20"/>
        </w:rPr>
      </w:pPr>
    </w:p>
    <w:p w:rsidR="00565E73" w:rsidRPr="00A55BC4" w:rsidRDefault="00A55BC4" w:rsidP="00A55BC4">
      <w:pPr>
        <w:pStyle w:val="Header"/>
        <w:rPr>
          <w:sz w:val="16"/>
          <w:szCs w:val="16"/>
        </w:rPr>
      </w:pPr>
      <w:r>
        <w:rPr>
          <w:sz w:val="16"/>
          <w:szCs w:val="16"/>
        </w:rPr>
        <w:t>[Illegible handwriting]</w:t>
      </w:r>
    </w:p>
    <w:p w:rsidR="00565E73" w:rsidRPr="00A55BC4" w:rsidRDefault="00565E73" w:rsidP="00A55BC4">
      <w:pPr>
        <w:pStyle w:val="Header"/>
        <w:jc w:val="center"/>
        <w:rPr>
          <w:sz w:val="19"/>
          <w:szCs w:val="19"/>
        </w:rPr>
      </w:pPr>
      <w:r w:rsidRPr="00A55BC4">
        <w:rPr>
          <w:sz w:val="19"/>
          <w:szCs w:val="19"/>
        </w:rPr>
        <w:lastRenderedPageBreak/>
        <w:t>[Seal of the Republic of Peru]</w:t>
      </w:r>
    </w:p>
    <w:p w:rsidR="00565E73" w:rsidRDefault="00565E73" w:rsidP="00550403">
      <w:pPr>
        <w:pStyle w:val="Header"/>
        <w:jc w:val="both"/>
      </w:pPr>
    </w:p>
    <w:p w:rsidR="00565E73" w:rsidRPr="00DE3286" w:rsidRDefault="00565E73" w:rsidP="00550403">
      <w:pPr>
        <w:pStyle w:val="Header"/>
        <w:jc w:val="both"/>
        <w:rPr>
          <w:rFonts w:ascii="Kunstler Script" w:hAnsi="Kunstler Script"/>
          <w:b/>
          <w:sz w:val="72"/>
          <w:szCs w:val="72"/>
        </w:rPr>
      </w:pPr>
      <w:r>
        <w:rPr>
          <w:rFonts w:ascii="Kunstler Script" w:hAnsi="Kunstler Script"/>
          <w:b/>
          <w:sz w:val="72"/>
          <w:szCs w:val="72"/>
        </w:rPr>
        <w:t xml:space="preserve">                  </w:t>
      </w:r>
      <w:r w:rsidRPr="00DE3286">
        <w:rPr>
          <w:rFonts w:ascii="Kunstler Script" w:hAnsi="Kunstler Script"/>
          <w:b/>
          <w:sz w:val="72"/>
          <w:szCs w:val="72"/>
        </w:rPr>
        <w:t>Tax Court</w:t>
      </w:r>
      <w:r>
        <w:rPr>
          <w:rFonts w:ascii="Kunstler Script" w:hAnsi="Kunstler Script"/>
          <w:b/>
          <w:sz w:val="72"/>
          <w:szCs w:val="72"/>
        </w:rPr>
        <w:t xml:space="preserve">             </w:t>
      </w:r>
      <w:r w:rsidRPr="00D1597F">
        <w:rPr>
          <w:rFonts w:cstheme="minorHAnsi"/>
          <w:b/>
          <w:sz w:val="24"/>
          <w:szCs w:val="24"/>
        </w:rPr>
        <w:t>No. 10055-1-2012</w:t>
      </w:r>
    </w:p>
    <w:p w:rsidR="00A55BC4" w:rsidRDefault="00A55BC4" w:rsidP="00550403">
      <w:pPr>
        <w:jc w:val="both"/>
        <w:rPr>
          <w:sz w:val="19"/>
          <w:szCs w:val="19"/>
        </w:rPr>
      </w:pPr>
    </w:p>
    <w:p w:rsidR="00CC7C7C" w:rsidRPr="00565E73" w:rsidRDefault="00D13F83" w:rsidP="00550403">
      <w:pPr>
        <w:jc w:val="both"/>
        <w:rPr>
          <w:sz w:val="19"/>
          <w:szCs w:val="19"/>
        </w:rPr>
      </w:pPr>
      <w:r w:rsidRPr="00565E73">
        <w:rPr>
          <w:sz w:val="19"/>
          <w:szCs w:val="19"/>
        </w:rPr>
        <w:t xml:space="preserve">Additionally, from the document titled Tax Collection List, which is found on page 200, </w:t>
      </w:r>
      <w:proofErr w:type="gramStart"/>
      <w:r w:rsidRPr="00565E73">
        <w:rPr>
          <w:sz w:val="19"/>
          <w:szCs w:val="19"/>
        </w:rPr>
        <w:t>it</w:t>
      </w:r>
      <w:proofErr w:type="gramEnd"/>
      <w:r w:rsidRPr="00565E73">
        <w:rPr>
          <w:sz w:val="19"/>
          <w:szCs w:val="19"/>
        </w:rPr>
        <w:t xml:space="preserve"> can be seen that the appellant made two ITAN payments for the period of August 2008, on July 14, 2006 and January 12, 2007. </w:t>
      </w:r>
    </w:p>
    <w:p w:rsidR="00D13F83" w:rsidRPr="00565E73" w:rsidRDefault="00D13F83" w:rsidP="00550403">
      <w:pPr>
        <w:jc w:val="both"/>
        <w:rPr>
          <w:sz w:val="19"/>
          <w:szCs w:val="19"/>
        </w:rPr>
      </w:pPr>
    </w:p>
    <w:p w:rsidR="00D13F83" w:rsidRPr="00565E73" w:rsidRDefault="00D13F83" w:rsidP="00550403">
      <w:pPr>
        <w:jc w:val="both"/>
        <w:rPr>
          <w:sz w:val="19"/>
          <w:szCs w:val="19"/>
          <w:highlight w:val="yellow"/>
        </w:rPr>
      </w:pPr>
      <w:r w:rsidRPr="00565E73">
        <w:rPr>
          <w:sz w:val="19"/>
          <w:szCs w:val="19"/>
          <w:highlight w:val="yellow"/>
        </w:rPr>
        <w:t xml:space="preserve">In accordance with the aforementioned regulations, </w:t>
      </w:r>
      <w:r w:rsidR="00504839" w:rsidRPr="00565E73">
        <w:rPr>
          <w:sz w:val="19"/>
          <w:szCs w:val="19"/>
          <w:highlight w:val="yellow"/>
        </w:rPr>
        <w:t>it is the court’s understanding that an ITAN a</w:t>
      </w:r>
      <w:r w:rsidR="00992090" w:rsidRPr="00565E73">
        <w:rPr>
          <w:sz w:val="19"/>
          <w:szCs w:val="19"/>
          <w:highlight w:val="yellow"/>
        </w:rPr>
        <w:t>ctually paid, in whole or in part,</w:t>
      </w:r>
      <w:r w:rsidR="00504839" w:rsidRPr="00565E73">
        <w:rPr>
          <w:sz w:val="19"/>
          <w:szCs w:val="19"/>
          <w:highlight w:val="yellow"/>
        </w:rPr>
        <w:t xml:space="preserve"> can be applied as a credit against the advance payments for March through December or the income tax regularization payment for the tax year </w:t>
      </w:r>
      <w:r w:rsidR="00F26054" w:rsidRPr="00565E73">
        <w:rPr>
          <w:sz w:val="19"/>
          <w:szCs w:val="19"/>
          <w:highlight w:val="yellow"/>
        </w:rPr>
        <w:t>in</w:t>
      </w:r>
      <w:r w:rsidR="00504839" w:rsidRPr="00565E73">
        <w:rPr>
          <w:sz w:val="19"/>
          <w:szCs w:val="19"/>
          <w:highlight w:val="yellow"/>
        </w:rPr>
        <w:t xml:space="preserve"> which the ITAN is paid, provided that the ITAN is paid by the deadline for the aforementioned advance payments or by the time of the filing of the annual income tax return or the deadline thereof, whichever occurs first.</w:t>
      </w:r>
    </w:p>
    <w:p w:rsidR="00CC7C7C" w:rsidRPr="00565E73" w:rsidRDefault="00CC7C7C" w:rsidP="00550403">
      <w:pPr>
        <w:jc w:val="both"/>
        <w:rPr>
          <w:sz w:val="19"/>
          <w:szCs w:val="19"/>
          <w:highlight w:val="yellow"/>
        </w:rPr>
      </w:pPr>
    </w:p>
    <w:p w:rsidR="00CC7C7C" w:rsidRPr="00565E73" w:rsidRDefault="00986759" w:rsidP="00550403">
      <w:pPr>
        <w:jc w:val="both"/>
        <w:rPr>
          <w:sz w:val="19"/>
          <w:szCs w:val="19"/>
          <w:highlight w:val="yellow"/>
        </w:rPr>
      </w:pPr>
      <w:r w:rsidRPr="00565E73">
        <w:rPr>
          <w:sz w:val="19"/>
          <w:szCs w:val="19"/>
          <w:highlight w:val="yellow"/>
        </w:rPr>
        <w:t>In addition, a credit that is not related to compensation</w:t>
      </w:r>
      <w:r w:rsidR="00A76F62" w:rsidRPr="00565E73">
        <w:rPr>
          <w:sz w:val="19"/>
          <w:szCs w:val="19"/>
          <w:highlight w:val="yellow"/>
        </w:rPr>
        <w:t xml:space="preserve"> can be eligible for refund, which means that if the ITAN payments did not constitute an income tax credit, they could not be refunded either.</w:t>
      </w:r>
    </w:p>
    <w:p w:rsidR="00A76F62" w:rsidRPr="00565E73" w:rsidRDefault="00A76F62" w:rsidP="00550403">
      <w:pPr>
        <w:jc w:val="both"/>
        <w:rPr>
          <w:sz w:val="19"/>
          <w:szCs w:val="19"/>
          <w:highlight w:val="yellow"/>
        </w:rPr>
      </w:pPr>
    </w:p>
    <w:p w:rsidR="00A76F62" w:rsidRPr="00565E73" w:rsidRDefault="00C37A19" w:rsidP="00550403">
      <w:pPr>
        <w:jc w:val="both"/>
        <w:rPr>
          <w:sz w:val="19"/>
          <w:szCs w:val="19"/>
        </w:rPr>
      </w:pPr>
      <w:r w:rsidRPr="00565E73">
        <w:rPr>
          <w:sz w:val="19"/>
          <w:szCs w:val="19"/>
          <w:highlight w:val="yellow"/>
        </w:rPr>
        <w:t>As such, the ITAN payment made by the appellant for August 2005 after the filing and/or deadline for the filing of the annual income tax return for tax year 2005, as it does not constitute an income tax credit for said year, could not be refunded to the appellant.</w:t>
      </w:r>
    </w:p>
    <w:p w:rsidR="00C37A19" w:rsidRPr="00565E73" w:rsidRDefault="00C37A19" w:rsidP="00550403">
      <w:pPr>
        <w:jc w:val="both"/>
        <w:rPr>
          <w:sz w:val="19"/>
          <w:szCs w:val="19"/>
        </w:rPr>
      </w:pPr>
    </w:p>
    <w:p w:rsidR="00C37A19" w:rsidRPr="00565E73" w:rsidRDefault="003A1A94" w:rsidP="00550403">
      <w:pPr>
        <w:jc w:val="both"/>
        <w:rPr>
          <w:sz w:val="19"/>
          <w:szCs w:val="19"/>
        </w:rPr>
      </w:pPr>
      <w:r w:rsidRPr="00565E73">
        <w:rPr>
          <w:sz w:val="19"/>
          <w:szCs w:val="19"/>
        </w:rPr>
        <w:t>It should be noted</w:t>
      </w:r>
      <w:r w:rsidR="006B20C2" w:rsidRPr="00565E73">
        <w:rPr>
          <w:sz w:val="19"/>
          <w:szCs w:val="19"/>
        </w:rPr>
        <w:t xml:space="preserve"> that payments that must be made for ITAN represent the fulfillment of a tax obligation</w:t>
      </w:r>
      <w:r w:rsidRPr="00565E73">
        <w:rPr>
          <w:sz w:val="19"/>
          <w:szCs w:val="19"/>
        </w:rPr>
        <w:t xml:space="preserve">; it should also be taken into consideration that this constitutes an independent tax on net assets as an indicator of </w:t>
      </w:r>
      <w:r w:rsidR="00DC5E1A" w:rsidRPr="00565E73">
        <w:rPr>
          <w:sz w:val="19"/>
          <w:szCs w:val="19"/>
        </w:rPr>
        <w:t>ability to pay, as the Constitutional Court has affirmed in the judgment issued in Record No. 03797-2006-PA/TC</w:t>
      </w:r>
      <w:r w:rsidR="003A5B6C" w:rsidRPr="00565E73">
        <w:rPr>
          <w:sz w:val="19"/>
          <w:szCs w:val="19"/>
        </w:rPr>
        <w:t xml:space="preserve">; </w:t>
      </w:r>
      <w:r w:rsidR="005942AA" w:rsidRPr="00565E73">
        <w:rPr>
          <w:sz w:val="19"/>
          <w:szCs w:val="19"/>
          <w:highlight w:val="yellow"/>
        </w:rPr>
        <w:t>while the legislat</w:t>
      </w:r>
      <w:r w:rsidR="00882E37" w:rsidRPr="00565E73">
        <w:rPr>
          <w:sz w:val="19"/>
          <w:szCs w:val="19"/>
          <w:highlight w:val="yellow"/>
        </w:rPr>
        <w:t>ure</w:t>
      </w:r>
      <w:r w:rsidR="005942AA" w:rsidRPr="00565E73">
        <w:rPr>
          <w:sz w:val="19"/>
          <w:szCs w:val="19"/>
          <w:highlight w:val="yellow"/>
        </w:rPr>
        <w:t xml:space="preserve"> ha</w:t>
      </w:r>
      <w:r w:rsidR="00882E37" w:rsidRPr="00565E73">
        <w:rPr>
          <w:sz w:val="19"/>
          <w:szCs w:val="19"/>
          <w:highlight w:val="yellow"/>
        </w:rPr>
        <w:t>s</w:t>
      </w:r>
      <w:r w:rsidR="003A5B6C" w:rsidRPr="00565E73">
        <w:rPr>
          <w:sz w:val="19"/>
          <w:szCs w:val="19"/>
          <w:highlight w:val="yellow"/>
        </w:rPr>
        <w:t xml:space="preserve"> provided for the possibility of obtaining a refund, said prerogative is conditional on the fulfillm</w:t>
      </w:r>
      <w:r w:rsidR="005942AA" w:rsidRPr="00565E73">
        <w:rPr>
          <w:sz w:val="19"/>
          <w:szCs w:val="19"/>
          <w:highlight w:val="yellow"/>
        </w:rPr>
        <w:t>ent of the stipulations</w:t>
      </w:r>
      <w:r w:rsidR="003A5B6C" w:rsidRPr="00565E73">
        <w:rPr>
          <w:sz w:val="19"/>
          <w:szCs w:val="19"/>
          <w:highlight w:val="yellow"/>
        </w:rPr>
        <w:t xml:space="preserve"> in the regulations governing it</w:t>
      </w:r>
      <w:r w:rsidR="005942AA" w:rsidRPr="00565E73">
        <w:rPr>
          <w:sz w:val="19"/>
          <w:szCs w:val="19"/>
          <w:highlight w:val="yellow"/>
        </w:rPr>
        <w:t xml:space="preserve"> and which grant</w:t>
      </w:r>
      <w:r w:rsidR="003A5B6C" w:rsidRPr="00565E73">
        <w:rPr>
          <w:sz w:val="19"/>
          <w:szCs w:val="19"/>
          <w:highlight w:val="yellow"/>
        </w:rPr>
        <w:t xml:space="preserve"> it the character of a credit with a right to refund against the income tax; it does not follow from this exceptional circumstance th</w:t>
      </w:r>
      <w:r w:rsidR="00890F92" w:rsidRPr="00565E73">
        <w:rPr>
          <w:sz w:val="19"/>
          <w:szCs w:val="19"/>
          <w:highlight w:val="yellow"/>
        </w:rPr>
        <w:t>at the nature of the ITAN is that</w:t>
      </w:r>
      <w:r w:rsidR="003A5B6C" w:rsidRPr="00565E73">
        <w:rPr>
          <w:sz w:val="19"/>
          <w:szCs w:val="19"/>
          <w:highlight w:val="yellow"/>
        </w:rPr>
        <w:t xml:space="preserve"> o</w:t>
      </w:r>
      <w:r w:rsidR="00890F92" w:rsidRPr="00565E73">
        <w:rPr>
          <w:sz w:val="19"/>
          <w:szCs w:val="19"/>
          <w:highlight w:val="yellow"/>
        </w:rPr>
        <w:t>f a tax whose payment occurs improp</w:t>
      </w:r>
      <w:r w:rsidR="00DD1BE0" w:rsidRPr="00565E73">
        <w:rPr>
          <w:sz w:val="19"/>
          <w:szCs w:val="19"/>
          <w:highlight w:val="yellow"/>
        </w:rPr>
        <w:t>erly or in excess, and thus</w:t>
      </w:r>
      <w:r w:rsidR="0019301F" w:rsidRPr="00565E73">
        <w:rPr>
          <w:sz w:val="19"/>
          <w:szCs w:val="19"/>
          <w:highlight w:val="yellow"/>
        </w:rPr>
        <w:t xml:space="preserve"> the possibility of requesting a refund of it does exist</w:t>
      </w:r>
      <w:r w:rsidR="00890F92" w:rsidRPr="00565E73">
        <w:rPr>
          <w:sz w:val="19"/>
          <w:szCs w:val="19"/>
          <w:highlight w:val="yellow"/>
        </w:rPr>
        <w:t xml:space="preserve"> in th</w:t>
      </w:r>
      <w:r w:rsidR="00A40B62" w:rsidRPr="00565E73">
        <w:rPr>
          <w:sz w:val="19"/>
          <w:szCs w:val="19"/>
          <w:highlight w:val="yellow"/>
        </w:rPr>
        <w:t>e maj</w:t>
      </w:r>
      <w:r w:rsidR="0019301F" w:rsidRPr="00565E73">
        <w:rPr>
          <w:sz w:val="19"/>
          <w:szCs w:val="19"/>
          <w:highlight w:val="yellow"/>
        </w:rPr>
        <w:t>ority of cases.</w:t>
      </w:r>
      <w:r w:rsidR="0019301F" w:rsidRPr="00565E73">
        <w:rPr>
          <w:sz w:val="19"/>
          <w:szCs w:val="19"/>
        </w:rPr>
        <w:t xml:space="preserve"> </w:t>
      </w:r>
    </w:p>
    <w:p w:rsidR="005942AA" w:rsidRPr="00565E73" w:rsidRDefault="005942AA" w:rsidP="00550403">
      <w:pPr>
        <w:jc w:val="both"/>
        <w:rPr>
          <w:sz w:val="19"/>
          <w:szCs w:val="19"/>
        </w:rPr>
      </w:pPr>
    </w:p>
    <w:p w:rsidR="005942AA" w:rsidRPr="00565E73" w:rsidRDefault="00E367A5" w:rsidP="00550403">
      <w:pPr>
        <w:jc w:val="both"/>
        <w:rPr>
          <w:sz w:val="19"/>
          <w:szCs w:val="19"/>
        </w:rPr>
      </w:pPr>
      <w:r w:rsidRPr="00565E73">
        <w:rPr>
          <w:sz w:val="19"/>
          <w:szCs w:val="19"/>
        </w:rPr>
        <w:t xml:space="preserve">It should be </w:t>
      </w:r>
      <w:r w:rsidR="00050097" w:rsidRPr="00565E73">
        <w:rPr>
          <w:sz w:val="19"/>
          <w:szCs w:val="19"/>
        </w:rPr>
        <w:t>kept</w:t>
      </w:r>
      <w:r w:rsidRPr="00565E73">
        <w:rPr>
          <w:sz w:val="19"/>
          <w:szCs w:val="19"/>
        </w:rPr>
        <w:t xml:space="preserve"> in mind that Article 8 o</w:t>
      </w:r>
      <w:r w:rsidR="002905AF" w:rsidRPr="00565E73">
        <w:rPr>
          <w:sz w:val="19"/>
          <w:szCs w:val="19"/>
        </w:rPr>
        <w:t>f the Law of ITAN gives</w:t>
      </w:r>
      <w:r w:rsidRPr="00565E73">
        <w:rPr>
          <w:sz w:val="19"/>
          <w:szCs w:val="19"/>
        </w:rPr>
        <w:t xml:space="preserve"> taxes actually paid the character of a credit against the income tax, and it is on that foundation that the possibil</w:t>
      </w:r>
      <w:r w:rsidR="002905AF" w:rsidRPr="00565E73">
        <w:rPr>
          <w:sz w:val="19"/>
          <w:szCs w:val="19"/>
        </w:rPr>
        <w:t>ity of requesting a refund</w:t>
      </w:r>
      <w:r w:rsidR="0046323C" w:rsidRPr="00565E73">
        <w:rPr>
          <w:sz w:val="19"/>
          <w:szCs w:val="19"/>
        </w:rPr>
        <w:t xml:space="preserve"> is considered; to that effect</w:t>
      </w:r>
      <w:r w:rsidRPr="00565E73">
        <w:rPr>
          <w:sz w:val="19"/>
          <w:szCs w:val="19"/>
        </w:rPr>
        <w:t xml:space="preserve">, </w:t>
      </w:r>
      <w:r w:rsidRPr="00565E73">
        <w:rPr>
          <w:sz w:val="19"/>
          <w:szCs w:val="19"/>
          <w:highlight w:val="yellow"/>
        </w:rPr>
        <w:t>it is its legal character as a credit with a right of refund against</w:t>
      </w:r>
      <w:r w:rsidR="00B12EF9" w:rsidRPr="00565E73">
        <w:rPr>
          <w:sz w:val="19"/>
          <w:szCs w:val="19"/>
          <w:highlight w:val="yellow"/>
        </w:rPr>
        <w:t xml:space="preserve"> the income tax that </w:t>
      </w:r>
      <w:r w:rsidR="0046323C" w:rsidRPr="00565E73">
        <w:rPr>
          <w:sz w:val="19"/>
          <w:szCs w:val="19"/>
          <w:highlight w:val="yellow"/>
        </w:rPr>
        <w:t xml:space="preserve">allows for claims for recovery of </w:t>
      </w:r>
      <w:r w:rsidR="00183745" w:rsidRPr="00565E73">
        <w:rPr>
          <w:sz w:val="19"/>
          <w:szCs w:val="19"/>
          <w:highlight w:val="yellow"/>
        </w:rPr>
        <w:t>payment</w:t>
      </w:r>
      <w:r w:rsidR="0046323C" w:rsidRPr="00565E73">
        <w:rPr>
          <w:sz w:val="19"/>
          <w:szCs w:val="19"/>
          <w:highlight w:val="yellow"/>
        </w:rPr>
        <w:t>; in that sense, the rules governing the ITAN establish the conditions for its refund</w:t>
      </w:r>
      <w:r w:rsidR="001F7842" w:rsidRPr="00565E73">
        <w:rPr>
          <w:sz w:val="19"/>
          <w:szCs w:val="19"/>
          <w:highlight w:val="yellow"/>
        </w:rPr>
        <w:t xml:space="preserve">, as the refund is not granted if these </w:t>
      </w:r>
      <w:r w:rsidR="00050097" w:rsidRPr="00565E73">
        <w:rPr>
          <w:sz w:val="19"/>
          <w:szCs w:val="19"/>
          <w:highlight w:val="yellow"/>
        </w:rPr>
        <w:t>are not met;</w:t>
      </w:r>
      <w:r w:rsidR="00050097" w:rsidRPr="00565E73">
        <w:rPr>
          <w:sz w:val="19"/>
          <w:szCs w:val="19"/>
        </w:rPr>
        <w:t xml:space="preserve"> the appellant’s assertions to the effect that</w:t>
      </w:r>
      <w:r w:rsidR="001F7842" w:rsidRPr="00565E73">
        <w:rPr>
          <w:sz w:val="19"/>
          <w:szCs w:val="19"/>
        </w:rPr>
        <w:t xml:space="preserve"> the principles of equality and</w:t>
      </w:r>
      <w:r w:rsidR="00B12EF9" w:rsidRPr="00565E73">
        <w:rPr>
          <w:sz w:val="19"/>
          <w:szCs w:val="19"/>
        </w:rPr>
        <w:t xml:space="preserve"> </w:t>
      </w:r>
      <w:r w:rsidR="00183745" w:rsidRPr="00565E73">
        <w:rPr>
          <w:sz w:val="19"/>
          <w:szCs w:val="19"/>
        </w:rPr>
        <w:t>legal reservation</w:t>
      </w:r>
      <w:r w:rsidR="00050097" w:rsidRPr="00565E73">
        <w:rPr>
          <w:sz w:val="19"/>
          <w:szCs w:val="19"/>
        </w:rPr>
        <w:t xml:space="preserve"> would be infringed upon if the payments are not refunded are unsupported.</w:t>
      </w:r>
    </w:p>
    <w:p w:rsidR="009D28C8" w:rsidRPr="00565E73" w:rsidRDefault="009D28C8" w:rsidP="00550403">
      <w:pPr>
        <w:jc w:val="both"/>
        <w:rPr>
          <w:sz w:val="19"/>
          <w:szCs w:val="19"/>
        </w:rPr>
      </w:pPr>
    </w:p>
    <w:p w:rsidR="009D28C8" w:rsidRPr="00565E73" w:rsidRDefault="009D28C8" w:rsidP="00550403">
      <w:pPr>
        <w:jc w:val="both"/>
        <w:rPr>
          <w:sz w:val="19"/>
          <w:szCs w:val="19"/>
        </w:rPr>
      </w:pPr>
      <w:r w:rsidRPr="00565E73">
        <w:rPr>
          <w:sz w:val="19"/>
          <w:szCs w:val="19"/>
        </w:rPr>
        <w:t>In reference to the double penalty alleged by the appellant, to the effect that the late payment</w:t>
      </w:r>
      <w:r w:rsidR="0022481F" w:rsidRPr="00565E73">
        <w:rPr>
          <w:sz w:val="19"/>
          <w:szCs w:val="19"/>
        </w:rPr>
        <w:t xml:space="preserve"> interest of the tax combined with the rejection of her refund request represents a duplication of the penalty, it should be noted that such consequences do not represent penalties as they have not come about as a result of actions that can be categorized as violations; furthermore, the two situations arise from</w:t>
      </w:r>
      <w:r w:rsidR="0008435F" w:rsidRPr="00565E73">
        <w:rPr>
          <w:sz w:val="19"/>
          <w:szCs w:val="19"/>
        </w:rPr>
        <w:t xml:space="preserve"> different</w:t>
      </w:r>
      <w:r w:rsidR="0022481F" w:rsidRPr="00565E73">
        <w:rPr>
          <w:sz w:val="19"/>
          <w:szCs w:val="19"/>
        </w:rPr>
        <w:t xml:space="preserve"> </w:t>
      </w:r>
      <w:r w:rsidR="0008435F" w:rsidRPr="00565E73">
        <w:rPr>
          <w:sz w:val="19"/>
          <w:szCs w:val="19"/>
        </w:rPr>
        <w:t>facts</w:t>
      </w:r>
      <w:r w:rsidR="008A10E9" w:rsidRPr="00565E73">
        <w:rPr>
          <w:sz w:val="19"/>
          <w:szCs w:val="19"/>
        </w:rPr>
        <w:t xml:space="preserve"> – the first </w:t>
      </w:r>
      <w:r w:rsidR="00872218" w:rsidRPr="00565E73">
        <w:rPr>
          <w:sz w:val="19"/>
          <w:szCs w:val="19"/>
        </w:rPr>
        <w:t>is due to a</w:t>
      </w:r>
      <w:r w:rsidR="008A10E9" w:rsidRPr="00565E73">
        <w:rPr>
          <w:sz w:val="19"/>
          <w:szCs w:val="19"/>
        </w:rPr>
        <w:t xml:space="preserve"> delay in payment of the tax,</w:t>
      </w:r>
      <w:r w:rsidR="00872218" w:rsidRPr="00565E73">
        <w:rPr>
          <w:sz w:val="19"/>
          <w:szCs w:val="19"/>
        </w:rPr>
        <w:t xml:space="preserve"> while</w:t>
      </w:r>
      <w:r w:rsidR="008A10E9" w:rsidRPr="00565E73">
        <w:rPr>
          <w:sz w:val="19"/>
          <w:szCs w:val="19"/>
        </w:rPr>
        <w:t xml:space="preserve"> the second</w:t>
      </w:r>
      <w:r w:rsidR="00872218" w:rsidRPr="00565E73">
        <w:rPr>
          <w:sz w:val="19"/>
          <w:szCs w:val="19"/>
        </w:rPr>
        <w:t xml:space="preserve"> is due to a</w:t>
      </w:r>
      <w:r w:rsidR="008A10E9" w:rsidRPr="00565E73">
        <w:rPr>
          <w:sz w:val="19"/>
          <w:szCs w:val="19"/>
        </w:rPr>
        <w:t xml:space="preserve"> failure to fulfill the conditions </w:t>
      </w:r>
      <w:r w:rsidR="00872218" w:rsidRPr="00565E73">
        <w:rPr>
          <w:sz w:val="19"/>
          <w:szCs w:val="19"/>
        </w:rPr>
        <w:t xml:space="preserve">necessary to be eligible for a refund; </w:t>
      </w:r>
      <w:r w:rsidR="0008435F" w:rsidRPr="00565E73">
        <w:rPr>
          <w:sz w:val="19"/>
          <w:szCs w:val="19"/>
        </w:rPr>
        <w:t>the allegation thus lacks a basis in fact, which</w:t>
      </w:r>
      <w:r w:rsidR="00872218" w:rsidRPr="00565E73">
        <w:rPr>
          <w:sz w:val="19"/>
          <w:szCs w:val="19"/>
        </w:rPr>
        <w:t xml:space="preserve"> should be the starting point for </w:t>
      </w:r>
      <w:r w:rsidR="00CB66F4" w:rsidRPr="00565E73">
        <w:rPr>
          <w:sz w:val="19"/>
          <w:szCs w:val="19"/>
        </w:rPr>
        <w:t xml:space="preserve">an </w:t>
      </w:r>
      <w:r w:rsidR="00872218" w:rsidRPr="00565E73">
        <w:rPr>
          <w:sz w:val="19"/>
          <w:szCs w:val="19"/>
        </w:rPr>
        <w:t>analysis of whe</w:t>
      </w:r>
      <w:r w:rsidR="0025050B" w:rsidRPr="00565E73">
        <w:rPr>
          <w:sz w:val="19"/>
          <w:szCs w:val="19"/>
        </w:rPr>
        <w:t>ther the present case would entail</w:t>
      </w:r>
      <w:r w:rsidR="00872218" w:rsidRPr="00565E73">
        <w:rPr>
          <w:sz w:val="19"/>
          <w:szCs w:val="19"/>
        </w:rPr>
        <w:t xml:space="preserve"> a double penalty. </w:t>
      </w:r>
      <w:r w:rsidR="00AA5F06" w:rsidRPr="00565E73">
        <w:rPr>
          <w:sz w:val="19"/>
          <w:szCs w:val="19"/>
        </w:rPr>
        <w:t>Accordingly, the appellant’s allegation in this regard is unsupported.</w:t>
      </w:r>
    </w:p>
    <w:p w:rsidR="00AA5F06" w:rsidRPr="00565E73" w:rsidRDefault="00AA5F06" w:rsidP="00550403">
      <w:pPr>
        <w:jc w:val="both"/>
        <w:rPr>
          <w:sz w:val="19"/>
          <w:szCs w:val="19"/>
        </w:rPr>
      </w:pPr>
    </w:p>
    <w:p w:rsidR="00A55BC4" w:rsidRDefault="00882E37" w:rsidP="00550403">
      <w:pPr>
        <w:jc w:val="both"/>
        <w:rPr>
          <w:sz w:val="19"/>
          <w:szCs w:val="19"/>
          <w:highlight w:val="yellow"/>
        </w:rPr>
      </w:pPr>
      <w:r w:rsidRPr="00565E73">
        <w:rPr>
          <w:sz w:val="19"/>
          <w:szCs w:val="19"/>
        </w:rPr>
        <w:t>Finally, regarding the asserti</w:t>
      </w:r>
      <w:r w:rsidR="007623A2" w:rsidRPr="00565E73">
        <w:rPr>
          <w:sz w:val="19"/>
          <w:szCs w:val="19"/>
        </w:rPr>
        <w:t xml:space="preserve">ons of the appellant, the </w:t>
      </w:r>
      <w:r w:rsidRPr="00565E73">
        <w:rPr>
          <w:sz w:val="19"/>
          <w:szCs w:val="19"/>
        </w:rPr>
        <w:t>appealed</w:t>
      </w:r>
      <w:r w:rsidR="007623A2" w:rsidRPr="00565E73">
        <w:rPr>
          <w:sz w:val="19"/>
          <w:szCs w:val="19"/>
        </w:rPr>
        <w:t xml:space="preserve"> resolution</w:t>
      </w:r>
      <w:r w:rsidR="004A30F6" w:rsidRPr="00565E73">
        <w:rPr>
          <w:sz w:val="19"/>
          <w:szCs w:val="19"/>
        </w:rPr>
        <w:t xml:space="preserve"> is hereby upheld</w:t>
      </w:r>
      <w:r w:rsidRPr="00565E73">
        <w:rPr>
          <w:sz w:val="19"/>
          <w:szCs w:val="19"/>
        </w:rPr>
        <w:t>; the Administration shall permit the deduction of the ITAN amount paid for the month of August 2005; it should be noted that as h</w:t>
      </w:r>
      <w:r w:rsidR="004A30F6" w:rsidRPr="00565E73">
        <w:rPr>
          <w:sz w:val="19"/>
          <w:szCs w:val="19"/>
        </w:rPr>
        <w:t>as been stated</w:t>
      </w:r>
      <w:r w:rsidRPr="00565E73">
        <w:rPr>
          <w:sz w:val="19"/>
          <w:szCs w:val="19"/>
        </w:rPr>
        <w:t xml:space="preserve"> in the present resolution, payments due for </w:t>
      </w:r>
      <w:r w:rsidR="00CB66F4" w:rsidRPr="00565E73">
        <w:rPr>
          <w:sz w:val="19"/>
          <w:szCs w:val="19"/>
        </w:rPr>
        <w:t xml:space="preserve">the </w:t>
      </w:r>
      <w:r w:rsidRPr="00565E73">
        <w:rPr>
          <w:sz w:val="19"/>
          <w:szCs w:val="19"/>
        </w:rPr>
        <w:t xml:space="preserve">ITAN represent an independent tax; and while the legislature has provided for the possibility of obtaining a refund, said prerogative is conditional on the fulfillment of the stipulations in the regulations governing it. </w:t>
      </w:r>
      <w:r w:rsidR="00F26054" w:rsidRPr="00565E73">
        <w:rPr>
          <w:sz w:val="19"/>
          <w:szCs w:val="19"/>
          <w:highlight w:val="yellow"/>
        </w:rPr>
        <w:t>Thus, an ITAN a</w:t>
      </w:r>
      <w:r w:rsidR="00037174" w:rsidRPr="00565E73">
        <w:rPr>
          <w:sz w:val="19"/>
          <w:szCs w:val="19"/>
          <w:highlight w:val="yellow"/>
        </w:rPr>
        <w:t>ctually paid, in whole or in part,</w:t>
      </w:r>
      <w:r w:rsidR="00F26054" w:rsidRPr="00565E73">
        <w:rPr>
          <w:sz w:val="19"/>
          <w:szCs w:val="19"/>
          <w:highlight w:val="yellow"/>
        </w:rPr>
        <w:t xml:space="preserve"> can be applied as a credit against the advance payments for March through December or the income tax regularization payment for the tax year in which the</w:t>
      </w:r>
    </w:p>
    <w:p w:rsidR="00A55BC4" w:rsidRDefault="00A55BC4" w:rsidP="00550403">
      <w:pPr>
        <w:jc w:val="both"/>
        <w:rPr>
          <w:sz w:val="19"/>
          <w:szCs w:val="19"/>
          <w:highlight w:val="yellow"/>
        </w:rPr>
      </w:pPr>
    </w:p>
    <w:p w:rsidR="00A55BC4" w:rsidRDefault="00A55BC4" w:rsidP="00550403">
      <w:pPr>
        <w:jc w:val="both"/>
        <w:rPr>
          <w:sz w:val="19"/>
          <w:szCs w:val="19"/>
          <w:highlight w:val="yellow"/>
        </w:rPr>
      </w:pPr>
    </w:p>
    <w:p w:rsidR="00A55BC4" w:rsidRPr="00A55BC4" w:rsidRDefault="00A55BC4" w:rsidP="00550403">
      <w:pPr>
        <w:jc w:val="both"/>
        <w:rPr>
          <w:sz w:val="16"/>
          <w:szCs w:val="16"/>
        </w:rPr>
      </w:pPr>
      <w:r>
        <w:rPr>
          <w:sz w:val="16"/>
          <w:szCs w:val="16"/>
        </w:rPr>
        <w:t>[I</w:t>
      </w:r>
      <w:r w:rsidRPr="00A55BC4">
        <w:rPr>
          <w:sz w:val="16"/>
          <w:szCs w:val="16"/>
        </w:rPr>
        <w:t>llegible handwriting]</w:t>
      </w:r>
    </w:p>
    <w:p w:rsidR="00A55BC4" w:rsidRDefault="00A55BC4" w:rsidP="00550403">
      <w:pPr>
        <w:jc w:val="both"/>
        <w:rPr>
          <w:sz w:val="19"/>
          <w:szCs w:val="19"/>
          <w:highlight w:val="yellow"/>
        </w:rPr>
      </w:pPr>
    </w:p>
    <w:p w:rsidR="00A55BC4" w:rsidRPr="00A55BC4" w:rsidRDefault="00A55BC4" w:rsidP="00A55BC4">
      <w:pPr>
        <w:pStyle w:val="Header"/>
        <w:jc w:val="center"/>
        <w:rPr>
          <w:sz w:val="19"/>
          <w:szCs w:val="19"/>
        </w:rPr>
      </w:pPr>
      <w:r w:rsidRPr="00A55BC4">
        <w:rPr>
          <w:sz w:val="19"/>
          <w:szCs w:val="19"/>
        </w:rPr>
        <w:lastRenderedPageBreak/>
        <w:t>[Seal of the Republic of Peru]</w:t>
      </w:r>
    </w:p>
    <w:p w:rsidR="00A55BC4" w:rsidRDefault="00A55BC4" w:rsidP="00A55BC4">
      <w:pPr>
        <w:pStyle w:val="Header"/>
        <w:jc w:val="center"/>
      </w:pPr>
    </w:p>
    <w:p w:rsidR="00A55BC4" w:rsidRPr="00DE3286" w:rsidRDefault="00A55BC4" w:rsidP="00A55BC4">
      <w:pPr>
        <w:pStyle w:val="Header"/>
        <w:jc w:val="center"/>
        <w:rPr>
          <w:rFonts w:ascii="Kunstler Script" w:hAnsi="Kunstler Script"/>
          <w:b/>
          <w:sz w:val="72"/>
          <w:szCs w:val="72"/>
        </w:rPr>
      </w:pPr>
      <w:r>
        <w:rPr>
          <w:rFonts w:ascii="Kunstler Script" w:hAnsi="Kunstler Script"/>
          <w:b/>
          <w:sz w:val="72"/>
          <w:szCs w:val="72"/>
        </w:rPr>
        <w:t xml:space="preserve">                  </w:t>
      </w:r>
      <w:r w:rsidRPr="00DE3286">
        <w:rPr>
          <w:rFonts w:ascii="Kunstler Script" w:hAnsi="Kunstler Script"/>
          <w:b/>
          <w:sz w:val="72"/>
          <w:szCs w:val="72"/>
        </w:rPr>
        <w:t>Tax Court</w:t>
      </w:r>
      <w:r>
        <w:rPr>
          <w:rFonts w:ascii="Kunstler Script" w:hAnsi="Kunstler Script"/>
          <w:b/>
          <w:sz w:val="72"/>
          <w:szCs w:val="72"/>
        </w:rPr>
        <w:t xml:space="preserve">             </w:t>
      </w:r>
      <w:r w:rsidRPr="00D1597F">
        <w:rPr>
          <w:rFonts w:cstheme="minorHAnsi"/>
          <w:b/>
          <w:sz w:val="24"/>
          <w:szCs w:val="24"/>
        </w:rPr>
        <w:t>No. 10055-1-2012</w:t>
      </w:r>
    </w:p>
    <w:p w:rsidR="00A55BC4" w:rsidRDefault="00A55BC4" w:rsidP="00550403">
      <w:pPr>
        <w:jc w:val="both"/>
        <w:rPr>
          <w:sz w:val="19"/>
          <w:szCs w:val="19"/>
          <w:highlight w:val="yellow"/>
        </w:rPr>
      </w:pPr>
    </w:p>
    <w:p w:rsidR="00AA5F06" w:rsidRPr="00565E73" w:rsidRDefault="00F26054" w:rsidP="00550403">
      <w:pPr>
        <w:jc w:val="both"/>
        <w:rPr>
          <w:sz w:val="19"/>
          <w:szCs w:val="19"/>
        </w:rPr>
      </w:pPr>
      <w:r w:rsidRPr="00565E73">
        <w:rPr>
          <w:sz w:val="19"/>
          <w:szCs w:val="19"/>
          <w:highlight w:val="yellow"/>
        </w:rPr>
        <w:t xml:space="preserve"> ITAN is paid, provided that the ITAN is paid by the deadline for the aforementioned advance payments or by the time of the filing of the annual income tax return or the deadline thereof, whichever occurs first</w:t>
      </w:r>
      <w:r w:rsidR="004A30F6" w:rsidRPr="00565E73">
        <w:rPr>
          <w:sz w:val="19"/>
          <w:szCs w:val="19"/>
          <w:highlight w:val="yellow"/>
        </w:rPr>
        <w:t>, since</w:t>
      </w:r>
      <w:r w:rsidRPr="00565E73">
        <w:rPr>
          <w:sz w:val="19"/>
          <w:szCs w:val="19"/>
          <w:highlight w:val="yellow"/>
        </w:rPr>
        <w:t xml:space="preserve"> a credit that is not related to compensation can be eligible for refund, which means that if the ITAN payments did not constitute an income tax credit, they cannot be refunded.</w:t>
      </w:r>
    </w:p>
    <w:p w:rsidR="00A55BC4" w:rsidRPr="00A55BC4" w:rsidRDefault="00A55BC4" w:rsidP="00A55BC4">
      <w:pPr>
        <w:pStyle w:val="Header"/>
        <w:rPr>
          <w:sz w:val="16"/>
          <w:szCs w:val="16"/>
        </w:rPr>
      </w:pPr>
    </w:p>
    <w:p w:rsidR="004A30F6" w:rsidRPr="00565E73" w:rsidRDefault="007623A2">
      <w:pPr>
        <w:rPr>
          <w:sz w:val="19"/>
          <w:szCs w:val="19"/>
        </w:rPr>
      </w:pPr>
      <w:r w:rsidRPr="00565E73">
        <w:rPr>
          <w:sz w:val="19"/>
          <w:szCs w:val="19"/>
        </w:rPr>
        <w:t>In view of</w:t>
      </w:r>
      <w:r w:rsidR="004A30F6" w:rsidRPr="00565E73">
        <w:rPr>
          <w:sz w:val="19"/>
          <w:szCs w:val="19"/>
        </w:rPr>
        <w:t xml:space="preserve"> the foregoing, the appealed resolution is hereby upheld.</w:t>
      </w:r>
    </w:p>
    <w:p w:rsidR="007623A2" w:rsidRPr="00565E73" w:rsidRDefault="007623A2">
      <w:pPr>
        <w:rPr>
          <w:sz w:val="19"/>
          <w:szCs w:val="19"/>
        </w:rPr>
      </w:pPr>
    </w:p>
    <w:p w:rsidR="007623A2" w:rsidRPr="00565E73" w:rsidRDefault="006A4194">
      <w:pPr>
        <w:rPr>
          <w:sz w:val="19"/>
          <w:szCs w:val="19"/>
        </w:rPr>
      </w:pPr>
      <w:r w:rsidRPr="00565E73">
        <w:rPr>
          <w:sz w:val="19"/>
          <w:szCs w:val="19"/>
        </w:rPr>
        <w:t xml:space="preserve">With </w:t>
      </w:r>
      <w:r w:rsidR="00B97B59" w:rsidRPr="00565E73">
        <w:rPr>
          <w:sz w:val="19"/>
          <w:szCs w:val="19"/>
        </w:rPr>
        <w:t xml:space="preserve">members </w:t>
      </w:r>
      <w:proofErr w:type="spellStart"/>
      <w:r w:rsidR="00B97B59" w:rsidRPr="00565E73">
        <w:rPr>
          <w:sz w:val="19"/>
          <w:szCs w:val="19"/>
        </w:rPr>
        <w:t>Zúñ</w:t>
      </w:r>
      <w:r w:rsidR="00187DAD" w:rsidRPr="00565E73">
        <w:rPr>
          <w:sz w:val="19"/>
          <w:szCs w:val="19"/>
        </w:rPr>
        <w:t>iga</w:t>
      </w:r>
      <w:proofErr w:type="spellEnd"/>
      <w:r w:rsidR="00187DAD" w:rsidRPr="00565E73">
        <w:rPr>
          <w:sz w:val="19"/>
          <w:szCs w:val="19"/>
        </w:rPr>
        <w:t xml:space="preserve"> </w:t>
      </w:r>
      <w:proofErr w:type="spellStart"/>
      <w:r w:rsidR="00187DAD" w:rsidRPr="00565E73">
        <w:rPr>
          <w:sz w:val="19"/>
          <w:szCs w:val="19"/>
        </w:rPr>
        <w:t>Dulanto</w:t>
      </w:r>
      <w:proofErr w:type="spellEnd"/>
      <w:r w:rsidR="00187DAD" w:rsidRPr="00565E73">
        <w:rPr>
          <w:sz w:val="19"/>
          <w:szCs w:val="19"/>
        </w:rPr>
        <w:t xml:space="preserve"> and</w:t>
      </w:r>
      <w:r w:rsidR="00B97B59" w:rsidRPr="00565E73">
        <w:rPr>
          <w:sz w:val="19"/>
          <w:szCs w:val="19"/>
        </w:rPr>
        <w:t xml:space="preserve"> </w:t>
      </w:r>
      <w:proofErr w:type="spellStart"/>
      <w:r w:rsidR="00B97B59" w:rsidRPr="00565E73">
        <w:rPr>
          <w:sz w:val="19"/>
          <w:szCs w:val="19"/>
        </w:rPr>
        <w:t>Amico</w:t>
      </w:r>
      <w:proofErr w:type="spellEnd"/>
      <w:r w:rsidR="00B97B59" w:rsidRPr="00565E73">
        <w:rPr>
          <w:sz w:val="19"/>
          <w:szCs w:val="19"/>
        </w:rPr>
        <w:t xml:space="preserve"> de las Casas, and with member </w:t>
      </w:r>
      <w:proofErr w:type="spellStart"/>
      <w:r w:rsidR="00B97B59" w:rsidRPr="00565E73">
        <w:rPr>
          <w:sz w:val="19"/>
          <w:szCs w:val="19"/>
        </w:rPr>
        <w:t>Ramírez</w:t>
      </w:r>
      <w:proofErr w:type="spellEnd"/>
      <w:r w:rsidR="00B97B59" w:rsidRPr="00565E73">
        <w:rPr>
          <w:sz w:val="19"/>
          <w:szCs w:val="19"/>
        </w:rPr>
        <w:t xml:space="preserve"> </w:t>
      </w:r>
      <w:bookmarkStart w:id="0" w:name="_GoBack"/>
      <w:bookmarkEnd w:id="0"/>
      <w:proofErr w:type="spellStart"/>
      <w:r w:rsidR="00B97B59" w:rsidRPr="00565E73">
        <w:rPr>
          <w:sz w:val="19"/>
          <w:szCs w:val="19"/>
        </w:rPr>
        <w:t>Mío</w:t>
      </w:r>
      <w:proofErr w:type="spellEnd"/>
      <w:r w:rsidR="00B97B59" w:rsidRPr="00565E73">
        <w:rPr>
          <w:sz w:val="19"/>
          <w:szCs w:val="19"/>
        </w:rPr>
        <w:t xml:space="preserve"> participating as rapporteur.</w:t>
      </w:r>
    </w:p>
    <w:p w:rsidR="00187DAD" w:rsidRPr="00565E73" w:rsidRDefault="00187DAD">
      <w:pPr>
        <w:rPr>
          <w:sz w:val="19"/>
          <w:szCs w:val="19"/>
        </w:rPr>
      </w:pPr>
    </w:p>
    <w:p w:rsidR="00187DAD" w:rsidRPr="00565E73" w:rsidRDefault="00E01617">
      <w:pPr>
        <w:rPr>
          <w:b/>
          <w:sz w:val="19"/>
          <w:szCs w:val="19"/>
        </w:rPr>
      </w:pPr>
      <w:r w:rsidRPr="00565E73">
        <w:rPr>
          <w:b/>
          <w:sz w:val="19"/>
          <w:szCs w:val="19"/>
        </w:rPr>
        <w:t>IT IS DECIDED:</w:t>
      </w:r>
    </w:p>
    <w:p w:rsidR="00E01617" w:rsidRPr="00565E73" w:rsidRDefault="00E01617">
      <w:pPr>
        <w:rPr>
          <w:sz w:val="19"/>
          <w:szCs w:val="19"/>
        </w:rPr>
      </w:pPr>
    </w:p>
    <w:p w:rsidR="00E01617" w:rsidRPr="00565E73" w:rsidRDefault="00E01617">
      <w:pPr>
        <w:rPr>
          <w:sz w:val="19"/>
          <w:szCs w:val="19"/>
        </w:rPr>
      </w:pPr>
      <w:proofErr w:type="gramStart"/>
      <w:r w:rsidRPr="00565E73">
        <w:rPr>
          <w:b/>
          <w:sz w:val="19"/>
          <w:szCs w:val="19"/>
        </w:rPr>
        <w:t>TO UPHOLD</w:t>
      </w:r>
      <w:r w:rsidRPr="00565E73">
        <w:rPr>
          <w:sz w:val="19"/>
          <w:szCs w:val="19"/>
        </w:rPr>
        <w:t xml:space="preserve"> Administrative Resolution No. 0150140009628 of March 29, 2011.</w:t>
      </w:r>
      <w:proofErr w:type="gramEnd"/>
    </w:p>
    <w:p w:rsidR="00E01617" w:rsidRPr="00565E73" w:rsidRDefault="00E01617">
      <w:pPr>
        <w:rPr>
          <w:sz w:val="19"/>
          <w:szCs w:val="19"/>
        </w:rPr>
      </w:pPr>
    </w:p>
    <w:p w:rsidR="00E01617" w:rsidRPr="00565E73" w:rsidRDefault="00E01617">
      <w:pPr>
        <w:rPr>
          <w:sz w:val="19"/>
          <w:szCs w:val="19"/>
        </w:rPr>
      </w:pPr>
      <w:r w:rsidRPr="00565E73">
        <w:rPr>
          <w:sz w:val="19"/>
          <w:szCs w:val="19"/>
        </w:rPr>
        <w:t xml:space="preserve">Be it so recorded, communicated, and </w:t>
      </w:r>
      <w:r w:rsidR="0018331D" w:rsidRPr="00565E73">
        <w:rPr>
          <w:sz w:val="19"/>
          <w:szCs w:val="19"/>
        </w:rPr>
        <w:t xml:space="preserve">transmitted </w:t>
      </w:r>
      <w:r w:rsidRPr="00565E73">
        <w:rPr>
          <w:sz w:val="19"/>
          <w:szCs w:val="19"/>
        </w:rPr>
        <w:t>to SUNAT for its purposes.</w:t>
      </w:r>
    </w:p>
    <w:p w:rsidR="00E01617" w:rsidRPr="00565E73" w:rsidRDefault="00E01617">
      <w:pPr>
        <w:rPr>
          <w:sz w:val="19"/>
          <w:szCs w:val="19"/>
        </w:rPr>
      </w:pPr>
    </w:p>
    <w:p w:rsidR="00670913" w:rsidRPr="00565E73" w:rsidRDefault="00670913">
      <w:pPr>
        <w:rPr>
          <w:sz w:val="19"/>
          <w:szCs w:val="19"/>
        </w:rPr>
        <w:sectPr w:rsidR="00670913" w:rsidRPr="00565E73">
          <w:footerReference w:type="default" r:id="rId8"/>
          <w:pgSz w:w="12240" w:h="15840"/>
          <w:pgMar w:top="1440" w:right="1440" w:bottom="1440" w:left="1440" w:header="720" w:footer="720" w:gutter="0"/>
          <w:cols w:space="720"/>
          <w:docGrid w:linePitch="360"/>
        </w:sectPr>
      </w:pPr>
    </w:p>
    <w:p w:rsidR="00E01617" w:rsidRPr="00565E73" w:rsidRDefault="00670913" w:rsidP="00670913">
      <w:pPr>
        <w:jc w:val="center"/>
        <w:rPr>
          <w:sz w:val="19"/>
          <w:szCs w:val="19"/>
        </w:rPr>
      </w:pPr>
      <w:r w:rsidRPr="00565E73">
        <w:rPr>
          <w:sz w:val="19"/>
          <w:szCs w:val="19"/>
        </w:rPr>
        <w:lastRenderedPageBreak/>
        <w:t>[</w:t>
      </w:r>
      <w:proofErr w:type="gramStart"/>
      <w:r w:rsidRPr="00565E73">
        <w:rPr>
          <w:sz w:val="19"/>
          <w:szCs w:val="19"/>
        </w:rPr>
        <w:t>signature</w:t>
      </w:r>
      <w:proofErr w:type="gramEnd"/>
      <w:r w:rsidRPr="00565E73">
        <w:rPr>
          <w:sz w:val="19"/>
          <w:szCs w:val="19"/>
        </w:rPr>
        <w:t>]</w:t>
      </w:r>
    </w:p>
    <w:p w:rsidR="00670913" w:rsidRPr="00565E73" w:rsidRDefault="00670913" w:rsidP="00670913">
      <w:pPr>
        <w:jc w:val="center"/>
        <w:rPr>
          <w:b/>
          <w:sz w:val="19"/>
          <w:szCs w:val="19"/>
        </w:rPr>
      </w:pPr>
      <w:r w:rsidRPr="00565E73">
        <w:rPr>
          <w:b/>
          <w:sz w:val="19"/>
          <w:szCs w:val="19"/>
        </w:rPr>
        <w:t>ZÚÑIGA DULANTO</w:t>
      </w:r>
    </w:p>
    <w:p w:rsidR="00670913" w:rsidRPr="00565E73" w:rsidRDefault="00670913" w:rsidP="00670913">
      <w:pPr>
        <w:jc w:val="center"/>
        <w:rPr>
          <w:b/>
          <w:sz w:val="19"/>
          <w:szCs w:val="19"/>
        </w:rPr>
      </w:pPr>
      <w:r w:rsidRPr="00565E73">
        <w:rPr>
          <w:b/>
          <w:sz w:val="19"/>
          <w:szCs w:val="19"/>
        </w:rPr>
        <w:t>MEMBER AND PRESIDENT</w:t>
      </w:r>
    </w:p>
    <w:p w:rsidR="00670913" w:rsidRPr="00565E73" w:rsidRDefault="00670913" w:rsidP="00670913">
      <w:pPr>
        <w:jc w:val="center"/>
        <w:rPr>
          <w:sz w:val="19"/>
          <w:szCs w:val="19"/>
        </w:rPr>
      </w:pPr>
      <w:r w:rsidRPr="00565E73">
        <w:rPr>
          <w:sz w:val="19"/>
          <w:szCs w:val="19"/>
        </w:rPr>
        <w:lastRenderedPageBreak/>
        <w:t>[</w:t>
      </w:r>
      <w:proofErr w:type="gramStart"/>
      <w:r w:rsidRPr="00565E73">
        <w:rPr>
          <w:sz w:val="19"/>
          <w:szCs w:val="19"/>
        </w:rPr>
        <w:t>signature</w:t>
      </w:r>
      <w:proofErr w:type="gramEnd"/>
      <w:r w:rsidRPr="00565E73">
        <w:rPr>
          <w:sz w:val="19"/>
          <w:szCs w:val="19"/>
        </w:rPr>
        <w:t>]</w:t>
      </w:r>
    </w:p>
    <w:p w:rsidR="00670913" w:rsidRPr="00565E73" w:rsidRDefault="00670913" w:rsidP="00670913">
      <w:pPr>
        <w:jc w:val="center"/>
        <w:rPr>
          <w:b/>
          <w:sz w:val="19"/>
          <w:szCs w:val="19"/>
        </w:rPr>
      </w:pPr>
      <w:r w:rsidRPr="00565E73">
        <w:rPr>
          <w:b/>
          <w:sz w:val="19"/>
          <w:szCs w:val="19"/>
        </w:rPr>
        <w:t>AMICO DE LAS CASAS</w:t>
      </w:r>
    </w:p>
    <w:p w:rsidR="00670913" w:rsidRPr="00565E73" w:rsidRDefault="00670913" w:rsidP="00670913">
      <w:pPr>
        <w:jc w:val="center"/>
        <w:rPr>
          <w:b/>
          <w:sz w:val="19"/>
          <w:szCs w:val="19"/>
        </w:rPr>
      </w:pPr>
      <w:r w:rsidRPr="00565E73">
        <w:rPr>
          <w:b/>
          <w:sz w:val="19"/>
          <w:szCs w:val="19"/>
        </w:rPr>
        <w:t>MEMBER</w:t>
      </w:r>
    </w:p>
    <w:p w:rsidR="00670913" w:rsidRPr="00565E73" w:rsidRDefault="00670913" w:rsidP="00670913">
      <w:pPr>
        <w:jc w:val="center"/>
        <w:rPr>
          <w:sz w:val="19"/>
          <w:szCs w:val="19"/>
        </w:rPr>
      </w:pPr>
      <w:r w:rsidRPr="00565E73">
        <w:rPr>
          <w:sz w:val="19"/>
          <w:szCs w:val="19"/>
        </w:rPr>
        <w:lastRenderedPageBreak/>
        <w:t>[</w:t>
      </w:r>
      <w:proofErr w:type="gramStart"/>
      <w:r w:rsidRPr="00565E73">
        <w:rPr>
          <w:sz w:val="19"/>
          <w:szCs w:val="19"/>
        </w:rPr>
        <w:t>signature</w:t>
      </w:r>
      <w:proofErr w:type="gramEnd"/>
      <w:r w:rsidRPr="00565E73">
        <w:rPr>
          <w:sz w:val="19"/>
          <w:szCs w:val="19"/>
        </w:rPr>
        <w:t>]</w:t>
      </w:r>
    </w:p>
    <w:p w:rsidR="00670913" w:rsidRPr="00565E73" w:rsidRDefault="00670913" w:rsidP="00670913">
      <w:pPr>
        <w:jc w:val="center"/>
        <w:rPr>
          <w:b/>
          <w:sz w:val="19"/>
          <w:szCs w:val="19"/>
        </w:rPr>
      </w:pPr>
      <w:r w:rsidRPr="00565E73">
        <w:rPr>
          <w:b/>
          <w:sz w:val="19"/>
          <w:szCs w:val="19"/>
        </w:rPr>
        <w:t>RAMÍREZ MÍO</w:t>
      </w:r>
    </w:p>
    <w:p w:rsidR="00670913" w:rsidRPr="00565E73" w:rsidRDefault="00670913" w:rsidP="00670913">
      <w:pPr>
        <w:jc w:val="center"/>
        <w:rPr>
          <w:b/>
          <w:sz w:val="19"/>
          <w:szCs w:val="19"/>
        </w:rPr>
      </w:pPr>
      <w:r w:rsidRPr="00565E73">
        <w:rPr>
          <w:b/>
          <w:sz w:val="19"/>
          <w:szCs w:val="19"/>
        </w:rPr>
        <w:t>MEMBER</w:t>
      </w:r>
    </w:p>
    <w:p w:rsidR="00670913" w:rsidRPr="00565E73" w:rsidRDefault="00670913">
      <w:pPr>
        <w:rPr>
          <w:sz w:val="19"/>
          <w:szCs w:val="19"/>
        </w:rPr>
        <w:sectPr w:rsidR="00670913" w:rsidRPr="00565E73" w:rsidSect="00670913">
          <w:type w:val="continuous"/>
          <w:pgSz w:w="12240" w:h="15840"/>
          <w:pgMar w:top="1440" w:right="1440" w:bottom="1440" w:left="1440" w:header="720" w:footer="720" w:gutter="0"/>
          <w:cols w:num="3" w:space="720"/>
          <w:docGrid w:linePitch="360"/>
        </w:sectPr>
      </w:pPr>
    </w:p>
    <w:p w:rsidR="00670913" w:rsidRPr="00565E73" w:rsidRDefault="00670913">
      <w:pPr>
        <w:rPr>
          <w:sz w:val="19"/>
          <w:szCs w:val="19"/>
        </w:rPr>
      </w:pPr>
    </w:p>
    <w:p w:rsidR="00670913" w:rsidRPr="00565E73" w:rsidRDefault="00670913">
      <w:pPr>
        <w:rPr>
          <w:sz w:val="19"/>
          <w:szCs w:val="19"/>
        </w:rPr>
      </w:pPr>
      <w:r w:rsidRPr="00565E73">
        <w:rPr>
          <w:sz w:val="19"/>
          <w:szCs w:val="19"/>
        </w:rPr>
        <w:t>[</w:t>
      </w:r>
      <w:proofErr w:type="gramStart"/>
      <w:r w:rsidRPr="00565E73">
        <w:rPr>
          <w:sz w:val="19"/>
          <w:szCs w:val="19"/>
        </w:rPr>
        <w:t>signature</w:t>
      </w:r>
      <w:proofErr w:type="gramEnd"/>
      <w:r w:rsidRPr="00565E73">
        <w:rPr>
          <w:sz w:val="19"/>
          <w:szCs w:val="19"/>
        </w:rPr>
        <w:t>]</w:t>
      </w:r>
    </w:p>
    <w:p w:rsidR="00670913" w:rsidRPr="00565E73" w:rsidRDefault="00670913">
      <w:pPr>
        <w:rPr>
          <w:b/>
          <w:sz w:val="19"/>
          <w:szCs w:val="19"/>
        </w:rPr>
      </w:pPr>
      <w:r w:rsidRPr="00565E73">
        <w:rPr>
          <w:b/>
          <w:sz w:val="19"/>
          <w:szCs w:val="19"/>
        </w:rPr>
        <w:t xml:space="preserve">Quintana </w:t>
      </w:r>
      <w:proofErr w:type="spellStart"/>
      <w:r w:rsidRPr="00565E73">
        <w:rPr>
          <w:b/>
          <w:sz w:val="19"/>
          <w:szCs w:val="19"/>
        </w:rPr>
        <w:t>Aquehua</w:t>
      </w:r>
      <w:proofErr w:type="spellEnd"/>
    </w:p>
    <w:p w:rsidR="00670913" w:rsidRPr="00565E73" w:rsidRDefault="00670913">
      <w:pPr>
        <w:rPr>
          <w:sz w:val="19"/>
          <w:szCs w:val="19"/>
        </w:rPr>
      </w:pPr>
      <w:r w:rsidRPr="00565E73">
        <w:rPr>
          <w:sz w:val="19"/>
          <w:szCs w:val="19"/>
        </w:rPr>
        <w:t>Clerk-Rapporteur</w:t>
      </w:r>
    </w:p>
    <w:p w:rsidR="00670913" w:rsidRPr="00565E73" w:rsidRDefault="00670913">
      <w:pPr>
        <w:rPr>
          <w:sz w:val="19"/>
          <w:szCs w:val="19"/>
        </w:rPr>
      </w:pPr>
      <w:r w:rsidRPr="00565E73">
        <w:rPr>
          <w:sz w:val="19"/>
          <w:szCs w:val="19"/>
        </w:rPr>
        <w:t>RM/QA/CV/</w:t>
      </w:r>
      <w:proofErr w:type="spellStart"/>
      <w:r w:rsidRPr="00565E73">
        <w:rPr>
          <w:sz w:val="19"/>
          <w:szCs w:val="19"/>
        </w:rPr>
        <w:t>rmh</w:t>
      </w:r>
      <w:proofErr w:type="spellEnd"/>
      <w:r w:rsidRPr="00565E73">
        <w:rPr>
          <w:sz w:val="19"/>
          <w:szCs w:val="19"/>
        </w:rPr>
        <w:t xml:space="preserve"> [TN: abbreviations unknown]</w:t>
      </w:r>
    </w:p>
    <w:p w:rsidR="00CC7C7C" w:rsidRPr="00565E73" w:rsidRDefault="00CC7C7C">
      <w:pPr>
        <w:rPr>
          <w:sz w:val="19"/>
          <w:szCs w:val="19"/>
        </w:rPr>
      </w:pPr>
    </w:p>
    <w:p w:rsidR="00CC7C7C" w:rsidRPr="00565E73" w:rsidRDefault="00CC7C7C">
      <w:pPr>
        <w:rPr>
          <w:sz w:val="19"/>
          <w:szCs w:val="19"/>
        </w:rPr>
      </w:pPr>
    </w:p>
    <w:p w:rsidR="00CC7C7C" w:rsidRPr="00565E73" w:rsidRDefault="00CC7C7C">
      <w:pPr>
        <w:rPr>
          <w:sz w:val="19"/>
          <w:szCs w:val="19"/>
        </w:rPr>
      </w:pPr>
    </w:p>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p w:rsidR="00CC7C7C" w:rsidRDefault="00CC7C7C"/>
    <w:sectPr w:rsidR="00CC7C7C" w:rsidSect="006709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B1" w:rsidRDefault="001F1BB1" w:rsidP="00CC7C7C">
      <w:r>
        <w:separator/>
      </w:r>
    </w:p>
  </w:endnote>
  <w:endnote w:type="continuationSeparator" w:id="0">
    <w:p w:rsidR="001F1BB1" w:rsidRDefault="001F1BB1" w:rsidP="00CC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496274"/>
      <w:docPartObj>
        <w:docPartGallery w:val="Page Numbers (Bottom of Page)"/>
        <w:docPartUnique/>
      </w:docPartObj>
    </w:sdtPr>
    <w:sdtEndPr>
      <w:rPr>
        <w:noProof/>
      </w:rPr>
    </w:sdtEndPr>
    <w:sdtContent>
      <w:p w:rsidR="00D87730" w:rsidRDefault="00D87730">
        <w:pPr>
          <w:pStyle w:val="Footer"/>
          <w:jc w:val="center"/>
        </w:pPr>
        <w:r>
          <w:fldChar w:fldCharType="begin"/>
        </w:r>
        <w:r>
          <w:instrText xml:space="preserve"> PAGE   \* MERGEFORMAT </w:instrText>
        </w:r>
        <w:r>
          <w:fldChar w:fldCharType="separate"/>
        </w:r>
        <w:r w:rsidR="00A55BC4">
          <w:rPr>
            <w:noProof/>
          </w:rPr>
          <w:t>4</w:t>
        </w:r>
        <w:r>
          <w:rPr>
            <w:noProof/>
          </w:rPr>
          <w:fldChar w:fldCharType="end"/>
        </w:r>
      </w:p>
    </w:sdtContent>
  </w:sdt>
  <w:p w:rsidR="00D87730" w:rsidRDefault="00D87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B1" w:rsidRDefault="001F1BB1" w:rsidP="00CC7C7C">
      <w:r>
        <w:separator/>
      </w:r>
    </w:p>
  </w:footnote>
  <w:footnote w:type="continuationSeparator" w:id="0">
    <w:p w:rsidR="001F1BB1" w:rsidRDefault="001F1BB1" w:rsidP="00CC7C7C">
      <w:r>
        <w:continuationSeparator/>
      </w:r>
    </w:p>
  </w:footnote>
  <w:footnote w:id="1">
    <w:p w:rsidR="00B12D18" w:rsidRPr="00565E73" w:rsidRDefault="00B12D18">
      <w:pPr>
        <w:pStyle w:val="FootnoteText"/>
        <w:rPr>
          <w:sz w:val="16"/>
          <w:szCs w:val="16"/>
        </w:rPr>
      </w:pPr>
      <w:r w:rsidRPr="00565E73">
        <w:rPr>
          <w:rStyle w:val="FootnoteReference"/>
          <w:sz w:val="16"/>
          <w:szCs w:val="16"/>
        </w:rPr>
        <w:footnoteRef/>
      </w:r>
      <w:r w:rsidRPr="00565E73">
        <w:rPr>
          <w:sz w:val="16"/>
          <w:szCs w:val="16"/>
        </w:rPr>
        <w:t xml:space="preserve"> Superintendence Resolution No. 004-2006/SUNAT</w:t>
      </w:r>
      <w:r w:rsidR="00F04AE4" w:rsidRPr="00565E73">
        <w:rPr>
          <w:sz w:val="16"/>
          <w:szCs w:val="16"/>
        </w:rPr>
        <w:t xml:space="preserve"> established April 3, 2006 as the deadline for filing </w:t>
      </w:r>
      <w:r w:rsidRPr="00565E73">
        <w:rPr>
          <w:sz w:val="16"/>
          <w:szCs w:val="16"/>
        </w:rPr>
        <w:t xml:space="preserve">the annual income tax </w:t>
      </w:r>
      <w:r w:rsidR="00F04AE4" w:rsidRPr="00565E73">
        <w:rPr>
          <w:sz w:val="16"/>
          <w:szCs w:val="16"/>
        </w:rPr>
        <w:t xml:space="preserve">return </w:t>
      </w:r>
      <w:r w:rsidRPr="00565E73">
        <w:rPr>
          <w:sz w:val="16"/>
          <w:szCs w:val="16"/>
        </w:rPr>
        <w:t>for taxpayers with</w:t>
      </w:r>
      <w:r w:rsidR="00A7275F" w:rsidRPr="00565E73">
        <w:rPr>
          <w:sz w:val="16"/>
          <w:szCs w:val="16"/>
        </w:rPr>
        <w:t xml:space="preserve"> tax ID number [RUC, for its acronym in Spanish]</w:t>
      </w:r>
      <w:r w:rsidRPr="00565E73">
        <w:rPr>
          <w:sz w:val="16"/>
          <w:szCs w:val="16"/>
        </w:rPr>
        <w:t xml:space="preserve"> ending in 0, which is the case for this taxpayer.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BC"/>
    <w:rsid w:val="00011E5C"/>
    <w:rsid w:val="00037174"/>
    <w:rsid w:val="000403B0"/>
    <w:rsid w:val="00050097"/>
    <w:rsid w:val="0008435F"/>
    <w:rsid w:val="000867F0"/>
    <w:rsid w:val="0018331D"/>
    <w:rsid w:val="00183745"/>
    <w:rsid w:val="00187DAD"/>
    <w:rsid w:val="0019301F"/>
    <w:rsid w:val="001A5133"/>
    <w:rsid w:val="001C1757"/>
    <w:rsid w:val="001C540D"/>
    <w:rsid w:val="001D691C"/>
    <w:rsid w:val="001E18F5"/>
    <w:rsid w:val="001F1BB1"/>
    <w:rsid w:val="001F5886"/>
    <w:rsid w:val="001F7842"/>
    <w:rsid w:val="0022481F"/>
    <w:rsid w:val="00225AC3"/>
    <w:rsid w:val="00245567"/>
    <w:rsid w:val="0025050B"/>
    <w:rsid w:val="00254AD2"/>
    <w:rsid w:val="00255309"/>
    <w:rsid w:val="00255566"/>
    <w:rsid w:val="002737E9"/>
    <w:rsid w:val="002905AF"/>
    <w:rsid w:val="002B4C09"/>
    <w:rsid w:val="002D0A11"/>
    <w:rsid w:val="002F2BA3"/>
    <w:rsid w:val="00374FC3"/>
    <w:rsid w:val="00390233"/>
    <w:rsid w:val="003A1A94"/>
    <w:rsid w:val="003A5B6C"/>
    <w:rsid w:val="00437579"/>
    <w:rsid w:val="0044309C"/>
    <w:rsid w:val="0046323C"/>
    <w:rsid w:val="004A30F6"/>
    <w:rsid w:val="004A3B2E"/>
    <w:rsid w:val="00504839"/>
    <w:rsid w:val="0051372B"/>
    <w:rsid w:val="005368E6"/>
    <w:rsid w:val="00542FBE"/>
    <w:rsid w:val="00550403"/>
    <w:rsid w:val="00565E73"/>
    <w:rsid w:val="005822A9"/>
    <w:rsid w:val="005942AA"/>
    <w:rsid w:val="005C0C5C"/>
    <w:rsid w:val="005C1CF0"/>
    <w:rsid w:val="005C3C37"/>
    <w:rsid w:val="005D6A48"/>
    <w:rsid w:val="006006A4"/>
    <w:rsid w:val="00654B58"/>
    <w:rsid w:val="00657C7F"/>
    <w:rsid w:val="00670913"/>
    <w:rsid w:val="00677F3C"/>
    <w:rsid w:val="00685887"/>
    <w:rsid w:val="006A4194"/>
    <w:rsid w:val="006B20C2"/>
    <w:rsid w:val="006D4872"/>
    <w:rsid w:val="006E30E6"/>
    <w:rsid w:val="006F1FF0"/>
    <w:rsid w:val="007030ED"/>
    <w:rsid w:val="00721E29"/>
    <w:rsid w:val="00753905"/>
    <w:rsid w:val="007623A2"/>
    <w:rsid w:val="007A37A5"/>
    <w:rsid w:val="007C28B4"/>
    <w:rsid w:val="00807022"/>
    <w:rsid w:val="008134C4"/>
    <w:rsid w:val="008437F1"/>
    <w:rsid w:val="00854FC1"/>
    <w:rsid w:val="00866BD9"/>
    <w:rsid w:val="00872218"/>
    <w:rsid w:val="00882E37"/>
    <w:rsid w:val="00890F92"/>
    <w:rsid w:val="008A10E9"/>
    <w:rsid w:val="008E353F"/>
    <w:rsid w:val="009006D4"/>
    <w:rsid w:val="0090325D"/>
    <w:rsid w:val="00935854"/>
    <w:rsid w:val="0094363F"/>
    <w:rsid w:val="00964CE8"/>
    <w:rsid w:val="00971ABA"/>
    <w:rsid w:val="009766C0"/>
    <w:rsid w:val="00986759"/>
    <w:rsid w:val="00991044"/>
    <w:rsid w:val="00992090"/>
    <w:rsid w:val="009C2C24"/>
    <w:rsid w:val="009D28C8"/>
    <w:rsid w:val="009D2F6D"/>
    <w:rsid w:val="00A01194"/>
    <w:rsid w:val="00A100AC"/>
    <w:rsid w:val="00A351CB"/>
    <w:rsid w:val="00A40B62"/>
    <w:rsid w:val="00A41695"/>
    <w:rsid w:val="00A50CF4"/>
    <w:rsid w:val="00A55BC4"/>
    <w:rsid w:val="00A7275F"/>
    <w:rsid w:val="00A76F62"/>
    <w:rsid w:val="00A85C4C"/>
    <w:rsid w:val="00A874E5"/>
    <w:rsid w:val="00AA5F06"/>
    <w:rsid w:val="00AB7CB2"/>
    <w:rsid w:val="00B0083E"/>
    <w:rsid w:val="00B12D18"/>
    <w:rsid w:val="00B12EF9"/>
    <w:rsid w:val="00B14C6D"/>
    <w:rsid w:val="00B74068"/>
    <w:rsid w:val="00B8561A"/>
    <w:rsid w:val="00B91676"/>
    <w:rsid w:val="00B97B59"/>
    <w:rsid w:val="00BA56A3"/>
    <w:rsid w:val="00BA584A"/>
    <w:rsid w:val="00C12B72"/>
    <w:rsid w:val="00C1306F"/>
    <w:rsid w:val="00C25588"/>
    <w:rsid w:val="00C37A19"/>
    <w:rsid w:val="00C477BC"/>
    <w:rsid w:val="00C6515B"/>
    <w:rsid w:val="00C67E69"/>
    <w:rsid w:val="00C923C0"/>
    <w:rsid w:val="00C957CD"/>
    <w:rsid w:val="00CB66F4"/>
    <w:rsid w:val="00CC7C7C"/>
    <w:rsid w:val="00CD13EF"/>
    <w:rsid w:val="00CE1141"/>
    <w:rsid w:val="00D13F83"/>
    <w:rsid w:val="00D1597F"/>
    <w:rsid w:val="00D302A8"/>
    <w:rsid w:val="00D465D0"/>
    <w:rsid w:val="00D5798C"/>
    <w:rsid w:val="00D7478F"/>
    <w:rsid w:val="00D87730"/>
    <w:rsid w:val="00DA76A1"/>
    <w:rsid w:val="00DC0C57"/>
    <w:rsid w:val="00DC5E1A"/>
    <w:rsid w:val="00DD1BE0"/>
    <w:rsid w:val="00DD63DE"/>
    <w:rsid w:val="00DE3286"/>
    <w:rsid w:val="00E0078D"/>
    <w:rsid w:val="00E01617"/>
    <w:rsid w:val="00E202FD"/>
    <w:rsid w:val="00E20CE6"/>
    <w:rsid w:val="00E341CF"/>
    <w:rsid w:val="00E367A5"/>
    <w:rsid w:val="00E56BD8"/>
    <w:rsid w:val="00E8552D"/>
    <w:rsid w:val="00E95336"/>
    <w:rsid w:val="00EA2CED"/>
    <w:rsid w:val="00EA48B0"/>
    <w:rsid w:val="00EB099A"/>
    <w:rsid w:val="00EF4CC3"/>
    <w:rsid w:val="00F04AE4"/>
    <w:rsid w:val="00F10689"/>
    <w:rsid w:val="00F26054"/>
    <w:rsid w:val="00F32C8A"/>
    <w:rsid w:val="00F47F0B"/>
    <w:rsid w:val="00F524BC"/>
    <w:rsid w:val="00F9287A"/>
    <w:rsid w:val="00FB3464"/>
    <w:rsid w:val="00FB388A"/>
    <w:rsid w:val="00FD3914"/>
    <w:rsid w:val="00FE137B"/>
    <w:rsid w:val="00FF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C7C"/>
    <w:pPr>
      <w:tabs>
        <w:tab w:val="center" w:pos="4680"/>
        <w:tab w:val="right" w:pos="9360"/>
      </w:tabs>
    </w:pPr>
  </w:style>
  <w:style w:type="character" w:customStyle="1" w:styleId="HeaderChar">
    <w:name w:val="Header Char"/>
    <w:basedOn w:val="DefaultParagraphFont"/>
    <w:link w:val="Header"/>
    <w:uiPriority w:val="99"/>
    <w:rsid w:val="00CC7C7C"/>
  </w:style>
  <w:style w:type="paragraph" w:styleId="Footer">
    <w:name w:val="footer"/>
    <w:basedOn w:val="Normal"/>
    <w:link w:val="FooterChar"/>
    <w:uiPriority w:val="99"/>
    <w:unhideWhenUsed/>
    <w:rsid w:val="00CC7C7C"/>
    <w:pPr>
      <w:tabs>
        <w:tab w:val="center" w:pos="4680"/>
        <w:tab w:val="right" w:pos="9360"/>
      </w:tabs>
    </w:pPr>
  </w:style>
  <w:style w:type="character" w:customStyle="1" w:styleId="FooterChar">
    <w:name w:val="Footer Char"/>
    <w:basedOn w:val="DefaultParagraphFont"/>
    <w:link w:val="Footer"/>
    <w:uiPriority w:val="99"/>
    <w:rsid w:val="00CC7C7C"/>
  </w:style>
  <w:style w:type="paragraph" w:styleId="FootnoteText">
    <w:name w:val="footnote text"/>
    <w:basedOn w:val="Normal"/>
    <w:link w:val="FootnoteTextChar"/>
    <w:uiPriority w:val="99"/>
    <w:semiHidden/>
    <w:unhideWhenUsed/>
    <w:rsid w:val="00B12D18"/>
    <w:rPr>
      <w:sz w:val="20"/>
      <w:szCs w:val="20"/>
    </w:rPr>
  </w:style>
  <w:style w:type="character" w:customStyle="1" w:styleId="FootnoteTextChar">
    <w:name w:val="Footnote Text Char"/>
    <w:basedOn w:val="DefaultParagraphFont"/>
    <w:link w:val="FootnoteText"/>
    <w:uiPriority w:val="99"/>
    <w:semiHidden/>
    <w:rsid w:val="00B12D18"/>
    <w:rPr>
      <w:sz w:val="20"/>
      <w:szCs w:val="20"/>
    </w:rPr>
  </w:style>
  <w:style w:type="character" w:styleId="FootnoteReference">
    <w:name w:val="footnote reference"/>
    <w:basedOn w:val="DefaultParagraphFont"/>
    <w:uiPriority w:val="99"/>
    <w:semiHidden/>
    <w:unhideWhenUsed/>
    <w:rsid w:val="00B12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C7C"/>
    <w:pPr>
      <w:tabs>
        <w:tab w:val="center" w:pos="4680"/>
        <w:tab w:val="right" w:pos="9360"/>
      </w:tabs>
    </w:pPr>
  </w:style>
  <w:style w:type="character" w:customStyle="1" w:styleId="HeaderChar">
    <w:name w:val="Header Char"/>
    <w:basedOn w:val="DefaultParagraphFont"/>
    <w:link w:val="Header"/>
    <w:uiPriority w:val="99"/>
    <w:rsid w:val="00CC7C7C"/>
  </w:style>
  <w:style w:type="paragraph" w:styleId="Footer">
    <w:name w:val="footer"/>
    <w:basedOn w:val="Normal"/>
    <w:link w:val="FooterChar"/>
    <w:uiPriority w:val="99"/>
    <w:unhideWhenUsed/>
    <w:rsid w:val="00CC7C7C"/>
    <w:pPr>
      <w:tabs>
        <w:tab w:val="center" w:pos="4680"/>
        <w:tab w:val="right" w:pos="9360"/>
      </w:tabs>
    </w:pPr>
  </w:style>
  <w:style w:type="character" w:customStyle="1" w:styleId="FooterChar">
    <w:name w:val="Footer Char"/>
    <w:basedOn w:val="DefaultParagraphFont"/>
    <w:link w:val="Footer"/>
    <w:uiPriority w:val="99"/>
    <w:rsid w:val="00CC7C7C"/>
  </w:style>
  <w:style w:type="paragraph" w:styleId="FootnoteText">
    <w:name w:val="footnote text"/>
    <w:basedOn w:val="Normal"/>
    <w:link w:val="FootnoteTextChar"/>
    <w:uiPriority w:val="99"/>
    <w:semiHidden/>
    <w:unhideWhenUsed/>
    <w:rsid w:val="00B12D18"/>
    <w:rPr>
      <w:sz w:val="20"/>
      <w:szCs w:val="20"/>
    </w:rPr>
  </w:style>
  <w:style w:type="character" w:customStyle="1" w:styleId="FootnoteTextChar">
    <w:name w:val="Footnote Text Char"/>
    <w:basedOn w:val="DefaultParagraphFont"/>
    <w:link w:val="FootnoteText"/>
    <w:uiPriority w:val="99"/>
    <w:semiHidden/>
    <w:rsid w:val="00B12D18"/>
    <w:rPr>
      <w:sz w:val="20"/>
      <w:szCs w:val="20"/>
    </w:rPr>
  </w:style>
  <w:style w:type="character" w:styleId="FootnoteReference">
    <w:name w:val="footnote reference"/>
    <w:basedOn w:val="DefaultParagraphFont"/>
    <w:uiPriority w:val="99"/>
    <w:semiHidden/>
    <w:unhideWhenUsed/>
    <w:rsid w:val="00B12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A90C-4FDF-4013-BFFB-C9365A3C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dc:creator>
  <cp:lastModifiedBy>Rachael</cp:lastModifiedBy>
  <cp:revision>3</cp:revision>
  <dcterms:created xsi:type="dcterms:W3CDTF">2017-09-29T13:47:00Z</dcterms:created>
  <dcterms:modified xsi:type="dcterms:W3CDTF">2017-09-29T13:57:00Z</dcterms:modified>
</cp:coreProperties>
</file>