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9314" w14:textId="1C80792B" w:rsidR="002C1D5E" w:rsidRPr="002C1D5E" w:rsidRDefault="002C1D5E" w:rsidP="002C1D5E">
      <w:pPr>
        <w:pStyle w:val="NoSpacing"/>
        <w:spacing w:line="480" w:lineRule="auto"/>
        <w:jc w:val="center"/>
        <w:rPr>
          <w:rFonts w:asciiTheme="majorBidi" w:hAnsiTheme="majorBidi" w:cstheme="majorBidi"/>
          <w:b/>
          <w:bCs/>
          <w:sz w:val="28"/>
          <w:szCs w:val="28"/>
        </w:rPr>
      </w:pPr>
      <w:r w:rsidRPr="002C1D5E">
        <w:rPr>
          <w:rFonts w:asciiTheme="majorBidi" w:hAnsiTheme="majorBidi" w:cstheme="majorBidi"/>
          <w:b/>
          <w:bCs/>
          <w:sz w:val="28"/>
          <w:szCs w:val="28"/>
        </w:rPr>
        <w:t xml:space="preserve">Response paper to the Kahn Freund article on the impact of </w:t>
      </w:r>
      <w:r w:rsidR="00912037">
        <w:rPr>
          <w:rFonts w:asciiTheme="majorBidi" w:hAnsiTheme="majorBidi" w:cstheme="majorBidi"/>
          <w:b/>
          <w:bCs/>
          <w:sz w:val="28"/>
          <w:szCs w:val="28"/>
        </w:rPr>
        <w:t>a constitution</w:t>
      </w:r>
      <w:r w:rsidRPr="002C1D5E">
        <w:rPr>
          <w:rFonts w:asciiTheme="majorBidi" w:hAnsiTheme="majorBidi" w:cstheme="majorBidi"/>
          <w:b/>
          <w:bCs/>
          <w:sz w:val="28"/>
          <w:szCs w:val="28"/>
        </w:rPr>
        <w:t xml:space="preserve"> on labor law</w:t>
      </w:r>
    </w:p>
    <w:p w14:paraId="77F420A2" w14:textId="287EB79A" w:rsidR="002C1D5E" w:rsidRPr="002C1D5E" w:rsidRDefault="002C1D5E" w:rsidP="002C1D5E">
      <w:pPr>
        <w:pStyle w:val="NoSpacing"/>
        <w:spacing w:line="480" w:lineRule="auto"/>
        <w:jc w:val="center"/>
        <w:rPr>
          <w:rFonts w:asciiTheme="majorBidi" w:hAnsiTheme="majorBidi" w:cstheme="majorBidi"/>
          <w:b/>
          <w:bCs/>
          <w:sz w:val="24"/>
          <w:szCs w:val="24"/>
        </w:rPr>
      </w:pPr>
      <w:proofErr w:type="spellStart"/>
      <w:r w:rsidRPr="002C1D5E">
        <w:rPr>
          <w:rFonts w:asciiTheme="majorBidi" w:hAnsiTheme="majorBidi" w:cstheme="majorBidi"/>
          <w:b/>
          <w:bCs/>
          <w:sz w:val="24"/>
          <w:szCs w:val="24"/>
        </w:rPr>
        <w:t>Elor</w:t>
      </w:r>
      <w:proofErr w:type="spellEnd"/>
      <w:r w:rsidRPr="002C1D5E">
        <w:rPr>
          <w:rFonts w:asciiTheme="majorBidi" w:hAnsiTheme="majorBidi" w:cstheme="majorBidi"/>
          <w:b/>
          <w:bCs/>
          <w:sz w:val="24"/>
          <w:szCs w:val="24"/>
        </w:rPr>
        <w:t xml:space="preserve"> </w:t>
      </w:r>
      <w:proofErr w:type="spellStart"/>
      <w:r w:rsidRPr="002C1D5E">
        <w:rPr>
          <w:rFonts w:asciiTheme="majorBidi" w:hAnsiTheme="majorBidi" w:cstheme="majorBidi"/>
          <w:b/>
          <w:bCs/>
          <w:sz w:val="24"/>
          <w:szCs w:val="24"/>
        </w:rPr>
        <w:t>Vizen</w:t>
      </w:r>
      <w:proofErr w:type="spellEnd"/>
      <w:r w:rsidRPr="002C1D5E">
        <w:rPr>
          <w:rFonts w:asciiTheme="majorBidi" w:hAnsiTheme="majorBidi" w:cstheme="majorBidi"/>
          <w:b/>
          <w:bCs/>
          <w:sz w:val="24"/>
          <w:szCs w:val="24"/>
        </w:rPr>
        <w:t>, I</w:t>
      </w:r>
      <w:r w:rsidR="00B82152">
        <w:rPr>
          <w:rFonts w:asciiTheme="majorBidi" w:hAnsiTheme="majorBidi" w:cstheme="majorBidi"/>
          <w:b/>
          <w:bCs/>
          <w:sz w:val="24"/>
          <w:szCs w:val="24"/>
        </w:rPr>
        <w:t>.</w:t>
      </w:r>
      <w:r w:rsidRPr="002C1D5E">
        <w:rPr>
          <w:rFonts w:asciiTheme="majorBidi" w:hAnsiTheme="majorBidi" w:cstheme="majorBidi"/>
          <w:b/>
          <w:bCs/>
          <w:sz w:val="24"/>
          <w:szCs w:val="24"/>
        </w:rPr>
        <w:t>D 205954928</w:t>
      </w:r>
    </w:p>
    <w:p w14:paraId="6B94D3CC" w14:textId="1848E28A" w:rsidR="002C1D5E" w:rsidRPr="00DE3532" w:rsidRDefault="00DE3532" w:rsidP="002C1D5E">
      <w:pPr>
        <w:pStyle w:val="NoSpacing"/>
        <w:spacing w:line="480" w:lineRule="auto"/>
        <w:rPr>
          <w:rFonts w:asciiTheme="majorBidi" w:hAnsiTheme="majorBidi" w:cstheme="majorBidi"/>
          <w:b/>
          <w:bCs/>
          <w:sz w:val="24"/>
          <w:szCs w:val="24"/>
          <w:u w:val="single"/>
        </w:rPr>
      </w:pPr>
      <w:r w:rsidRPr="00DE3532">
        <w:rPr>
          <w:rFonts w:asciiTheme="majorBidi" w:hAnsiTheme="majorBidi" w:cstheme="majorBidi"/>
          <w:b/>
          <w:bCs/>
          <w:sz w:val="24"/>
          <w:szCs w:val="24"/>
          <w:u w:val="single"/>
        </w:rPr>
        <w:t>I</w:t>
      </w:r>
      <w:r w:rsidR="002C1D5E" w:rsidRPr="00DE3532">
        <w:rPr>
          <w:rFonts w:asciiTheme="majorBidi" w:hAnsiTheme="majorBidi" w:cstheme="majorBidi"/>
          <w:b/>
          <w:bCs/>
          <w:sz w:val="24"/>
          <w:szCs w:val="24"/>
          <w:u w:val="single"/>
        </w:rPr>
        <w:t>ntroduction</w:t>
      </w:r>
      <w:r>
        <w:rPr>
          <w:rFonts w:asciiTheme="majorBidi" w:hAnsiTheme="majorBidi" w:cstheme="majorBidi"/>
          <w:b/>
          <w:bCs/>
          <w:sz w:val="24"/>
          <w:szCs w:val="24"/>
          <w:u w:val="single"/>
        </w:rPr>
        <w:t>:</w:t>
      </w:r>
    </w:p>
    <w:p w14:paraId="478E1725" w14:textId="48AC8591" w:rsidR="002C1D5E" w:rsidRPr="002C1D5E" w:rsidRDefault="00DE3532" w:rsidP="002C1D5E">
      <w:pPr>
        <w:pStyle w:val="NoSpacing"/>
        <w:spacing w:line="480" w:lineRule="auto"/>
        <w:rPr>
          <w:rFonts w:asciiTheme="majorBidi" w:hAnsiTheme="majorBidi" w:cstheme="majorBidi"/>
          <w:sz w:val="24"/>
          <w:szCs w:val="24"/>
        </w:rPr>
      </w:pPr>
      <w:r>
        <w:rPr>
          <w:rFonts w:asciiTheme="majorBidi" w:hAnsiTheme="majorBidi" w:cstheme="majorBidi"/>
          <w:sz w:val="24"/>
          <w:szCs w:val="24"/>
        </w:rPr>
        <w:t>At the start</w:t>
      </w:r>
      <w:r w:rsidR="002C1D5E" w:rsidRPr="002C1D5E">
        <w:rPr>
          <w:rFonts w:asciiTheme="majorBidi" w:hAnsiTheme="majorBidi" w:cstheme="majorBidi"/>
          <w:sz w:val="24"/>
          <w:szCs w:val="24"/>
        </w:rPr>
        <w:t>, the author explains the principles on which he bases the article</w:t>
      </w:r>
      <w:r>
        <w:rPr>
          <w:rFonts w:asciiTheme="majorBidi" w:hAnsiTheme="majorBidi" w:cstheme="majorBidi"/>
          <w:sz w:val="24"/>
          <w:szCs w:val="24"/>
        </w:rPr>
        <w:t>, t</w:t>
      </w:r>
      <w:r w:rsidR="002C1D5E" w:rsidRPr="002C1D5E">
        <w:rPr>
          <w:rFonts w:asciiTheme="majorBidi" w:hAnsiTheme="majorBidi" w:cstheme="majorBidi"/>
          <w:sz w:val="24"/>
          <w:szCs w:val="24"/>
        </w:rPr>
        <w:t xml:space="preserve">he first of which is the use of the concept of </w:t>
      </w:r>
      <w:r w:rsidR="00C20CBF">
        <w:rPr>
          <w:rFonts w:asciiTheme="majorBidi" w:hAnsiTheme="majorBidi" w:cstheme="majorBidi"/>
          <w:sz w:val="24"/>
          <w:szCs w:val="24"/>
        </w:rPr>
        <w:t>legislation</w:t>
      </w:r>
      <w:r w:rsidR="002C1D5E" w:rsidRPr="002C1D5E">
        <w:rPr>
          <w:rFonts w:asciiTheme="majorBidi" w:hAnsiTheme="majorBidi" w:cstheme="majorBidi"/>
          <w:sz w:val="24"/>
          <w:szCs w:val="24"/>
        </w:rPr>
        <w:t xml:space="preserve"> in </w:t>
      </w:r>
      <w:r>
        <w:rPr>
          <w:rFonts w:asciiTheme="majorBidi" w:hAnsiTheme="majorBidi" w:cstheme="majorBidi"/>
          <w:sz w:val="24"/>
          <w:szCs w:val="24"/>
        </w:rPr>
        <w:t>its</w:t>
      </w:r>
      <w:r w:rsidR="002C1D5E" w:rsidRPr="002C1D5E">
        <w:rPr>
          <w:rFonts w:asciiTheme="majorBidi" w:hAnsiTheme="majorBidi" w:cstheme="majorBidi"/>
          <w:sz w:val="24"/>
          <w:szCs w:val="24"/>
        </w:rPr>
        <w:t xml:space="preserve"> </w:t>
      </w:r>
      <w:r w:rsidR="00C20CBF">
        <w:rPr>
          <w:rFonts w:asciiTheme="majorBidi" w:hAnsiTheme="majorBidi" w:cstheme="majorBidi"/>
          <w:sz w:val="24"/>
          <w:szCs w:val="24"/>
        </w:rPr>
        <w:t>essence</w:t>
      </w:r>
      <w:r w:rsidR="002C1D5E" w:rsidRPr="002C1D5E">
        <w:rPr>
          <w:rFonts w:asciiTheme="majorBidi" w:hAnsiTheme="majorBidi" w:cstheme="majorBidi"/>
          <w:sz w:val="24"/>
          <w:szCs w:val="24"/>
        </w:rPr>
        <w:t xml:space="preserve">, and the second is the fact that the concept of </w:t>
      </w:r>
      <w:r w:rsidR="00912037">
        <w:rPr>
          <w:rFonts w:asciiTheme="majorBidi" w:hAnsiTheme="majorBidi" w:cstheme="majorBidi"/>
          <w:sz w:val="24"/>
          <w:szCs w:val="24"/>
        </w:rPr>
        <w:t>constitution</w:t>
      </w:r>
      <w:r w:rsidR="002C1D5E" w:rsidRPr="002C1D5E">
        <w:rPr>
          <w:rFonts w:asciiTheme="majorBidi" w:hAnsiTheme="majorBidi" w:cstheme="majorBidi"/>
          <w:sz w:val="24"/>
          <w:szCs w:val="24"/>
        </w:rPr>
        <w:t xml:space="preserve"> is undergoing </w:t>
      </w:r>
      <w:r w:rsidR="00C20CBF">
        <w:rPr>
          <w:rFonts w:asciiTheme="majorBidi" w:hAnsiTheme="majorBidi" w:cstheme="majorBidi"/>
          <w:sz w:val="24"/>
          <w:szCs w:val="24"/>
        </w:rPr>
        <w:t>a process of standardization</w:t>
      </w:r>
      <w:r w:rsidR="002C1D5E" w:rsidRPr="002C1D5E">
        <w:rPr>
          <w:rFonts w:asciiTheme="majorBidi" w:hAnsiTheme="majorBidi" w:cstheme="majorBidi"/>
          <w:sz w:val="24"/>
          <w:szCs w:val="24"/>
        </w:rPr>
        <w:t xml:space="preserve"> </w:t>
      </w:r>
      <w:r w:rsidR="00C20CBF">
        <w:rPr>
          <w:rFonts w:asciiTheme="majorBidi" w:hAnsiTheme="majorBidi" w:cstheme="majorBidi"/>
          <w:sz w:val="24"/>
          <w:szCs w:val="24"/>
        </w:rPr>
        <w:t xml:space="preserve">and </w:t>
      </w:r>
      <w:r w:rsidR="002C1D5E" w:rsidRPr="002C1D5E">
        <w:rPr>
          <w:rFonts w:asciiTheme="majorBidi" w:hAnsiTheme="majorBidi" w:cstheme="majorBidi"/>
          <w:sz w:val="24"/>
          <w:szCs w:val="24"/>
        </w:rPr>
        <w:t>formalization.</w:t>
      </w:r>
      <w:r w:rsidR="00C20CBF">
        <w:rPr>
          <w:rStyle w:val="FootnoteReference"/>
          <w:rFonts w:asciiTheme="majorBidi" w:hAnsiTheme="majorBidi" w:cstheme="majorBidi"/>
          <w:sz w:val="24"/>
          <w:szCs w:val="24"/>
        </w:rPr>
        <w:footnoteReference w:id="1"/>
      </w:r>
      <w:r w:rsidR="002C1D5E" w:rsidRPr="002C1D5E">
        <w:rPr>
          <w:rFonts w:asciiTheme="majorBidi" w:hAnsiTheme="majorBidi" w:cstheme="majorBidi"/>
          <w:sz w:val="24"/>
          <w:szCs w:val="24"/>
        </w:rPr>
        <w:t xml:space="preserve"> He goes on to explain that </w:t>
      </w:r>
      <w:r w:rsidR="00912037">
        <w:rPr>
          <w:rFonts w:asciiTheme="majorBidi" w:hAnsiTheme="majorBidi" w:cstheme="majorBidi"/>
          <w:sz w:val="24"/>
          <w:szCs w:val="24"/>
        </w:rPr>
        <w:t>constitution</w:t>
      </w:r>
      <w:r w:rsidR="00E70392">
        <w:rPr>
          <w:rFonts w:asciiTheme="majorBidi" w:hAnsiTheme="majorBidi" w:cstheme="majorBidi"/>
          <w:sz w:val="24"/>
          <w:szCs w:val="24"/>
        </w:rPr>
        <w:t xml:space="preserve">al considerations </w:t>
      </w:r>
      <w:r w:rsidR="005B021E">
        <w:rPr>
          <w:rFonts w:asciiTheme="majorBidi" w:hAnsiTheme="majorBidi" w:cstheme="majorBidi"/>
          <w:sz w:val="24"/>
          <w:szCs w:val="24"/>
        </w:rPr>
        <w:t xml:space="preserve">regarding a particular law </w:t>
      </w:r>
      <w:r w:rsidR="00E70392">
        <w:rPr>
          <w:rFonts w:asciiTheme="majorBidi" w:hAnsiTheme="majorBidi" w:cstheme="majorBidi"/>
          <w:sz w:val="24"/>
          <w:szCs w:val="24"/>
        </w:rPr>
        <w:t>usually take priority over legislative ones</w:t>
      </w:r>
      <w:r w:rsidR="002C1D5E" w:rsidRPr="002C1D5E">
        <w:rPr>
          <w:rFonts w:asciiTheme="majorBidi" w:hAnsiTheme="majorBidi" w:cstheme="majorBidi"/>
          <w:sz w:val="24"/>
          <w:szCs w:val="24"/>
        </w:rPr>
        <w:t xml:space="preserve">, and </w:t>
      </w:r>
      <w:r w:rsidR="00912037">
        <w:rPr>
          <w:rFonts w:asciiTheme="majorBidi" w:hAnsiTheme="majorBidi" w:cstheme="majorBidi"/>
          <w:sz w:val="24"/>
          <w:szCs w:val="24"/>
        </w:rPr>
        <w:t xml:space="preserve">that </w:t>
      </w:r>
      <w:r w:rsidR="002C1D5E" w:rsidRPr="002C1D5E">
        <w:rPr>
          <w:rFonts w:asciiTheme="majorBidi" w:hAnsiTheme="majorBidi" w:cstheme="majorBidi"/>
          <w:sz w:val="24"/>
          <w:szCs w:val="24"/>
        </w:rPr>
        <w:t xml:space="preserve">the court has the authority to interpret what is </w:t>
      </w:r>
      <w:r w:rsidR="000C72A1">
        <w:rPr>
          <w:rFonts w:asciiTheme="majorBidi" w:hAnsiTheme="majorBidi" w:cstheme="majorBidi"/>
          <w:sz w:val="24"/>
          <w:szCs w:val="24"/>
        </w:rPr>
        <w:t>contained</w:t>
      </w:r>
      <w:r w:rsidR="002C1D5E" w:rsidRPr="002C1D5E">
        <w:rPr>
          <w:rFonts w:asciiTheme="majorBidi" w:hAnsiTheme="majorBidi" w:cstheme="majorBidi"/>
          <w:sz w:val="24"/>
          <w:szCs w:val="24"/>
        </w:rPr>
        <w:t xml:space="preserve"> in it, but not to invalidate its </w:t>
      </w:r>
      <w:r w:rsidR="00E70392">
        <w:rPr>
          <w:rFonts w:asciiTheme="majorBidi" w:hAnsiTheme="majorBidi" w:cstheme="majorBidi"/>
          <w:sz w:val="24"/>
          <w:szCs w:val="24"/>
        </w:rPr>
        <w:t>actual</w:t>
      </w:r>
      <w:r w:rsidR="002C1D5E" w:rsidRPr="002C1D5E">
        <w:rPr>
          <w:rFonts w:asciiTheme="majorBidi" w:hAnsiTheme="majorBidi" w:cstheme="majorBidi"/>
          <w:sz w:val="24"/>
          <w:szCs w:val="24"/>
        </w:rPr>
        <w:t xml:space="preserve"> legality</w:t>
      </w:r>
      <w:r w:rsidR="005B021E">
        <w:rPr>
          <w:rStyle w:val="FootnoteReference"/>
          <w:rFonts w:asciiTheme="majorBidi" w:hAnsiTheme="majorBidi" w:cstheme="majorBidi"/>
          <w:sz w:val="24"/>
          <w:szCs w:val="24"/>
        </w:rPr>
        <w:footnoteReference w:id="2"/>
      </w:r>
      <w:r w:rsidR="002C1D5E" w:rsidRPr="002C1D5E">
        <w:rPr>
          <w:rFonts w:asciiTheme="majorBidi" w:hAnsiTheme="majorBidi" w:cstheme="majorBidi"/>
          <w:sz w:val="24"/>
          <w:szCs w:val="24"/>
        </w:rPr>
        <w:t xml:space="preserve">. After establishing the background, the author </w:t>
      </w:r>
      <w:r w:rsidR="00DC3F7D">
        <w:rPr>
          <w:rFonts w:asciiTheme="majorBidi" w:hAnsiTheme="majorBidi" w:cstheme="majorBidi"/>
          <w:sz w:val="24"/>
          <w:szCs w:val="24"/>
        </w:rPr>
        <w:t>goes</w:t>
      </w:r>
      <w:r w:rsidR="002C1D5E" w:rsidRPr="002C1D5E">
        <w:rPr>
          <w:rFonts w:asciiTheme="majorBidi" w:hAnsiTheme="majorBidi" w:cstheme="majorBidi"/>
          <w:sz w:val="24"/>
          <w:szCs w:val="24"/>
        </w:rPr>
        <w:t xml:space="preserve"> on to discuss the </w:t>
      </w:r>
      <w:r w:rsidR="00DC3F7D">
        <w:rPr>
          <w:rFonts w:asciiTheme="majorBidi" w:hAnsiTheme="majorBidi" w:cstheme="majorBidi"/>
          <w:sz w:val="24"/>
          <w:szCs w:val="24"/>
        </w:rPr>
        <w:t>main issue</w:t>
      </w:r>
      <w:r w:rsidR="002C1D5E" w:rsidRPr="002C1D5E">
        <w:rPr>
          <w:rFonts w:asciiTheme="majorBidi" w:hAnsiTheme="majorBidi" w:cstheme="majorBidi"/>
          <w:sz w:val="24"/>
          <w:szCs w:val="24"/>
        </w:rPr>
        <w:t xml:space="preserve">, and </w:t>
      </w:r>
      <w:r w:rsidR="00DC3F7D">
        <w:rPr>
          <w:rFonts w:asciiTheme="majorBidi" w:hAnsiTheme="majorBidi" w:cstheme="majorBidi"/>
          <w:sz w:val="24"/>
          <w:szCs w:val="24"/>
        </w:rPr>
        <w:t xml:space="preserve">that </w:t>
      </w:r>
      <w:r w:rsidR="002C1D5E" w:rsidRPr="002C1D5E">
        <w:rPr>
          <w:rFonts w:asciiTheme="majorBidi" w:hAnsiTheme="majorBidi" w:cstheme="majorBidi"/>
          <w:sz w:val="24"/>
          <w:szCs w:val="24"/>
        </w:rPr>
        <w:t xml:space="preserve">it is the </w:t>
      </w:r>
      <w:r w:rsidR="00DC3F7D">
        <w:rPr>
          <w:rFonts w:asciiTheme="majorBidi" w:hAnsiTheme="majorBidi" w:cstheme="majorBidi"/>
          <w:sz w:val="24"/>
          <w:szCs w:val="24"/>
        </w:rPr>
        <w:t>effect of constitutional law</w:t>
      </w:r>
      <w:r w:rsidR="002C1D5E" w:rsidRPr="002C1D5E">
        <w:rPr>
          <w:rFonts w:asciiTheme="majorBidi" w:hAnsiTheme="majorBidi" w:cstheme="majorBidi"/>
          <w:sz w:val="24"/>
          <w:szCs w:val="24"/>
        </w:rPr>
        <w:t xml:space="preserve"> on </w:t>
      </w:r>
      <w:r w:rsidR="00DC3F7D">
        <w:rPr>
          <w:rFonts w:asciiTheme="majorBidi" w:hAnsiTheme="majorBidi" w:cstheme="majorBidi"/>
          <w:sz w:val="24"/>
          <w:szCs w:val="24"/>
        </w:rPr>
        <w:t>labor laws</w:t>
      </w:r>
      <w:r w:rsidR="002C1D5E" w:rsidRPr="002C1D5E">
        <w:rPr>
          <w:rFonts w:asciiTheme="majorBidi" w:hAnsiTheme="majorBidi" w:cstheme="majorBidi"/>
          <w:sz w:val="24"/>
          <w:szCs w:val="24"/>
        </w:rPr>
        <w:t xml:space="preserve">. </w:t>
      </w:r>
      <w:r w:rsidR="00DC3F7D">
        <w:rPr>
          <w:rFonts w:asciiTheme="majorBidi" w:hAnsiTheme="majorBidi" w:cstheme="majorBidi"/>
          <w:sz w:val="24"/>
          <w:szCs w:val="24"/>
        </w:rPr>
        <w:t>He</w:t>
      </w:r>
      <w:r w:rsidR="002C1D5E" w:rsidRPr="002C1D5E">
        <w:rPr>
          <w:rFonts w:asciiTheme="majorBidi" w:hAnsiTheme="majorBidi" w:cstheme="majorBidi"/>
          <w:sz w:val="24"/>
          <w:szCs w:val="24"/>
        </w:rPr>
        <w:t xml:space="preserve"> reviews the developments in the </w:t>
      </w:r>
      <w:r w:rsidR="00B461D0">
        <w:rPr>
          <w:rFonts w:asciiTheme="majorBidi" w:hAnsiTheme="majorBidi" w:cstheme="majorBidi"/>
          <w:sz w:val="24"/>
          <w:szCs w:val="24"/>
        </w:rPr>
        <w:t>labor law legislation</w:t>
      </w:r>
      <w:r w:rsidR="002C1D5E" w:rsidRPr="002C1D5E">
        <w:rPr>
          <w:rFonts w:asciiTheme="majorBidi" w:hAnsiTheme="majorBidi" w:cstheme="majorBidi"/>
          <w:sz w:val="24"/>
          <w:szCs w:val="24"/>
        </w:rPr>
        <w:t xml:space="preserve"> in various countries, in light of the influence of various factors operating in joint federations, and especially in light of legislative-legal developments in that country / federation. </w:t>
      </w:r>
      <w:r w:rsidR="00B461D0">
        <w:rPr>
          <w:rFonts w:asciiTheme="majorBidi" w:hAnsiTheme="majorBidi" w:cstheme="majorBidi"/>
          <w:sz w:val="24"/>
          <w:szCs w:val="24"/>
        </w:rPr>
        <w:t>Later on, h</w:t>
      </w:r>
      <w:r w:rsidR="002C1D5E" w:rsidRPr="002C1D5E">
        <w:rPr>
          <w:rFonts w:asciiTheme="majorBidi" w:hAnsiTheme="majorBidi" w:cstheme="majorBidi"/>
          <w:sz w:val="24"/>
          <w:szCs w:val="24"/>
        </w:rPr>
        <w:t>e focuses on the ability of the courts to influence legislation in judicial review or interpretation (citing as an example the impact in the United States of the First Amendment, and the impact of the Bill of Rights).</w:t>
      </w:r>
      <w:r w:rsidR="00B461D0">
        <w:rPr>
          <w:rStyle w:val="FootnoteReference"/>
          <w:rFonts w:asciiTheme="majorBidi" w:hAnsiTheme="majorBidi" w:cstheme="majorBidi"/>
          <w:sz w:val="24"/>
          <w:szCs w:val="24"/>
        </w:rPr>
        <w:footnoteReference w:id="3"/>
      </w:r>
    </w:p>
    <w:p w14:paraId="311ABEC8" w14:textId="7CA043AC" w:rsidR="002C1D5E" w:rsidRPr="002C1D5E" w:rsidRDefault="002C1D5E" w:rsidP="00C6010D">
      <w:pPr>
        <w:pStyle w:val="NoSpacing"/>
        <w:spacing w:line="480" w:lineRule="auto"/>
        <w:rPr>
          <w:rFonts w:asciiTheme="majorBidi" w:hAnsiTheme="majorBidi" w:cstheme="majorBidi"/>
          <w:sz w:val="24"/>
          <w:szCs w:val="24"/>
        </w:rPr>
      </w:pPr>
      <w:r w:rsidRPr="002C1D5E">
        <w:rPr>
          <w:rFonts w:asciiTheme="majorBidi" w:hAnsiTheme="majorBidi" w:cstheme="majorBidi"/>
          <w:sz w:val="24"/>
          <w:szCs w:val="24"/>
        </w:rPr>
        <w:t xml:space="preserve">The conclusion reached by the author is that </w:t>
      </w:r>
      <w:r w:rsidR="00B461D0">
        <w:rPr>
          <w:rFonts w:asciiTheme="majorBidi" w:hAnsiTheme="majorBidi" w:cstheme="majorBidi"/>
          <w:sz w:val="24"/>
          <w:szCs w:val="24"/>
        </w:rPr>
        <w:t>bill</w:t>
      </w:r>
      <w:r w:rsidRPr="002C1D5E">
        <w:rPr>
          <w:rFonts w:asciiTheme="majorBidi" w:hAnsiTheme="majorBidi" w:cstheme="majorBidi"/>
          <w:sz w:val="24"/>
          <w:szCs w:val="24"/>
        </w:rPr>
        <w:t xml:space="preserve">s of rights allow judges to </w:t>
      </w:r>
      <w:r w:rsidR="00C6010D">
        <w:rPr>
          <w:rFonts w:asciiTheme="majorBidi" w:hAnsiTheme="majorBidi" w:cstheme="majorBidi"/>
          <w:sz w:val="24"/>
          <w:szCs w:val="24"/>
        </w:rPr>
        <w:t>implement</w:t>
      </w:r>
      <w:r w:rsidRPr="002C1D5E">
        <w:rPr>
          <w:rFonts w:asciiTheme="majorBidi" w:hAnsiTheme="majorBidi" w:cstheme="majorBidi"/>
          <w:sz w:val="24"/>
          <w:szCs w:val="24"/>
        </w:rPr>
        <w:t xml:space="preserve"> their moral and social preferences, by using constitutional doctrines and applying them to constitutional principles.</w:t>
      </w:r>
      <w:r w:rsidR="00C6010D">
        <w:rPr>
          <w:rStyle w:val="FootnoteReference"/>
          <w:rFonts w:asciiTheme="majorBidi" w:hAnsiTheme="majorBidi" w:cstheme="majorBidi"/>
          <w:sz w:val="24"/>
          <w:szCs w:val="24"/>
        </w:rPr>
        <w:footnoteReference w:id="4"/>
      </w:r>
      <w:r w:rsidRPr="002C1D5E">
        <w:rPr>
          <w:rFonts w:asciiTheme="majorBidi" w:hAnsiTheme="majorBidi" w:cstheme="majorBidi"/>
          <w:sz w:val="24"/>
          <w:szCs w:val="24"/>
        </w:rPr>
        <w:t xml:space="preserve"> </w:t>
      </w:r>
    </w:p>
    <w:p w14:paraId="6382085F" w14:textId="0028261B" w:rsidR="00C6010D" w:rsidRDefault="00C6010D" w:rsidP="002C1D5E">
      <w:pPr>
        <w:pStyle w:val="NoSpacing"/>
        <w:spacing w:line="480" w:lineRule="auto"/>
        <w:rPr>
          <w:rFonts w:asciiTheme="majorBidi" w:hAnsiTheme="majorBidi" w:cstheme="majorBidi"/>
          <w:sz w:val="24"/>
          <w:szCs w:val="24"/>
        </w:rPr>
      </w:pPr>
      <w:r w:rsidRPr="00C6010D">
        <w:rPr>
          <w:rFonts w:asciiTheme="majorBidi" w:hAnsiTheme="majorBidi" w:cstheme="majorBidi"/>
          <w:sz w:val="24"/>
          <w:szCs w:val="24"/>
        </w:rPr>
        <w:lastRenderedPageBreak/>
        <w:t>That is, the judges</w:t>
      </w:r>
      <w:r w:rsidR="007B0922">
        <w:rPr>
          <w:rFonts w:asciiTheme="majorBidi" w:hAnsiTheme="majorBidi" w:cstheme="majorBidi"/>
          <w:sz w:val="24"/>
          <w:szCs w:val="24"/>
        </w:rPr>
        <w:t>’</w:t>
      </w:r>
      <w:r w:rsidRPr="00C6010D">
        <w:rPr>
          <w:rFonts w:asciiTheme="majorBidi" w:hAnsiTheme="majorBidi" w:cstheme="majorBidi"/>
          <w:sz w:val="24"/>
          <w:szCs w:val="24"/>
        </w:rPr>
        <w:t xml:space="preserve"> interpretation of the law may be a kind of </w:t>
      </w:r>
      <w:r w:rsidR="005C7A0F">
        <w:rPr>
          <w:rFonts w:asciiTheme="majorBidi" w:hAnsiTheme="majorBidi" w:cstheme="majorBidi"/>
          <w:sz w:val="24"/>
          <w:szCs w:val="24"/>
        </w:rPr>
        <w:t>distortion of</w:t>
      </w:r>
      <w:r w:rsidRPr="00C6010D">
        <w:rPr>
          <w:rFonts w:asciiTheme="majorBidi" w:hAnsiTheme="majorBidi" w:cstheme="majorBidi"/>
          <w:sz w:val="24"/>
          <w:szCs w:val="24"/>
        </w:rPr>
        <w:t xml:space="preserve"> the </w:t>
      </w:r>
      <w:r>
        <w:rPr>
          <w:rFonts w:asciiTheme="majorBidi" w:hAnsiTheme="majorBidi" w:cstheme="majorBidi"/>
          <w:sz w:val="24"/>
          <w:szCs w:val="24"/>
        </w:rPr>
        <w:t xml:space="preserve">constitution </w:t>
      </w:r>
      <w:r w:rsidR="005C7A0F">
        <w:rPr>
          <w:rFonts w:asciiTheme="majorBidi" w:hAnsiTheme="majorBidi" w:cstheme="majorBidi"/>
          <w:sz w:val="24"/>
          <w:szCs w:val="24"/>
        </w:rPr>
        <w:t xml:space="preserve">writers’ </w:t>
      </w:r>
      <w:r w:rsidRPr="00C6010D">
        <w:rPr>
          <w:rFonts w:asciiTheme="majorBidi" w:hAnsiTheme="majorBidi" w:cstheme="majorBidi"/>
          <w:sz w:val="24"/>
          <w:szCs w:val="24"/>
        </w:rPr>
        <w:t xml:space="preserve">intent, but the author of the article does not necessarily see this as a negative, but </w:t>
      </w:r>
      <w:r w:rsidR="005C7A0F">
        <w:rPr>
          <w:rFonts w:asciiTheme="majorBidi" w:hAnsiTheme="majorBidi" w:cstheme="majorBidi"/>
          <w:sz w:val="24"/>
          <w:szCs w:val="24"/>
        </w:rPr>
        <w:t>as a</w:t>
      </w:r>
      <w:r w:rsidR="00984BCC">
        <w:rPr>
          <w:rFonts w:asciiTheme="majorBidi" w:hAnsiTheme="majorBidi" w:cstheme="majorBidi"/>
          <w:sz w:val="24"/>
          <w:szCs w:val="24"/>
        </w:rPr>
        <w:t xml:space="preserve"> natural </w:t>
      </w:r>
      <w:r w:rsidR="007B0922">
        <w:rPr>
          <w:rFonts w:asciiTheme="majorBidi" w:hAnsiTheme="majorBidi" w:cstheme="majorBidi"/>
          <w:sz w:val="24"/>
          <w:szCs w:val="24"/>
        </w:rPr>
        <w:t xml:space="preserve">evolutionary </w:t>
      </w:r>
      <w:r w:rsidR="005C7A0F">
        <w:rPr>
          <w:rFonts w:asciiTheme="majorBidi" w:hAnsiTheme="majorBidi" w:cstheme="majorBidi"/>
          <w:sz w:val="24"/>
          <w:szCs w:val="24"/>
        </w:rPr>
        <w:t>process</w:t>
      </w:r>
      <w:r w:rsidRPr="00C6010D">
        <w:rPr>
          <w:rFonts w:asciiTheme="majorBidi" w:hAnsiTheme="majorBidi" w:cstheme="majorBidi"/>
          <w:sz w:val="24"/>
          <w:szCs w:val="24"/>
        </w:rPr>
        <w:t xml:space="preserve"> that </w:t>
      </w:r>
      <w:r w:rsidR="005C7A0F">
        <w:rPr>
          <w:rFonts w:asciiTheme="majorBidi" w:hAnsiTheme="majorBidi" w:cstheme="majorBidi"/>
          <w:sz w:val="24"/>
          <w:szCs w:val="24"/>
        </w:rPr>
        <w:t>carries</w:t>
      </w:r>
      <w:r w:rsidRPr="00C6010D">
        <w:rPr>
          <w:rFonts w:asciiTheme="majorBidi" w:hAnsiTheme="majorBidi" w:cstheme="majorBidi"/>
          <w:sz w:val="24"/>
          <w:szCs w:val="24"/>
        </w:rPr>
        <w:t xml:space="preserve"> risk on the one hand, but also developmental potential on the other</w:t>
      </w:r>
      <w:r w:rsidR="005C7A0F">
        <w:rPr>
          <w:rFonts w:asciiTheme="majorBidi" w:hAnsiTheme="majorBidi" w:cstheme="majorBidi"/>
          <w:sz w:val="24"/>
          <w:szCs w:val="24"/>
        </w:rPr>
        <w:t xml:space="preserve">, and which may </w:t>
      </w:r>
      <w:r w:rsidR="00984BCC">
        <w:rPr>
          <w:rFonts w:asciiTheme="majorBidi" w:hAnsiTheme="majorBidi" w:cstheme="majorBidi"/>
          <w:sz w:val="24"/>
          <w:szCs w:val="24"/>
        </w:rPr>
        <w:t>even</w:t>
      </w:r>
      <w:r w:rsidR="005C7A0F">
        <w:rPr>
          <w:rFonts w:asciiTheme="majorBidi" w:hAnsiTheme="majorBidi" w:cstheme="majorBidi"/>
          <w:sz w:val="24"/>
          <w:szCs w:val="24"/>
        </w:rPr>
        <w:t>t</w:t>
      </w:r>
      <w:r w:rsidR="00984BCC">
        <w:rPr>
          <w:rFonts w:asciiTheme="majorBidi" w:hAnsiTheme="majorBidi" w:cstheme="majorBidi"/>
          <w:sz w:val="24"/>
          <w:szCs w:val="24"/>
        </w:rPr>
        <w:t>u</w:t>
      </w:r>
      <w:r w:rsidR="005C7A0F">
        <w:rPr>
          <w:rFonts w:asciiTheme="majorBidi" w:hAnsiTheme="majorBidi" w:cstheme="majorBidi"/>
          <w:sz w:val="24"/>
          <w:szCs w:val="24"/>
        </w:rPr>
        <w:t xml:space="preserve">ally </w:t>
      </w:r>
      <w:r w:rsidR="00984BCC">
        <w:rPr>
          <w:rFonts w:asciiTheme="majorBidi" w:hAnsiTheme="majorBidi" w:cstheme="majorBidi"/>
          <w:sz w:val="24"/>
          <w:szCs w:val="24"/>
        </w:rPr>
        <w:t>lead to dispensing</w:t>
      </w:r>
      <w:r w:rsidR="005C7A0F">
        <w:rPr>
          <w:rFonts w:asciiTheme="majorBidi" w:hAnsiTheme="majorBidi" w:cstheme="majorBidi"/>
          <w:sz w:val="24"/>
          <w:szCs w:val="24"/>
        </w:rPr>
        <w:t xml:space="preserve"> justice in a </w:t>
      </w:r>
      <w:r w:rsidR="00984BCC">
        <w:rPr>
          <w:rFonts w:asciiTheme="majorBidi" w:hAnsiTheme="majorBidi" w:cstheme="majorBidi"/>
          <w:sz w:val="24"/>
          <w:szCs w:val="24"/>
        </w:rPr>
        <w:t>more equitable</w:t>
      </w:r>
      <w:r w:rsidR="005C7A0F">
        <w:rPr>
          <w:rFonts w:asciiTheme="majorBidi" w:hAnsiTheme="majorBidi" w:cstheme="majorBidi"/>
          <w:sz w:val="24"/>
          <w:szCs w:val="24"/>
        </w:rPr>
        <w:t xml:space="preserve"> way.</w:t>
      </w:r>
    </w:p>
    <w:p w14:paraId="6A15DE6A" w14:textId="3D8B880F" w:rsidR="002C1D5E" w:rsidRPr="002C1D5E" w:rsidRDefault="002C1D5E" w:rsidP="002C1D5E">
      <w:pPr>
        <w:pStyle w:val="NoSpacing"/>
        <w:spacing w:line="480" w:lineRule="auto"/>
        <w:rPr>
          <w:rFonts w:asciiTheme="majorBidi" w:hAnsiTheme="majorBidi" w:cstheme="majorBidi"/>
          <w:sz w:val="24"/>
          <w:szCs w:val="24"/>
        </w:rPr>
      </w:pPr>
      <w:r w:rsidRPr="002C1D5E">
        <w:rPr>
          <w:rFonts w:asciiTheme="majorBidi" w:hAnsiTheme="majorBidi" w:cstheme="majorBidi"/>
          <w:sz w:val="24"/>
          <w:szCs w:val="24"/>
        </w:rPr>
        <w:t xml:space="preserve">In the response paper below, I would like to compare the </w:t>
      </w:r>
      <w:r w:rsidR="00A56536">
        <w:rPr>
          <w:rFonts w:asciiTheme="majorBidi" w:hAnsiTheme="majorBidi" w:cstheme="majorBidi"/>
          <w:sz w:val="24"/>
          <w:szCs w:val="24"/>
        </w:rPr>
        <w:t>core</w:t>
      </w:r>
      <w:r w:rsidRPr="002C1D5E">
        <w:rPr>
          <w:rFonts w:asciiTheme="majorBidi" w:hAnsiTheme="majorBidi" w:cstheme="majorBidi"/>
          <w:sz w:val="24"/>
          <w:szCs w:val="24"/>
        </w:rPr>
        <w:t xml:space="preserve"> principle presented in the article with </w:t>
      </w:r>
      <w:r w:rsidR="00A56536">
        <w:rPr>
          <w:rFonts w:asciiTheme="majorBidi" w:hAnsiTheme="majorBidi" w:cstheme="majorBidi"/>
          <w:sz w:val="24"/>
          <w:szCs w:val="24"/>
        </w:rPr>
        <w:t>the laws of The State of Israel</w:t>
      </w:r>
      <w:r w:rsidRPr="002C1D5E">
        <w:rPr>
          <w:rFonts w:asciiTheme="majorBidi" w:hAnsiTheme="majorBidi" w:cstheme="majorBidi"/>
          <w:sz w:val="24"/>
          <w:szCs w:val="24"/>
        </w:rPr>
        <w:t xml:space="preserve">, with </w:t>
      </w:r>
      <w:r w:rsidR="00A56536">
        <w:rPr>
          <w:rFonts w:asciiTheme="majorBidi" w:hAnsiTheme="majorBidi" w:cstheme="majorBidi"/>
          <w:sz w:val="24"/>
          <w:szCs w:val="24"/>
        </w:rPr>
        <w:t>particular reference</w:t>
      </w:r>
      <w:r w:rsidRPr="002C1D5E">
        <w:rPr>
          <w:rFonts w:asciiTheme="majorBidi" w:hAnsiTheme="majorBidi" w:cstheme="majorBidi"/>
          <w:sz w:val="24"/>
          <w:szCs w:val="24"/>
        </w:rPr>
        <w:t xml:space="preserve"> </w:t>
      </w:r>
      <w:r w:rsidR="00A56536">
        <w:rPr>
          <w:rFonts w:asciiTheme="majorBidi" w:hAnsiTheme="majorBidi" w:cstheme="majorBidi"/>
          <w:sz w:val="24"/>
          <w:szCs w:val="24"/>
        </w:rPr>
        <w:t>to</w:t>
      </w:r>
      <w:r w:rsidRPr="002C1D5E">
        <w:rPr>
          <w:rFonts w:asciiTheme="majorBidi" w:hAnsiTheme="majorBidi" w:cstheme="majorBidi"/>
          <w:sz w:val="24"/>
          <w:szCs w:val="24"/>
        </w:rPr>
        <w:t xml:space="preserve"> </w:t>
      </w:r>
      <w:r w:rsidR="00A56536">
        <w:rPr>
          <w:rFonts w:asciiTheme="majorBidi" w:hAnsiTheme="majorBidi" w:cstheme="majorBidi"/>
          <w:sz w:val="24"/>
          <w:szCs w:val="24"/>
        </w:rPr>
        <w:t>Jewish</w:t>
      </w:r>
      <w:r w:rsidRPr="002C1D5E">
        <w:rPr>
          <w:rFonts w:asciiTheme="majorBidi" w:hAnsiTheme="majorBidi" w:cstheme="majorBidi"/>
          <w:sz w:val="24"/>
          <w:szCs w:val="24"/>
        </w:rPr>
        <w:t xml:space="preserve"> </w:t>
      </w:r>
      <w:r w:rsidR="00FC4C00">
        <w:rPr>
          <w:rFonts w:asciiTheme="majorBidi" w:hAnsiTheme="majorBidi" w:cstheme="majorBidi"/>
          <w:sz w:val="24"/>
          <w:szCs w:val="24"/>
        </w:rPr>
        <w:t>L</w:t>
      </w:r>
      <w:r w:rsidRPr="002C1D5E">
        <w:rPr>
          <w:rFonts w:asciiTheme="majorBidi" w:hAnsiTheme="majorBidi" w:cstheme="majorBidi"/>
          <w:sz w:val="24"/>
          <w:szCs w:val="24"/>
        </w:rPr>
        <w:t xml:space="preserve">aw, from which Israeli </w:t>
      </w:r>
      <w:r w:rsidR="00FC4C00">
        <w:rPr>
          <w:rFonts w:asciiTheme="majorBidi" w:hAnsiTheme="majorBidi" w:cstheme="majorBidi"/>
          <w:sz w:val="24"/>
          <w:szCs w:val="24"/>
        </w:rPr>
        <w:t>Law sprung</w:t>
      </w:r>
      <w:r w:rsidRPr="002C1D5E">
        <w:rPr>
          <w:rFonts w:asciiTheme="majorBidi" w:hAnsiTheme="majorBidi" w:cstheme="majorBidi"/>
          <w:sz w:val="24"/>
          <w:szCs w:val="24"/>
        </w:rPr>
        <w:t xml:space="preserve">. I </w:t>
      </w:r>
      <w:r w:rsidR="00FC4C00">
        <w:rPr>
          <w:rFonts w:asciiTheme="majorBidi" w:hAnsiTheme="majorBidi" w:cstheme="majorBidi"/>
          <w:sz w:val="24"/>
          <w:szCs w:val="24"/>
        </w:rPr>
        <w:t>would then like</w:t>
      </w:r>
      <w:r w:rsidRPr="002C1D5E">
        <w:rPr>
          <w:rFonts w:asciiTheme="majorBidi" w:hAnsiTheme="majorBidi" w:cstheme="majorBidi"/>
          <w:sz w:val="24"/>
          <w:szCs w:val="24"/>
        </w:rPr>
        <w:t xml:space="preserve"> to </w:t>
      </w:r>
      <w:r w:rsidR="00235F26">
        <w:rPr>
          <w:rFonts w:asciiTheme="majorBidi" w:hAnsiTheme="majorBidi" w:cstheme="majorBidi"/>
          <w:sz w:val="24"/>
          <w:szCs w:val="24"/>
        </w:rPr>
        <w:t>illustrate</w:t>
      </w:r>
      <w:r w:rsidRPr="002C1D5E">
        <w:rPr>
          <w:rFonts w:asciiTheme="majorBidi" w:hAnsiTheme="majorBidi" w:cstheme="majorBidi"/>
          <w:sz w:val="24"/>
          <w:szCs w:val="24"/>
        </w:rPr>
        <w:t xml:space="preserve"> the comparison with specific examples, and </w:t>
      </w:r>
      <w:r w:rsidR="00235F26">
        <w:rPr>
          <w:rFonts w:asciiTheme="majorBidi" w:hAnsiTheme="majorBidi" w:cstheme="majorBidi"/>
          <w:sz w:val="24"/>
          <w:szCs w:val="24"/>
        </w:rPr>
        <w:t>ending</w:t>
      </w:r>
      <w:r w:rsidR="00FC4C00">
        <w:rPr>
          <w:rFonts w:asciiTheme="majorBidi" w:hAnsiTheme="majorBidi" w:cstheme="majorBidi"/>
          <w:sz w:val="24"/>
          <w:szCs w:val="24"/>
        </w:rPr>
        <w:t xml:space="preserve"> by </w:t>
      </w:r>
      <w:r w:rsidRPr="002C1D5E">
        <w:rPr>
          <w:rFonts w:asciiTheme="majorBidi" w:hAnsiTheme="majorBidi" w:cstheme="majorBidi"/>
          <w:sz w:val="24"/>
          <w:szCs w:val="24"/>
        </w:rPr>
        <w:t>discuss</w:t>
      </w:r>
      <w:r w:rsidR="00FC4C00">
        <w:rPr>
          <w:rFonts w:asciiTheme="majorBidi" w:hAnsiTheme="majorBidi" w:cstheme="majorBidi"/>
          <w:sz w:val="24"/>
          <w:szCs w:val="24"/>
        </w:rPr>
        <w:t>ing</w:t>
      </w:r>
      <w:r w:rsidRPr="002C1D5E">
        <w:rPr>
          <w:rFonts w:asciiTheme="majorBidi" w:hAnsiTheme="majorBidi" w:cstheme="majorBidi"/>
          <w:sz w:val="24"/>
          <w:szCs w:val="24"/>
        </w:rPr>
        <w:t xml:space="preserve"> the </w:t>
      </w:r>
      <w:r w:rsidR="00FC4C00">
        <w:rPr>
          <w:rFonts w:asciiTheme="majorBidi" w:hAnsiTheme="majorBidi" w:cstheme="majorBidi"/>
          <w:sz w:val="24"/>
          <w:szCs w:val="24"/>
        </w:rPr>
        <w:t>article author</w:t>
      </w:r>
      <w:r w:rsidR="00235F26">
        <w:rPr>
          <w:rFonts w:asciiTheme="majorBidi" w:hAnsiTheme="majorBidi" w:cstheme="majorBidi"/>
          <w:sz w:val="24"/>
          <w:szCs w:val="24"/>
        </w:rPr>
        <w:t xml:space="preserve">’s </w:t>
      </w:r>
      <w:r w:rsidR="00235F26" w:rsidRPr="002C1D5E">
        <w:rPr>
          <w:rFonts w:asciiTheme="majorBidi" w:hAnsiTheme="majorBidi" w:cstheme="majorBidi"/>
          <w:sz w:val="24"/>
          <w:szCs w:val="24"/>
        </w:rPr>
        <w:t>conclusion</w:t>
      </w:r>
      <w:r w:rsidRPr="002C1D5E">
        <w:rPr>
          <w:rFonts w:asciiTheme="majorBidi" w:hAnsiTheme="majorBidi" w:cstheme="majorBidi"/>
          <w:sz w:val="24"/>
          <w:szCs w:val="24"/>
        </w:rPr>
        <w:t>.</w:t>
      </w:r>
    </w:p>
    <w:p w14:paraId="26845611" w14:textId="77777777" w:rsidR="00235F26" w:rsidRDefault="00235F26" w:rsidP="002C1D5E">
      <w:pPr>
        <w:pStyle w:val="NoSpacing"/>
        <w:spacing w:line="480" w:lineRule="auto"/>
        <w:rPr>
          <w:rFonts w:asciiTheme="majorBidi" w:hAnsiTheme="majorBidi" w:cstheme="majorBidi"/>
          <w:b/>
          <w:bCs/>
          <w:sz w:val="24"/>
          <w:szCs w:val="24"/>
          <w:u w:val="single"/>
        </w:rPr>
      </w:pPr>
    </w:p>
    <w:p w14:paraId="64026797" w14:textId="6F76400E" w:rsidR="002C1D5E" w:rsidRPr="00235F26" w:rsidRDefault="002C1D5E" w:rsidP="002C1D5E">
      <w:pPr>
        <w:pStyle w:val="NoSpacing"/>
        <w:spacing w:line="480" w:lineRule="auto"/>
        <w:rPr>
          <w:rFonts w:asciiTheme="majorBidi" w:hAnsiTheme="majorBidi" w:cstheme="majorBidi"/>
          <w:b/>
          <w:bCs/>
          <w:sz w:val="24"/>
          <w:szCs w:val="24"/>
          <w:u w:val="single"/>
        </w:rPr>
      </w:pPr>
      <w:r w:rsidRPr="00235F26">
        <w:rPr>
          <w:rFonts w:asciiTheme="majorBidi" w:hAnsiTheme="majorBidi" w:cstheme="majorBidi"/>
          <w:b/>
          <w:bCs/>
          <w:sz w:val="24"/>
          <w:szCs w:val="24"/>
          <w:u w:val="single"/>
        </w:rPr>
        <w:t xml:space="preserve">Comparing the concept of </w:t>
      </w:r>
      <w:r w:rsidR="00235F26" w:rsidRPr="00235F26">
        <w:rPr>
          <w:rFonts w:asciiTheme="majorBidi" w:hAnsiTheme="majorBidi" w:cstheme="majorBidi"/>
          <w:b/>
          <w:bCs/>
          <w:sz w:val="24"/>
          <w:szCs w:val="24"/>
          <w:u w:val="single"/>
        </w:rPr>
        <w:t xml:space="preserve">an </w:t>
      </w:r>
      <w:r w:rsidRPr="00235F26">
        <w:rPr>
          <w:rFonts w:asciiTheme="majorBidi" w:hAnsiTheme="majorBidi" w:cstheme="majorBidi"/>
          <w:b/>
          <w:bCs/>
          <w:sz w:val="24"/>
          <w:szCs w:val="24"/>
          <w:u w:val="single"/>
        </w:rPr>
        <w:t xml:space="preserve">evolving constitution to </w:t>
      </w:r>
      <w:r w:rsidR="00235F26" w:rsidRPr="00235F26">
        <w:rPr>
          <w:rFonts w:asciiTheme="majorBidi" w:hAnsiTheme="majorBidi" w:cstheme="majorBidi"/>
          <w:b/>
          <w:bCs/>
          <w:sz w:val="24"/>
          <w:szCs w:val="24"/>
          <w:u w:val="single"/>
        </w:rPr>
        <w:t>the situation</w:t>
      </w:r>
      <w:r w:rsidRPr="00235F26">
        <w:rPr>
          <w:rFonts w:asciiTheme="majorBidi" w:hAnsiTheme="majorBidi" w:cstheme="majorBidi"/>
          <w:b/>
          <w:bCs/>
          <w:sz w:val="24"/>
          <w:szCs w:val="24"/>
          <w:u w:val="single"/>
        </w:rPr>
        <w:t xml:space="preserve"> in the State of Israel</w:t>
      </w:r>
      <w:r w:rsidR="00235F26" w:rsidRPr="00235F26">
        <w:rPr>
          <w:rFonts w:asciiTheme="majorBidi" w:hAnsiTheme="majorBidi" w:cstheme="majorBidi"/>
          <w:b/>
          <w:bCs/>
          <w:sz w:val="24"/>
          <w:szCs w:val="24"/>
          <w:u w:val="single"/>
        </w:rPr>
        <w:t>:</w:t>
      </w:r>
    </w:p>
    <w:p w14:paraId="55A40317" w14:textId="0C6A73FC" w:rsidR="00927B19" w:rsidRDefault="00235F26" w:rsidP="002C1D5E">
      <w:pPr>
        <w:pStyle w:val="NoSpacing"/>
        <w:spacing w:line="480" w:lineRule="auto"/>
        <w:rPr>
          <w:rFonts w:asciiTheme="majorBidi" w:hAnsiTheme="majorBidi" w:cstheme="majorBidi"/>
          <w:sz w:val="24"/>
          <w:szCs w:val="24"/>
        </w:rPr>
      </w:pPr>
      <w:r>
        <w:rPr>
          <w:rFonts w:asciiTheme="majorBidi" w:hAnsiTheme="majorBidi" w:cstheme="majorBidi"/>
          <w:sz w:val="24"/>
          <w:szCs w:val="24"/>
        </w:rPr>
        <w:t>We shall start with</w:t>
      </w:r>
      <w:r w:rsidR="002C1D5E" w:rsidRPr="002C1D5E">
        <w:rPr>
          <w:rFonts w:asciiTheme="majorBidi" w:hAnsiTheme="majorBidi" w:cstheme="majorBidi"/>
          <w:sz w:val="24"/>
          <w:szCs w:val="24"/>
        </w:rPr>
        <w:t xml:space="preserve"> a comparison of the </w:t>
      </w:r>
      <w:r>
        <w:rPr>
          <w:rFonts w:asciiTheme="majorBidi" w:hAnsiTheme="majorBidi" w:cstheme="majorBidi"/>
          <w:sz w:val="24"/>
          <w:szCs w:val="24"/>
        </w:rPr>
        <w:t>conceptual premise</w:t>
      </w:r>
      <w:r w:rsidR="002C1D5E" w:rsidRPr="002C1D5E">
        <w:rPr>
          <w:rFonts w:asciiTheme="majorBidi" w:hAnsiTheme="majorBidi" w:cstheme="majorBidi"/>
          <w:sz w:val="24"/>
          <w:szCs w:val="24"/>
        </w:rPr>
        <w:t xml:space="preserve"> on which the author bases the article (a constitution in a substantive sense, a constitution that undergoes formalization). You can see how this perception</w:t>
      </w:r>
      <w:r>
        <w:rPr>
          <w:rStyle w:val="FootnoteReference"/>
          <w:rFonts w:asciiTheme="majorBidi" w:hAnsiTheme="majorBidi" w:cstheme="majorBidi"/>
          <w:sz w:val="24"/>
          <w:szCs w:val="24"/>
        </w:rPr>
        <w:footnoteReference w:id="5"/>
      </w:r>
      <w:r w:rsidR="002C1D5E" w:rsidRPr="002C1D5E">
        <w:rPr>
          <w:rFonts w:asciiTheme="majorBidi" w:hAnsiTheme="majorBidi" w:cstheme="majorBidi"/>
          <w:sz w:val="24"/>
          <w:szCs w:val="24"/>
        </w:rPr>
        <w:t xml:space="preserve"> existed in the State of Israel </w:t>
      </w:r>
      <w:r w:rsidR="009B1BE3">
        <w:rPr>
          <w:rFonts w:asciiTheme="majorBidi" w:hAnsiTheme="majorBidi" w:cstheme="majorBidi"/>
          <w:sz w:val="24"/>
          <w:szCs w:val="24"/>
        </w:rPr>
        <w:t>from</w:t>
      </w:r>
      <w:r w:rsidR="002C1D5E" w:rsidRPr="002C1D5E">
        <w:rPr>
          <w:rFonts w:asciiTheme="majorBidi" w:hAnsiTheme="majorBidi" w:cstheme="majorBidi"/>
          <w:sz w:val="24"/>
          <w:szCs w:val="24"/>
        </w:rPr>
        <w:t xml:space="preserve"> its early days. When the State of Israel was established, it was decided by the Constituent Assembly, which would eventually become the legislature of the State of Israel known as the "Knesset"</w:t>
      </w:r>
      <w:r w:rsidR="00CE0B6B">
        <w:rPr>
          <w:rFonts w:asciiTheme="majorBidi" w:hAnsiTheme="majorBidi" w:cstheme="majorBidi"/>
          <w:sz w:val="24"/>
          <w:szCs w:val="24"/>
        </w:rPr>
        <w:t>,</w:t>
      </w:r>
      <w:r w:rsidR="002C1D5E" w:rsidRPr="002C1D5E">
        <w:rPr>
          <w:rFonts w:asciiTheme="majorBidi" w:hAnsiTheme="majorBidi" w:cstheme="majorBidi"/>
          <w:sz w:val="24"/>
          <w:szCs w:val="24"/>
        </w:rPr>
        <w:t xml:space="preserve"> that it was necessary to </w:t>
      </w:r>
      <w:r w:rsidR="00CE0B6B">
        <w:rPr>
          <w:rFonts w:asciiTheme="majorBidi" w:hAnsiTheme="majorBidi" w:cstheme="majorBidi"/>
          <w:sz w:val="24"/>
          <w:szCs w:val="24"/>
        </w:rPr>
        <w:t>draft</w:t>
      </w:r>
      <w:r w:rsidR="002C1D5E" w:rsidRPr="002C1D5E">
        <w:rPr>
          <w:rFonts w:asciiTheme="majorBidi" w:hAnsiTheme="majorBidi" w:cstheme="majorBidi"/>
          <w:sz w:val="24"/>
          <w:szCs w:val="24"/>
        </w:rPr>
        <w:t xml:space="preserve"> a constitution for the </w:t>
      </w:r>
      <w:r w:rsidR="00CE0B6B">
        <w:rPr>
          <w:rFonts w:asciiTheme="majorBidi" w:hAnsiTheme="majorBidi" w:cstheme="majorBidi"/>
          <w:sz w:val="24"/>
          <w:szCs w:val="24"/>
        </w:rPr>
        <w:t xml:space="preserve">nascent </w:t>
      </w:r>
      <w:r w:rsidR="002C1D5E" w:rsidRPr="002C1D5E">
        <w:rPr>
          <w:rFonts w:asciiTheme="majorBidi" w:hAnsiTheme="majorBidi" w:cstheme="majorBidi"/>
          <w:sz w:val="24"/>
          <w:szCs w:val="24"/>
        </w:rPr>
        <w:t xml:space="preserve">state. </w:t>
      </w:r>
      <w:r w:rsidR="009B1BE3">
        <w:rPr>
          <w:rFonts w:asciiTheme="majorBidi" w:hAnsiTheme="majorBidi" w:cstheme="majorBidi"/>
          <w:sz w:val="24"/>
          <w:szCs w:val="24"/>
        </w:rPr>
        <w:t>Following disagreements during the drafting of the constitution</w:t>
      </w:r>
      <w:r w:rsidR="009B1BE3">
        <w:rPr>
          <w:rStyle w:val="FootnoteReference"/>
          <w:rFonts w:asciiTheme="majorBidi" w:hAnsiTheme="majorBidi" w:cstheme="majorBidi"/>
          <w:sz w:val="24"/>
          <w:szCs w:val="24"/>
        </w:rPr>
        <w:footnoteReference w:id="6"/>
      </w:r>
      <w:r w:rsidR="002C1D5E" w:rsidRPr="002C1D5E">
        <w:rPr>
          <w:rFonts w:asciiTheme="majorBidi" w:hAnsiTheme="majorBidi" w:cstheme="majorBidi"/>
          <w:sz w:val="24"/>
          <w:szCs w:val="24"/>
        </w:rPr>
        <w:t xml:space="preserve">, </w:t>
      </w:r>
      <w:r w:rsidR="001820C0">
        <w:rPr>
          <w:rFonts w:asciiTheme="majorBidi" w:hAnsiTheme="majorBidi" w:cstheme="majorBidi"/>
          <w:sz w:val="24"/>
          <w:szCs w:val="24"/>
        </w:rPr>
        <w:t xml:space="preserve">the proposal by </w:t>
      </w:r>
      <w:proofErr w:type="spellStart"/>
      <w:r w:rsidR="001820C0">
        <w:rPr>
          <w:rFonts w:asciiTheme="majorBidi" w:hAnsiTheme="majorBidi" w:cstheme="majorBidi"/>
          <w:sz w:val="24"/>
          <w:szCs w:val="24"/>
        </w:rPr>
        <w:t>Kneeset</w:t>
      </w:r>
      <w:proofErr w:type="spellEnd"/>
      <w:r w:rsidR="001820C0">
        <w:rPr>
          <w:rFonts w:asciiTheme="majorBidi" w:hAnsiTheme="majorBidi" w:cstheme="majorBidi"/>
          <w:sz w:val="24"/>
          <w:szCs w:val="24"/>
        </w:rPr>
        <w:t xml:space="preserve"> Member Yuval Harari </w:t>
      </w:r>
      <w:r w:rsidR="001820C0">
        <w:rPr>
          <w:rFonts w:asciiTheme="majorBidi" w:hAnsiTheme="majorBidi" w:cstheme="majorBidi"/>
          <w:sz w:val="24"/>
          <w:szCs w:val="24"/>
        </w:rPr>
        <w:lastRenderedPageBreak/>
        <w:t>was accepted</w:t>
      </w:r>
      <w:r w:rsidR="001820C0">
        <w:rPr>
          <w:rStyle w:val="FootnoteReference"/>
          <w:rFonts w:asciiTheme="majorBidi" w:hAnsiTheme="majorBidi" w:cstheme="majorBidi"/>
          <w:sz w:val="24"/>
          <w:szCs w:val="24"/>
        </w:rPr>
        <w:footnoteReference w:id="7"/>
      </w:r>
      <w:r w:rsidR="001820C0">
        <w:rPr>
          <w:rFonts w:asciiTheme="majorBidi" w:hAnsiTheme="majorBidi" w:cstheme="majorBidi"/>
          <w:sz w:val="24"/>
          <w:szCs w:val="24"/>
        </w:rPr>
        <w:t>, which suggested that the constitution be written chapter by chapter, with each chapter named a Base Law, until they all coalesce</w:t>
      </w:r>
      <w:r w:rsidR="002C1D5E" w:rsidRPr="002C1D5E">
        <w:rPr>
          <w:rFonts w:asciiTheme="majorBidi" w:hAnsiTheme="majorBidi" w:cstheme="majorBidi"/>
          <w:sz w:val="24"/>
          <w:szCs w:val="24"/>
        </w:rPr>
        <w:t xml:space="preserve"> into a single constitution.</w:t>
      </w:r>
      <w:r w:rsidR="001820C0">
        <w:rPr>
          <w:rStyle w:val="FootnoteReference"/>
          <w:rFonts w:asciiTheme="majorBidi" w:hAnsiTheme="majorBidi" w:cstheme="majorBidi"/>
          <w:sz w:val="24"/>
          <w:szCs w:val="24"/>
        </w:rPr>
        <w:footnoteReference w:id="8"/>
      </w:r>
      <w:r w:rsidR="001820C0">
        <w:rPr>
          <w:rFonts w:asciiTheme="majorBidi" w:hAnsiTheme="majorBidi" w:cstheme="majorBidi"/>
          <w:sz w:val="24"/>
          <w:szCs w:val="24"/>
        </w:rPr>
        <w:t xml:space="preserve"> </w:t>
      </w:r>
      <w:r w:rsidR="00366F5F">
        <w:rPr>
          <w:rFonts w:asciiTheme="majorBidi" w:hAnsiTheme="majorBidi" w:cstheme="majorBidi"/>
          <w:sz w:val="24"/>
          <w:szCs w:val="24"/>
        </w:rPr>
        <w:t>In t</w:t>
      </w:r>
      <w:r w:rsidR="002C1D5E" w:rsidRPr="002C1D5E">
        <w:rPr>
          <w:rFonts w:asciiTheme="majorBidi" w:hAnsiTheme="majorBidi" w:cstheme="majorBidi"/>
          <w:sz w:val="24"/>
          <w:szCs w:val="24"/>
        </w:rPr>
        <w:t xml:space="preserve">his proposal </w:t>
      </w:r>
      <w:r w:rsidR="00366F5F">
        <w:rPr>
          <w:rFonts w:asciiTheme="majorBidi" w:hAnsiTheme="majorBidi" w:cstheme="majorBidi"/>
          <w:sz w:val="24"/>
          <w:szCs w:val="24"/>
        </w:rPr>
        <w:t>one can see</w:t>
      </w:r>
      <w:r w:rsidR="002C1D5E" w:rsidRPr="002C1D5E">
        <w:rPr>
          <w:rFonts w:asciiTheme="majorBidi" w:hAnsiTheme="majorBidi" w:cstheme="majorBidi"/>
          <w:sz w:val="24"/>
          <w:szCs w:val="24"/>
        </w:rPr>
        <w:t xml:space="preserve"> how the principles set out by the author of the article as a basis, come to practical application - constitution in a substantive sense, and </w:t>
      </w:r>
      <w:r w:rsidR="00366F5F">
        <w:rPr>
          <w:rFonts w:asciiTheme="majorBidi" w:hAnsiTheme="majorBidi" w:cstheme="majorBidi"/>
          <w:sz w:val="24"/>
          <w:szCs w:val="24"/>
        </w:rPr>
        <w:t xml:space="preserve">the </w:t>
      </w:r>
      <w:r w:rsidR="002C1D5E" w:rsidRPr="002C1D5E">
        <w:rPr>
          <w:rFonts w:asciiTheme="majorBidi" w:hAnsiTheme="majorBidi" w:cstheme="majorBidi"/>
          <w:sz w:val="24"/>
          <w:szCs w:val="24"/>
        </w:rPr>
        <w:t>evolving formalization of the constitution.</w:t>
      </w:r>
    </w:p>
    <w:p w14:paraId="17C7023D" w14:textId="4C27D0D7" w:rsidR="00366F5F" w:rsidRDefault="00366F5F" w:rsidP="002C1D5E">
      <w:pPr>
        <w:pStyle w:val="NoSpacing"/>
        <w:spacing w:line="480" w:lineRule="auto"/>
        <w:rPr>
          <w:rFonts w:asciiTheme="majorBidi" w:hAnsiTheme="majorBidi" w:cstheme="majorBidi"/>
          <w:sz w:val="24"/>
          <w:szCs w:val="24"/>
        </w:rPr>
      </w:pPr>
      <w:r w:rsidRPr="00366F5F">
        <w:rPr>
          <w:rFonts w:asciiTheme="majorBidi" w:hAnsiTheme="majorBidi" w:cstheme="majorBidi"/>
          <w:sz w:val="24"/>
          <w:szCs w:val="24"/>
        </w:rPr>
        <w:t xml:space="preserve">As part of the controversy surrounding the </w:t>
      </w:r>
      <w:r>
        <w:rPr>
          <w:rFonts w:asciiTheme="majorBidi" w:hAnsiTheme="majorBidi" w:cstheme="majorBidi"/>
          <w:sz w:val="24"/>
          <w:szCs w:val="24"/>
        </w:rPr>
        <w:t>drafting</w:t>
      </w:r>
      <w:r w:rsidRPr="00366F5F">
        <w:rPr>
          <w:rFonts w:asciiTheme="majorBidi" w:hAnsiTheme="majorBidi" w:cstheme="majorBidi"/>
          <w:sz w:val="24"/>
          <w:szCs w:val="24"/>
        </w:rPr>
        <w:t xml:space="preserve"> of the constitution, a number of other issues related to the judicial policy of the State of Israel were </w:t>
      </w:r>
      <w:r>
        <w:rPr>
          <w:rFonts w:asciiTheme="majorBidi" w:hAnsiTheme="majorBidi" w:cstheme="majorBidi"/>
          <w:sz w:val="24"/>
          <w:szCs w:val="24"/>
        </w:rPr>
        <w:t>in contention</w:t>
      </w:r>
      <w:r w:rsidRPr="00366F5F">
        <w:rPr>
          <w:rFonts w:asciiTheme="majorBidi" w:hAnsiTheme="majorBidi" w:cstheme="majorBidi"/>
          <w:sz w:val="24"/>
          <w:szCs w:val="24"/>
        </w:rPr>
        <w:t xml:space="preserve">, </w:t>
      </w:r>
      <w:r>
        <w:rPr>
          <w:rFonts w:asciiTheme="majorBidi" w:hAnsiTheme="majorBidi" w:cstheme="majorBidi"/>
          <w:sz w:val="24"/>
          <w:szCs w:val="24"/>
        </w:rPr>
        <w:t>chief among them</w:t>
      </w:r>
      <w:r w:rsidRPr="00366F5F">
        <w:rPr>
          <w:rFonts w:asciiTheme="majorBidi" w:hAnsiTheme="majorBidi" w:cstheme="majorBidi"/>
          <w:sz w:val="24"/>
          <w:szCs w:val="24"/>
        </w:rPr>
        <w:t xml:space="preserve"> the relationship between </w:t>
      </w:r>
      <w:r w:rsidR="00566FC3">
        <w:rPr>
          <w:rFonts w:asciiTheme="majorBidi" w:hAnsiTheme="majorBidi" w:cstheme="majorBidi"/>
          <w:sz w:val="24"/>
          <w:szCs w:val="24"/>
        </w:rPr>
        <w:t xml:space="preserve">the </w:t>
      </w:r>
      <w:r w:rsidR="00C40363">
        <w:rPr>
          <w:rFonts w:asciiTheme="majorBidi" w:hAnsiTheme="majorBidi" w:cstheme="majorBidi"/>
          <w:sz w:val="24"/>
          <w:szCs w:val="24"/>
        </w:rPr>
        <w:t>evolv</w:t>
      </w:r>
      <w:r w:rsidR="00FB730E">
        <w:rPr>
          <w:rFonts w:asciiTheme="majorBidi" w:hAnsiTheme="majorBidi" w:cstheme="majorBidi"/>
          <w:sz w:val="24"/>
          <w:szCs w:val="24"/>
        </w:rPr>
        <w:t>ing</w:t>
      </w:r>
      <w:r w:rsidRPr="00366F5F">
        <w:rPr>
          <w:rFonts w:asciiTheme="majorBidi" w:hAnsiTheme="majorBidi" w:cstheme="majorBidi"/>
          <w:sz w:val="24"/>
          <w:szCs w:val="24"/>
        </w:rPr>
        <w:t xml:space="preserve"> Israeli law and traditional </w:t>
      </w:r>
      <w:r w:rsidR="00566FC3">
        <w:rPr>
          <w:rFonts w:asciiTheme="majorBidi" w:hAnsiTheme="majorBidi" w:cstheme="majorBidi"/>
          <w:sz w:val="24"/>
          <w:szCs w:val="24"/>
        </w:rPr>
        <w:t>Jewish</w:t>
      </w:r>
      <w:r w:rsidRPr="00366F5F">
        <w:rPr>
          <w:rFonts w:asciiTheme="majorBidi" w:hAnsiTheme="majorBidi" w:cstheme="majorBidi"/>
          <w:sz w:val="24"/>
          <w:szCs w:val="24"/>
        </w:rPr>
        <w:t xml:space="preserve"> law, </w:t>
      </w:r>
      <w:r w:rsidR="00C340B6">
        <w:rPr>
          <w:rFonts w:asciiTheme="majorBidi" w:hAnsiTheme="majorBidi" w:cstheme="majorBidi"/>
          <w:sz w:val="24"/>
          <w:szCs w:val="24"/>
        </w:rPr>
        <w:t xml:space="preserve">known as “The Halakha”, </w:t>
      </w:r>
      <w:r w:rsidRPr="00366F5F">
        <w:rPr>
          <w:rFonts w:asciiTheme="majorBidi" w:hAnsiTheme="majorBidi" w:cstheme="majorBidi"/>
          <w:sz w:val="24"/>
          <w:szCs w:val="24"/>
        </w:rPr>
        <w:t>which ha</w:t>
      </w:r>
      <w:r w:rsidR="00C340B6">
        <w:rPr>
          <w:rFonts w:asciiTheme="majorBidi" w:hAnsiTheme="majorBidi" w:cstheme="majorBidi"/>
          <w:sz w:val="24"/>
          <w:szCs w:val="24"/>
        </w:rPr>
        <w:t>d</w:t>
      </w:r>
      <w:r w:rsidRPr="00366F5F">
        <w:rPr>
          <w:rFonts w:asciiTheme="majorBidi" w:hAnsiTheme="majorBidi" w:cstheme="majorBidi"/>
          <w:sz w:val="24"/>
          <w:szCs w:val="24"/>
        </w:rPr>
        <w:t xml:space="preserve"> been </w:t>
      </w:r>
      <w:r w:rsidR="00566FC3">
        <w:rPr>
          <w:rFonts w:asciiTheme="majorBidi" w:hAnsiTheme="majorBidi" w:cstheme="majorBidi"/>
          <w:sz w:val="24"/>
          <w:szCs w:val="24"/>
        </w:rPr>
        <w:t>the basis of Jewish conduct</w:t>
      </w:r>
      <w:r w:rsidRPr="00366F5F">
        <w:rPr>
          <w:rFonts w:asciiTheme="majorBidi" w:hAnsiTheme="majorBidi" w:cstheme="majorBidi"/>
          <w:sz w:val="24"/>
          <w:szCs w:val="24"/>
        </w:rPr>
        <w:t xml:space="preserve"> for thousands of years. We will not </w:t>
      </w:r>
      <w:r w:rsidR="001F7688">
        <w:rPr>
          <w:rFonts w:asciiTheme="majorBidi" w:hAnsiTheme="majorBidi" w:cstheme="majorBidi"/>
          <w:sz w:val="24"/>
          <w:szCs w:val="24"/>
        </w:rPr>
        <w:t xml:space="preserve">list all the steps which led to the </w:t>
      </w:r>
      <w:r w:rsidR="00C340B6">
        <w:rPr>
          <w:rFonts w:asciiTheme="majorBidi" w:hAnsiTheme="majorBidi" w:cstheme="majorBidi"/>
          <w:sz w:val="24"/>
          <w:szCs w:val="24"/>
        </w:rPr>
        <w:t>creation</w:t>
      </w:r>
      <w:r w:rsidRPr="00366F5F">
        <w:rPr>
          <w:rFonts w:asciiTheme="majorBidi" w:hAnsiTheme="majorBidi" w:cstheme="majorBidi"/>
          <w:sz w:val="24"/>
          <w:szCs w:val="24"/>
        </w:rPr>
        <w:t xml:space="preserve"> of the </w:t>
      </w:r>
      <w:r w:rsidR="00C340B6">
        <w:rPr>
          <w:rFonts w:asciiTheme="majorBidi" w:hAnsiTheme="majorBidi" w:cstheme="majorBidi"/>
          <w:sz w:val="24"/>
          <w:szCs w:val="24"/>
        </w:rPr>
        <w:t>Base Laws</w:t>
      </w:r>
      <w:r w:rsidR="00C340B6">
        <w:rPr>
          <w:rStyle w:val="FootnoteReference"/>
          <w:rFonts w:asciiTheme="majorBidi" w:hAnsiTheme="majorBidi" w:cstheme="majorBidi"/>
          <w:sz w:val="24"/>
          <w:szCs w:val="24"/>
        </w:rPr>
        <w:footnoteReference w:id="9"/>
      </w:r>
      <w:r w:rsidRPr="00366F5F">
        <w:rPr>
          <w:rFonts w:asciiTheme="majorBidi" w:hAnsiTheme="majorBidi" w:cstheme="majorBidi"/>
          <w:sz w:val="24"/>
          <w:szCs w:val="24"/>
        </w:rPr>
        <w:t>, and the amendment made to it</w:t>
      </w:r>
      <w:r w:rsidR="00FB730E">
        <w:rPr>
          <w:rStyle w:val="FootnoteReference"/>
          <w:rFonts w:asciiTheme="majorBidi" w:hAnsiTheme="majorBidi" w:cstheme="majorBidi"/>
          <w:sz w:val="24"/>
          <w:szCs w:val="24"/>
        </w:rPr>
        <w:footnoteReference w:id="10"/>
      </w:r>
      <w:r w:rsidRPr="00366F5F">
        <w:rPr>
          <w:rFonts w:asciiTheme="majorBidi" w:hAnsiTheme="majorBidi" w:cstheme="majorBidi"/>
          <w:sz w:val="24"/>
          <w:szCs w:val="24"/>
        </w:rPr>
        <w:t xml:space="preserve">, but </w:t>
      </w:r>
      <w:r w:rsidR="00FB730E">
        <w:rPr>
          <w:rFonts w:asciiTheme="majorBidi" w:hAnsiTheme="majorBidi" w:cstheme="majorBidi"/>
          <w:sz w:val="24"/>
          <w:szCs w:val="24"/>
        </w:rPr>
        <w:t>let it be briefly mentioned that</w:t>
      </w:r>
      <w:r w:rsidRPr="00366F5F">
        <w:rPr>
          <w:rFonts w:asciiTheme="majorBidi" w:hAnsiTheme="majorBidi" w:cstheme="majorBidi"/>
          <w:sz w:val="24"/>
          <w:szCs w:val="24"/>
        </w:rPr>
        <w:t xml:space="preserve"> even in the first years of the state, even before the above law was formulated, there were judges who were </w:t>
      </w:r>
      <w:r w:rsidR="001F7688">
        <w:rPr>
          <w:rFonts w:asciiTheme="majorBidi" w:hAnsiTheme="majorBidi" w:cstheme="majorBidi"/>
          <w:sz w:val="24"/>
          <w:szCs w:val="24"/>
        </w:rPr>
        <w:t>more influenced</w:t>
      </w:r>
      <w:r w:rsidRPr="00366F5F">
        <w:rPr>
          <w:rFonts w:asciiTheme="majorBidi" w:hAnsiTheme="majorBidi" w:cstheme="majorBidi"/>
          <w:sz w:val="24"/>
          <w:szCs w:val="24"/>
        </w:rPr>
        <w:t xml:space="preserve"> by</w:t>
      </w:r>
      <w:r w:rsidR="001F7688">
        <w:rPr>
          <w:rFonts w:asciiTheme="majorBidi" w:hAnsiTheme="majorBidi" w:cstheme="majorBidi"/>
          <w:sz w:val="24"/>
          <w:szCs w:val="24"/>
        </w:rPr>
        <w:t xml:space="preserve"> the</w:t>
      </w:r>
      <w:r w:rsidRPr="00366F5F">
        <w:rPr>
          <w:rFonts w:asciiTheme="majorBidi" w:hAnsiTheme="majorBidi" w:cstheme="majorBidi"/>
          <w:sz w:val="24"/>
          <w:szCs w:val="24"/>
        </w:rPr>
        <w:t xml:space="preserve"> </w:t>
      </w:r>
      <w:r w:rsidR="001F7688">
        <w:rPr>
          <w:rFonts w:asciiTheme="majorBidi" w:hAnsiTheme="majorBidi" w:cstheme="majorBidi"/>
          <w:sz w:val="24"/>
          <w:szCs w:val="24"/>
        </w:rPr>
        <w:t xml:space="preserve">tenets of </w:t>
      </w:r>
      <w:r w:rsidRPr="00366F5F">
        <w:rPr>
          <w:rFonts w:asciiTheme="majorBidi" w:hAnsiTheme="majorBidi" w:cstheme="majorBidi"/>
          <w:sz w:val="24"/>
          <w:szCs w:val="24"/>
        </w:rPr>
        <w:t>Jewish law</w:t>
      </w:r>
      <w:r w:rsidR="00FB730E">
        <w:rPr>
          <w:rStyle w:val="FootnoteReference"/>
          <w:rFonts w:asciiTheme="majorBidi" w:hAnsiTheme="majorBidi" w:cstheme="majorBidi"/>
          <w:sz w:val="24"/>
          <w:szCs w:val="24"/>
        </w:rPr>
        <w:footnoteReference w:id="11"/>
      </w:r>
      <w:r w:rsidRPr="00366F5F">
        <w:rPr>
          <w:rFonts w:asciiTheme="majorBidi" w:hAnsiTheme="majorBidi" w:cstheme="majorBidi"/>
          <w:sz w:val="24"/>
          <w:szCs w:val="24"/>
        </w:rPr>
        <w:t xml:space="preserve">, and </w:t>
      </w:r>
      <w:r w:rsidR="00FB730E">
        <w:rPr>
          <w:rFonts w:asciiTheme="majorBidi" w:hAnsiTheme="majorBidi" w:cstheme="majorBidi"/>
          <w:sz w:val="24"/>
          <w:szCs w:val="24"/>
        </w:rPr>
        <w:t xml:space="preserve">then </w:t>
      </w:r>
      <w:r w:rsidRPr="00366F5F">
        <w:rPr>
          <w:rFonts w:asciiTheme="majorBidi" w:hAnsiTheme="majorBidi" w:cstheme="majorBidi"/>
          <w:sz w:val="24"/>
          <w:szCs w:val="24"/>
        </w:rPr>
        <w:t xml:space="preserve">there were those who </w:t>
      </w:r>
      <w:r w:rsidR="00FB730E">
        <w:rPr>
          <w:rFonts w:asciiTheme="majorBidi" w:hAnsiTheme="majorBidi" w:cstheme="majorBidi"/>
          <w:sz w:val="24"/>
          <w:szCs w:val="24"/>
        </w:rPr>
        <w:t xml:space="preserve">were </w:t>
      </w:r>
      <w:r w:rsidRPr="00366F5F">
        <w:rPr>
          <w:rFonts w:asciiTheme="majorBidi" w:hAnsiTheme="majorBidi" w:cstheme="majorBidi"/>
          <w:sz w:val="24"/>
          <w:szCs w:val="24"/>
        </w:rPr>
        <w:t xml:space="preserve">strongly opposed </w:t>
      </w:r>
      <w:r w:rsidR="000C0E0F">
        <w:rPr>
          <w:rFonts w:asciiTheme="majorBidi" w:hAnsiTheme="majorBidi" w:cstheme="majorBidi"/>
          <w:sz w:val="24"/>
          <w:szCs w:val="24"/>
        </w:rPr>
        <w:t xml:space="preserve">to </w:t>
      </w:r>
      <w:r w:rsidRPr="00366F5F">
        <w:rPr>
          <w:rFonts w:asciiTheme="majorBidi" w:hAnsiTheme="majorBidi" w:cstheme="majorBidi"/>
          <w:sz w:val="24"/>
          <w:szCs w:val="24"/>
        </w:rPr>
        <w:t>it</w:t>
      </w:r>
      <w:r w:rsidR="000C0E0F">
        <w:rPr>
          <w:rStyle w:val="FootnoteReference"/>
          <w:rFonts w:asciiTheme="majorBidi" w:hAnsiTheme="majorBidi" w:cstheme="majorBidi"/>
          <w:sz w:val="24"/>
          <w:szCs w:val="24"/>
        </w:rPr>
        <w:footnoteReference w:id="12"/>
      </w:r>
      <w:r w:rsidRPr="00366F5F">
        <w:rPr>
          <w:rFonts w:asciiTheme="majorBidi" w:hAnsiTheme="majorBidi" w:cstheme="majorBidi"/>
          <w:sz w:val="24"/>
          <w:szCs w:val="24"/>
        </w:rPr>
        <w:t xml:space="preserve">. </w:t>
      </w:r>
      <w:r w:rsidR="00FB730E">
        <w:rPr>
          <w:rFonts w:asciiTheme="majorBidi" w:hAnsiTheme="majorBidi" w:cstheme="majorBidi"/>
          <w:sz w:val="24"/>
          <w:szCs w:val="24"/>
        </w:rPr>
        <w:t>We can see it as the natural progression of the</w:t>
      </w:r>
      <w:r w:rsidRPr="00366F5F">
        <w:rPr>
          <w:rFonts w:asciiTheme="majorBidi" w:hAnsiTheme="majorBidi" w:cstheme="majorBidi"/>
          <w:sz w:val="24"/>
          <w:szCs w:val="24"/>
        </w:rPr>
        <w:t xml:space="preserve"> two parallel </w:t>
      </w:r>
      <w:r w:rsidR="00FB730E">
        <w:rPr>
          <w:rFonts w:asciiTheme="majorBidi" w:hAnsiTheme="majorBidi" w:cstheme="majorBidi"/>
          <w:sz w:val="24"/>
          <w:szCs w:val="24"/>
        </w:rPr>
        <w:t>stand</w:t>
      </w:r>
      <w:r w:rsidRPr="00366F5F">
        <w:rPr>
          <w:rFonts w:asciiTheme="majorBidi" w:hAnsiTheme="majorBidi" w:cstheme="majorBidi"/>
          <w:sz w:val="24"/>
          <w:szCs w:val="24"/>
        </w:rPr>
        <w:t>s, the conservative and the liberal</w:t>
      </w:r>
      <w:r w:rsidR="00E762E1">
        <w:rPr>
          <w:rStyle w:val="FootnoteReference"/>
          <w:rFonts w:asciiTheme="majorBidi" w:hAnsiTheme="majorBidi" w:cstheme="majorBidi"/>
          <w:sz w:val="24"/>
          <w:szCs w:val="24"/>
        </w:rPr>
        <w:footnoteReference w:id="13"/>
      </w:r>
      <w:r w:rsidRPr="00366F5F">
        <w:rPr>
          <w:rFonts w:asciiTheme="majorBidi" w:hAnsiTheme="majorBidi" w:cstheme="majorBidi"/>
          <w:sz w:val="24"/>
          <w:szCs w:val="24"/>
        </w:rPr>
        <w:t>.</w:t>
      </w:r>
    </w:p>
    <w:p w14:paraId="169B758F" w14:textId="2393AD47" w:rsidR="000D7A45" w:rsidRDefault="000D7A45" w:rsidP="002C1D5E">
      <w:pPr>
        <w:pStyle w:val="NoSpacing"/>
        <w:spacing w:line="480" w:lineRule="auto"/>
        <w:rPr>
          <w:rFonts w:asciiTheme="majorBidi" w:hAnsiTheme="majorBidi" w:cstheme="majorBidi"/>
          <w:sz w:val="24"/>
          <w:szCs w:val="24"/>
        </w:rPr>
      </w:pPr>
      <w:r w:rsidRPr="000D7A45">
        <w:rPr>
          <w:rFonts w:asciiTheme="majorBidi" w:hAnsiTheme="majorBidi" w:cstheme="majorBidi"/>
          <w:sz w:val="24"/>
          <w:szCs w:val="24"/>
        </w:rPr>
        <w:t xml:space="preserve">We see how disputes </w:t>
      </w:r>
      <w:r>
        <w:rPr>
          <w:rFonts w:asciiTheme="majorBidi" w:hAnsiTheme="majorBidi" w:cstheme="majorBidi"/>
          <w:sz w:val="24"/>
          <w:szCs w:val="24"/>
        </w:rPr>
        <w:t xml:space="preserve">which are </w:t>
      </w:r>
      <w:r w:rsidR="001F7688">
        <w:rPr>
          <w:rFonts w:asciiTheme="majorBidi" w:hAnsiTheme="majorBidi" w:cstheme="majorBidi"/>
          <w:sz w:val="24"/>
          <w:szCs w:val="24"/>
        </w:rPr>
        <w:t>rooted in different</w:t>
      </w:r>
      <w:r>
        <w:rPr>
          <w:rFonts w:asciiTheme="majorBidi" w:hAnsiTheme="majorBidi" w:cstheme="majorBidi"/>
          <w:sz w:val="24"/>
          <w:szCs w:val="24"/>
        </w:rPr>
        <w:t xml:space="preserve"> values and</w:t>
      </w:r>
      <w:r w:rsidRPr="000D7A45">
        <w:rPr>
          <w:rFonts w:asciiTheme="majorBidi" w:hAnsiTheme="majorBidi" w:cstheme="majorBidi"/>
          <w:sz w:val="24"/>
          <w:szCs w:val="24"/>
        </w:rPr>
        <w:t xml:space="preserve"> worldviews </w:t>
      </w:r>
      <w:r>
        <w:rPr>
          <w:rFonts w:asciiTheme="majorBidi" w:hAnsiTheme="majorBidi" w:cstheme="majorBidi"/>
          <w:sz w:val="24"/>
          <w:szCs w:val="24"/>
        </w:rPr>
        <w:t>create</w:t>
      </w:r>
      <w:r w:rsidRPr="000D7A45">
        <w:rPr>
          <w:rFonts w:asciiTheme="majorBidi" w:hAnsiTheme="majorBidi" w:cstheme="majorBidi"/>
          <w:sz w:val="24"/>
          <w:szCs w:val="24"/>
        </w:rPr>
        <w:t xml:space="preserve"> different interpretation of the language of the law, and may even lead to a </w:t>
      </w:r>
      <w:r>
        <w:rPr>
          <w:rFonts w:asciiTheme="majorBidi" w:hAnsiTheme="majorBidi" w:cstheme="majorBidi"/>
          <w:sz w:val="24"/>
          <w:szCs w:val="24"/>
        </w:rPr>
        <w:t>different view</w:t>
      </w:r>
      <w:r w:rsidRPr="000D7A45">
        <w:rPr>
          <w:rFonts w:asciiTheme="majorBidi" w:hAnsiTheme="majorBidi" w:cstheme="majorBidi"/>
          <w:sz w:val="24"/>
          <w:szCs w:val="24"/>
        </w:rPr>
        <w:t xml:space="preserve"> </w:t>
      </w:r>
      <w:r>
        <w:rPr>
          <w:rFonts w:asciiTheme="majorBidi" w:hAnsiTheme="majorBidi" w:cstheme="majorBidi"/>
          <w:sz w:val="24"/>
          <w:szCs w:val="24"/>
        </w:rPr>
        <w:t>of</w:t>
      </w:r>
      <w:r w:rsidRPr="000D7A45">
        <w:rPr>
          <w:rFonts w:asciiTheme="majorBidi" w:hAnsiTheme="majorBidi" w:cstheme="majorBidi"/>
          <w:sz w:val="24"/>
          <w:szCs w:val="24"/>
        </w:rPr>
        <w:t xml:space="preserve"> the legislat</w:t>
      </w:r>
      <w:r>
        <w:rPr>
          <w:rFonts w:asciiTheme="majorBidi" w:hAnsiTheme="majorBidi" w:cstheme="majorBidi"/>
          <w:sz w:val="24"/>
          <w:szCs w:val="24"/>
        </w:rPr>
        <w:t>o</w:t>
      </w:r>
      <w:r w:rsidRPr="000D7A45">
        <w:rPr>
          <w:rFonts w:asciiTheme="majorBidi" w:hAnsiTheme="majorBidi" w:cstheme="majorBidi"/>
          <w:sz w:val="24"/>
          <w:szCs w:val="24"/>
        </w:rPr>
        <w:t>r's inten</w:t>
      </w:r>
      <w:r>
        <w:rPr>
          <w:rFonts w:asciiTheme="majorBidi" w:hAnsiTheme="majorBidi" w:cstheme="majorBidi"/>
          <w:sz w:val="24"/>
          <w:szCs w:val="24"/>
        </w:rPr>
        <w:t>t</w:t>
      </w:r>
      <w:r w:rsidRPr="000D7A45">
        <w:rPr>
          <w:rFonts w:asciiTheme="majorBidi" w:hAnsiTheme="majorBidi" w:cstheme="majorBidi"/>
          <w:sz w:val="24"/>
          <w:szCs w:val="24"/>
        </w:rPr>
        <w:t xml:space="preserve">, if </w:t>
      </w:r>
      <w:r w:rsidR="001F7688">
        <w:rPr>
          <w:rFonts w:asciiTheme="majorBidi" w:hAnsiTheme="majorBidi" w:cstheme="majorBidi"/>
          <w:sz w:val="24"/>
          <w:szCs w:val="24"/>
        </w:rPr>
        <w:t>a specific</w:t>
      </w:r>
      <w:r w:rsidRPr="000D7A45">
        <w:rPr>
          <w:rFonts w:asciiTheme="majorBidi" w:hAnsiTheme="majorBidi" w:cstheme="majorBidi"/>
          <w:sz w:val="24"/>
          <w:szCs w:val="24"/>
        </w:rPr>
        <w:t xml:space="preserve"> judge believes that this is how justice </w:t>
      </w:r>
      <w:r>
        <w:rPr>
          <w:rFonts w:asciiTheme="majorBidi" w:hAnsiTheme="majorBidi" w:cstheme="majorBidi"/>
          <w:sz w:val="24"/>
          <w:szCs w:val="24"/>
        </w:rPr>
        <w:t xml:space="preserve">will </w:t>
      </w:r>
      <w:r w:rsidR="001F7688">
        <w:rPr>
          <w:rFonts w:asciiTheme="majorBidi" w:hAnsiTheme="majorBidi" w:cstheme="majorBidi"/>
          <w:sz w:val="24"/>
          <w:szCs w:val="24"/>
        </w:rPr>
        <w:t xml:space="preserve">best be meted </w:t>
      </w:r>
      <w:r>
        <w:rPr>
          <w:rFonts w:asciiTheme="majorBidi" w:hAnsiTheme="majorBidi" w:cstheme="majorBidi"/>
          <w:sz w:val="24"/>
          <w:szCs w:val="24"/>
        </w:rPr>
        <w:lastRenderedPageBreak/>
        <w:t>out</w:t>
      </w:r>
      <w:r w:rsidRPr="000D7A45">
        <w:rPr>
          <w:rFonts w:asciiTheme="majorBidi" w:hAnsiTheme="majorBidi" w:cstheme="majorBidi"/>
          <w:sz w:val="24"/>
          <w:szCs w:val="24"/>
        </w:rPr>
        <w:t>. If we focus on the Bas</w:t>
      </w:r>
      <w:r w:rsidR="002C37BE">
        <w:rPr>
          <w:rFonts w:asciiTheme="majorBidi" w:hAnsiTheme="majorBidi" w:cstheme="majorBidi"/>
          <w:sz w:val="24"/>
          <w:szCs w:val="24"/>
        </w:rPr>
        <w:t xml:space="preserve">e Laws </w:t>
      </w:r>
      <w:r w:rsidRPr="000D7A45">
        <w:rPr>
          <w:rFonts w:asciiTheme="majorBidi" w:hAnsiTheme="majorBidi" w:cstheme="majorBidi"/>
          <w:sz w:val="24"/>
          <w:szCs w:val="24"/>
        </w:rPr>
        <w:t xml:space="preserve">mentioned above, we </w:t>
      </w:r>
      <w:r w:rsidR="002C37BE">
        <w:rPr>
          <w:rFonts w:asciiTheme="majorBidi" w:hAnsiTheme="majorBidi" w:cstheme="majorBidi"/>
          <w:sz w:val="24"/>
          <w:szCs w:val="24"/>
        </w:rPr>
        <w:t xml:space="preserve">can </w:t>
      </w:r>
      <w:r w:rsidR="001F7688">
        <w:rPr>
          <w:rFonts w:asciiTheme="majorBidi" w:hAnsiTheme="majorBidi" w:cstheme="majorBidi"/>
          <w:sz w:val="24"/>
          <w:szCs w:val="24"/>
        </w:rPr>
        <w:t>c</w:t>
      </w:r>
      <w:r w:rsidR="002C37BE">
        <w:rPr>
          <w:rFonts w:asciiTheme="majorBidi" w:hAnsiTheme="majorBidi" w:cstheme="majorBidi"/>
          <w:sz w:val="24"/>
          <w:szCs w:val="24"/>
        </w:rPr>
        <w:t>ite</w:t>
      </w:r>
      <w:r w:rsidRPr="000D7A45">
        <w:rPr>
          <w:rFonts w:asciiTheme="majorBidi" w:hAnsiTheme="majorBidi" w:cstheme="majorBidi"/>
          <w:sz w:val="24"/>
          <w:szCs w:val="24"/>
        </w:rPr>
        <w:t xml:space="preserve"> the well-known dispute between Justice Menachem Alon (Conservative) and Justice </w:t>
      </w:r>
      <w:proofErr w:type="spellStart"/>
      <w:r w:rsidRPr="000D7A45">
        <w:rPr>
          <w:rFonts w:asciiTheme="majorBidi" w:hAnsiTheme="majorBidi" w:cstheme="majorBidi"/>
          <w:sz w:val="24"/>
          <w:szCs w:val="24"/>
        </w:rPr>
        <w:t>Aharon</w:t>
      </w:r>
      <w:proofErr w:type="spellEnd"/>
      <w:r w:rsidRPr="000D7A45">
        <w:rPr>
          <w:rFonts w:asciiTheme="majorBidi" w:hAnsiTheme="majorBidi" w:cstheme="majorBidi"/>
          <w:sz w:val="24"/>
          <w:szCs w:val="24"/>
        </w:rPr>
        <w:t xml:space="preserve"> Barak (Liberal) regarding the law, which </w:t>
      </w:r>
      <w:r w:rsidR="002C37BE">
        <w:rPr>
          <w:rFonts w:asciiTheme="majorBidi" w:hAnsiTheme="majorBidi" w:cstheme="majorBidi"/>
          <w:sz w:val="24"/>
          <w:szCs w:val="24"/>
        </w:rPr>
        <w:t>consists of</w:t>
      </w:r>
      <w:r w:rsidRPr="000D7A45">
        <w:rPr>
          <w:rFonts w:asciiTheme="majorBidi" w:hAnsiTheme="majorBidi" w:cstheme="majorBidi"/>
          <w:sz w:val="24"/>
          <w:szCs w:val="24"/>
        </w:rPr>
        <w:t xml:space="preserve"> three main points</w:t>
      </w:r>
      <w:r w:rsidR="002C37BE">
        <w:rPr>
          <w:rFonts w:asciiTheme="majorBidi" w:hAnsiTheme="majorBidi" w:cstheme="majorBidi"/>
          <w:sz w:val="24"/>
          <w:szCs w:val="24"/>
        </w:rPr>
        <w:t>:</w:t>
      </w:r>
    </w:p>
    <w:p w14:paraId="33A74B6C" w14:textId="6EC99317" w:rsidR="002C37BE" w:rsidRDefault="002C37BE" w:rsidP="002C1D5E">
      <w:pPr>
        <w:pStyle w:val="NoSpacing"/>
        <w:spacing w:line="480" w:lineRule="auto"/>
        <w:rPr>
          <w:rFonts w:asciiTheme="majorBidi" w:hAnsiTheme="majorBidi" w:cstheme="majorBidi"/>
          <w:sz w:val="24"/>
          <w:szCs w:val="24"/>
        </w:rPr>
      </w:pPr>
      <w:r>
        <w:rPr>
          <w:rFonts w:asciiTheme="majorBidi" w:hAnsiTheme="majorBidi" w:cstheme="majorBidi"/>
          <w:sz w:val="24"/>
          <w:szCs w:val="24"/>
        </w:rPr>
        <w:t>1. Is the regulation valid in any case of doubt of interpretation (Alon) or only when there’s a lack of reference (Barak)?</w:t>
      </w:r>
    </w:p>
    <w:p w14:paraId="20E0E78E" w14:textId="2DDC7F39" w:rsidR="002C37BE" w:rsidRDefault="002C37BE" w:rsidP="002C1D5E">
      <w:pPr>
        <w:pStyle w:val="NoSpacing"/>
        <w:spacing w:line="480" w:lineRule="auto"/>
        <w:rPr>
          <w:rFonts w:asciiTheme="majorBidi" w:hAnsiTheme="majorBidi" w:cstheme="majorBidi"/>
          <w:sz w:val="24"/>
          <w:szCs w:val="24"/>
        </w:rPr>
      </w:pPr>
      <w:r>
        <w:rPr>
          <w:rFonts w:asciiTheme="majorBidi" w:hAnsiTheme="majorBidi" w:cstheme="majorBidi"/>
          <w:sz w:val="24"/>
          <w:szCs w:val="24"/>
        </w:rPr>
        <w:t xml:space="preserve">2. What is the reach of </w:t>
      </w:r>
      <w:r w:rsidRPr="00B829AD">
        <w:rPr>
          <w:rFonts w:asciiTheme="majorBidi" w:hAnsiTheme="majorBidi" w:cstheme="majorBidi"/>
          <w:i/>
          <w:iCs/>
          <w:sz w:val="24"/>
          <w:szCs w:val="24"/>
        </w:rPr>
        <w:t>the principles of freedom, justice</w:t>
      </w:r>
      <w:r w:rsidR="00B829AD" w:rsidRPr="00B829AD">
        <w:rPr>
          <w:rFonts w:asciiTheme="majorBidi" w:hAnsiTheme="majorBidi" w:cstheme="majorBidi"/>
          <w:i/>
          <w:iCs/>
          <w:sz w:val="24"/>
          <w:szCs w:val="24"/>
        </w:rPr>
        <w:t>, honesty and peace as determined by Jewish legacy</w:t>
      </w:r>
      <w:r w:rsidR="00B829AD">
        <w:rPr>
          <w:rFonts w:asciiTheme="majorBidi" w:hAnsiTheme="majorBidi" w:cstheme="majorBidi"/>
          <w:sz w:val="24"/>
          <w:szCs w:val="24"/>
        </w:rPr>
        <w:t xml:space="preserve"> – is it based on Jewish Law (Alon) or on a more general concept of Jewish </w:t>
      </w:r>
      <w:r w:rsidR="002629C2">
        <w:rPr>
          <w:rFonts w:asciiTheme="majorBidi" w:hAnsiTheme="majorBidi" w:cstheme="majorBidi"/>
          <w:sz w:val="24"/>
          <w:szCs w:val="24"/>
        </w:rPr>
        <w:t>tradition</w:t>
      </w:r>
      <w:r w:rsidR="00B829AD">
        <w:rPr>
          <w:rFonts w:asciiTheme="majorBidi" w:hAnsiTheme="majorBidi" w:cstheme="majorBidi"/>
          <w:sz w:val="24"/>
          <w:szCs w:val="24"/>
        </w:rPr>
        <w:t xml:space="preserve"> (Barak)</w:t>
      </w:r>
      <w:r w:rsidR="006E46AC">
        <w:rPr>
          <w:rFonts w:asciiTheme="majorBidi" w:hAnsiTheme="majorBidi" w:cstheme="majorBidi"/>
          <w:sz w:val="24"/>
          <w:szCs w:val="24"/>
        </w:rPr>
        <w:t>?</w:t>
      </w:r>
    </w:p>
    <w:p w14:paraId="210610B9" w14:textId="78DBFE0C" w:rsidR="00B829AD" w:rsidRDefault="00B829AD" w:rsidP="002C1D5E">
      <w:pPr>
        <w:pStyle w:val="NoSpacing"/>
        <w:spacing w:line="480" w:lineRule="auto"/>
        <w:rPr>
          <w:rFonts w:asciiTheme="majorBidi" w:hAnsiTheme="majorBidi" w:cstheme="majorBidi"/>
          <w:sz w:val="24"/>
          <w:szCs w:val="24"/>
        </w:rPr>
      </w:pPr>
      <w:r>
        <w:rPr>
          <w:rFonts w:asciiTheme="majorBidi" w:hAnsiTheme="majorBidi" w:cstheme="majorBidi"/>
          <w:sz w:val="24"/>
          <w:szCs w:val="24"/>
        </w:rPr>
        <w:t>3. Do the Base Law</w:t>
      </w:r>
      <w:r w:rsidR="0043667D">
        <w:rPr>
          <w:rFonts w:asciiTheme="majorBidi" w:hAnsiTheme="majorBidi" w:cstheme="majorBidi"/>
          <w:sz w:val="24"/>
          <w:szCs w:val="24"/>
        </w:rPr>
        <w:t>s</w:t>
      </w:r>
      <w:r>
        <w:rPr>
          <w:rFonts w:asciiTheme="majorBidi" w:hAnsiTheme="majorBidi" w:cstheme="majorBidi"/>
          <w:sz w:val="24"/>
          <w:szCs w:val="24"/>
        </w:rPr>
        <w:t xml:space="preserve"> sign</w:t>
      </w:r>
      <w:r w:rsidR="0043667D">
        <w:rPr>
          <w:rFonts w:asciiTheme="majorBidi" w:hAnsiTheme="majorBidi" w:cstheme="majorBidi"/>
          <w:sz w:val="24"/>
          <w:szCs w:val="24"/>
        </w:rPr>
        <w:t>al</w:t>
      </w:r>
      <w:r>
        <w:rPr>
          <w:rFonts w:asciiTheme="majorBidi" w:hAnsiTheme="majorBidi" w:cstheme="majorBidi"/>
          <w:sz w:val="24"/>
          <w:szCs w:val="24"/>
        </w:rPr>
        <w:t xml:space="preserve"> that Jewish </w:t>
      </w:r>
      <w:r w:rsidR="0043667D">
        <w:rPr>
          <w:rFonts w:asciiTheme="majorBidi" w:hAnsiTheme="majorBidi" w:cstheme="majorBidi"/>
          <w:sz w:val="24"/>
          <w:szCs w:val="24"/>
        </w:rPr>
        <w:t>l</w:t>
      </w:r>
      <w:r>
        <w:rPr>
          <w:rFonts w:asciiTheme="majorBidi" w:hAnsiTheme="majorBidi" w:cstheme="majorBidi"/>
          <w:sz w:val="24"/>
          <w:szCs w:val="24"/>
        </w:rPr>
        <w:t xml:space="preserve">aw takes precedence in Israeli </w:t>
      </w:r>
      <w:r w:rsidR="0043667D">
        <w:rPr>
          <w:rFonts w:asciiTheme="majorBidi" w:hAnsiTheme="majorBidi" w:cstheme="majorBidi"/>
          <w:sz w:val="24"/>
          <w:szCs w:val="24"/>
        </w:rPr>
        <w:t>l</w:t>
      </w:r>
      <w:r>
        <w:rPr>
          <w:rFonts w:asciiTheme="majorBidi" w:hAnsiTheme="majorBidi" w:cstheme="majorBidi"/>
          <w:sz w:val="24"/>
          <w:szCs w:val="24"/>
        </w:rPr>
        <w:t xml:space="preserve">aw </w:t>
      </w:r>
      <w:r w:rsidR="0043667D">
        <w:rPr>
          <w:rFonts w:asciiTheme="majorBidi" w:hAnsiTheme="majorBidi" w:cstheme="majorBidi"/>
          <w:sz w:val="24"/>
          <w:szCs w:val="24"/>
        </w:rPr>
        <w:t xml:space="preserve">as </w:t>
      </w:r>
      <w:r>
        <w:rPr>
          <w:rFonts w:asciiTheme="majorBidi" w:hAnsiTheme="majorBidi" w:cstheme="majorBidi"/>
          <w:sz w:val="24"/>
          <w:szCs w:val="24"/>
        </w:rPr>
        <w:t xml:space="preserve">compared to other </w:t>
      </w:r>
      <w:r w:rsidR="0043667D">
        <w:rPr>
          <w:rFonts w:asciiTheme="majorBidi" w:hAnsiTheme="majorBidi" w:cstheme="majorBidi"/>
          <w:sz w:val="24"/>
          <w:szCs w:val="24"/>
        </w:rPr>
        <w:t>considerations when</w:t>
      </w:r>
      <w:r>
        <w:rPr>
          <w:rFonts w:asciiTheme="majorBidi" w:hAnsiTheme="majorBidi" w:cstheme="majorBidi"/>
          <w:sz w:val="24"/>
          <w:szCs w:val="24"/>
        </w:rPr>
        <w:t xml:space="preserve"> interpreting legislation and determining the core principals of Israeli judiciary</w:t>
      </w:r>
      <w:r w:rsidR="006E46AC">
        <w:rPr>
          <w:rFonts w:asciiTheme="majorBidi" w:hAnsiTheme="majorBidi" w:cstheme="majorBidi"/>
          <w:sz w:val="24"/>
          <w:szCs w:val="24"/>
        </w:rPr>
        <w:t>?</w:t>
      </w:r>
      <w:r w:rsidR="00433C9C">
        <w:rPr>
          <w:rStyle w:val="FootnoteReference"/>
          <w:rFonts w:asciiTheme="majorBidi" w:hAnsiTheme="majorBidi" w:cstheme="majorBidi"/>
          <w:sz w:val="24"/>
          <w:szCs w:val="24"/>
        </w:rPr>
        <w:footnoteReference w:id="14"/>
      </w:r>
    </w:p>
    <w:p w14:paraId="3981069E" w14:textId="77777777" w:rsidR="006E46AC" w:rsidRDefault="006E46AC" w:rsidP="002C1D5E">
      <w:pPr>
        <w:pStyle w:val="NoSpacing"/>
        <w:spacing w:line="480" w:lineRule="auto"/>
        <w:rPr>
          <w:rFonts w:asciiTheme="majorBidi" w:hAnsiTheme="majorBidi" w:cstheme="majorBidi"/>
          <w:sz w:val="24"/>
          <w:szCs w:val="24"/>
        </w:rPr>
      </w:pPr>
    </w:p>
    <w:p w14:paraId="1F619110" w14:textId="61B7CF86" w:rsidR="006E46AC" w:rsidRPr="006E46AC" w:rsidRDefault="006E46AC" w:rsidP="006E46AC">
      <w:pPr>
        <w:pStyle w:val="NoSpacing"/>
        <w:spacing w:line="480" w:lineRule="auto"/>
        <w:rPr>
          <w:rFonts w:asciiTheme="majorBidi" w:hAnsiTheme="majorBidi" w:cstheme="majorBidi"/>
          <w:b/>
          <w:bCs/>
          <w:sz w:val="24"/>
          <w:szCs w:val="24"/>
          <w:u w:val="single"/>
        </w:rPr>
      </w:pPr>
      <w:r w:rsidRPr="006E46AC">
        <w:rPr>
          <w:rFonts w:asciiTheme="majorBidi" w:hAnsiTheme="majorBidi" w:cstheme="majorBidi"/>
          <w:b/>
          <w:bCs/>
          <w:sz w:val="24"/>
          <w:szCs w:val="24"/>
          <w:u w:val="single"/>
        </w:rPr>
        <w:t>The effect of the interrelationship between Jewish law and Israeli law on labor law in Israel</w:t>
      </w:r>
      <w:r>
        <w:rPr>
          <w:rFonts w:asciiTheme="majorBidi" w:hAnsiTheme="majorBidi" w:cstheme="majorBidi"/>
          <w:b/>
          <w:bCs/>
          <w:sz w:val="24"/>
          <w:szCs w:val="24"/>
          <w:u w:val="single"/>
        </w:rPr>
        <w:t>:</w:t>
      </w:r>
    </w:p>
    <w:p w14:paraId="7D06D7E5" w14:textId="4093DC33" w:rsidR="006E46AC" w:rsidRPr="006E46AC" w:rsidRDefault="006E46AC" w:rsidP="006E46AC">
      <w:pPr>
        <w:pStyle w:val="NoSpacing"/>
        <w:spacing w:line="480" w:lineRule="auto"/>
        <w:rPr>
          <w:rFonts w:asciiTheme="majorBidi" w:hAnsiTheme="majorBidi" w:cstheme="majorBidi"/>
          <w:sz w:val="24"/>
          <w:szCs w:val="24"/>
        </w:rPr>
      </w:pPr>
      <w:r w:rsidRPr="006E46AC">
        <w:rPr>
          <w:rFonts w:asciiTheme="majorBidi" w:hAnsiTheme="majorBidi" w:cstheme="majorBidi"/>
          <w:sz w:val="24"/>
          <w:szCs w:val="24"/>
        </w:rPr>
        <w:t xml:space="preserve">As stated above, this </w:t>
      </w:r>
      <w:r>
        <w:rPr>
          <w:rFonts w:asciiTheme="majorBidi" w:hAnsiTheme="majorBidi" w:cstheme="majorBidi"/>
          <w:sz w:val="24"/>
          <w:szCs w:val="24"/>
        </w:rPr>
        <w:t>debate</w:t>
      </w:r>
      <w:r w:rsidRPr="006E46AC">
        <w:rPr>
          <w:rFonts w:asciiTheme="majorBidi" w:hAnsiTheme="majorBidi" w:cstheme="majorBidi"/>
          <w:sz w:val="24"/>
          <w:szCs w:val="24"/>
        </w:rPr>
        <w:t xml:space="preserve"> </w:t>
      </w:r>
      <w:r>
        <w:rPr>
          <w:rFonts w:asciiTheme="majorBidi" w:hAnsiTheme="majorBidi" w:cstheme="majorBidi"/>
          <w:sz w:val="24"/>
          <w:szCs w:val="24"/>
        </w:rPr>
        <w:t>is a continuation of the debate</w:t>
      </w:r>
      <w:r w:rsidRPr="006E46AC">
        <w:rPr>
          <w:rFonts w:asciiTheme="majorBidi" w:hAnsiTheme="majorBidi" w:cstheme="majorBidi"/>
          <w:sz w:val="24"/>
          <w:szCs w:val="24"/>
        </w:rPr>
        <w:t xml:space="preserve"> between the "conservatives" and the "liberals" in relation to the constitution, and </w:t>
      </w:r>
      <w:r>
        <w:rPr>
          <w:rFonts w:asciiTheme="majorBidi" w:hAnsiTheme="majorBidi" w:cstheme="majorBidi"/>
          <w:sz w:val="24"/>
          <w:szCs w:val="24"/>
        </w:rPr>
        <w:t>comes into play whenever there are</w:t>
      </w:r>
      <w:r w:rsidRPr="006E46AC">
        <w:rPr>
          <w:rFonts w:asciiTheme="majorBidi" w:hAnsiTheme="majorBidi" w:cstheme="majorBidi"/>
          <w:sz w:val="24"/>
          <w:szCs w:val="24"/>
        </w:rPr>
        <w:t xml:space="preserve"> </w:t>
      </w:r>
      <w:r w:rsidR="00DB41DE">
        <w:rPr>
          <w:rFonts w:asciiTheme="majorBidi" w:hAnsiTheme="majorBidi" w:cstheme="majorBidi"/>
          <w:sz w:val="24"/>
          <w:szCs w:val="24"/>
        </w:rPr>
        <w:t>instances of a contradiction</w:t>
      </w:r>
      <w:r w:rsidRPr="006E46AC">
        <w:rPr>
          <w:rFonts w:asciiTheme="majorBidi" w:hAnsiTheme="majorBidi" w:cstheme="majorBidi"/>
          <w:sz w:val="24"/>
          <w:szCs w:val="24"/>
        </w:rPr>
        <w:t xml:space="preserve"> between Israeli law and Jewish law. </w:t>
      </w:r>
      <w:r>
        <w:rPr>
          <w:rFonts w:asciiTheme="majorBidi" w:hAnsiTheme="majorBidi" w:cstheme="majorBidi"/>
          <w:sz w:val="24"/>
          <w:szCs w:val="24"/>
        </w:rPr>
        <w:t>Having this as a background,</w:t>
      </w:r>
      <w:r w:rsidRPr="006E46AC">
        <w:rPr>
          <w:rFonts w:asciiTheme="majorBidi" w:hAnsiTheme="majorBidi" w:cstheme="majorBidi"/>
          <w:sz w:val="24"/>
          <w:szCs w:val="24"/>
        </w:rPr>
        <w:t xml:space="preserve"> I would like to focus specifically on labor law, and </w:t>
      </w:r>
      <w:r w:rsidR="000A6452">
        <w:rPr>
          <w:rFonts w:asciiTheme="majorBidi" w:hAnsiTheme="majorBidi" w:cstheme="majorBidi"/>
          <w:sz w:val="24"/>
          <w:szCs w:val="24"/>
        </w:rPr>
        <w:t>through</w:t>
      </w:r>
      <w:r w:rsidRPr="006E46AC">
        <w:rPr>
          <w:rFonts w:asciiTheme="majorBidi" w:hAnsiTheme="majorBidi" w:cstheme="majorBidi"/>
          <w:sz w:val="24"/>
          <w:szCs w:val="24"/>
        </w:rPr>
        <w:t xml:space="preserve"> two examples see the processes of influence of Jewish law on Israeli law, and finally </w:t>
      </w:r>
      <w:r w:rsidR="000A6452">
        <w:rPr>
          <w:rFonts w:asciiTheme="majorBidi" w:hAnsiTheme="majorBidi" w:cstheme="majorBidi"/>
          <w:sz w:val="24"/>
          <w:szCs w:val="24"/>
        </w:rPr>
        <w:t xml:space="preserve">to </w:t>
      </w:r>
      <w:r w:rsidRPr="006E46AC">
        <w:rPr>
          <w:rFonts w:asciiTheme="majorBidi" w:hAnsiTheme="majorBidi" w:cstheme="majorBidi"/>
          <w:sz w:val="24"/>
          <w:szCs w:val="24"/>
        </w:rPr>
        <w:t>try</w:t>
      </w:r>
      <w:r w:rsidR="000A6452">
        <w:rPr>
          <w:rFonts w:asciiTheme="majorBidi" w:hAnsiTheme="majorBidi" w:cstheme="majorBidi"/>
          <w:sz w:val="24"/>
          <w:szCs w:val="24"/>
        </w:rPr>
        <w:t>,</w:t>
      </w:r>
      <w:r w:rsidRPr="006E46AC">
        <w:rPr>
          <w:rFonts w:asciiTheme="majorBidi" w:hAnsiTheme="majorBidi" w:cstheme="majorBidi"/>
          <w:sz w:val="24"/>
          <w:szCs w:val="24"/>
        </w:rPr>
        <w:t xml:space="preserve"> through the</w:t>
      </w:r>
      <w:r w:rsidR="00DB41DE">
        <w:rPr>
          <w:rFonts w:asciiTheme="majorBidi" w:hAnsiTheme="majorBidi" w:cstheme="majorBidi"/>
          <w:sz w:val="24"/>
          <w:szCs w:val="24"/>
        </w:rPr>
        <w:t>se</w:t>
      </w:r>
      <w:r w:rsidRPr="006E46AC">
        <w:rPr>
          <w:rFonts w:asciiTheme="majorBidi" w:hAnsiTheme="majorBidi" w:cstheme="majorBidi"/>
          <w:sz w:val="24"/>
          <w:szCs w:val="24"/>
        </w:rPr>
        <w:t xml:space="preserve"> examples</w:t>
      </w:r>
      <w:r w:rsidR="000A6452">
        <w:rPr>
          <w:rFonts w:asciiTheme="majorBidi" w:hAnsiTheme="majorBidi" w:cstheme="majorBidi"/>
          <w:sz w:val="24"/>
          <w:szCs w:val="24"/>
        </w:rPr>
        <w:t>, to connect them</w:t>
      </w:r>
      <w:r w:rsidRPr="006E46AC">
        <w:rPr>
          <w:rFonts w:asciiTheme="majorBidi" w:hAnsiTheme="majorBidi" w:cstheme="majorBidi"/>
          <w:sz w:val="24"/>
          <w:szCs w:val="24"/>
        </w:rPr>
        <w:t xml:space="preserve"> to the conclusion of the </w:t>
      </w:r>
      <w:r w:rsidR="000A6452">
        <w:rPr>
          <w:rFonts w:asciiTheme="majorBidi" w:hAnsiTheme="majorBidi" w:cstheme="majorBidi"/>
          <w:sz w:val="24"/>
          <w:szCs w:val="24"/>
        </w:rPr>
        <w:t xml:space="preserve">article’s </w:t>
      </w:r>
      <w:r w:rsidRPr="006E46AC">
        <w:rPr>
          <w:rFonts w:asciiTheme="majorBidi" w:hAnsiTheme="majorBidi" w:cstheme="majorBidi"/>
          <w:sz w:val="24"/>
          <w:szCs w:val="24"/>
        </w:rPr>
        <w:t>author.</w:t>
      </w:r>
    </w:p>
    <w:p w14:paraId="0A95582B" w14:textId="01128068" w:rsidR="006E46AC" w:rsidRPr="006E46AC" w:rsidRDefault="00E762E1" w:rsidP="006E46AC">
      <w:pPr>
        <w:pStyle w:val="NoSpacing"/>
        <w:spacing w:line="480" w:lineRule="auto"/>
        <w:rPr>
          <w:rFonts w:asciiTheme="majorBidi" w:hAnsiTheme="majorBidi" w:cstheme="majorBidi"/>
          <w:sz w:val="24"/>
          <w:szCs w:val="24"/>
        </w:rPr>
      </w:pPr>
      <w:r>
        <w:rPr>
          <w:rFonts w:asciiTheme="majorBidi" w:hAnsiTheme="majorBidi" w:cstheme="majorBidi"/>
          <w:sz w:val="24"/>
          <w:szCs w:val="24"/>
        </w:rPr>
        <w:lastRenderedPageBreak/>
        <w:t>Let’s start with</w:t>
      </w:r>
      <w:r w:rsidR="006E46AC" w:rsidRPr="006E46AC">
        <w:rPr>
          <w:rFonts w:asciiTheme="majorBidi" w:hAnsiTheme="majorBidi" w:cstheme="majorBidi"/>
          <w:sz w:val="24"/>
          <w:szCs w:val="24"/>
        </w:rPr>
        <w:t xml:space="preserve"> the </w:t>
      </w:r>
      <w:r>
        <w:rPr>
          <w:rFonts w:asciiTheme="majorBidi" w:hAnsiTheme="majorBidi" w:cstheme="majorBidi"/>
          <w:sz w:val="24"/>
          <w:szCs w:val="24"/>
        </w:rPr>
        <w:t>current</w:t>
      </w:r>
      <w:r w:rsidR="006E46AC" w:rsidRPr="006E46AC">
        <w:rPr>
          <w:rFonts w:asciiTheme="majorBidi" w:hAnsiTheme="majorBidi" w:cstheme="majorBidi"/>
          <w:sz w:val="24"/>
          <w:szCs w:val="24"/>
        </w:rPr>
        <w:t xml:space="preserve"> differences in the law of withholding wages between Jewish law and Israeli law.</w:t>
      </w:r>
      <w:r w:rsidR="00433C9C">
        <w:rPr>
          <w:rStyle w:val="FootnoteReference"/>
          <w:rFonts w:asciiTheme="majorBidi" w:hAnsiTheme="majorBidi" w:cstheme="majorBidi"/>
          <w:sz w:val="24"/>
          <w:szCs w:val="24"/>
        </w:rPr>
        <w:footnoteReference w:id="15"/>
      </w:r>
    </w:p>
    <w:p w14:paraId="3E47B45D" w14:textId="77777777" w:rsidR="00E92D0E" w:rsidRDefault="006E46AC" w:rsidP="00E92D0E">
      <w:pPr>
        <w:pStyle w:val="NoSpacing"/>
        <w:spacing w:line="480" w:lineRule="auto"/>
        <w:rPr>
          <w:rFonts w:asciiTheme="majorBidi" w:hAnsiTheme="majorBidi" w:cstheme="majorBidi"/>
          <w:sz w:val="24"/>
          <w:szCs w:val="24"/>
        </w:rPr>
      </w:pPr>
      <w:r w:rsidRPr="006E46AC">
        <w:rPr>
          <w:rFonts w:asciiTheme="majorBidi" w:hAnsiTheme="majorBidi" w:cstheme="majorBidi"/>
          <w:sz w:val="24"/>
          <w:szCs w:val="24"/>
        </w:rPr>
        <w:t xml:space="preserve">The source of the prohibition in </w:t>
      </w:r>
      <w:r w:rsidR="00E762E1">
        <w:rPr>
          <w:rFonts w:asciiTheme="majorBidi" w:hAnsiTheme="majorBidi" w:cstheme="majorBidi"/>
          <w:sz w:val="24"/>
          <w:szCs w:val="24"/>
        </w:rPr>
        <w:t>Jewish</w:t>
      </w:r>
      <w:r w:rsidRPr="006E46AC">
        <w:rPr>
          <w:rFonts w:asciiTheme="majorBidi" w:hAnsiTheme="majorBidi" w:cstheme="majorBidi"/>
          <w:sz w:val="24"/>
          <w:szCs w:val="24"/>
        </w:rPr>
        <w:t xml:space="preserve"> law is in the Torah verses</w:t>
      </w:r>
      <w:r w:rsidR="00E762E1">
        <w:rPr>
          <w:rFonts w:asciiTheme="majorBidi" w:hAnsiTheme="majorBidi" w:cstheme="majorBidi"/>
          <w:sz w:val="24"/>
          <w:szCs w:val="24"/>
        </w:rPr>
        <w:t>:</w:t>
      </w:r>
    </w:p>
    <w:p w14:paraId="01939684" w14:textId="5FDF3AA9" w:rsidR="00E92D0E" w:rsidRPr="00E92D0E" w:rsidRDefault="00E92D0E" w:rsidP="00E92D0E">
      <w:pPr>
        <w:pStyle w:val="NoSpacing"/>
        <w:spacing w:line="480" w:lineRule="auto"/>
        <w:rPr>
          <w:rFonts w:asciiTheme="majorBidi" w:hAnsiTheme="majorBidi" w:cstheme="majorBidi"/>
          <w:sz w:val="24"/>
          <w:szCs w:val="24"/>
        </w:rPr>
      </w:pPr>
      <w:r w:rsidRPr="00E92D0E">
        <w:rPr>
          <w:rStyle w:val="text"/>
          <w:rFonts w:asciiTheme="majorBidi" w:hAnsiTheme="majorBidi" w:cstheme="majorBidi"/>
          <w:color w:val="000000"/>
        </w:rPr>
        <w:t>“‘Do not defraud or rob your neighbor.</w:t>
      </w:r>
      <w:r w:rsidRPr="00E92D0E">
        <w:rPr>
          <w:rFonts w:asciiTheme="majorBidi" w:hAnsiTheme="majorBidi" w:cstheme="majorBidi"/>
          <w:color w:val="000000"/>
        </w:rPr>
        <w:t xml:space="preserve"> </w:t>
      </w:r>
      <w:r w:rsidRPr="00E92D0E">
        <w:rPr>
          <w:rStyle w:val="text"/>
          <w:rFonts w:asciiTheme="majorBidi" w:hAnsiTheme="majorBidi" w:cstheme="majorBidi"/>
          <w:color w:val="000000"/>
        </w:rPr>
        <w:t>Do not hold back the wages of a hired worker overnight.”</w:t>
      </w:r>
      <w:r>
        <w:rPr>
          <w:rStyle w:val="FootnoteReference"/>
          <w:rFonts w:asciiTheme="majorBidi" w:hAnsiTheme="majorBidi" w:cstheme="majorBidi"/>
          <w:color w:val="000000"/>
        </w:rPr>
        <w:footnoteReference w:id="16"/>
      </w:r>
    </w:p>
    <w:p w14:paraId="7D49B469" w14:textId="1887A902" w:rsidR="002232E7" w:rsidRPr="002232E7" w:rsidRDefault="002232E7" w:rsidP="006E46AC">
      <w:pPr>
        <w:pStyle w:val="NoSpacing"/>
        <w:spacing w:line="480" w:lineRule="auto"/>
        <w:rPr>
          <w:rFonts w:asciiTheme="majorBidi" w:hAnsiTheme="majorBidi" w:cstheme="majorBidi"/>
          <w:sz w:val="24"/>
          <w:szCs w:val="24"/>
          <w:rtl/>
        </w:rPr>
      </w:pPr>
      <w:r>
        <w:rPr>
          <w:rFonts w:asciiTheme="majorBidi" w:hAnsiTheme="majorBidi" w:cstheme="majorBidi"/>
          <w:color w:val="000000"/>
          <w:sz w:val="24"/>
          <w:szCs w:val="24"/>
          <w:shd w:val="clear" w:color="auto" w:fill="FFFFFF"/>
        </w:rPr>
        <w:t>“</w:t>
      </w:r>
      <w:r w:rsidRPr="002232E7">
        <w:rPr>
          <w:rFonts w:asciiTheme="majorBidi" w:hAnsiTheme="majorBidi" w:cstheme="majorBidi"/>
          <w:color w:val="000000"/>
          <w:sz w:val="24"/>
          <w:szCs w:val="24"/>
          <w:shd w:val="clear" w:color="auto" w:fill="FFFFFF"/>
        </w:rPr>
        <w:t>Do not take advantage of a hired worker who is poor and needy</w:t>
      </w:r>
      <w:r>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14:paraId="171E5192" w14:textId="43B5F7F1" w:rsidR="006E46AC" w:rsidRDefault="006E46AC" w:rsidP="006E46AC">
      <w:pPr>
        <w:pStyle w:val="NoSpacing"/>
        <w:spacing w:line="480" w:lineRule="auto"/>
        <w:rPr>
          <w:rFonts w:asciiTheme="majorBidi" w:hAnsiTheme="majorBidi" w:cstheme="majorBidi"/>
          <w:sz w:val="24"/>
          <w:szCs w:val="24"/>
        </w:rPr>
      </w:pPr>
      <w:r w:rsidRPr="006E46AC">
        <w:rPr>
          <w:rFonts w:asciiTheme="majorBidi" w:hAnsiTheme="majorBidi" w:cstheme="majorBidi"/>
          <w:sz w:val="24"/>
          <w:szCs w:val="24"/>
        </w:rPr>
        <w:t xml:space="preserve">That is, in the verses of the Torah we find a prohibition to suspend the payment of wages to the </w:t>
      </w:r>
      <w:r w:rsidR="002232E7">
        <w:rPr>
          <w:rFonts w:asciiTheme="majorBidi" w:hAnsiTheme="majorBidi" w:cstheme="majorBidi"/>
          <w:sz w:val="24"/>
          <w:szCs w:val="24"/>
        </w:rPr>
        <w:t>worker</w:t>
      </w:r>
      <w:r w:rsidRPr="006E46AC">
        <w:rPr>
          <w:rFonts w:asciiTheme="majorBidi" w:hAnsiTheme="majorBidi" w:cstheme="majorBidi"/>
          <w:sz w:val="24"/>
          <w:szCs w:val="24"/>
        </w:rPr>
        <w:t xml:space="preserve">, and even see that whoever withholds wages is </w:t>
      </w:r>
      <w:r w:rsidR="002232E7">
        <w:rPr>
          <w:rFonts w:asciiTheme="majorBidi" w:hAnsiTheme="majorBidi" w:cstheme="majorBidi"/>
          <w:sz w:val="24"/>
          <w:szCs w:val="24"/>
        </w:rPr>
        <w:t>deemed</w:t>
      </w:r>
      <w:r w:rsidRPr="006E46AC">
        <w:rPr>
          <w:rFonts w:asciiTheme="majorBidi" w:hAnsiTheme="majorBidi" w:cstheme="majorBidi"/>
          <w:sz w:val="24"/>
          <w:szCs w:val="24"/>
        </w:rPr>
        <w:t xml:space="preserve"> </w:t>
      </w:r>
      <w:r w:rsidR="001D6AB3">
        <w:rPr>
          <w:rFonts w:asciiTheme="majorBidi" w:hAnsiTheme="majorBidi" w:cstheme="majorBidi"/>
          <w:sz w:val="24"/>
          <w:szCs w:val="24"/>
        </w:rPr>
        <w:t xml:space="preserve">an </w:t>
      </w:r>
      <w:proofErr w:type="spellStart"/>
      <w:r w:rsidR="001D6AB3">
        <w:rPr>
          <w:rFonts w:asciiTheme="majorBidi" w:hAnsiTheme="majorBidi" w:cstheme="majorBidi"/>
          <w:sz w:val="24"/>
          <w:szCs w:val="24"/>
        </w:rPr>
        <w:t>opressor</w:t>
      </w:r>
      <w:proofErr w:type="spellEnd"/>
      <w:r w:rsidRPr="006E46AC">
        <w:rPr>
          <w:rFonts w:asciiTheme="majorBidi" w:hAnsiTheme="majorBidi" w:cstheme="majorBidi"/>
          <w:sz w:val="24"/>
          <w:szCs w:val="24"/>
        </w:rPr>
        <w:t>.</w:t>
      </w:r>
    </w:p>
    <w:p w14:paraId="4EE9196C" w14:textId="0156FDB0" w:rsidR="0029462C" w:rsidRPr="0029462C" w:rsidRDefault="0029462C" w:rsidP="0029462C">
      <w:pPr>
        <w:pStyle w:val="NoSpacing"/>
        <w:spacing w:line="480" w:lineRule="auto"/>
        <w:rPr>
          <w:rFonts w:asciiTheme="majorBidi" w:hAnsiTheme="majorBidi" w:cstheme="majorBidi"/>
          <w:sz w:val="24"/>
          <w:szCs w:val="24"/>
        </w:rPr>
      </w:pPr>
      <w:r w:rsidRPr="0029462C">
        <w:rPr>
          <w:rFonts w:asciiTheme="majorBidi" w:hAnsiTheme="majorBidi" w:cstheme="majorBidi"/>
          <w:sz w:val="24"/>
          <w:szCs w:val="24"/>
        </w:rPr>
        <w:t xml:space="preserve">In Israeli law, too, we find a prohibition </w:t>
      </w:r>
      <w:r>
        <w:rPr>
          <w:rFonts w:asciiTheme="majorBidi" w:hAnsiTheme="majorBidi" w:cstheme="majorBidi"/>
          <w:sz w:val="24"/>
          <w:szCs w:val="24"/>
        </w:rPr>
        <w:t>from</w:t>
      </w:r>
      <w:r w:rsidRPr="0029462C">
        <w:rPr>
          <w:rFonts w:asciiTheme="majorBidi" w:hAnsiTheme="majorBidi" w:cstheme="majorBidi"/>
          <w:sz w:val="24"/>
          <w:szCs w:val="24"/>
        </w:rPr>
        <w:t xml:space="preserve"> withholding </w:t>
      </w:r>
      <w:r>
        <w:rPr>
          <w:rFonts w:asciiTheme="majorBidi" w:hAnsiTheme="majorBidi" w:cstheme="majorBidi"/>
          <w:sz w:val="24"/>
          <w:szCs w:val="24"/>
        </w:rPr>
        <w:t>a laborer</w:t>
      </w:r>
      <w:r w:rsidRPr="0029462C">
        <w:rPr>
          <w:rFonts w:asciiTheme="majorBidi" w:hAnsiTheme="majorBidi" w:cstheme="majorBidi"/>
          <w:sz w:val="24"/>
          <w:szCs w:val="24"/>
        </w:rPr>
        <w:t>'s wages, which is specified in the Wage Protection Law</w:t>
      </w:r>
      <w:r>
        <w:rPr>
          <w:rStyle w:val="FootnoteReference"/>
          <w:rFonts w:asciiTheme="majorBidi" w:hAnsiTheme="majorBidi" w:cstheme="majorBidi"/>
          <w:sz w:val="24"/>
          <w:szCs w:val="24"/>
        </w:rPr>
        <w:footnoteReference w:id="18"/>
      </w:r>
      <w:r w:rsidRPr="0029462C">
        <w:rPr>
          <w:rFonts w:asciiTheme="majorBidi" w:hAnsiTheme="majorBidi" w:cstheme="majorBidi"/>
          <w:sz w:val="24"/>
          <w:szCs w:val="24"/>
        </w:rPr>
        <w:t xml:space="preserve">. </w:t>
      </w:r>
      <w:r>
        <w:rPr>
          <w:rFonts w:asciiTheme="majorBidi" w:hAnsiTheme="majorBidi" w:cstheme="majorBidi"/>
          <w:sz w:val="24"/>
          <w:szCs w:val="24"/>
        </w:rPr>
        <w:t>Some specifications</w:t>
      </w:r>
      <w:r w:rsidRPr="0029462C">
        <w:rPr>
          <w:rFonts w:asciiTheme="majorBidi" w:hAnsiTheme="majorBidi" w:cstheme="majorBidi"/>
          <w:sz w:val="24"/>
          <w:szCs w:val="24"/>
        </w:rPr>
        <w:t xml:space="preserve"> can be </w:t>
      </w:r>
      <w:r>
        <w:rPr>
          <w:rFonts w:asciiTheme="majorBidi" w:hAnsiTheme="majorBidi" w:cstheme="majorBidi"/>
          <w:sz w:val="24"/>
          <w:szCs w:val="24"/>
        </w:rPr>
        <w:t>observed</w:t>
      </w:r>
      <w:r w:rsidRPr="0029462C">
        <w:rPr>
          <w:rFonts w:asciiTheme="majorBidi" w:hAnsiTheme="majorBidi" w:cstheme="majorBidi"/>
          <w:sz w:val="24"/>
          <w:szCs w:val="24"/>
        </w:rPr>
        <w:t xml:space="preserve"> in the law about compensation to the employee following the withholding of wages</w:t>
      </w:r>
      <w:r>
        <w:rPr>
          <w:rStyle w:val="FootnoteReference"/>
          <w:rFonts w:asciiTheme="majorBidi" w:hAnsiTheme="majorBidi" w:cstheme="majorBidi"/>
          <w:sz w:val="24"/>
          <w:szCs w:val="24"/>
        </w:rPr>
        <w:footnoteReference w:id="19"/>
      </w:r>
      <w:r w:rsidRPr="0029462C">
        <w:rPr>
          <w:rFonts w:asciiTheme="majorBidi" w:hAnsiTheme="majorBidi" w:cstheme="majorBidi"/>
          <w:sz w:val="24"/>
          <w:szCs w:val="24"/>
        </w:rPr>
        <w:t xml:space="preserve">, and </w:t>
      </w:r>
      <w:r>
        <w:rPr>
          <w:rFonts w:asciiTheme="majorBidi" w:hAnsiTheme="majorBidi" w:cstheme="majorBidi"/>
          <w:sz w:val="24"/>
          <w:szCs w:val="24"/>
        </w:rPr>
        <w:t>the instances in which the</w:t>
      </w:r>
      <w:r w:rsidRPr="0029462C">
        <w:rPr>
          <w:rFonts w:asciiTheme="majorBidi" w:hAnsiTheme="majorBidi" w:cstheme="majorBidi"/>
          <w:sz w:val="24"/>
          <w:szCs w:val="24"/>
        </w:rPr>
        <w:t xml:space="preserve"> withholding of wages may be considered a criminal offense</w:t>
      </w:r>
      <w:r>
        <w:rPr>
          <w:rStyle w:val="FootnoteReference"/>
          <w:rFonts w:asciiTheme="majorBidi" w:hAnsiTheme="majorBidi" w:cstheme="majorBidi"/>
          <w:sz w:val="24"/>
          <w:szCs w:val="24"/>
        </w:rPr>
        <w:footnoteReference w:id="20"/>
      </w:r>
      <w:r w:rsidRPr="0029462C">
        <w:rPr>
          <w:rFonts w:asciiTheme="majorBidi" w:hAnsiTheme="majorBidi" w:cstheme="majorBidi"/>
          <w:sz w:val="24"/>
          <w:szCs w:val="24"/>
        </w:rPr>
        <w:t>.</w:t>
      </w:r>
    </w:p>
    <w:p w14:paraId="5F8132FA" w14:textId="3E3D2D3F" w:rsidR="0029462C" w:rsidRPr="0029462C" w:rsidRDefault="0029462C" w:rsidP="0029462C">
      <w:pPr>
        <w:pStyle w:val="NoSpacing"/>
        <w:spacing w:line="480" w:lineRule="auto"/>
        <w:rPr>
          <w:rFonts w:asciiTheme="majorBidi" w:hAnsiTheme="majorBidi" w:cstheme="majorBidi"/>
          <w:sz w:val="24"/>
          <w:szCs w:val="24"/>
        </w:rPr>
      </w:pPr>
      <w:r w:rsidRPr="0029462C">
        <w:rPr>
          <w:rFonts w:asciiTheme="majorBidi" w:hAnsiTheme="majorBidi" w:cstheme="majorBidi"/>
          <w:sz w:val="24"/>
          <w:szCs w:val="24"/>
        </w:rPr>
        <w:t xml:space="preserve">But here we come to a significant difference between the two </w:t>
      </w:r>
      <w:r w:rsidR="002C62E1">
        <w:rPr>
          <w:rFonts w:asciiTheme="majorBidi" w:hAnsiTheme="majorBidi" w:cstheme="majorBidi"/>
          <w:sz w:val="24"/>
          <w:szCs w:val="24"/>
        </w:rPr>
        <w:t>law philosophies</w:t>
      </w:r>
      <w:r w:rsidRPr="0029462C">
        <w:rPr>
          <w:rFonts w:asciiTheme="majorBidi" w:hAnsiTheme="majorBidi" w:cstheme="majorBidi"/>
          <w:sz w:val="24"/>
          <w:szCs w:val="24"/>
        </w:rPr>
        <w:t>-</w:t>
      </w:r>
    </w:p>
    <w:p w14:paraId="7A8D8C7D" w14:textId="19A63BD9" w:rsidR="0029462C" w:rsidRPr="0029462C" w:rsidRDefault="0029462C" w:rsidP="0029462C">
      <w:pPr>
        <w:pStyle w:val="NoSpacing"/>
        <w:spacing w:line="480" w:lineRule="auto"/>
        <w:rPr>
          <w:rFonts w:asciiTheme="majorBidi" w:hAnsiTheme="majorBidi" w:cstheme="majorBidi"/>
          <w:sz w:val="24"/>
          <w:szCs w:val="24"/>
        </w:rPr>
      </w:pPr>
      <w:r w:rsidRPr="0029462C">
        <w:rPr>
          <w:rFonts w:asciiTheme="majorBidi" w:hAnsiTheme="majorBidi" w:cstheme="majorBidi"/>
          <w:sz w:val="24"/>
          <w:szCs w:val="24"/>
        </w:rPr>
        <w:t xml:space="preserve">In </w:t>
      </w:r>
      <w:r w:rsidR="00D20C18">
        <w:rPr>
          <w:rFonts w:asciiTheme="majorBidi" w:hAnsiTheme="majorBidi" w:cstheme="majorBidi"/>
          <w:sz w:val="24"/>
          <w:szCs w:val="24"/>
        </w:rPr>
        <w:t>Jewish</w:t>
      </w:r>
      <w:r w:rsidRPr="0029462C">
        <w:rPr>
          <w:rFonts w:asciiTheme="majorBidi" w:hAnsiTheme="majorBidi" w:cstheme="majorBidi"/>
          <w:sz w:val="24"/>
          <w:szCs w:val="24"/>
        </w:rPr>
        <w:t xml:space="preserve"> law, the obligation to claim wages is on the laborer, and as long as </w:t>
      </w:r>
      <w:r w:rsidR="002C62E1">
        <w:rPr>
          <w:rFonts w:asciiTheme="majorBidi" w:hAnsiTheme="majorBidi" w:cstheme="majorBidi"/>
          <w:sz w:val="24"/>
          <w:szCs w:val="24"/>
        </w:rPr>
        <w:t>they have</w:t>
      </w:r>
      <w:r w:rsidRPr="0029462C">
        <w:rPr>
          <w:rFonts w:asciiTheme="majorBidi" w:hAnsiTheme="majorBidi" w:cstheme="majorBidi"/>
          <w:sz w:val="24"/>
          <w:szCs w:val="24"/>
        </w:rPr>
        <w:t xml:space="preserve"> not claimed </w:t>
      </w:r>
      <w:r w:rsidR="002C62E1">
        <w:rPr>
          <w:rFonts w:asciiTheme="majorBidi" w:hAnsiTheme="majorBidi" w:cstheme="majorBidi"/>
          <w:sz w:val="24"/>
          <w:szCs w:val="24"/>
        </w:rPr>
        <w:t>their</w:t>
      </w:r>
      <w:r w:rsidRPr="0029462C">
        <w:rPr>
          <w:rFonts w:asciiTheme="majorBidi" w:hAnsiTheme="majorBidi" w:cstheme="majorBidi"/>
          <w:sz w:val="24"/>
          <w:szCs w:val="24"/>
        </w:rPr>
        <w:t xml:space="preserve"> wages, there is no obligation on the employer to pay </w:t>
      </w:r>
      <w:r w:rsidR="00D20C18">
        <w:rPr>
          <w:rFonts w:asciiTheme="majorBidi" w:hAnsiTheme="majorBidi" w:cstheme="majorBidi"/>
          <w:sz w:val="24"/>
          <w:szCs w:val="24"/>
        </w:rPr>
        <w:t>the</w:t>
      </w:r>
      <w:r w:rsidRPr="0029462C">
        <w:rPr>
          <w:rFonts w:asciiTheme="majorBidi" w:hAnsiTheme="majorBidi" w:cstheme="majorBidi"/>
          <w:sz w:val="24"/>
          <w:szCs w:val="24"/>
        </w:rPr>
        <w:t xml:space="preserve">m. This is not to say that the debt has been written off, but that </w:t>
      </w:r>
      <w:r w:rsidR="00D20C18">
        <w:rPr>
          <w:rFonts w:asciiTheme="majorBidi" w:hAnsiTheme="majorBidi" w:cstheme="majorBidi"/>
          <w:sz w:val="24"/>
          <w:szCs w:val="24"/>
        </w:rPr>
        <w:t>it</w:t>
      </w:r>
      <w:r w:rsidRPr="0029462C">
        <w:rPr>
          <w:rFonts w:asciiTheme="majorBidi" w:hAnsiTheme="majorBidi" w:cstheme="majorBidi"/>
          <w:sz w:val="24"/>
          <w:szCs w:val="24"/>
        </w:rPr>
        <w:t xml:space="preserve"> is in a state of delay until the labor</w:t>
      </w:r>
      <w:r w:rsidR="002C62E1">
        <w:rPr>
          <w:rFonts w:asciiTheme="majorBidi" w:hAnsiTheme="majorBidi" w:cstheme="majorBidi"/>
          <w:sz w:val="24"/>
          <w:szCs w:val="24"/>
        </w:rPr>
        <w:t>er</w:t>
      </w:r>
      <w:r w:rsidRPr="0029462C">
        <w:rPr>
          <w:rFonts w:asciiTheme="majorBidi" w:hAnsiTheme="majorBidi" w:cstheme="majorBidi"/>
          <w:sz w:val="24"/>
          <w:szCs w:val="24"/>
        </w:rPr>
        <w:t xml:space="preserve"> </w:t>
      </w:r>
      <w:r w:rsidR="002C62E1">
        <w:rPr>
          <w:rFonts w:asciiTheme="majorBidi" w:hAnsiTheme="majorBidi" w:cstheme="majorBidi"/>
          <w:sz w:val="24"/>
          <w:szCs w:val="24"/>
        </w:rPr>
        <w:t>demands it</w:t>
      </w:r>
      <w:r w:rsidRPr="0029462C">
        <w:rPr>
          <w:rFonts w:asciiTheme="majorBidi" w:hAnsiTheme="majorBidi" w:cstheme="majorBidi"/>
          <w:sz w:val="24"/>
          <w:szCs w:val="24"/>
        </w:rPr>
        <w:t xml:space="preserve">, and as long as he does not </w:t>
      </w:r>
      <w:r w:rsidR="002C62E1">
        <w:rPr>
          <w:rFonts w:asciiTheme="majorBidi" w:hAnsiTheme="majorBidi" w:cstheme="majorBidi"/>
          <w:sz w:val="24"/>
          <w:szCs w:val="24"/>
        </w:rPr>
        <w:t>demand</w:t>
      </w:r>
      <w:r w:rsidRPr="0029462C">
        <w:rPr>
          <w:rFonts w:asciiTheme="majorBidi" w:hAnsiTheme="majorBidi" w:cstheme="majorBidi"/>
          <w:sz w:val="24"/>
          <w:szCs w:val="24"/>
        </w:rPr>
        <w:t xml:space="preserve"> his </w:t>
      </w:r>
      <w:r w:rsidR="002C62E1">
        <w:rPr>
          <w:rFonts w:asciiTheme="majorBidi" w:hAnsiTheme="majorBidi" w:cstheme="majorBidi"/>
          <w:sz w:val="24"/>
          <w:szCs w:val="24"/>
        </w:rPr>
        <w:t>wage</w:t>
      </w:r>
      <w:r w:rsidRPr="0029462C">
        <w:rPr>
          <w:rFonts w:asciiTheme="majorBidi" w:hAnsiTheme="majorBidi" w:cstheme="majorBidi"/>
          <w:sz w:val="24"/>
          <w:szCs w:val="24"/>
        </w:rPr>
        <w:t xml:space="preserve">, </w:t>
      </w:r>
      <w:r w:rsidR="002C62E1">
        <w:rPr>
          <w:rFonts w:asciiTheme="majorBidi" w:hAnsiTheme="majorBidi" w:cstheme="majorBidi"/>
          <w:sz w:val="24"/>
          <w:szCs w:val="24"/>
        </w:rPr>
        <w:t>it’s considered</w:t>
      </w:r>
      <w:r w:rsidRPr="0029462C">
        <w:rPr>
          <w:rFonts w:asciiTheme="majorBidi" w:hAnsiTheme="majorBidi" w:cstheme="majorBidi"/>
          <w:sz w:val="24"/>
          <w:szCs w:val="24"/>
        </w:rPr>
        <w:t xml:space="preserve"> as if he had temporarily forgiven </w:t>
      </w:r>
      <w:r w:rsidR="002C62E1">
        <w:rPr>
          <w:rFonts w:asciiTheme="majorBidi" w:hAnsiTheme="majorBidi" w:cstheme="majorBidi"/>
          <w:sz w:val="24"/>
          <w:szCs w:val="24"/>
        </w:rPr>
        <w:t>the debt</w:t>
      </w:r>
      <w:r w:rsidRPr="0029462C">
        <w:rPr>
          <w:rFonts w:asciiTheme="majorBidi" w:hAnsiTheme="majorBidi" w:cstheme="majorBidi"/>
          <w:sz w:val="24"/>
          <w:szCs w:val="24"/>
        </w:rPr>
        <w:t>.</w:t>
      </w:r>
      <w:r w:rsidR="00F41B38">
        <w:rPr>
          <w:rStyle w:val="FootnoteReference"/>
          <w:rFonts w:asciiTheme="majorBidi" w:hAnsiTheme="majorBidi" w:cstheme="majorBidi"/>
          <w:sz w:val="24"/>
          <w:szCs w:val="24"/>
        </w:rPr>
        <w:footnoteReference w:id="21"/>
      </w:r>
    </w:p>
    <w:p w14:paraId="2353984A" w14:textId="39E79587" w:rsidR="0029462C" w:rsidRPr="0029462C" w:rsidRDefault="0029462C" w:rsidP="0029462C">
      <w:pPr>
        <w:pStyle w:val="NoSpacing"/>
        <w:spacing w:line="480" w:lineRule="auto"/>
        <w:rPr>
          <w:rFonts w:asciiTheme="majorBidi" w:hAnsiTheme="majorBidi" w:cstheme="majorBidi"/>
          <w:sz w:val="24"/>
          <w:szCs w:val="24"/>
        </w:rPr>
      </w:pPr>
      <w:r w:rsidRPr="0029462C">
        <w:rPr>
          <w:rFonts w:asciiTheme="majorBidi" w:hAnsiTheme="majorBidi" w:cstheme="majorBidi"/>
          <w:sz w:val="24"/>
          <w:szCs w:val="24"/>
        </w:rPr>
        <w:lastRenderedPageBreak/>
        <w:t xml:space="preserve">In Israeli law, on the other hand, the obligation to pay wages is on the employer, and it </w:t>
      </w:r>
      <w:r w:rsidR="00D20C18">
        <w:rPr>
          <w:rFonts w:asciiTheme="majorBidi" w:hAnsiTheme="majorBidi" w:cstheme="majorBidi"/>
          <w:sz w:val="24"/>
          <w:szCs w:val="24"/>
        </w:rPr>
        <w:t>in effect</w:t>
      </w:r>
      <w:r w:rsidRPr="0029462C">
        <w:rPr>
          <w:rFonts w:asciiTheme="majorBidi" w:hAnsiTheme="majorBidi" w:cstheme="majorBidi"/>
          <w:sz w:val="24"/>
          <w:szCs w:val="24"/>
        </w:rPr>
        <w:t xml:space="preserve"> even without the employee's explicit </w:t>
      </w:r>
      <w:r w:rsidR="00EB271F">
        <w:rPr>
          <w:rFonts w:asciiTheme="majorBidi" w:hAnsiTheme="majorBidi" w:cstheme="majorBidi"/>
          <w:sz w:val="24"/>
          <w:szCs w:val="24"/>
        </w:rPr>
        <w:t>demand</w:t>
      </w:r>
      <w:r w:rsidR="00EB271F">
        <w:rPr>
          <w:rStyle w:val="FootnoteReference"/>
          <w:rFonts w:asciiTheme="majorBidi" w:hAnsiTheme="majorBidi" w:cstheme="majorBidi"/>
          <w:sz w:val="24"/>
          <w:szCs w:val="24"/>
        </w:rPr>
        <w:footnoteReference w:id="22"/>
      </w:r>
      <w:r w:rsidRPr="0029462C">
        <w:rPr>
          <w:rFonts w:asciiTheme="majorBidi" w:hAnsiTheme="majorBidi" w:cstheme="majorBidi"/>
          <w:sz w:val="24"/>
          <w:szCs w:val="24"/>
        </w:rPr>
        <w:t xml:space="preserve">. Furthermore, if the employer delays payment, he will be </w:t>
      </w:r>
      <w:r w:rsidR="00827F79">
        <w:rPr>
          <w:rFonts w:asciiTheme="majorBidi" w:hAnsiTheme="majorBidi" w:cstheme="majorBidi"/>
          <w:sz w:val="24"/>
          <w:szCs w:val="24"/>
        </w:rPr>
        <w:t>given a fine on top</w:t>
      </w:r>
      <w:r w:rsidRPr="0029462C">
        <w:rPr>
          <w:rFonts w:asciiTheme="majorBidi" w:hAnsiTheme="majorBidi" w:cstheme="majorBidi"/>
          <w:sz w:val="24"/>
          <w:szCs w:val="24"/>
        </w:rPr>
        <w:t xml:space="preserve"> </w:t>
      </w:r>
      <w:r w:rsidR="00827F79">
        <w:rPr>
          <w:rFonts w:asciiTheme="majorBidi" w:hAnsiTheme="majorBidi" w:cstheme="majorBidi"/>
          <w:sz w:val="24"/>
          <w:szCs w:val="24"/>
        </w:rPr>
        <w:t>of</w:t>
      </w:r>
      <w:r w:rsidRPr="0029462C">
        <w:rPr>
          <w:rFonts w:asciiTheme="majorBidi" w:hAnsiTheme="majorBidi" w:cstheme="majorBidi"/>
          <w:sz w:val="24"/>
          <w:szCs w:val="24"/>
        </w:rPr>
        <w:t xml:space="preserve"> the salary payment he </w:t>
      </w:r>
      <w:r w:rsidR="00827F79">
        <w:rPr>
          <w:rFonts w:asciiTheme="majorBidi" w:hAnsiTheme="majorBidi" w:cstheme="majorBidi"/>
          <w:sz w:val="24"/>
          <w:szCs w:val="24"/>
        </w:rPr>
        <w:t xml:space="preserve">already </w:t>
      </w:r>
      <w:r w:rsidRPr="0029462C">
        <w:rPr>
          <w:rFonts w:asciiTheme="majorBidi" w:hAnsiTheme="majorBidi" w:cstheme="majorBidi"/>
          <w:sz w:val="24"/>
          <w:szCs w:val="24"/>
        </w:rPr>
        <w:t>owes the employee.</w:t>
      </w:r>
    </w:p>
    <w:p w14:paraId="5906128B" w14:textId="15BC26CE" w:rsidR="0029462C" w:rsidRPr="0029462C" w:rsidRDefault="0029462C" w:rsidP="0029462C">
      <w:pPr>
        <w:pStyle w:val="NoSpacing"/>
        <w:spacing w:line="480" w:lineRule="auto"/>
        <w:rPr>
          <w:rFonts w:asciiTheme="majorBidi" w:hAnsiTheme="majorBidi" w:cstheme="majorBidi"/>
          <w:sz w:val="24"/>
          <w:szCs w:val="24"/>
        </w:rPr>
      </w:pPr>
      <w:r w:rsidRPr="0029462C">
        <w:rPr>
          <w:rFonts w:asciiTheme="majorBidi" w:hAnsiTheme="majorBidi" w:cstheme="majorBidi"/>
          <w:sz w:val="24"/>
          <w:szCs w:val="24"/>
        </w:rPr>
        <w:t xml:space="preserve">We see a significant difference between the perception of </w:t>
      </w:r>
      <w:r w:rsidR="00EB271F">
        <w:rPr>
          <w:rFonts w:asciiTheme="majorBidi" w:hAnsiTheme="majorBidi" w:cstheme="majorBidi"/>
          <w:sz w:val="24"/>
          <w:szCs w:val="24"/>
        </w:rPr>
        <w:t>Jewish</w:t>
      </w:r>
      <w:r w:rsidRPr="0029462C">
        <w:rPr>
          <w:rFonts w:asciiTheme="majorBidi" w:hAnsiTheme="majorBidi" w:cstheme="majorBidi"/>
          <w:sz w:val="24"/>
          <w:szCs w:val="24"/>
        </w:rPr>
        <w:t xml:space="preserve"> law and Israeli law-</w:t>
      </w:r>
    </w:p>
    <w:p w14:paraId="4522FA71" w14:textId="4F914050" w:rsidR="0029462C" w:rsidRDefault="0029462C" w:rsidP="0029462C">
      <w:pPr>
        <w:pStyle w:val="NoSpacing"/>
        <w:spacing w:line="480" w:lineRule="auto"/>
        <w:rPr>
          <w:rFonts w:asciiTheme="majorBidi" w:hAnsiTheme="majorBidi" w:cstheme="majorBidi"/>
          <w:sz w:val="24"/>
          <w:szCs w:val="24"/>
        </w:rPr>
      </w:pPr>
      <w:r w:rsidRPr="0029462C">
        <w:rPr>
          <w:rFonts w:asciiTheme="majorBidi" w:hAnsiTheme="majorBidi" w:cstheme="majorBidi"/>
          <w:sz w:val="24"/>
          <w:szCs w:val="24"/>
        </w:rPr>
        <w:t xml:space="preserve">In </w:t>
      </w:r>
      <w:r w:rsidR="00EB271F">
        <w:rPr>
          <w:rFonts w:asciiTheme="majorBidi" w:hAnsiTheme="majorBidi" w:cstheme="majorBidi"/>
          <w:sz w:val="24"/>
          <w:szCs w:val="24"/>
        </w:rPr>
        <w:t>Jewish</w:t>
      </w:r>
      <w:r w:rsidRPr="0029462C">
        <w:rPr>
          <w:rFonts w:asciiTheme="majorBidi" w:hAnsiTheme="majorBidi" w:cstheme="majorBidi"/>
          <w:sz w:val="24"/>
          <w:szCs w:val="24"/>
        </w:rPr>
        <w:t xml:space="preserve"> law, most of the </w:t>
      </w:r>
      <w:r w:rsidR="00EB271F">
        <w:rPr>
          <w:rFonts w:asciiTheme="majorBidi" w:hAnsiTheme="majorBidi" w:cstheme="majorBidi"/>
          <w:sz w:val="24"/>
          <w:szCs w:val="24"/>
        </w:rPr>
        <w:t>burden</w:t>
      </w:r>
      <w:r w:rsidRPr="0029462C">
        <w:rPr>
          <w:rFonts w:asciiTheme="majorBidi" w:hAnsiTheme="majorBidi" w:cstheme="majorBidi"/>
          <w:sz w:val="24"/>
          <w:szCs w:val="24"/>
        </w:rPr>
        <w:t xml:space="preserve"> on the claim of the right rests on the shoulders of the </w:t>
      </w:r>
      <w:r w:rsidR="00D10E98">
        <w:rPr>
          <w:rFonts w:asciiTheme="majorBidi" w:hAnsiTheme="majorBidi" w:cstheme="majorBidi"/>
          <w:sz w:val="24"/>
          <w:szCs w:val="24"/>
        </w:rPr>
        <w:t>worker</w:t>
      </w:r>
      <w:r w:rsidRPr="0029462C">
        <w:rPr>
          <w:rFonts w:asciiTheme="majorBidi" w:hAnsiTheme="majorBidi" w:cstheme="majorBidi"/>
          <w:sz w:val="24"/>
          <w:szCs w:val="24"/>
        </w:rPr>
        <w:t xml:space="preserve">, and he must </w:t>
      </w:r>
      <w:r w:rsidR="00D10E98">
        <w:rPr>
          <w:rFonts w:asciiTheme="majorBidi" w:hAnsiTheme="majorBidi" w:cstheme="majorBidi"/>
          <w:sz w:val="24"/>
          <w:szCs w:val="24"/>
        </w:rPr>
        <w:t>go through the steps of</w:t>
      </w:r>
      <w:r w:rsidRPr="0029462C">
        <w:rPr>
          <w:rFonts w:asciiTheme="majorBidi" w:hAnsiTheme="majorBidi" w:cstheme="majorBidi"/>
          <w:sz w:val="24"/>
          <w:szCs w:val="24"/>
        </w:rPr>
        <w:t xml:space="preserve"> claim</w:t>
      </w:r>
      <w:r w:rsidR="00D10E98">
        <w:rPr>
          <w:rFonts w:asciiTheme="majorBidi" w:hAnsiTheme="majorBidi" w:cstheme="majorBidi"/>
          <w:sz w:val="24"/>
          <w:szCs w:val="24"/>
        </w:rPr>
        <w:t>ing</w:t>
      </w:r>
      <w:r w:rsidRPr="0029462C">
        <w:rPr>
          <w:rFonts w:asciiTheme="majorBidi" w:hAnsiTheme="majorBidi" w:cstheme="majorBidi"/>
          <w:sz w:val="24"/>
          <w:szCs w:val="24"/>
        </w:rPr>
        <w:t xml:space="preserve"> what he </w:t>
      </w:r>
      <w:r w:rsidR="00D10E98">
        <w:rPr>
          <w:rFonts w:asciiTheme="majorBidi" w:hAnsiTheme="majorBidi" w:cstheme="majorBidi"/>
          <w:sz w:val="24"/>
          <w:szCs w:val="24"/>
        </w:rPr>
        <w:t>is owed</w:t>
      </w:r>
      <w:r w:rsidRPr="0029462C">
        <w:rPr>
          <w:rFonts w:asciiTheme="majorBidi" w:hAnsiTheme="majorBidi" w:cstheme="majorBidi"/>
          <w:sz w:val="24"/>
          <w:szCs w:val="24"/>
        </w:rPr>
        <w:t>. In Israeli law, on the other hand, most of the weight of the obligation rests on the shoulders of the employer, and it is his duty to ensure payment to his employee, otherwise he will be fined for late payment.</w:t>
      </w:r>
    </w:p>
    <w:p w14:paraId="41DBFC21" w14:textId="50C4563D" w:rsidR="00D10E98" w:rsidRPr="00D10E98" w:rsidRDefault="00D10E98" w:rsidP="00D10E98">
      <w:pPr>
        <w:pStyle w:val="NoSpacing"/>
        <w:spacing w:line="480" w:lineRule="auto"/>
        <w:rPr>
          <w:rFonts w:asciiTheme="majorBidi" w:hAnsiTheme="majorBidi" w:cstheme="majorBidi"/>
          <w:sz w:val="24"/>
          <w:szCs w:val="24"/>
        </w:rPr>
      </w:pPr>
      <w:r w:rsidRPr="00D10E98">
        <w:rPr>
          <w:rFonts w:asciiTheme="majorBidi" w:hAnsiTheme="majorBidi" w:cstheme="majorBidi"/>
          <w:sz w:val="24"/>
          <w:szCs w:val="24"/>
        </w:rPr>
        <w:t xml:space="preserve">The </w:t>
      </w:r>
      <w:r>
        <w:rPr>
          <w:rFonts w:asciiTheme="majorBidi" w:hAnsiTheme="majorBidi" w:cstheme="majorBidi"/>
          <w:sz w:val="24"/>
          <w:szCs w:val="24"/>
        </w:rPr>
        <w:t>drafters</w:t>
      </w:r>
      <w:r w:rsidRPr="00D10E98">
        <w:rPr>
          <w:rFonts w:asciiTheme="majorBidi" w:hAnsiTheme="majorBidi" w:cstheme="majorBidi"/>
          <w:sz w:val="24"/>
          <w:szCs w:val="24"/>
        </w:rPr>
        <w:t xml:space="preserve"> of Jewish law for generations have felt a certain injustice in placing the weight of responsibility for the wage claim on the shoulders of the worker, and therefore for generations have tried to give different explanations for this determination</w:t>
      </w:r>
      <w:r>
        <w:rPr>
          <w:rFonts w:asciiTheme="majorBidi" w:hAnsiTheme="majorBidi" w:cstheme="majorBidi"/>
          <w:sz w:val="24"/>
          <w:szCs w:val="24"/>
        </w:rPr>
        <w:t>.</w:t>
      </w:r>
    </w:p>
    <w:p w14:paraId="746951A3" w14:textId="4887F239" w:rsidR="000A2D56" w:rsidRDefault="00D10E98" w:rsidP="00D10E98">
      <w:pPr>
        <w:pStyle w:val="NoSpacing"/>
        <w:spacing w:line="480" w:lineRule="auto"/>
        <w:rPr>
          <w:rFonts w:asciiTheme="majorBidi" w:hAnsiTheme="majorBidi" w:cstheme="majorBidi"/>
          <w:sz w:val="24"/>
          <w:szCs w:val="24"/>
        </w:rPr>
      </w:pPr>
      <w:r w:rsidRPr="00D10E98">
        <w:rPr>
          <w:rFonts w:asciiTheme="majorBidi" w:hAnsiTheme="majorBidi" w:cstheme="majorBidi"/>
          <w:sz w:val="24"/>
          <w:szCs w:val="24"/>
        </w:rPr>
        <w:t xml:space="preserve">Some have said that if the laborer is </w:t>
      </w:r>
      <w:r w:rsidR="00085F74">
        <w:rPr>
          <w:rFonts w:asciiTheme="majorBidi" w:hAnsiTheme="majorBidi" w:cstheme="majorBidi"/>
          <w:sz w:val="24"/>
          <w:szCs w:val="24"/>
        </w:rPr>
        <w:t>intimidated</w:t>
      </w:r>
      <w:r w:rsidRPr="00D10E98">
        <w:rPr>
          <w:rFonts w:asciiTheme="majorBidi" w:hAnsiTheme="majorBidi" w:cstheme="majorBidi"/>
          <w:sz w:val="24"/>
          <w:szCs w:val="24"/>
        </w:rPr>
        <w:t xml:space="preserve"> </w:t>
      </w:r>
      <w:r w:rsidR="00085F74">
        <w:rPr>
          <w:rFonts w:asciiTheme="majorBidi" w:hAnsiTheme="majorBidi" w:cstheme="majorBidi"/>
          <w:sz w:val="24"/>
          <w:szCs w:val="24"/>
        </w:rPr>
        <w:t>by</w:t>
      </w:r>
      <w:r w:rsidRPr="00D10E98">
        <w:rPr>
          <w:rFonts w:asciiTheme="majorBidi" w:hAnsiTheme="majorBidi" w:cstheme="majorBidi"/>
          <w:sz w:val="24"/>
          <w:szCs w:val="24"/>
        </w:rPr>
        <w:t xml:space="preserve"> the employer or is in a situation where he cannot claim his wages - it is prohibited to withhold wages even without the laborer's claim</w:t>
      </w:r>
      <w:r>
        <w:rPr>
          <w:rStyle w:val="FootnoteReference"/>
          <w:rFonts w:asciiTheme="majorBidi" w:hAnsiTheme="majorBidi" w:cstheme="majorBidi"/>
          <w:sz w:val="24"/>
          <w:szCs w:val="24"/>
        </w:rPr>
        <w:footnoteReference w:id="23"/>
      </w:r>
      <w:r w:rsidRPr="00D10E98">
        <w:rPr>
          <w:rFonts w:asciiTheme="majorBidi" w:hAnsiTheme="majorBidi" w:cstheme="majorBidi"/>
          <w:sz w:val="24"/>
          <w:szCs w:val="24"/>
        </w:rPr>
        <w:t xml:space="preserve">. Some have </w:t>
      </w:r>
      <w:r w:rsidR="00085F74">
        <w:rPr>
          <w:rFonts w:asciiTheme="majorBidi" w:hAnsiTheme="majorBidi" w:cstheme="majorBidi"/>
          <w:sz w:val="24"/>
          <w:szCs w:val="24"/>
        </w:rPr>
        <w:t>add</w:t>
      </w:r>
      <w:r w:rsidRPr="00D10E98">
        <w:rPr>
          <w:rFonts w:asciiTheme="majorBidi" w:hAnsiTheme="majorBidi" w:cstheme="majorBidi"/>
          <w:sz w:val="24"/>
          <w:szCs w:val="24"/>
        </w:rPr>
        <w:t xml:space="preserve">ed that if the employee worked for two employers and demanded </w:t>
      </w:r>
      <w:r>
        <w:rPr>
          <w:rFonts w:asciiTheme="majorBidi" w:hAnsiTheme="majorBidi" w:cstheme="majorBidi"/>
          <w:sz w:val="24"/>
          <w:szCs w:val="24"/>
        </w:rPr>
        <w:t xml:space="preserve">from </w:t>
      </w:r>
      <w:r w:rsidR="00085F74">
        <w:rPr>
          <w:rFonts w:asciiTheme="majorBidi" w:hAnsiTheme="majorBidi" w:cstheme="majorBidi"/>
          <w:sz w:val="24"/>
          <w:szCs w:val="24"/>
        </w:rPr>
        <w:t xml:space="preserve">only </w:t>
      </w:r>
      <w:r w:rsidRPr="00D10E98">
        <w:rPr>
          <w:rFonts w:asciiTheme="majorBidi" w:hAnsiTheme="majorBidi" w:cstheme="majorBidi"/>
          <w:sz w:val="24"/>
          <w:szCs w:val="24"/>
        </w:rPr>
        <w:t>one of them, or there were two employees and only one of them demanded his wages from the employer - that is enough to be considered a claim for wages.</w:t>
      </w:r>
      <w:r w:rsidR="00085F74">
        <w:rPr>
          <w:rStyle w:val="FootnoteReference"/>
          <w:rFonts w:asciiTheme="majorBidi" w:hAnsiTheme="majorBidi" w:cstheme="majorBidi"/>
          <w:sz w:val="24"/>
          <w:szCs w:val="24"/>
        </w:rPr>
        <w:footnoteReference w:id="24"/>
      </w:r>
      <w:r w:rsidRPr="00D10E98">
        <w:rPr>
          <w:rFonts w:asciiTheme="majorBidi" w:hAnsiTheme="majorBidi" w:cstheme="majorBidi"/>
          <w:sz w:val="24"/>
          <w:szCs w:val="24"/>
        </w:rPr>
        <w:t xml:space="preserve"> And some explained that although the employer did not violate wage </w:t>
      </w:r>
      <w:r w:rsidRPr="00D10E98">
        <w:rPr>
          <w:rFonts w:asciiTheme="majorBidi" w:hAnsiTheme="majorBidi" w:cstheme="majorBidi"/>
          <w:sz w:val="24"/>
          <w:szCs w:val="24"/>
        </w:rPr>
        <w:lastRenderedPageBreak/>
        <w:t>withholding</w:t>
      </w:r>
      <w:r w:rsidR="00085F74">
        <w:rPr>
          <w:rFonts w:asciiTheme="majorBidi" w:hAnsiTheme="majorBidi" w:cstheme="majorBidi"/>
          <w:sz w:val="24"/>
          <w:szCs w:val="24"/>
        </w:rPr>
        <w:t xml:space="preserve"> if there is no claim</w:t>
      </w:r>
      <w:r w:rsidRPr="00D10E98">
        <w:rPr>
          <w:rFonts w:asciiTheme="majorBidi" w:hAnsiTheme="majorBidi" w:cstheme="majorBidi"/>
          <w:sz w:val="24"/>
          <w:szCs w:val="24"/>
        </w:rPr>
        <w:t xml:space="preserve">, </w:t>
      </w:r>
      <w:r w:rsidR="00085F74">
        <w:rPr>
          <w:rFonts w:asciiTheme="majorBidi" w:hAnsiTheme="majorBidi" w:cstheme="majorBidi"/>
          <w:sz w:val="24"/>
          <w:szCs w:val="24"/>
        </w:rPr>
        <w:t>he did violate</w:t>
      </w:r>
      <w:r w:rsidRPr="00D10E98">
        <w:rPr>
          <w:rFonts w:asciiTheme="majorBidi" w:hAnsiTheme="majorBidi" w:cstheme="majorBidi"/>
          <w:sz w:val="24"/>
          <w:szCs w:val="24"/>
        </w:rPr>
        <w:t xml:space="preserve"> another prohibition - "you will give </w:t>
      </w:r>
      <w:r w:rsidR="00A27080">
        <w:rPr>
          <w:rFonts w:asciiTheme="majorBidi" w:hAnsiTheme="majorBidi" w:cstheme="majorBidi"/>
          <w:sz w:val="24"/>
          <w:szCs w:val="24"/>
        </w:rPr>
        <w:t xml:space="preserve">him </w:t>
      </w:r>
      <w:r w:rsidRPr="00D10E98">
        <w:rPr>
          <w:rFonts w:asciiTheme="majorBidi" w:hAnsiTheme="majorBidi" w:cstheme="majorBidi"/>
          <w:sz w:val="24"/>
          <w:szCs w:val="24"/>
        </w:rPr>
        <w:t xml:space="preserve">his </w:t>
      </w:r>
      <w:r w:rsidR="00085F74">
        <w:rPr>
          <w:rFonts w:asciiTheme="majorBidi" w:hAnsiTheme="majorBidi" w:cstheme="majorBidi"/>
          <w:sz w:val="24"/>
          <w:szCs w:val="24"/>
        </w:rPr>
        <w:t>daily wage</w:t>
      </w:r>
      <w:r w:rsidRPr="00D10E98">
        <w:rPr>
          <w:rFonts w:asciiTheme="majorBidi" w:hAnsiTheme="majorBidi" w:cstheme="majorBidi"/>
          <w:sz w:val="24"/>
          <w:szCs w:val="24"/>
        </w:rPr>
        <w:t>."</w:t>
      </w:r>
      <w:r w:rsidR="000A2D56">
        <w:rPr>
          <w:rStyle w:val="FootnoteReference"/>
          <w:rFonts w:asciiTheme="majorBidi" w:hAnsiTheme="majorBidi" w:cstheme="majorBidi"/>
          <w:sz w:val="24"/>
          <w:szCs w:val="24"/>
        </w:rPr>
        <w:footnoteReference w:id="25"/>
      </w:r>
    </w:p>
    <w:p w14:paraId="2F645030" w14:textId="48E10629" w:rsidR="00D10E98" w:rsidRPr="00D10E98" w:rsidRDefault="00D10E98" w:rsidP="00D10E98">
      <w:pPr>
        <w:pStyle w:val="NoSpacing"/>
        <w:spacing w:line="480" w:lineRule="auto"/>
        <w:rPr>
          <w:rFonts w:asciiTheme="majorBidi" w:hAnsiTheme="majorBidi" w:cstheme="majorBidi"/>
          <w:sz w:val="24"/>
          <w:szCs w:val="24"/>
        </w:rPr>
      </w:pPr>
      <w:r w:rsidRPr="00D10E98">
        <w:rPr>
          <w:rFonts w:asciiTheme="majorBidi" w:hAnsiTheme="majorBidi" w:cstheme="majorBidi"/>
          <w:sz w:val="24"/>
          <w:szCs w:val="24"/>
        </w:rPr>
        <w:t xml:space="preserve">However, the basic principle remains within </w:t>
      </w:r>
      <w:r w:rsidR="00A27080">
        <w:rPr>
          <w:rFonts w:asciiTheme="majorBidi" w:hAnsiTheme="majorBidi" w:cstheme="majorBidi"/>
          <w:sz w:val="24"/>
          <w:szCs w:val="24"/>
        </w:rPr>
        <w:t>all the interpretations</w:t>
      </w:r>
      <w:r w:rsidRPr="00D10E98">
        <w:rPr>
          <w:rFonts w:asciiTheme="majorBidi" w:hAnsiTheme="majorBidi" w:cstheme="majorBidi"/>
          <w:sz w:val="24"/>
          <w:szCs w:val="24"/>
        </w:rPr>
        <w:t xml:space="preserve"> </w:t>
      </w:r>
      <w:r w:rsidR="00A27080">
        <w:rPr>
          <w:rFonts w:asciiTheme="majorBidi" w:hAnsiTheme="majorBidi" w:cstheme="majorBidi"/>
          <w:sz w:val="24"/>
          <w:szCs w:val="24"/>
        </w:rPr>
        <w:t>–</w:t>
      </w:r>
      <w:r w:rsidRPr="00D10E98">
        <w:rPr>
          <w:rFonts w:asciiTheme="majorBidi" w:hAnsiTheme="majorBidi" w:cstheme="majorBidi"/>
          <w:sz w:val="24"/>
          <w:szCs w:val="24"/>
        </w:rPr>
        <w:t xml:space="preserve"> </w:t>
      </w:r>
      <w:r w:rsidR="00A27080">
        <w:rPr>
          <w:rFonts w:asciiTheme="majorBidi" w:hAnsiTheme="majorBidi" w:cstheme="majorBidi"/>
          <w:sz w:val="24"/>
          <w:szCs w:val="24"/>
        </w:rPr>
        <w:t xml:space="preserve">that </w:t>
      </w:r>
      <w:r w:rsidRPr="00D10E98">
        <w:rPr>
          <w:rFonts w:asciiTheme="majorBidi" w:hAnsiTheme="majorBidi" w:cstheme="majorBidi"/>
          <w:sz w:val="24"/>
          <w:szCs w:val="24"/>
        </w:rPr>
        <w:t xml:space="preserve">the </w:t>
      </w:r>
      <w:r w:rsidR="00A27080">
        <w:rPr>
          <w:rFonts w:asciiTheme="majorBidi" w:hAnsiTheme="majorBidi" w:cstheme="majorBidi"/>
          <w:sz w:val="24"/>
          <w:szCs w:val="24"/>
        </w:rPr>
        <w:t>onus</w:t>
      </w:r>
      <w:r w:rsidRPr="00D10E98">
        <w:rPr>
          <w:rFonts w:asciiTheme="majorBidi" w:hAnsiTheme="majorBidi" w:cstheme="majorBidi"/>
          <w:sz w:val="24"/>
          <w:szCs w:val="24"/>
        </w:rPr>
        <w:t xml:space="preserve"> of claim</w:t>
      </w:r>
      <w:r w:rsidR="00A27080">
        <w:rPr>
          <w:rFonts w:asciiTheme="majorBidi" w:hAnsiTheme="majorBidi" w:cstheme="majorBidi"/>
          <w:sz w:val="24"/>
          <w:szCs w:val="24"/>
        </w:rPr>
        <w:t>ing</w:t>
      </w:r>
      <w:r w:rsidRPr="00D10E98">
        <w:rPr>
          <w:rFonts w:asciiTheme="majorBidi" w:hAnsiTheme="majorBidi" w:cstheme="majorBidi"/>
          <w:sz w:val="24"/>
          <w:szCs w:val="24"/>
        </w:rPr>
        <w:t xml:space="preserve"> is on the employee, not on the employer</w:t>
      </w:r>
      <w:r w:rsidR="000A2D56">
        <w:rPr>
          <w:rStyle w:val="FootnoteReference"/>
          <w:rFonts w:asciiTheme="majorBidi" w:hAnsiTheme="majorBidi" w:cstheme="majorBidi"/>
          <w:sz w:val="24"/>
          <w:szCs w:val="24"/>
        </w:rPr>
        <w:footnoteReference w:id="26"/>
      </w:r>
      <w:r w:rsidRPr="00D10E98">
        <w:rPr>
          <w:rFonts w:asciiTheme="majorBidi" w:hAnsiTheme="majorBidi" w:cstheme="majorBidi"/>
          <w:sz w:val="24"/>
          <w:szCs w:val="24"/>
        </w:rPr>
        <w:t>.</w:t>
      </w:r>
    </w:p>
    <w:p w14:paraId="125D21C5" w14:textId="7ED013F0" w:rsidR="00D10E98" w:rsidRDefault="00D10E98" w:rsidP="00D10E98">
      <w:pPr>
        <w:pStyle w:val="NoSpacing"/>
        <w:spacing w:line="480" w:lineRule="auto"/>
        <w:rPr>
          <w:rFonts w:asciiTheme="majorBidi" w:hAnsiTheme="majorBidi" w:cstheme="majorBidi"/>
          <w:sz w:val="24"/>
          <w:szCs w:val="24"/>
        </w:rPr>
      </w:pPr>
      <w:r w:rsidRPr="00D10E98">
        <w:rPr>
          <w:rFonts w:asciiTheme="majorBidi" w:hAnsiTheme="majorBidi" w:cstheme="majorBidi"/>
          <w:sz w:val="24"/>
          <w:szCs w:val="24"/>
        </w:rPr>
        <w:t xml:space="preserve">We see from the above </w:t>
      </w:r>
      <w:r w:rsidR="00397C18">
        <w:rPr>
          <w:rFonts w:asciiTheme="majorBidi" w:hAnsiTheme="majorBidi" w:cstheme="majorBidi"/>
          <w:sz w:val="24"/>
          <w:szCs w:val="24"/>
        </w:rPr>
        <w:t xml:space="preserve">examples </w:t>
      </w:r>
      <w:r w:rsidRPr="00D10E98">
        <w:rPr>
          <w:rFonts w:asciiTheme="majorBidi" w:hAnsiTheme="majorBidi" w:cstheme="majorBidi"/>
          <w:sz w:val="24"/>
          <w:szCs w:val="24"/>
        </w:rPr>
        <w:t xml:space="preserve">that despite the legal obligation to draw inspiration from Jewish law, the Israeli legislature chose in the case of wage withholding to deviate sharply from the perception of Jewish law, and to enact a law that imposes the weight of the obligation to pay on the employer and not the employee. </w:t>
      </w:r>
      <w:r w:rsidR="00491568">
        <w:rPr>
          <w:rFonts w:asciiTheme="majorBidi" w:hAnsiTheme="majorBidi" w:cstheme="majorBidi"/>
          <w:sz w:val="24"/>
          <w:szCs w:val="24"/>
        </w:rPr>
        <w:t>As an impartial observer</w:t>
      </w:r>
      <w:r w:rsidRPr="00D10E98">
        <w:rPr>
          <w:rFonts w:asciiTheme="majorBidi" w:hAnsiTheme="majorBidi" w:cstheme="majorBidi"/>
          <w:sz w:val="24"/>
          <w:szCs w:val="24"/>
        </w:rPr>
        <w:t xml:space="preserve">, it </w:t>
      </w:r>
      <w:r w:rsidR="00491568">
        <w:rPr>
          <w:rFonts w:asciiTheme="majorBidi" w:hAnsiTheme="majorBidi" w:cstheme="majorBidi"/>
          <w:sz w:val="24"/>
          <w:szCs w:val="24"/>
        </w:rPr>
        <w:t>could</w:t>
      </w:r>
      <w:r w:rsidRPr="00D10E98">
        <w:rPr>
          <w:rFonts w:asciiTheme="majorBidi" w:hAnsiTheme="majorBidi" w:cstheme="majorBidi"/>
          <w:sz w:val="24"/>
          <w:szCs w:val="24"/>
        </w:rPr>
        <w:t xml:space="preserve"> be said </w:t>
      </w:r>
      <w:r w:rsidR="00491568">
        <w:rPr>
          <w:rFonts w:asciiTheme="majorBidi" w:hAnsiTheme="majorBidi" w:cstheme="majorBidi"/>
          <w:sz w:val="24"/>
          <w:szCs w:val="24"/>
        </w:rPr>
        <w:t>Israeli law is more socially just</w:t>
      </w:r>
      <w:r w:rsidRPr="00D10E98">
        <w:rPr>
          <w:rFonts w:asciiTheme="majorBidi" w:hAnsiTheme="majorBidi" w:cstheme="majorBidi"/>
          <w:sz w:val="24"/>
          <w:szCs w:val="24"/>
        </w:rPr>
        <w:t xml:space="preserve">, and </w:t>
      </w:r>
      <w:r w:rsidR="00491568">
        <w:rPr>
          <w:rFonts w:asciiTheme="majorBidi" w:hAnsiTheme="majorBidi" w:cstheme="majorBidi"/>
          <w:sz w:val="24"/>
          <w:szCs w:val="24"/>
        </w:rPr>
        <w:t xml:space="preserve">to regard it as </w:t>
      </w:r>
      <w:r w:rsidRPr="00D10E98">
        <w:rPr>
          <w:rFonts w:asciiTheme="majorBidi" w:hAnsiTheme="majorBidi" w:cstheme="majorBidi"/>
          <w:sz w:val="24"/>
          <w:szCs w:val="24"/>
        </w:rPr>
        <w:t>prefer</w:t>
      </w:r>
      <w:r w:rsidR="00491568">
        <w:rPr>
          <w:rFonts w:asciiTheme="majorBidi" w:hAnsiTheme="majorBidi" w:cstheme="majorBidi"/>
          <w:sz w:val="24"/>
          <w:szCs w:val="24"/>
        </w:rPr>
        <w:t>able</w:t>
      </w:r>
      <w:r w:rsidRPr="00D10E98">
        <w:rPr>
          <w:rFonts w:asciiTheme="majorBidi" w:hAnsiTheme="majorBidi" w:cstheme="majorBidi"/>
          <w:sz w:val="24"/>
          <w:szCs w:val="24"/>
        </w:rPr>
        <w:t xml:space="preserve"> over Jewish law in this </w:t>
      </w:r>
      <w:r w:rsidR="00491568">
        <w:rPr>
          <w:rFonts w:asciiTheme="majorBidi" w:hAnsiTheme="majorBidi" w:cstheme="majorBidi"/>
          <w:sz w:val="24"/>
          <w:szCs w:val="24"/>
        </w:rPr>
        <w:t>instance</w:t>
      </w:r>
      <w:r w:rsidRPr="00D10E98">
        <w:rPr>
          <w:rFonts w:asciiTheme="majorBidi" w:hAnsiTheme="majorBidi" w:cstheme="majorBidi"/>
          <w:sz w:val="24"/>
          <w:szCs w:val="24"/>
        </w:rPr>
        <w:t>.</w:t>
      </w:r>
    </w:p>
    <w:p w14:paraId="35176D25" w14:textId="69A617AD" w:rsidR="0054105E" w:rsidRPr="0054105E" w:rsidRDefault="0054105E" w:rsidP="0054105E">
      <w:pPr>
        <w:pStyle w:val="NoSpacing"/>
        <w:spacing w:line="480" w:lineRule="auto"/>
        <w:rPr>
          <w:rFonts w:asciiTheme="majorBidi" w:hAnsiTheme="majorBidi" w:cstheme="majorBidi"/>
          <w:sz w:val="24"/>
          <w:szCs w:val="24"/>
        </w:rPr>
      </w:pPr>
      <w:r w:rsidRPr="0054105E">
        <w:rPr>
          <w:rFonts w:asciiTheme="majorBidi" w:hAnsiTheme="majorBidi" w:cstheme="majorBidi"/>
          <w:sz w:val="24"/>
          <w:szCs w:val="24"/>
        </w:rPr>
        <w:t xml:space="preserve">In light of the analysis above, the author of the article can </w:t>
      </w:r>
      <w:r>
        <w:rPr>
          <w:rFonts w:asciiTheme="majorBidi" w:hAnsiTheme="majorBidi" w:cstheme="majorBidi"/>
          <w:sz w:val="24"/>
          <w:szCs w:val="24"/>
        </w:rPr>
        <w:t>have reservations</w:t>
      </w:r>
      <w:r w:rsidRPr="0054105E">
        <w:rPr>
          <w:rFonts w:asciiTheme="majorBidi" w:hAnsiTheme="majorBidi" w:cstheme="majorBidi"/>
          <w:sz w:val="24"/>
          <w:szCs w:val="24"/>
        </w:rPr>
        <w:t xml:space="preserve"> with regard to activism and judicial interpretation. The author of the article suggest</w:t>
      </w:r>
      <w:r>
        <w:rPr>
          <w:rFonts w:asciiTheme="majorBidi" w:hAnsiTheme="majorBidi" w:cstheme="majorBidi"/>
          <w:sz w:val="24"/>
          <w:szCs w:val="24"/>
        </w:rPr>
        <w:t>s</w:t>
      </w:r>
      <w:r w:rsidRPr="0054105E">
        <w:rPr>
          <w:rFonts w:asciiTheme="majorBidi" w:hAnsiTheme="majorBidi" w:cstheme="majorBidi"/>
          <w:sz w:val="24"/>
          <w:szCs w:val="24"/>
        </w:rPr>
        <w:t xml:space="preserve"> that the judges</w:t>
      </w:r>
      <w:r>
        <w:rPr>
          <w:rFonts w:asciiTheme="majorBidi" w:hAnsiTheme="majorBidi" w:cstheme="majorBidi"/>
          <w:sz w:val="24"/>
          <w:szCs w:val="24"/>
        </w:rPr>
        <w:t>’</w:t>
      </w:r>
      <w:r w:rsidRPr="0054105E">
        <w:rPr>
          <w:rFonts w:asciiTheme="majorBidi" w:hAnsiTheme="majorBidi" w:cstheme="majorBidi"/>
          <w:sz w:val="24"/>
          <w:szCs w:val="24"/>
        </w:rPr>
        <w:t xml:space="preserve"> interpretation of the law might be a kind of reform to the legislators' </w:t>
      </w:r>
      <w:r>
        <w:rPr>
          <w:rFonts w:asciiTheme="majorBidi" w:hAnsiTheme="majorBidi" w:cstheme="majorBidi"/>
          <w:sz w:val="24"/>
          <w:szCs w:val="24"/>
        </w:rPr>
        <w:t xml:space="preserve">original </w:t>
      </w:r>
      <w:r w:rsidRPr="0054105E">
        <w:rPr>
          <w:rFonts w:asciiTheme="majorBidi" w:hAnsiTheme="majorBidi" w:cstheme="majorBidi"/>
          <w:sz w:val="24"/>
          <w:szCs w:val="24"/>
        </w:rPr>
        <w:t xml:space="preserve">intention, but this is not necessarily a negative, but </w:t>
      </w:r>
      <w:r>
        <w:rPr>
          <w:rFonts w:asciiTheme="majorBidi" w:hAnsiTheme="majorBidi" w:cstheme="majorBidi"/>
          <w:sz w:val="24"/>
          <w:szCs w:val="24"/>
        </w:rPr>
        <w:t>rather</w:t>
      </w:r>
      <w:r w:rsidRPr="0054105E">
        <w:rPr>
          <w:rFonts w:asciiTheme="majorBidi" w:hAnsiTheme="majorBidi" w:cstheme="majorBidi"/>
          <w:sz w:val="24"/>
          <w:szCs w:val="24"/>
        </w:rPr>
        <w:t xml:space="preserve"> </w:t>
      </w:r>
      <w:r>
        <w:rPr>
          <w:rFonts w:asciiTheme="majorBidi" w:hAnsiTheme="majorBidi" w:cstheme="majorBidi"/>
          <w:sz w:val="24"/>
          <w:szCs w:val="24"/>
        </w:rPr>
        <w:t xml:space="preserve">something </w:t>
      </w:r>
      <w:r w:rsidRPr="0054105E">
        <w:rPr>
          <w:rFonts w:asciiTheme="majorBidi" w:hAnsiTheme="majorBidi" w:cstheme="majorBidi"/>
          <w:sz w:val="24"/>
          <w:szCs w:val="24"/>
        </w:rPr>
        <w:t xml:space="preserve">that </w:t>
      </w:r>
      <w:r>
        <w:rPr>
          <w:rFonts w:asciiTheme="majorBidi" w:hAnsiTheme="majorBidi" w:cstheme="majorBidi"/>
          <w:sz w:val="24"/>
          <w:szCs w:val="24"/>
        </w:rPr>
        <w:t>carries some</w:t>
      </w:r>
      <w:r w:rsidRPr="0054105E">
        <w:rPr>
          <w:rFonts w:asciiTheme="majorBidi" w:hAnsiTheme="majorBidi" w:cstheme="majorBidi"/>
          <w:sz w:val="24"/>
          <w:szCs w:val="24"/>
        </w:rPr>
        <w:t xml:space="preserve"> risk on the one hand, but developmental potential on the other</w:t>
      </w:r>
      <w:r>
        <w:rPr>
          <w:rFonts w:asciiTheme="majorBidi" w:hAnsiTheme="majorBidi" w:cstheme="majorBidi"/>
          <w:sz w:val="24"/>
          <w:szCs w:val="24"/>
        </w:rPr>
        <w:t>, which can dispense justice in a better way</w:t>
      </w:r>
      <w:r w:rsidRPr="0054105E">
        <w:rPr>
          <w:rFonts w:asciiTheme="majorBidi" w:hAnsiTheme="majorBidi" w:cstheme="majorBidi"/>
          <w:sz w:val="24"/>
          <w:szCs w:val="24"/>
        </w:rPr>
        <w:t xml:space="preserve">. It can be assumed that had </w:t>
      </w:r>
      <w:r>
        <w:rPr>
          <w:rFonts w:asciiTheme="majorBidi" w:hAnsiTheme="majorBidi" w:cstheme="majorBidi"/>
          <w:sz w:val="24"/>
          <w:szCs w:val="24"/>
        </w:rPr>
        <w:t xml:space="preserve">there </w:t>
      </w:r>
      <w:r w:rsidRPr="0054105E">
        <w:rPr>
          <w:rFonts w:asciiTheme="majorBidi" w:hAnsiTheme="majorBidi" w:cstheme="majorBidi"/>
          <w:sz w:val="24"/>
          <w:szCs w:val="24"/>
        </w:rPr>
        <w:t xml:space="preserve">been judicial intervention in the ruling regarding the Wage Withholding Law, it would have caused the law to be skewed in the direction of Jewish law, as </w:t>
      </w:r>
      <w:r>
        <w:rPr>
          <w:rFonts w:asciiTheme="majorBidi" w:hAnsiTheme="majorBidi" w:cstheme="majorBidi"/>
          <w:sz w:val="24"/>
          <w:szCs w:val="24"/>
        </w:rPr>
        <w:t>recommend</w:t>
      </w:r>
      <w:r w:rsidRPr="0054105E">
        <w:rPr>
          <w:rFonts w:asciiTheme="majorBidi" w:hAnsiTheme="majorBidi" w:cstheme="majorBidi"/>
          <w:sz w:val="24"/>
          <w:szCs w:val="24"/>
        </w:rPr>
        <w:t xml:space="preserve">ed </w:t>
      </w:r>
      <w:r>
        <w:rPr>
          <w:rFonts w:asciiTheme="majorBidi" w:hAnsiTheme="majorBidi" w:cstheme="majorBidi"/>
          <w:sz w:val="24"/>
          <w:szCs w:val="24"/>
        </w:rPr>
        <w:t>by</w:t>
      </w:r>
      <w:r w:rsidRPr="0054105E">
        <w:rPr>
          <w:rFonts w:asciiTheme="majorBidi" w:hAnsiTheme="majorBidi" w:cstheme="majorBidi"/>
          <w:sz w:val="24"/>
          <w:szCs w:val="24"/>
        </w:rPr>
        <w:t xml:space="preserve"> the Bas</w:t>
      </w:r>
      <w:r>
        <w:rPr>
          <w:rFonts w:asciiTheme="majorBidi" w:hAnsiTheme="majorBidi" w:cstheme="majorBidi"/>
          <w:sz w:val="24"/>
          <w:szCs w:val="24"/>
        </w:rPr>
        <w:t>e</w:t>
      </w:r>
      <w:r w:rsidRPr="0054105E">
        <w:rPr>
          <w:rFonts w:asciiTheme="majorBidi" w:hAnsiTheme="majorBidi" w:cstheme="majorBidi"/>
          <w:sz w:val="24"/>
          <w:szCs w:val="24"/>
        </w:rPr>
        <w:t xml:space="preserve"> Law</w:t>
      </w:r>
      <w:r w:rsidR="007A6BAE">
        <w:rPr>
          <w:rFonts w:asciiTheme="majorBidi" w:hAnsiTheme="majorBidi" w:cstheme="majorBidi"/>
          <w:sz w:val="24"/>
          <w:szCs w:val="24"/>
        </w:rPr>
        <w:t>s</w:t>
      </w:r>
      <w:r w:rsidRPr="0054105E">
        <w:rPr>
          <w:rFonts w:asciiTheme="majorBidi" w:hAnsiTheme="majorBidi" w:cstheme="majorBidi"/>
          <w:sz w:val="24"/>
          <w:szCs w:val="24"/>
        </w:rPr>
        <w:t xml:space="preserve"> mentioned above. Such a situation </w:t>
      </w:r>
      <w:r w:rsidR="007A6BAE">
        <w:rPr>
          <w:rFonts w:asciiTheme="majorBidi" w:hAnsiTheme="majorBidi" w:cstheme="majorBidi"/>
          <w:sz w:val="24"/>
          <w:szCs w:val="24"/>
        </w:rPr>
        <w:t>would violate</w:t>
      </w:r>
      <w:r w:rsidRPr="0054105E">
        <w:rPr>
          <w:rFonts w:asciiTheme="majorBidi" w:hAnsiTheme="majorBidi" w:cstheme="majorBidi"/>
          <w:sz w:val="24"/>
          <w:szCs w:val="24"/>
        </w:rPr>
        <w:t xml:space="preserve"> the socio-</w:t>
      </w:r>
      <w:r w:rsidR="007A6BAE">
        <w:rPr>
          <w:rFonts w:asciiTheme="majorBidi" w:hAnsiTheme="majorBidi" w:cstheme="majorBidi"/>
          <w:sz w:val="24"/>
          <w:szCs w:val="24"/>
        </w:rPr>
        <w:t>economic</w:t>
      </w:r>
      <w:r w:rsidRPr="0054105E">
        <w:rPr>
          <w:rFonts w:asciiTheme="majorBidi" w:hAnsiTheme="majorBidi" w:cstheme="majorBidi"/>
          <w:sz w:val="24"/>
          <w:szCs w:val="24"/>
        </w:rPr>
        <w:t xml:space="preserve"> justice that the Israeli legislature </w:t>
      </w:r>
      <w:r w:rsidR="007A6BAE">
        <w:rPr>
          <w:rFonts w:asciiTheme="majorBidi" w:hAnsiTheme="majorBidi" w:cstheme="majorBidi"/>
          <w:sz w:val="24"/>
          <w:szCs w:val="24"/>
        </w:rPr>
        <w:t>strives</w:t>
      </w:r>
      <w:r w:rsidRPr="0054105E">
        <w:rPr>
          <w:rFonts w:asciiTheme="majorBidi" w:hAnsiTheme="majorBidi" w:cstheme="majorBidi"/>
          <w:sz w:val="24"/>
          <w:szCs w:val="24"/>
        </w:rPr>
        <w:t xml:space="preserve"> to implement, and violate the </w:t>
      </w:r>
      <w:r w:rsidR="007A6BAE">
        <w:rPr>
          <w:rFonts w:asciiTheme="majorBidi" w:hAnsiTheme="majorBidi" w:cstheme="majorBidi"/>
          <w:sz w:val="24"/>
          <w:szCs w:val="24"/>
        </w:rPr>
        <w:t>intent</w:t>
      </w:r>
      <w:r w:rsidRPr="0054105E">
        <w:rPr>
          <w:rFonts w:asciiTheme="majorBidi" w:hAnsiTheme="majorBidi" w:cstheme="majorBidi"/>
          <w:sz w:val="24"/>
          <w:szCs w:val="24"/>
        </w:rPr>
        <w:t xml:space="preserve"> of the law. From this one can dis</w:t>
      </w:r>
      <w:r w:rsidR="007A6BAE">
        <w:rPr>
          <w:rFonts w:asciiTheme="majorBidi" w:hAnsiTheme="majorBidi" w:cstheme="majorBidi"/>
          <w:sz w:val="24"/>
          <w:szCs w:val="24"/>
        </w:rPr>
        <w:t>sent</w:t>
      </w:r>
      <w:r w:rsidRPr="0054105E">
        <w:rPr>
          <w:rFonts w:asciiTheme="majorBidi" w:hAnsiTheme="majorBidi" w:cstheme="majorBidi"/>
          <w:sz w:val="24"/>
          <w:szCs w:val="24"/>
        </w:rPr>
        <w:t xml:space="preserve"> with the conclusion of the </w:t>
      </w:r>
      <w:r w:rsidRPr="0054105E">
        <w:rPr>
          <w:rFonts w:asciiTheme="majorBidi" w:hAnsiTheme="majorBidi" w:cstheme="majorBidi"/>
          <w:sz w:val="24"/>
          <w:szCs w:val="24"/>
        </w:rPr>
        <w:lastRenderedPageBreak/>
        <w:t xml:space="preserve">author of the article, and see how </w:t>
      </w:r>
      <w:r w:rsidR="007A6BAE">
        <w:rPr>
          <w:rFonts w:asciiTheme="majorBidi" w:hAnsiTheme="majorBidi" w:cstheme="majorBidi"/>
          <w:sz w:val="24"/>
          <w:szCs w:val="24"/>
        </w:rPr>
        <w:t>an activist</w:t>
      </w:r>
      <w:r w:rsidRPr="0054105E">
        <w:rPr>
          <w:rFonts w:asciiTheme="majorBidi" w:hAnsiTheme="majorBidi" w:cstheme="majorBidi"/>
          <w:sz w:val="24"/>
          <w:szCs w:val="24"/>
        </w:rPr>
        <w:t xml:space="preserve"> and judicial interpretation of the law may actually detract from the justice that that law is trying to </w:t>
      </w:r>
      <w:r w:rsidR="007A6BAE">
        <w:rPr>
          <w:rFonts w:asciiTheme="majorBidi" w:hAnsiTheme="majorBidi" w:cstheme="majorBidi"/>
          <w:sz w:val="24"/>
          <w:szCs w:val="24"/>
        </w:rPr>
        <w:t>implement</w:t>
      </w:r>
      <w:r w:rsidRPr="0054105E">
        <w:rPr>
          <w:rFonts w:asciiTheme="majorBidi" w:hAnsiTheme="majorBidi" w:cstheme="majorBidi"/>
          <w:sz w:val="24"/>
          <w:szCs w:val="24"/>
        </w:rPr>
        <w:t>.</w:t>
      </w:r>
    </w:p>
    <w:p w14:paraId="5EC2E301" w14:textId="778A8058" w:rsidR="0054105E" w:rsidRPr="0054105E" w:rsidRDefault="0054105E" w:rsidP="0054105E">
      <w:pPr>
        <w:pStyle w:val="NoSpacing"/>
        <w:spacing w:line="480" w:lineRule="auto"/>
        <w:rPr>
          <w:rFonts w:asciiTheme="majorBidi" w:hAnsiTheme="majorBidi" w:cstheme="majorBidi"/>
          <w:sz w:val="24"/>
          <w:szCs w:val="24"/>
        </w:rPr>
      </w:pPr>
      <w:r w:rsidRPr="0054105E">
        <w:rPr>
          <w:rFonts w:asciiTheme="majorBidi" w:hAnsiTheme="majorBidi" w:cstheme="majorBidi"/>
          <w:sz w:val="24"/>
          <w:szCs w:val="24"/>
        </w:rPr>
        <w:t xml:space="preserve">We will review another example that deals with the gap between Jewish law and Israeli law, this time regarding the exercise of </w:t>
      </w:r>
      <w:r w:rsidR="00251658">
        <w:rPr>
          <w:rFonts w:asciiTheme="majorBidi" w:hAnsiTheme="majorBidi" w:cstheme="majorBidi"/>
          <w:sz w:val="24"/>
          <w:szCs w:val="24"/>
        </w:rPr>
        <w:t>claiming benefits</w:t>
      </w:r>
      <w:r w:rsidR="00CF7819">
        <w:rPr>
          <w:rStyle w:val="FootnoteReference"/>
          <w:rFonts w:asciiTheme="majorBidi" w:hAnsiTheme="majorBidi" w:cstheme="majorBidi"/>
          <w:sz w:val="24"/>
          <w:szCs w:val="24"/>
        </w:rPr>
        <w:footnoteReference w:id="27"/>
      </w:r>
      <w:r w:rsidRPr="0054105E">
        <w:rPr>
          <w:rFonts w:asciiTheme="majorBidi" w:hAnsiTheme="majorBidi" w:cstheme="majorBidi"/>
          <w:sz w:val="24"/>
          <w:szCs w:val="24"/>
        </w:rPr>
        <w:t xml:space="preserve">. I will </w:t>
      </w:r>
      <w:r w:rsidR="007A6BAE">
        <w:rPr>
          <w:rFonts w:asciiTheme="majorBidi" w:hAnsiTheme="majorBidi" w:cstheme="majorBidi"/>
          <w:sz w:val="24"/>
          <w:szCs w:val="24"/>
        </w:rPr>
        <w:t>bring up some</w:t>
      </w:r>
      <w:r w:rsidRPr="0054105E">
        <w:rPr>
          <w:rFonts w:asciiTheme="majorBidi" w:hAnsiTheme="majorBidi" w:cstheme="majorBidi"/>
          <w:sz w:val="24"/>
          <w:szCs w:val="24"/>
        </w:rPr>
        <w:t xml:space="preserve"> of the paragraphs, quoting of Prof. </w:t>
      </w:r>
      <w:proofErr w:type="spellStart"/>
      <w:r w:rsidRPr="0054105E">
        <w:rPr>
          <w:rFonts w:asciiTheme="majorBidi" w:hAnsiTheme="majorBidi" w:cstheme="majorBidi"/>
          <w:sz w:val="24"/>
          <w:szCs w:val="24"/>
        </w:rPr>
        <w:t>Porat's</w:t>
      </w:r>
      <w:proofErr w:type="spellEnd"/>
      <w:r w:rsidRPr="0054105E">
        <w:rPr>
          <w:rFonts w:asciiTheme="majorBidi" w:hAnsiTheme="majorBidi" w:cstheme="majorBidi"/>
          <w:sz w:val="24"/>
          <w:szCs w:val="24"/>
        </w:rPr>
        <w:t xml:space="preserve"> remarks on the matter</w:t>
      </w:r>
      <w:r w:rsidR="007A6BAE">
        <w:rPr>
          <w:rFonts w:asciiTheme="majorBidi" w:hAnsiTheme="majorBidi" w:cstheme="majorBidi"/>
          <w:sz w:val="24"/>
          <w:szCs w:val="24"/>
        </w:rPr>
        <w:t>:</w:t>
      </w:r>
    </w:p>
    <w:p w14:paraId="7605F672" w14:textId="426C53C5" w:rsidR="00CF7819" w:rsidRDefault="0054105E" w:rsidP="00CF7819">
      <w:pPr>
        <w:pStyle w:val="NoSpacing"/>
        <w:spacing w:line="480" w:lineRule="auto"/>
        <w:rPr>
          <w:rFonts w:asciiTheme="majorBidi" w:hAnsiTheme="majorBidi" w:cstheme="majorBidi"/>
          <w:sz w:val="24"/>
          <w:szCs w:val="24"/>
        </w:rPr>
      </w:pPr>
      <w:r w:rsidRPr="0054105E">
        <w:rPr>
          <w:rFonts w:asciiTheme="majorBidi" w:hAnsiTheme="majorBidi" w:cstheme="majorBidi"/>
          <w:sz w:val="24"/>
          <w:szCs w:val="24"/>
        </w:rPr>
        <w:t xml:space="preserve">As part of the desire to protect the well-being of the weaker </w:t>
      </w:r>
      <w:r w:rsidR="007A6BAE">
        <w:rPr>
          <w:rFonts w:asciiTheme="majorBidi" w:hAnsiTheme="majorBidi" w:cstheme="majorBidi"/>
          <w:sz w:val="24"/>
          <w:szCs w:val="24"/>
        </w:rPr>
        <w:t>populations</w:t>
      </w:r>
      <w:r w:rsidRPr="0054105E">
        <w:rPr>
          <w:rFonts w:asciiTheme="majorBidi" w:hAnsiTheme="majorBidi" w:cstheme="majorBidi"/>
          <w:sz w:val="24"/>
          <w:szCs w:val="24"/>
        </w:rPr>
        <w:t>, the legislature and the judiciary may enact various laws concerning the provision of assistance to people living in poverty and to other vulnerable groups. The question arises - does the state or community's obligation to provide assistance to the needy depend on these claiming their right? It seems that at this point there is a fundamental difference between the perception of Jewish law and the perception of Israeli law.</w:t>
      </w:r>
      <w:r w:rsidR="00CF7819">
        <w:rPr>
          <w:rFonts w:asciiTheme="majorBidi" w:hAnsiTheme="majorBidi" w:cstheme="majorBidi"/>
          <w:sz w:val="24"/>
          <w:szCs w:val="24"/>
        </w:rPr>
        <w:t xml:space="preserve"> </w:t>
      </w:r>
    </w:p>
    <w:p w14:paraId="014DB4D4" w14:textId="600527C2" w:rsidR="00CF7819" w:rsidRPr="00CF7819" w:rsidRDefault="00CF7819" w:rsidP="00CF7819">
      <w:pPr>
        <w:pStyle w:val="NoSpacing"/>
        <w:spacing w:line="480" w:lineRule="auto"/>
        <w:rPr>
          <w:rFonts w:asciiTheme="majorBidi" w:hAnsiTheme="majorBidi" w:cstheme="majorBidi"/>
          <w:sz w:val="24"/>
          <w:szCs w:val="24"/>
        </w:rPr>
      </w:pPr>
      <w:r w:rsidRPr="00CF7819">
        <w:rPr>
          <w:rFonts w:asciiTheme="majorBidi" w:hAnsiTheme="majorBidi" w:cstheme="majorBidi"/>
          <w:sz w:val="24"/>
          <w:szCs w:val="24"/>
        </w:rPr>
        <w:t xml:space="preserve">In Israel, the </w:t>
      </w:r>
      <w:r>
        <w:rPr>
          <w:rFonts w:asciiTheme="majorBidi" w:hAnsiTheme="majorBidi" w:cstheme="majorBidi"/>
          <w:sz w:val="24"/>
          <w:szCs w:val="24"/>
        </w:rPr>
        <w:t>Social Security</w:t>
      </w:r>
      <w:r w:rsidRPr="00CF7819">
        <w:rPr>
          <w:rFonts w:asciiTheme="majorBidi" w:hAnsiTheme="majorBidi" w:cstheme="majorBidi"/>
          <w:sz w:val="24"/>
          <w:szCs w:val="24"/>
        </w:rPr>
        <w:t xml:space="preserve"> </w:t>
      </w:r>
      <w:r>
        <w:rPr>
          <w:rFonts w:asciiTheme="majorBidi" w:hAnsiTheme="majorBidi" w:cstheme="majorBidi"/>
          <w:sz w:val="24"/>
          <w:szCs w:val="24"/>
        </w:rPr>
        <w:t>Administration</w:t>
      </w:r>
      <w:r w:rsidRPr="00CF7819">
        <w:rPr>
          <w:rFonts w:asciiTheme="majorBidi" w:hAnsiTheme="majorBidi" w:cstheme="majorBidi"/>
          <w:sz w:val="24"/>
          <w:szCs w:val="24"/>
        </w:rPr>
        <w:t xml:space="preserve"> grants various benefits to groups e</w:t>
      </w:r>
      <w:r>
        <w:rPr>
          <w:rFonts w:asciiTheme="majorBidi" w:hAnsiTheme="majorBidi" w:cstheme="majorBidi"/>
          <w:sz w:val="24"/>
          <w:szCs w:val="24"/>
        </w:rPr>
        <w:t>ligible</w:t>
      </w:r>
      <w:r w:rsidRPr="00CF7819">
        <w:rPr>
          <w:rFonts w:asciiTheme="majorBidi" w:hAnsiTheme="majorBidi" w:cstheme="majorBidi"/>
          <w:sz w:val="24"/>
          <w:szCs w:val="24"/>
        </w:rPr>
        <w:t xml:space="preserve"> </w:t>
      </w:r>
      <w:r>
        <w:rPr>
          <w:rFonts w:asciiTheme="majorBidi" w:hAnsiTheme="majorBidi" w:cstheme="majorBidi"/>
          <w:sz w:val="24"/>
          <w:szCs w:val="24"/>
        </w:rPr>
        <w:t>for</w:t>
      </w:r>
      <w:r w:rsidRPr="00CF7819">
        <w:rPr>
          <w:rFonts w:asciiTheme="majorBidi" w:hAnsiTheme="majorBidi" w:cstheme="majorBidi"/>
          <w:sz w:val="24"/>
          <w:szCs w:val="24"/>
        </w:rPr>
        <w:t xml:space="preserve"> support (those entitled to income support, the unemployed, the elderly, etc.). These benefits are paid to eligible groups only if they have actively claimed the </w:t>
      </w:r>
      <w:r w:rsidR="00BB222B">
        <w:rPr>
          <w:rFonts w:asciiTheme="majorBidi" w:hAnsiTheme="majorBidi" w:cstheme="majorBidi"/>
          <w:sz w:val="24"/>
          <w:szCs w:val="24"/>
        </w:rPr>
        <w:t>benefits</w:t>
      </w:r>
      <w:r w:rsidRPr="00CF7819">
        <w:rPr>
          <w:rFonts w:asciiTheme="majorBidi" w:hAnsiTheme="majorBidi" w:cstheme="majorBidi"/>
          <w:sz w:val="24"/>
          <w:szCs w:val="24"/>
        </w:rPr>
        <w:t xml:space="preserve"> to which they are entitled. The Social Security</w:t>
      </w:r>
      <w:r w:rsidR="00BB222B">
        <w:rPr>
          <w:rFonts w:asciiTheme="majorBidi" w:hAnsiTheme="majorBidi" w:cstheme="majorBidi"/>
          <w:sz w:val="24"/>
          <w:szCs w:val="24"/>
        </w:rPr>
        <w:t xml:space="preserve"> Administration</w:t>
      </w:r>
      <w:r w:rsidRPr="00CF7819">
        <w:rPr>
          <w:rFonts w:asciiTheme="majorBidi" w:hAnsiTheme="majorBidi" w:cstheme="majorBidi"/>
          <w:sz w:val="24"/>
          <w:szCs w:val="24"/>
        </w:rPr>
        <w:t>, for its part, does not actively initiate the provision of benefits without a claim</w:t>
      </w:r>
      <w:r>
        <w:rPr>
          <w:rFonts w:asciiTheme="majorBidi" w:hAnsiTheme="majorBidi" w:cstheme="majorBidi"/>
          <w:sz w:val="24"/>
          <w:szCs w:val="24"/>
        </w:rPr>
        <w:t xml:space="preserve"> having been filed</w:t>
      </w:r>
      <w:r w:rsidR="00A64743">
        <w:rPr>
          <w:rStyle w:val="FootnoteReference"/>
          <w:rFonts w:asciiTheme="majorBidi" w:hAnsiTheme="majorBidi" w:cstheme="majorBidi"/>
          <w:sz w:val="24"/>
          <w:szCs w:val="24"/>
        </w:rPr>
        <w:footnoteReference w:id="28"/>
      </w:r>
      <w:r w:rsidRPr="00CF7819">
        <w:rPr>
          <w:rFonts w:asciiTheme="majorBidi" w:hAnsiTheme="majorBidi" w:cstheme="majorBidi"/>
          <w:sz w:val="24"/>
          <w:szCs w:val="24"/>
        </w:rPr>
        <w:t xml:space="preserve">. For </w:t>
      </w:r>
      <w:r w:rsidR="004048B4">
        <w:rPr>
          <w:rFonts w:asciiTheme="majorBidi" w:hAnsiTheme="majorBidi" w:cstheme="majorBidi"/>
          <w:sz w:val="24"/>
          <w:szCs w:val="24"/>
        </w:rPr>
        <w:t>example</w:t>
      </w:r>
      <w:r w:rsidRPr="00CF7819">
        <w:rPr>
          <w:rFonts w:asciiTheme="majorBidi" w:hAnsiTheme="majorBidi" w:cstheme="majorBidi"/>
          <w:sz w:val="24"/>
          <w:szCs w:val="24"/>
        </w:rPr>
        <w:t xml:space="preserve">, an unemployed person who has not claimed the unemployment benefits due to him by law will not be entitled to receive them. If he files the claim more than 12 months after the start of his eligibility, he will not be entitled to retroactive payment, but only for a period </w:t>
      </w:r>
      <w:r w:rsidRPr="00CF7819">
        <w:rPr>
          <w:rFonts w:asciiTheme="majorBidi" w:hAnsiTheme="majorBidi" w:cstheme="majorBidi"/>
          <w:sz w:val="24"/>
          <w:szCs w:val="24"/>
        </w:rPr>
        <w:lastRenderedPageBreak/>
        <w:t xml:space="preserve">of 12 months </w:t>
      </w:r>
      <w:r w:rsidR="002B6AB8">
        <w:rPr>
          <w:rFonts w:asciiTheme="majorBidi" w:hAnsiTheme="majorBidi" w:cstheme="majorBidi"/>
          <w:sz w:val="24"/>
          <w:szCs w:val="24"/>
        </w:rPr>
        <w:t>prior</w:t>
      </w:r>
      <w:r w:rsidRPr="00CF7819">
        <w:rPr>
          <w:rFonts w:asciiTheme="majorBidi" w:hAnsiTheme="majorBidi" w:cstheme="majorBidi"/>
          <w:sz w:val="24"/>
          <w:szCs w:val="24"/>
        </w:rPr>
        <w:t>, since his eligibility is conditional on him claiming what he deserves in the first place.</w:t>
      </w:r>
      <w:r w:rsidR="004048B4">
        <w:rPr>
          <w:rStyle w:val="FootnoteReference"/>
          <w:rFonts w:asciiTheme="majorBidi" w:hAnsiTheme="majorBidi" w:cstheme="majorBidi"/>
          <w:sz w:val="24"/>
          <w:szCs w:val="24"/>
        </w:rPr>
        <w:footnoteReference w:id="29"/>
      </w:r>
    </w:p>
    <w:p w14:paraId="1D1EE93B" w14:textId="33C34466" w:rsidR="00CF7819" w:rsidRPr="00CF7819" w:rsidRDefault="00CF7819" w:rsidP="00CF7819">
      <w:pPr>
        <w:pStyle w:val="NoSpacing"/>
        <w:spacing w:line="480" w:lineRule="auto"/>
        <w:rPr>
          <w:rFonts w:asciiTheme="majorBidi" w:hAnsiTheme="majorBidi" w:cstheme="majorBidi"/>
          <w:sz w:val="24"/>
          <w:szCs w:val="24"/>
        </w:rPr>
      </w:pPr>
      <w:r w:rsidRPr="00CF7819">
        <w:rPr>
          <w:rFonts w:asciiTheme="majorBidi" w:hAnsiTheme="majorBidi" w:cstheme="majorBidi"/>
          <w:sz w:val="24"/>
          <w:szCs w:val="24"/>
        </w:rPr>
        <w:t>The requirement to file a claim for the purpose of exercising the right creates a problem of non</w:t>
      </w:r>
      <w:r w:rsidR="004048B4">
        <w:rPr>
          <w:rFonts w:asciiTheme="majorBidi" w:hAnsiTheme="majorBidi" w:cstheme="majorBidi"/>
          <w:sz w:val="24"/>
          <w:szCs w:val="24"/>
        </w:rPr>
        <w:t>-take-up</w:t>
      </w:r>
      <w:r w:rsidRPr="00CF7819">
        <w:rPr>
          <w:rFonts w:asciiTheme="majorBidi" w:hAnsiTheme="majorBidi" w:cstheme="majorBidi"/>
          <w:sz w:val="24"/>
          <w:szCs w:val="24"/>
        </w:rPr>
        <w:t xml:space="preserve"> of </w:t>
      </w:r>
      <w:r w:rsidR="00901DA3">
        <w:rPr>
          <w:rFonts w:asciiTheme="majorBidi" w:hAnsiTheme="majorBidi" w:cstheme="majorBidi"/>
          <w:sz w:val="24"/>
          <w:szCs w:val="24"/>
        </w:rPr>
        <w:t>benefit</w:t>
      </w:r>
      <w:r w:rsidRPr="00CF7819">
        <w:rPr>
          <w:rFonts w:asciiTheme="majorBidi" w:hAnsiTheme="majorBidi" w:cstheme="majorBidi"/>
          <w:sz w:val="24"/>
          <w:szCs w:val="24"/>
        </w:rPr>
        <w:t xml:space="preserve">s. Many of those eligible may not </w:t>
      </w:r>
      <w:r w:rsidR="004F3BAB">
        <w:rPr>
          <w:rFonts w:asciiTheme="majorBidi" w:hAnsiTheme="majorBidi" w:cstheme="majorBidi"/>
          <w:sz w:val="24"/>
          <w:szCs w:val="24"/>
        </w:rPr>
        <w:t>take advantage of their right for income</w:t>
      </w:r>
      <w:r w:rsidRPr="00CF7819">
        <w:rPr>
          <w:rFonts w:asciiTheme="majorBidi" w:hAnsiTheme="majorBidi" w:cstheme="majorBidi"/>
          <w:sz w:val="24"/>
          <w:szCs w:val="24"/>
        </w:rPr>
        <w:t xml:space="preserve"> support, just </w:t>
      </w:r>
      <w:r w:rsidR="004F3BAB">
        <w:rPr>
          <w:rFonts w:asciiTheme="majorBidi" w:hAnsiTheme="majorBidi" w:cstheme="majorBidi"/>
          <w:sz w:val="24"/>
          <w:szCs w:val="24"/>
        </w:rPr>
        <w:t>because they failed to apply</w:t>
      </w:r>
      <w:r w:rsidRPr="00CF7819">
        <w:rPr>
          <w:rFonts w:asciiTheme="majorBidi" w:hAnsiTheme="majorBidi" w:cstheme="majorBidi"/>
          <w:sz w:val="24"/>
          <w:szCs w:val="24"/>
        </w:rPr>
        <w:t xml:space="preserve"> </w:t>
      </w:r>
      <w:r w:rsidR="004F3BAB">
        <w:rPr>
          <w:rFonts w:asciiTheme="majorBidi" w:hAnsiTheme="majorBidi" w:cstheme="majorBidi"/>
          <w:sz w:val="24"/>
          <w:szCs w:val="24"/>
        </w:rPr>
        <w:t>for</w:t>
      </w:r>
      <w:r w:rsidRPr="00CF7819">
        <w:rPr>
          <w:rFonts w:asciiTheme="majorBidi" w:hAnsiTheme="majorBidi" w:cstheme="majorBidi"/>
          <w:sz w:val="24"/>
          <w:szCs w:val="24"/>
        </w:rPr>
        <w:t xml:space="preserve"> what </w:t>
      </w:r>
      <w:r w:rsidR="004F3BAB">
        <w:rPr>
          <w:rFonts w:asciiTheme="majorBidi" w:hAnsiTheme="majorBidi" w:cstheme="majorBidi"/>
          <w:sz w:val="24"/>
          <w:szCs w:val="24"/>
        </w:rPr>
        <w:t>is coming to them</w:t>
      </w:r>
      <w:r w:rsidRPr="00CF7819">
        <w:rPr>
          <w:rFonts w:asciiTheme="majorBidi" w:hAnsiTheme="majorBidi" w:cstheme="majorBidi"/>
          <w:sz w:val="24"/>
          <w:szCs w:val="24"/>
        </w:rPr>
        <w:t>. There can be several reasons for the non-</w:t>
      </w:r>
      <w:r w:rsidR="00901DA3">
        <w:rPr>
          <w:rFonts w:asciiTheme="majorBidi" w:hAnsiTheme="majorBidi" w:cstheme="majorBidi"/>
          <w:sz w:val="24"/>
          <w:szCs w:val="24"/>
        </w:rPr>
        <w:t>claiming</w:t>
      </w:r>
      <w:r w:rsidRPr="00CF7819">
        <w:rPr>
          <w:rFonts w:asciiTheme="majorBidi" w:hAnsiTheme="majorBidi" w:cstheme="majorBidi"/>
          <w:sz w:val="24"/>
          <w:szCs w:val="24"/>
        </w:rPr>
        <w:t xml:space="preserve"> of </w:t>
      </w:r>
      <w:r w:rsidR="00901DA3">
        <w:rPr>
          <w:rFonts w:asciiTheme="majorBidi" w:hAnsiTheme="majorBidi" w:cstheme="majorBidi"/>
          <w:sz w:val="24"/>
          <w:szCs w:val="24"/>
        </w:rPr>
        <w:t>benefits</w:t>
      </w:r>
      <w:r w:rsidRPr="00CF7819">
        <w:rPr>
          <w:rFonts w:asciiTheme="majorBidi" w:hAnsiTheme="majorBidi" w:cstheme="majorBidi"/>
          <w:sz w:val="24"/>
          <w:szCs w:val="24"/>
        </w:rPr>
        <w:t xml:space="preserve"> - bureaucratic barriers, lack of knowledge about eligibility, fear of social labeling as needy, etc. Although attempts are being made to solve the problem of </w:t>
      </w:r>
      <w:r w:rsidR="004F3BAB">
        <w:rPr>
          <w:rFonts w:asciiTheme="majorBidi" w:hAnsiTheme="majorBidi" w:cstheme="majorBidi"/>
          <w:sz w:val="24"/>
          <w:szCs w:val="24"/>
        </w:rPr>
        <w:t>take-up</w:t>
      </w:r>
      <w:r w:rsidR="00581869">
        <w:rPr>
          <w:rStyle w:val="FootnoteReference"/>
          <w:rFonts w:asciiTheme="majorBidi" w:hAnsiTheme="majorBidi" w:cstheme="majorBidi"/>
          <w:sz w:val="24"/>
          <w:szCs w:val="24"/>
        </w:rPr>
        <w:footnoteReference w:id="30"/>
      </w:r>
      <w:r w:rsidRPr="00CF7819">
        <w:rPr>
          <w:rFonts w:asciiTheme="majorBidi" w:hAnsiTheme="majorBidi" w:cstheme="majorBidi"/>
          <w:sz w:val="24"/>
          <w:szCs w:val="24"/>
        </w:rPr>
        <w:t xml:space="preserve">, they are not enough to bridge all the </w:t>
      </w:r>
      <w:r w:rsidR="004F3BAB">
        <w:rPr>
          <w:rFonts w:asciiTheme="majorBidi" w:hAnsiTheme="majorBidi" w:cstheme="majorBidi"/>
          <w:sz w:val="24"/>
          <w:szCs w:val="24"/>
        </w:rPr>
        <w:t>obstacles</w:t>
      </w:r>
      <w:r w:rsidRPr="00CF7819">
        <w:rPr>
          <w:rFonts w:asciiTheme="majorBidi" w:hAnsiTheme="majorBidi" w:cstheme="majorBidi"/>
          <w:sz w:val="24"/>
          <w:szCs w:val="24"/>
        </w:rPr>
        <w:t xml:space="preserve"> mentioned above.</w:t>
      </w:r>
      <w:r w:rsidR="00581869">
        <w:rPr>
          <w:rStyle w:val="FootnoteReference"/>
          <w:rFonts w:asciiTheme="majorBidi" w:hAnsiTheme="majorBidi" w:cstheme="majorBidi"/>
          <w:sz w:val="24"/>
          <w:szCs w:val="24"/>
        </w:rPr>
        <w:footnoteReference w:id="31"/>
      </w:r>
    </w:p>
    <w:p w14:paraId="45E64976" w14:textId="64E72114" w:rsidR="00CF7819" w:rsidRPr="00CF7819" w:rsidRDefault="00CF7819" w:rsidP="00CF7819">
      <w:pPr>
        <w:pStyle w:val="NoSpacing"/>
        <w:spacing w:line="480" w:lineRule="auto"/>
        <w:rPr>
          <w:rFonts w:asciiTheme="majorBidi" w:hAnsiTheme="majorBidi" w:cstheme="majorBidi"/>
          <w:sz w:val="24"/>
          <w:szCs w:val="24"/>
        </w:rPr>
      </w:pPr>
      <w:r w:rsidRPr="00CF7819">
        <w:rPr>
          <w:rFonts w:asciiTheme="majorBidi" w:hAnsiTheme="majorBidi" w:cstheme="majorBidi"/>
          <w:sz w:val="24"/>
          <w:szCs w:val="24"/>
        </w:rPr>
        <w:t xml:space="preserve">In </w:t>
      </w:r>
      <w:r w:rsidR="0010557B">
        <w:rPr>
          <w:rFonts w:asciiTheme="majorBidi" w:hAnsiTheme="majorBidi" w:cstheme="majorBidi"/>
          <w:sz w:val="24"/>
          <w:szCs w:val="24"/>
        </w:rPr>
        <w:t>Jewish</w:t>
      </w:r>
      <w:r w:rsidRPr="00CF7819">
        <w:rPr>
          <w:rFonts w:asciiTheme="majorBidi" w:hAnsiTheme="majorBidi" w:cstheme="majorBidi"/>
          <w:sz w:val="24"/>
          <w:szCs w:val="24"/>
        </w:rPr>
        <w:t xml:space="preserve"> law, on the other hand, we find a different approach to </w:t>
      </w:r>
      <w:r w:rsidR="00F53D99">
        <w:rPr>
          <w:rFonts w:asciiTheme="majorBidi" w:hAnsiTheme="majorBidi" w:cstheme="majorBidi"/>
          <w:sz w:val="24"/>
          <w:szCs w:val="24"/>
        </w:rPr>
        <w:t>help</w:t>
      </w:r>
      <w:r w:rsidRPr="00CF7819">
        <w:rPr>
          <w:rFonts w:asciiTheme="majorBidi" w:hAnsiTheme="majorBidi" w:cstheme="majorBidi"/>
          <w:sz w:val="24"/>
          <w:szCs w:val="24"/>
        </w:rPr>
        <w:t xml:space="preserve">ing the needy. The ruling in </w:t>
      </w:r>
      <w:r w:rsidR="00F53D99">
        <w:rPr>
          <w:rFonts w:asciiTheme="majorBidi" w:hAnsiTheme="majorBidi" w:cstheme="majorBidi"/>
          <w:sz w:val="24"/>
          <w:szCs w:val="24"/>
        </w:rPr>
        <w:t>Jewish</w:t>
      </w:r>
      <w:r w:rsidRPr="00CF7819">
        <w:rPr>
          <w:rFonts w:asciiTheme="majorBidi" w:hAnsiTheme="majorBidi" w:cstheme="majorBidi"/>
          <w:sz w:val="24"/>
          <w:szCs w:val="24"/>
        </w:rPr>
        <w:t xml:space="preserve"> law </w:t>
      </w:r>
      <w:r w:rsidR="00F53D99">
        <w:rPr>
          <w:rFonts w:asciiTheme="majorBidi" w:hAnsiTheme="majorBidi" w:cstheme="majorBidi"/>
          <w:sz w:val="24"/>
          <w:szCs w:val="24"/>
        </w:rPr>
        <w:t>places the burden</w:t>
      </w:r>
      <w:r w:rsidRPr="00CF7819">
        <w:rPr>
          <w:rFonts w:asciiTheme="majorBidi" w:hAnsiTheme="majorBidi" w:cstheme="majorBidi"/>
          <w:sz w:val="24"/>
          <w:szCs w:val="24"/>
        </w:rPr>
        <w:t xml:space="preserve"> on those in charge of community charity to actively initiate assistance to the needy, even if they, </w:t>
      </w:r>
      <w:r w:rsidR="00A80404">
        <w:rPr>
          <w:rFonts w:asciiTheme="majorBidi" w:hAnsiTheme="majorBidi" w:cstheme="majorBidi"/>
          <w:sz w:val="24"/>
          <w:szCs w:val="24"/>
        </w:rPr>
        <w:t>on</w:t>
      </w:r>
      <w:r w:rsidRPr="00CF7819">
        <w:rPr>
          <w:rFonts w:asciiTheme="majorBidi" w:hAnsiTheme="majorBidi" w:cstheme="majorBidi"/>
          <w:sz w:val="24"/>
          <w:szCs w:val="24"/>
        </w:rPr>
        <w:t xml:space="preserve"> their part, do not </w:t>
      </w:r>
      <w:r w:rsidR="00A80404">
        <w:rPr>
          <w:rFonts w:asciiTheme="majorBidi" w:hAnsiTheme="majorBidi" w:cstheme="majorBidi"/>
          <w:sz w:val="24"/>
          <w:szCs w:val="24"/>
        </w:rPr>
        <w:t>ask for it</w:t>
      </w:r>
      <w:r w:rsidRPr="00CF7819">
        <w:rPr>
          <w:rFonts w:asciiTheme="majorBidi" w:hAnsiTheme="majorBidi" w:cstheme="majorBidi"/>
          <w:sz w:val="24"/>
          <w:szCs w:val="24"/>
        </w:rPr>
        <w:t xml:space="preserve">. The primary source for this is the </w:t>
      </w:r>
      <w:proofErr w:type="spellStart"/>
      <w:r w:rsidRPr="00CF7819">
        <w:rPr>
          <w:rFonts w:asciiTheme="majorBidi" w:hAnsiTheme="majorBidi" w:cstheme="majorBidi"/>
          <w:sz w:val="24"/>
          <w:szCs w:val="24"/>
        </w:rPr>
        <w:t>Tosefta</w:t>
      </w:r>
      <w:proofErr w:type="spellEnd"/>
      <w:r w:rsidRPr="00CF7819">
        <w:rPr>
          <w:rFonts w:asciiTheme="majorBidi" w:hAnsiTheme="majorBidi" w:cstheme="majorBidi"/>
          <w:sz w:val="24"/>
          <w:szCs w:val="24"/>
        </w:rPr>
        <w:t xml:space="preserve"> </w:t>
      </w:r>
      <w:r w:rsidR="0010557B">
        <w:rPr>
          <w:rFonts w:asciiTheme="majorBidi" w:hAnsiTheme="majorBidi" w:cstheme="majorBidi"/>
          <w:sz w:val="24"/>
          <w:szCs w:val="24"/>
        </w:rPr>
        <w:t xml:space="preserve">in the </w:t>
      </w:r>
      <w:proofErr w:type="spellStart"/>
      <w:r w:rsidR="0010557B">
        <w:rPr>
          <w:rFonts w:asciiTheme="majorBidi" w:hAnsiTheme="majorBidi" w:cstheme="majorBidi"/>
          <w:sz w:val="24"/>
          <w:szCs w:val="24"/>
        </w:rPr>
        <w:t>Pe’ah</w:t>
      </w:r>
      <w:proofErr w:type="spellEnd"/>
      <w:r w:rsidRPr="00CF7819">
        <w:rPr>
          <w:rFonts w:asciiTheme="majorBidi" w:hAnsiTheme="majorBidi" w:cstheme="majorBidi"/>
          <w:sz w:val="24"/>
          <w:szCs w:val="24"/>
        </w:rPr>
        <w:t xml:space="preserve"> Tractate, Chapter D Mishnah 12 - "He who says I do not make a living from others </w:t>
      </w:r>
      <w:r w:rsidR="0010557B">
        <w:rPr>
          <w:rFonts w:asciiTheme="majorBidi" w:hAnsiTheme="majorBidi" w:cstheme="majorBidi"/>
          <w:sz w:val="24"/>
          <w:szCs w:val="24"/>
        </w:rPr>
        <w:t>–</w:t>
      </w:r>
      <w:r w:rsidRPr="00CF7819">
        <w:rPr>
          <w:rFonts w:asciiTheme="majorBidi" w:hAnsiTheme="majorBidi" w:cstheme="majorBidi"/>
          <w:sz w:val="24"/>
          <w:szCs w:val="24"/>
        </w:rPr>
        <w:t xml:space="preserve"> </w:t>
      </w:r>
      <w:r w:rsidR="0010557B">
        <w:rPr>
          <w:rFonts w:asciiTheme="majorBidi" w:hAnsiTheme="majorBidi" w:cstheme="majorBidi"/>
          <w:sz w:val="24"/>
          <w:szCs w:val="24"/>
        </w:rPr>
        <w:t>we try and help him make a living</w:t>
      </w:r>
      <w:r w:rsidRPr="00CF7819">
        <w:rPr>
          <w:rFonts w:asciiTheme="majorBidi" w:hAnsiTheme="majorBidi" w:cstheme="majorBidi"/>
          <w:sz w:val="24"/>
          <w:szCs w:val="24"/>
        </w:rPr>
        <w:t xml:space="preserve">." This statement was even established in practice in the book "Baal </w:t>
      </w:r>
      <w:proofErr w:type="spellStart"/>
      <w:r w:rsidRPr="00CF7819">
        <w:rPr>
          <w:rFonts w:asciiTheme="majorBidi" w:hAnsiTheme="majorBidi" w:cstheme="majorBidi"/>
          <w:sz w:val="24"/>
          <w:szCs w:val="24"/>
        </w:rPr>
        <w:t>HaT</w:t>
      </w:r>
      <w:r w:rsidR="0010557B">
        <w:rPr>
          <w:rFonts w:asciiTheme="majorBidi" w:hAnsiTheme="majorBidi" w:cstheme="majorBidi"/>
          <w:sz w:val="24"/>
          <w:szCs w:val="24"/>
        </w:rPr>
        <w:t>u</w:t>
      </w:r>
      <w:r w:rsidRPr="00CF7819">
        <w:rPr>
          <w:rFonts w:asciiTheme="majorBidi" w:hAnsiTheme="majorBidi" w:cstheme="majorBidi"/>
          <w:sz w:val="24"/>
          <w:szCs w:val="24"/>
        </w:rPr>
        <w:t>rim</w:t>
      </w:r>
      <w:proofErr w:type="spellEnd"/>
      <w:r w:rsidRPr="00CF7819">
        <w:rPr>
          <w:rFonts w:asciiTheme="majorBidi" w:hAnsiTheme="majorBidi" w:cstheme="majorBidi"/>
          <w:sz w:val="24"/>
          <w:szCs w:val="24"/>
        </w:rPr>
        <w:t xml:space="preserve">" by Rabbi Yaakov ben Asher - "... we pile </w:t>
      </w:r>
      <w:r w:rsidR="00871266">
        <w:rPr>
          <w:rFonts w:asciiTheme="majorBidi" w:hAnsiTheme="majorBidi" w:cstheme="majorBidi"/>
          <w:sz w:val="24"/>
          <w:szCs w:val="24"/>
        </w:rPr>
        <w:t>it on</w:t>
      </w:r>
      <w:r w:rsidRPr="00CF7819">
        <w:rPr>
          <w:rFonts w:asciiTheme="majorBidi" w:hAnsiTheme="majorBidi" w:cstheme="majorBidi"/>
          <w:sz w:val="24"/>
          <w:szCs w:val="24"/>
        </w:rPr>
        <w:t xml:space="preserve"> and give it to him"</w:t>
      </w:r>
      <w:r w:rsidR="00871266">
        <w:rPr>
          <w:rStyle w:val="FootnoteReference"/>
          <w:rFonts w:asciiTheme="majorBidi" w:hAnsiTheme="majorBidi" w:cstheme="majorBidi"/>
          <w:sz w:val="24"/>
          <w:szCs w:val="24"/>
        </w:rPr>
        <w:footnoteReference w:id="32"/>
      </w:r>
      <w:r w:rsidRPr="00CF7819">
        <w:rPr>
          <w:rFonts w:asciiTheme="majorBidi" w:hAnsiTheme="majorBidi" w:cstheme="majorBidi"/>
          <w:sz w:val="24"/>
          <w:szCs w:val="24"/>
        </w:rPr>
        <w:t xml:space="preserve">. We see that </w:t>
      </w:r>
      <w:r w:rsidR="00FB4CAE">
        <w:rPr>
          <w:rFonts w:asciiTheme="majorBidi" w:hAnsiTheme="majorBidi" w:cstheme="majorBidi"/>
          <w:sz w:val="24"/>
          <w:szCs w:val="24"/>
        </w:rPr>
        <w:t xml:space="preserve">even </w:t>
      </w:r>
      <w:r w:rsidRPr="00CF7819">
        <w:rPr>
          <w:rFonts w:asciiTheme="majorBidi" w:hAnsiTheme="majorBidi" w:cstheme="majorBidi"/>
          <w:sz w:val="24"/>
          <w:szCs w:val="24"/>
        </w:rPr>
        <w:t xml:space="preserve">an act of </w:t>
      </w:r>
      <w:r w:rsidR="00A2753C">
        <w:rPr>
          <w:rFonts w:asciiTheme="majorBidi" w:hAnsiTheme="majorBidi" w:cstheme="majorBidi"/>
          <w:sz w:val="24"/>
          <w:szCs w:val="24"/>
        </w:rPr>
        <w:t>deceit</w:t>
      </w:r>
      <w:r w:rsidRPr="00CF7819">
        <w:rPr>
          <w:rFonts w:asciiTheme="majorBidi" w:hAnsiTheme="majorBidi" w:cstheme="majorBidi"/>
          <w:sz w:val="24"/>
          <w:szCs w:val="24"/>
        </w:rPr>
        <w:t xml:space="preserve"> </w:t>
      </w:r>
      <w:r w:rsidR="00FB4CAE">
        <w:rPr>
          <w:rFonts w:asciiTheme="majorBidi" w:hAnsiTheme="majorBidi" w:cstheme="majorBidi"/>
          <w:sz w:val="24"/>
          <w:szCs w:val="24"/>
        </w:rPr>
        <w:t xml:space="preserve">may be </w:t>
      </w:r>
      <w:r w:rsidR="00A2753C">
        <w:rPr>
          <w:rFonts w:asciiTheme="majorBidi" w:hAnsiTheme="majorBidi" w:cstheme="majorBidi"/>
          <w:sz w:val="24"/>
          <w:szCs w:val="24"/>
        </w:rPr>
        <w:t>justified</w:t>
      </w:r>
      <w:r w:rsidRPr="00CF7819">
        <w:rPr>
          <w:rFonts w:asciiTheme="majorBidi" w:hAnsiTheme="majorBidi" w:cstheme="majorBidi"/>
          <w:sz w:val="24"/>
          <w:szCs w:val="24"/>
        </w:rPr>
        <w:t xml:space="preserve"> </w:t>
      </w:r>
      <w:r w:rsidR="00A2753C">
        <w:rPr>
          <w:rFonts w:asciiTheme="majorBidi" w:hAnsiTheme="majorBidi" w:cstheme="majorBidi"/>
          <w:sz w:val="24"/>
          <w:szCs w:val="24"/>
        </w:rPr>
        <w:t xml:space="preserve">if it leads to </w:t>
      </w:r>
      <w:r w:rsidRPr="00CF7819">
        <w:rPr>
          <w:rFonts w:asciiTheme="majorBidi" w:hAnsiTheme="majorBidi" w:cstheme="majorBidi"/>
          <w:sz w:val="24"/>
          <w:szCs w:val="24"/>
        </w:rPr>
        <w:t>the needy receiv</w:t>
      </w:r>
      <w:r w:rsidR="00A2753C">
        <w:rPr>
          <w:rFonts w:asciiTheme="majorBidi" w:hAnsiTheme="majorBidi" w:cstheme="majorBidi"/>
          <w:sz w:val="24"/>
          <w:szCs w:val="24"/>
        </w:rPr>
        <w:t>ing</w:t>
      </w:r>
      <w:r w:rsidRPr="00CF7819">
        <w:rPr>
          <w:rFonts w:asciiTheme="majorBidi" w:hAnsiTheme="majorBidi" w:cstheme="majorBidi"/>
          <w:sz w:val="24"/>
          <w:szCs w:val="24"/>
        </w:rPr>
        <w:t xml:space="preserve"> money, </w:t>
      </w:r>
      <w:r w:rsidR="00FB4CAE">
        <w:rPr>
          <w:rFonts w:asciiTheme="majorBidi" w:hAnsiTheme="majorBidi" w:cstheme="majorBidi"/>
          <w:sz w:val="24"/>
          <w:szCs w:val="24"/>
        </w:rPr>
        <w:t>should</w:t>
      </w:r>
      <w:r w:rsidRPr="00CF7819">
        <w:rPr>
          <w:rFonts w:asciiTheme="majorBidi" w:hAnsiTheme="majorBidi" w:cstheme="majorBidi"/>
          <w:sz w:val="24"/>
          <w:szCs w:val="24"/>
        </w:rPr>
        <w:t xml:space="preserve"> he refuse to accept it as charity (giving through a loan, a </w:t>
      </w:r>
      <w:r w:rsidR="00FB4CAE">
        <w:rPr>
          <w:rFonts w:asciiTheme="majorBidi" w:hAnsiTheme="majorBidi" w:cstheme="majorBidi"/>
          <w:sz w:val="24"/>
          <w:szCs w:val="24"/>
        </w:rPr>
        <w:t>donation</w:t>
      </w:r>
      <w:r w:rsidRPr="00CF7819">
        <w:rPr>
          <w:rFonts w:asciiTheme="majorBidi" w:hAnsiTheme="majorBidi" w:cstheme="majorBidi"/>
          <w:sz w:val="24"/>
          <w:szCs w:val="24"/>
        </w:rPr>
        <w:t xml:space="preserve">, etc.). Rabbi </w:t>
      </w:r>
      <w:proofErr w:type="spellStart"/>
      <w:r w:rsidRPr="00CF7819">
        <w:rPr>
          <w:rFonts w:asciiTheme="majorBidi" w:hAnsiTheme="majorBidi" w:cstheme="majorBidi"/>
          <w:sz w:val="24"/>
          <w:szCs w:val="24"/>
        </w:rPr>
        <w:t>Yechiel</w:t>
      </w:r>
      <w:proofErr w:type="spellEnd"/>
      <w:r w:rsidRPr="00CF7819">
        <w:rPr>
          <w:rFonts w:asciiTheme="majorBidi" w:hAnsiTheme="majorBidi" w:cstheme="majorBidi"/>
          <w:sz w:val="24"/>
          <w:szCs w:val="24"/>
        </w:rPr>
        <w:t xml:space="preserve"> Michal Halevi Epstein </w:t>
      </w:r>
      <w:r w:rsidR="00FB4CAE">
        <w:rPr>
          <w:rFonts w:asciiTheme="majorBidi" w:hAnsiTheme="majorBidi" w:cstheme="majorBidi"/>
          <w:sz w:val="24"/>
          <w:szCs w:val="24"/>
        </w:rPr>
        <w:t>went above and beyond</w:t>
      </w:r>
      <w:r w:rsidRPr="00CF7819">
        <w:rPr>
          <w:rFonts w:asciiTheme="majorBidi" w:hAnsiTheme="majorBidi" w:cstheme="majorBidi"/>
          <w:sz w:val="24"/>
          <w:szCs w:val="24"/>
        </w:rPr>
        <w:t xml:space="preserve"> in his book </w:t>
      </w:r>
      <w:proofErr w:type="spellStart"/>
      <w:r w:rsidRPr="00CF7819">
        <w:rPr>
          <w:rFonts w:asciiTheme="majorBidi" w:hAnsiTheme="majorBidi" w:cstheme="majorBidi"/>
          <w:sz w:val="24"/>
          <w:szCs w:val="24"/>
        </w:rPr>
        <w:t>Aruch</w:t>
      </w:r>
      <w:proofErr w:type="spellEnd"/>
      <w:r w:rsidRPr="00CF7819">
        <w:rPr>
          <w:rFonts w:asciiTheme="majorBidi" w:hAnsiTheme="majorBidi" w:cstheme="majorBidi"/>
          <w:sz w:val="24"/>
          <w:szCs w:val="24"/>
        </w:rPr>
        <w:t xml:space="preserve"> </w:t>
      </w:r>
      <w:proofErr w:type="spellStart"/>
      <w:r w:rsidRPr="00CF7819">
        <w:rPr>
          <w:rFonts w:asciiTheme="majorBidi" w:hAnsiTheme="majorBidi" w:cstheme="majorBidi"/>
          <w:sz w:val="24"/>
          <w:szCs w:val="24"/>
        </w:rPr>
        <w:t>Hashulchan</w:t>
      </w:r>
      <w:proofErr w:type="spellEnd"/>
      <w:r w:rsidR="00FB4CAE">
        <w:rPr>
          <w:rStyle w:val="FootnoteReference"/>
          <w:rFonts w:asciiTheme="majorBidi" w:hAnsiTheme="majorBidi" w:cstheme="majorBidi"/>
          <w:sz w:val="24"/>
          <w:szCs w:val="24"/>
        </w:rPr>
        <w:footnoteReference w:id="33"/>
      </w:r>
      <w:r w:rsidRPr="00CF7819">
        <w:rPr>
          <w:rFonts w:asciiTheme="majorBidi" w:hAnsiTheme="majorBidi" w:cstheme="majorBidi"/>
          <w:sz w:val="24"/>
          <w:szCs w:val="24"/>
        </w:rPr>
        <w:t xml:space="preserve">, and ruled - "A poor man who </w:t>
      </w:r>
      <w:r w:rsidRPr="00CF7819">
        <w:rPr>
          <w:rFonts w:asciiTheme="majorBidi" w:hAnsiTheme="majorBidi" w:cstheme="majorBidi"/>
          <w:sz w:val="24"/>
          <w:szCs w:val="24"/>
        </w:rPr>
        <w:lastRenderedPageBreak/>
        <w:t xml:space="preserve">does not want to receive charity and we </w:t>
      </w:r>
      <w:r w:rsidR="00BE0AAE">
        <w:rPr>
          <w:rFonts w:asciiTheme="majorBidi" w:hAnsiTheme="majorBidi" w:cstheme="majorBidi"/>
          <w:sz w:val="24"/>
          <w:szCs w:val="24"/>
        </w:rPr>
        <w:t>know that he is in need of it</w:t>
      </w:r>
      <w:r w:rsidRPr="00CF7819">
        <w:rPr>
          <w:rFonts w:asciiTheme="majorBidi" w:hAnsiTheme="majorBidi" w:cstheme="majorBidi"/>
          <w:sz w:val="24"/>
          <w:szCs w:val="24"/>
        </w:rPr>
        <w:t xml:space="preserve"> - we are obligated to make an effort </w:t>
      </w:r>
      <w:r w:rsidR="00BE0AAE">
        <w:rPr>
          <w:rFonts w:asciiTheme="majorBidi" w:hAnsiTheme="majorBidi" w:cstheme="majorBidi"/>
          <w:sz w:val="24"/>
          <w:szCs w:val="24"/>
        </w:rPr>
        <w:t>for him to accept</w:t>
      </w:r>
      <w:r w:rsidRPr="00CF7819">
        <w:rPr>
          <w:rFonts w:asciiTheme="majorBidi" w:hAnsiTheme="majorBidi" w:cstheme="majorBidi"/>
          <w:sz w:val="24"/>
          <w:szCs w:val="24"/>
        </w:rPr>
        <w:t>" - ​​that is, there is a real obligation for the officials</w:t>
      </w:r>
      <w:r w:rsidR="00BE0AAE">
        <w:rPr>
          <w:rFonts w:asciiTheme="majorBidi" w:hAnsiTheme="majorBidi" w:cstheme="majorBidi"/>
          <w:sz w:val="24"/>
          <w:szCs w:val="24"/>
        </w:rPr>
        <w:t xml:space="preserve"> in charge of funds</w:t>
      </w:r>
      <w:r w:rsidRPr="00CF7819">
        <w:rPr>
          <w:rFonts w:asciiTheme="majorBidi" w:hAnsiTheme="majorBidi" w:cstheme="majorBidi"/>
          <w:sz w:val="24"/>
          <w:szCs w:val="24"/>
        </w:rPr>
        <w:t xml:space="preserve"> to </w:t>
      </w:r>
      <w:r w:rsidR="00BE0AAE">
        <w:rPr>
          <w:rFonts w:asciiTheme="majorBidi" w:hAnsiTheme="majorBidi" w:cstheme="majorBidi"/>
          <w:sz w:val="24"/>
          <w:szCs w:val="24"/>
        </w:rPr>
        <w:t>provid</w:t>
      </w:r>
      <w:r w:rsidRPr="00CF7819">
        <w:rPr>
          <w:rFonts w:asciiTheme="majorBidi" w:hAnsiTheme="majorBidi" w:cstheme="majorBidi"/>
          <w:sz w:val="24"/>
          <w:szCs w:val="24"/>
        </w:rPr>
        <w:t>e money to those in need.</w:t>
      </w:r>
    </w:p>
    <w:p w14:paraId="0F99CD02" w14:textId="0493DCA0" w:rsidR="0054105E" w:rsidRDefault="00CF7819" w:rsidP="00CF7819">
      <w:pPr>
        <w:pStyle w:val="NoSpacing"/>
        <w:spacing w:line="480" w:lineRule="auto"/>
        <w:rPr>
          <w:rFonts w:asciiTheme="majorBidi" w:hAnsiTheme="majorBidi" w:cstheme="majorBidi"/>
          <w:sz w:val="24"/>
          <w:szCs w:val="24"/>
        </w:rPr>
      </w:pPr>
      <w:r w:rsidRPr="00CF7819">
        <w:rPr>
          <w:rFonts w:asciiTheme="majorBidi" w:hAnsiTheme="majorBidi" w:cstheme="majorBidi"/>
          <w:sz w:val="24"/>
          <w:szCs w:val="24"/>
        </w:rPr>
        <w:t xml:space="preserve">We see another example of the fact that despite the </w:t>
      </w:r>
      <w:r w:rsidR="00876272">
        <w:rPr>
          <w:rFonts w:asciiTheme="majorBidi" w:hAnsiTheme="majorBidi" w:cstheme="majorBidi"/>
          <w:sz w:val="24"/>
          <w:szCs w:val="24"/>
        </w:rPr>
        <w:t>constitutional imperative</w:t>
      </w:r>
      <w:r w:rsidRPr="00CF7819">
        <w:rPr>
          <w:rFonts w:asciiTheme="majorBidi" w:hAnsiTheme="majorBidi" w:cstheme="majorBidi"/>
          <w:sz w:val="24"/>
          <w:szCs w:val="24"/>
        </w:rPr>
        <w:t xml:space="preserve"> to </w:t>
      </w:r>
      <w:r w:rsidR="00876272">
        <w:rPr>
          <w:rFonts w:asciiTheme="majorBidi" w:hAnsiTheme="majorBidi" w:cstheme="majorBidi"/>
          <w:sz w:val="24"/>
          <w:szCs w:val="24"/>
        </w:rPr>
        <w:t>base legislation</w:t>
      </w:r>
      <w:r w:rsidR="00B1475E">
        <w:rPr>
          <w:rFonts w:asciiTheme="majorBidi" w:hAnsiTheme="majorBidi" w:cstheme="majorBidi"/>
          <w:sz w:val="24"/>
          <w:szCs w:val="24"/>
        </w:rPr>
        <w:t xml:space="preserve"> on</w:t>
      </w:r>
      <w:r w:rsidRPr="00CF7819">
        <w:rPr>
          <w:rFonts w:asciiTheme="majorBidi" w:hAnsiTheme="majorBidi" w:cstheme="majorBidi"/>
          <w:sz w:val="24"/>
          <w:szCs w:val="24"/>
        </w:rPr>
        <w:t xml:space="preserve"> Jewish law, the Israeli legislature chose in </w:t>
      </w:r>
      <w:r w:rsidR="00B1475E">
        <w:rPr>
          <w:rFonts w:asciiTheme="majorBidi" w:hAnsiTheme="majorBidi" w:cstheme="majorBidi"/>
          <w:sz w:val="24"/>
          <w:szCs w:val="24"/>
        </w:rPr>
        <w:t xml:space="preserve">the </w:t>
      </w:r>
      <w:r w:rsidRPr="00CF7819">
        <w:rPr>
          <w:rFonts w:asciiTheme="majorBidi" w:hAnsiTheme="majorBidi" w:cstheme="majorBidi"/>
          <w:sz w:val="24"/>
          <w:szCs w:val="24"/>
        </w:rPr>
        <w:t xml:space="preserve">case of </w:t>
      </w:r>
      <w:r w:rsidR="00876272">
        <w:rPr>
          <w:rFonts w:asciiTheme="majorBidi" w:hAnsiTheme="majorBidi" w:cstheme="majorBidi"/>
          <w:sz w:val="24"/>
          <w:szCs w:val="24"/>
        </w:rPr>
        <w:t>benefits claiming</w:t>
      </w:r>
      <w:r w:rsidRPr="00CF7819">
        <w:rPr>
          <w:rFonts w:asciiTheme="majorBidi" w:hAnsiTheme="majorBidi" w:cstheme="majorBidi"/>
          <w:sz w:val="24"/>
          <w:szCs w:val="24"/>
        </w:rPr>
        <w:t xml:space="preserve"> to deviate sharply from the </w:t>
      </w:r>
      <w:r w:rsidR="008C4380">
        <w:rPr>
          <w:rFonts w:asciiTheme="majorBidi" w:hAnsiTheme="majorBidi" w:cstheme="majorBidi"/>
          <w:sz w:val="24"/>
          <w:szCs w:val="24"/>
        </w:rPr>
        <w:t>philosophy</w:t>
      </w:r>
      <w:r w:rsidRPr="00CF7819">
        <w:rPr>
          <w:rFonts w:asciiTheme="majorBidi" w:hAnsiTheme="majorBidi" w:cstheme="majorBidi"/>
          <w:sz w:val="24"/>
          <w:szCs w:val="24"/>
        </w:rPr>
        <w:t xml:space="preserve"> of Jewish law, and to establish a system of assistance to the needy based on the claim of th</w:t>
      </w:r>
      <w:r w:rsidR="00B1475E">
        <w:rPr>
          <w:rFonts w:asciiTheme="majorBidi" w:hAnsiTheme="majorBidi" w:cstheme="majorBidi"/>
          <w:sz w:val="24"/>
          <w:szCs w:val="24"/>
        </w:rPr>
        <w:t>at</w:t>
      </w:r>
      <w:r w:rsidRPr="00CF7819">
        <w:rPr>
          <w:rFonts w:asciiTheme="majorBidi" w:hAnsiTheme="majorBidi" w:cstheme="majorBidi"/>
          <w:sz w:val="24"/>
          <w:szCs w:val="24"/>
        </w:rPr>
        <w:t xml:space="preserve"> right by the needy.</w:t>
      </w:r>
      <w:r w:rsidR="00B1475E">
        <w:rPr>
          <w:rFonts w:asciiTheme="majorBidi" w:hAnsiTheme="majorBidi" w:cstheme="majorBidi"/>
          <w:sz w:val="24"/>
          <w:szCs w:val="24"/>
        </w:rPr>
        <w:t xml:space="preserve"> To an outside observer</w:t>
      </w:r>
      <w:r w:rsidRPr="00CF7819">
        <w:rPr>
          <w:rFonts w:asciiTheme="majorBidi" w:hAnsiTheme="majorBidi" w:cstheme="majorBidi"/>
          <w:sz w:val="24"/>
          <w:szCs w:val="24"/>
        </w:rPr>
        <w:t xml:space="preserve">, it </w:t>
      </w:r>
      <w:r w:rsidR="00B1475E">
        <w:rPr>
          <w:rFonts w:asciiTheme="majorBidi" w:hAnsiTheme="majorBidi" w:cstheme="majorBidi"/>
          <w:sz w:val="24"/>
          <w:szCs w:val="24"/>
        </w:rPr>
        <w:t>may seem</w:t>
      </w:r>
      <w:r w:rsidRPr="00CF7819">
        <w:rPr>
          <w:rFonts w:asciiTheme="majorBidi" w:hAnsiTheme="majorBidi" w:cstheme="majorBidi"/>
          <w:sz w:val="24"/>
          <w:szCs w:val="24"/>
        </w:rPr>
        <w:t xml:space="preserve"> that there is </w:t>
      </w:r>
      <w:r w:rsidR="00B1475E">
        <w:rPr>
          <w:rFonts w:asciiTheme="majorBidi" w:hAnsiTheme="majorBidi" w:cstheme="majorBidi"/>
          <w:sz w:val="24"/>
          <w:szCs w:val="24"/>
        </w:rPr>
        <w:t>fault</w:t>
      </w:r>
      <w:r w:rsidRPr="00CF7819">
        <w:rPr>
          <w:rFonts w:asciiTheme="majorBidi" w:hAnsiTheme="majorBidi" w:cstheme="majorBidi"/>
          <w:sz w:val="24"/>
          <w:szCs w:val="24"/>
        </w:rPr>
        <w:t xml:space="preserve"> </w:t>
      </w:r>
      <w:r w:rsidR="00B1475E">
        <w:rPr>
          <w:rFonts w:asciiTheme="majorBidi" w:hAnsiTheme="majorBidi" w:cstheme="majorBidi"/>
          <w:sz w:val="24"/>
          <w:szCs w:val="24"/>
        </w:rPr>
        <w:t>in</w:t>
      </w:r>
      <w:r w:rsidRPr="00CF7819">
        <w:rPr>
          <w:rFonts w:asciiTheme="majorBidi" w:hAnsiTheme="majorBidi" w:cstheme="majorBidi"/>
          <w:sz w:val="24"/>
          <w:szCs w:val="24"/>
        </w:rPr>
        <w:t xml:space="preserve"> the approach of Israeli law, which unintentionally prevents the granting of relief to all </w:t>
      </w:r>
      <w:r w:rsidR="00B1475E">
        <w:rPr>
          <w:rFonts w:asciiTheme="majorBidi" w:hAnsiTheme="majorBidi" w:cstheme="majorBidi"/>
          <w:sz w:val="24"/>
          <w:szCs w:val="24"/>
        </w:rPr>
        <w:t xml:space="preserve">of </w:t>
      </w:r>
      <w:r w:rsidRPr="00CF7819">
        <w:rPr>
          <w:rFonts w:asciiTheme="majorBidi" w:hAnsiTheme="majorBidi" w:cstheme="majorBidi"/>
          <w:sz w:val="24"/>
          <w:szCs w:val="24"/>
        </w:rPr>
        <w:t xml:space="preserve">those </w:t>
      </w:r>
      <w:r w:rsidR="00B1475E">
        <w:rPr>
          <w:rFonts w:asciiTheme="majorBidi" w:hAnsiTheme="majorBidi" w:cstheme="majorBidi"/>
          <w:sz w:val="24"/>
          <w:szCs w:val="24"/>
        </w:rPr>
        <w:t xml:space="preserve">who </w:t>
      </w:r>
      <w:r w:rsidRPr="00CF7819">
        <w:rPr>
          <w:rFonts w:asciiTheme="majorBidi" w:hAnsiTheme="majorBidi" w:cstheme="majorBidi"/>
          <w:sz w:val="24"/>
          <w:szCs w:val="24"/>
        </w:rPr>
        <w:t>need</w:t>
      </w:r>
      <w:r w:rsidR="00B1475E">
        <w:rPr>
          <w:rFonts w:asciiTheme="majorBidi" w:hAnsiTheme="majorBidi" w:cstheme="majorBidi"/>
          <w:sz w:val="24"/>
          <w:szCs w:val="24"/>
        </w:rPr>
        <w:t xml:space="preserve"> it</w:t>
      </w:r>
      <w:r w:rsidRPr="00CF7819">
        <w:rPr>
          <w:rFonts w:asciiTheme="majorBidi" w:hAnsiTheme="majorBidi" w:cstheme="majorBidi"/>
          <w:sz w:val="24"/>
          <w:szCs w:val="24"/>
        </w:rPr>
        <w:t>.</w:t>
      </w:r>
    </w:p>
    <w:p w14:paraId="4DFE50C9" w14:textId="530A61D1" w:rsidR="0042582A" w:rsidRDefault="0042582A" w:rsidP="0042582A">
      <w:pPr>
        <w:pStyle w:val="NoSpacing"/>
        <w:spacing w:line="480" w:lineRule="auto"/>
        <w:rPr>
          <w:rFonts w:asciiTheme="majorBidi" w:hAnsiTheme="majorBidi" w:cstheme="majorBidi"/>
          <w:sz w:val="24"/>
          <w:szCs w:val="24"/>
        </w:rPr>
      </w:pPr>
      <w:r w:rsidRPr="0042582A">
        <w:rPr>
          <w:rFonts w:asciiTheme="majorBidi" w:hAnsiTheme="majorBidi" w:cstheme="majorBidi"/>
          <w:sz w:val="24"/>
          <w:szCs w:val="24"/>
        </w:rPr>
        <w:t xml:space="preserve">In this example, </w:t>
      </w:r>
      <w:r>
        <w:rPr>
          <w:rFonts w:asciiTheme="majorBidi" w:hAnsiTheme="majorBidi" w:cstheme="majorBidi"/>
          <w:sz w:val="24"/>
          <w:szCs w:val="24"/>
        </w:rPr>
        <w:t xml:space="preserve">as </w:t>
      </w:r>
      <w:r w:rsidRPr="0042582A">
        <w:rPr>
          <w:rFonts w:asciiTheme="majorBidi" w:hAnsiTheme="majorBidi" w:cstheme="majorBidi"/>
          <w:sz w:val="24"/>
          <w:szCs w:val="24"/>
        </w:rPr>
        <w:t xml:space="preserve">compared to the previous example, we would think that the intervention of Israeli law as an interpreter of the intention of the legislature would actually be for the better, and the bias of Israeli law towards </w:t>
      </w:r>
      <w:r>
        <w:rPr>
          <w:rFonts w:asciiTheme="majorBidi" w:hAnsiTheme="majorBidi" w:cstheme="majorBidi"/>
          <w:sz w:val="24"/>
          <w:szCs w:val="24"/>
        </w:rPr>
        <w:t>Jewish</w:t>
      </w:r>
      <w:r w:rsidRPr="0042582A">
        <w:rPr>
          <w:rFonts w:asciiTheme="majorBidi" w:hAnsiTheme="majorBidi" w:cstheme="majorBidi"/>
          <w:sz w:val="24"/>
          <w:szCs w:val="24"/>
        </w:rPr>
        <w:t xml:space="preserve"> law as required by the Bas</w:t>
      </w:r>
      <w:r>
        <w:rPr>
          <w:rFonts w:asciiTheme="majorBidi" w:hAnsiTheme="majorBidi" w:cstheme="majorBidi"/>
          <w:sz w:val="24"/>
          <w:szCs w:val="24"/>
        </w:rPr>
        <w:t>e</w:t>
      </w:r>
      <w:r w:rsidRPr="0042582A">
        <w:rPr>
          <w:rFonts w:asciiTheme="majorBidi" w:hAnsiTheme="majorBidi" w:cstheme="majorBidi"/>
          <w:sz w:val="24"/>
          <w:szCs w:val="24"/>
        </w:rPr>
        <w:t xml:space="preserve"> Law</w:t>
      </w:r>
      <w:r>
        <w:rPr>
          <w:rFonts w:asciiTheme="majorBidi" w:hAnsiTheme="majorBidi" w:cstheme="majorBidi"/>
          <w:sz w:val="24"/>
          <w:szCs w:val="24"/>
        </w:rPr>
        <w:t>s</w:t>
      </w:r>
      <w:r w:rsidRPr="0042582A">
        <w:rPr>
          <w:rFonts w:asciiTheme="majorBidi" w:hAnsiTheme="majorBidi" w:cstheme="majorBidi"/>
          <w:sz w:val="24"/>
          <w:szCs w:val="24"/>
        </w:rPr>
        <w:t xml:space="preserve"> </w:t>
      </w:r>
      <w:r>
        <w:rPr>
          <w:rFonts w:asciiTheme="majorBidi" w:hAnsiTheme="majorBidi" w:cstheme="majorBidi"/>
          <w:sz w:val="24"/>
          <w:szCs w:val="24"/>
        </w:rPr>
        <w:t>would</w:t>
      </w:r>
      <w:r w:rsidRPr="0042582A">
        <w:rPr>
          <w:rFonts w:asciiTheme="majorBidi" w:hAnsiTheme="majorBidi" w:cstheme="majorBidi"/>
          <w:sz w:val="24"/>
          <w:szCs w:val="24"/>
        </w:rPr>
        <w:t xml:space="preserve"> implement justice in a better and broader way. The </w:t>
      </w:r>
      <w:r w:rsidR="008C4380">
        <w:rPr>
          <w:rFonts w:asciiTheme="majorBidi" w:hAnsiTheme="majorBidi" w:cstheme="majorBidi"/>
          <w:sz w:val="24"/>
          <w:szCs w:val="24"/>
        </w:rPr>
        <w:t>tenets</w:t>
      </w:r>
      <w:r w:rsidRPr="0042582A">
        <w:rPr>
          <w:rFonts w:asciiTheme="majorBidi" w:hAnsiTheme="majorBidi" w:cstheme="majorBidi"/>
          <w:sz w:val="24"/>
          <w:szCs w:val="24"/>
        </w:rPr>
        <w:t xml:space="preserve"> of Jewish law </w:t>
      </w:r>
      <w:r w:rsidR="008C4380">
        <w:rPr>
          <w:rFonts w:asciiTheme="majorBidi" w:hAnsiTheme="majorBidi" w:cstheme="majorBidi"/>
          <w:sz w:val="24"/>
          <w:szCs w:val="24"/>
        </w:rPr>
        <w:t>are</w:t>
      </w:r>
      <w:r w:rsidRPr="0042582A">
        <w:rPr>
          <w:rFonts w:asciiTheme="majorBidi" w:hAnsiTheme="majorBidi" w:cstheme="majorBidi"/>
          <w:sz w:val="24"/>
          <w:szCs w:val="24"/>
        </w:rPr>
        <w:t xml:space="preserve"> indeed more appropriate </w:t>
      </w:r>
      <w:r w:rsidR="008C4380">
        <w:rPr>
          <w:rFonts w:asciiTheme="majorBidi" w:hAnsiTheme="majorBidi" w:cstheme="majorBidi"/>
          <w:sz w:val="24"/>
          <w:szCs w:val="24"/>
        </w:rPr>
        <w:t>so far</w:t>
      </w:r>
      <w:r w:rsidRPr="0042582A">
        <w:rPr>
          <w:rFonts w:asciiTheme="majorBidi" w:hAnsiTheme="majorBidi" w:cstheme="majorBidi"/>
          <w:sz w:val="24"/>
          <w:szCs w:val="24"/>
        </w:rPr>
        <w:t xml:space="preserve"> as it </w:t>
      </w:r>
      <w:r w:rsidR="008C4380">
        <w:rPr>
          <w:rFonts w:asciiTheme="majorBidi" w:hAnsiTheme="majorBidi" w:cstheme="majorBidi"/>
          <w:sz w:val="24"/>
          <w:szCs w:val="24"/>
        </w:rPr>
        <w:t>applies to communal conditions</w:t>
      </w:r>
      <w:r w:rsidR="008C4380">
        <w:rPr>
          <w:rStyle w:val="FootnoteReference"/>
          <w:rFonts w:asciiTheme="majorBidi" w:hAnsiTheme="majorBidi" w:cstheme="majorBidi"/>
          <w:sz w:val="24"/>
          <w:szCs w:val="24"/>
        </w:rPr>
        <w:footnoteReference w:id="34"/>
      </w:r>
      <w:r w:rsidRPr="0042582A">
        <w:rPr>
          <w:rFonts w:asciiTheme="majorBidi" w:hAnsiTheme="majorBidi" w:cstheme="majorBidi"/>
          <w:sz w:val="24"/>
          <w:szCs w:val="24"/>
        </w:rPr>
        <w:t xml:space="preserve">, but the question arises whether it </w:t>
      </w:r>
      <w:r w:rsidR="008C4380">
        <w:rPr>
          <w:rFonts w:asciiTheme="majorBidi" w:hAnsiTheme="majorBidi" w:cstheme="majorBidi"/>
          <w:sz w:val="24"/>
          <w:szCs w:val="24"/>
        </w:rPr>
        <w:t xml:space="preserve">could </w:t>
      </w:r>
      <w:r w:rsidRPr="0042582A">
        <w:rPr>
          <w:rFonts w:asciiTheme="majorBidi" w:hAnsiTheme="majorBidi" w:cstheme="majorBidi"/>
          <w:sz w:val="24"/>
          <w:szCs w:val="24"/>
        </w:rPr>
        <w:t xml:space="preserve">also </w:t>
      </w:r>
      <w:r w:rsidR="008C4380">
        <w:rPr>
          <w:rFonts w:asciiTheme="majorBidi" w:hAnsiTheme="majorBidi" w:cstheme="majorBidi"/>
          <w:sz w:val="24"/>
          <w:szCs w:val="24"/>
        </w:rPr>
        <w:t>be practical</w:t>
      </w:r>
      <w:r w:rsidRPr="0042582A">
        <w:rPr>
          <w:rFonts w:asciiTheme="majorBidi" w:hAnsiTheme="majorBidi" w:cstheme="majorBidi"/>
          <w:sz w:val="24"/>
          <w:szCs w:val="24"/>
        </w:rPr>
        <w:t xml:space="preserve"> </w:t>
      </w:r>
      <w:r w:rsidR="008C4380">
        <w:rPr>
          <w:rFonts w:asciiTheme="majorBidi" w:hAnsiTheme="majorBidi" w:cstheme="majorBidi"/>
          <w:sz w:val="24"/>
          <w:szCs w:val="24"/>
        </w:rPr>
        <w:t>on a nationwide basis.</w:t>
      </w:r>
      <w:r w:rsidRPr="0042582A">
        <w:rPr>
          <w:rFonts w:asciiTheme="majorBidi" w:hAnsiTheme="majorBidi" w:cstheme="majorBidi"/>
          <w:sz w:val="24"/>
          <w:szCs w:val="24"/>
        </w:rPr>
        <w:t xml:space="preserve"> In a commun</w:t>
      </w:r>
      <w:r w:rsidR="008C4380">
        <w:rPr>
          <w:rFonts w:asciiTheme="majorBidi" w:hAnsiTheme="majorBidi" w:cstheme="majorBidi"/>
          <w:sz w:val="24"/>
          <w:szCs w:val="24"/>
        </w:rPr>
        <w:t>al</w:t>
      </w:r>
      <w:r w:rsidRPr="0042582A">
        <w:rPr>
          <w:rFonts w:asciiTheme="majorBidi" w:hAnsiTheme="majorBidi" w:cstheme="majorBidi"/>
          <w:sz w:val="24"/>
          <w:szCs w:val="24"/>
        </w:rPr>
        <w:t xml:space="preserve"> model, it is indeed easy and clear </w:t>
      </w:r>
      <w:r w:rsidR="008C4380">
        <w:rPr>
          <w:rFonts w:asciiTheme="majorBidi" w:hAnsiTheme="majorBidi" w:cstheme="majorBidi"/>
          <w:sz w:val="24"/>
          <w:szCs w:val="24"/>
        </w:rPr>
        <w:t xml:space="preserve">to ascertain </w:t>
      </w:r>
      <w:r w:rsidRPr="0042582A">
        <w:rPr>
          <w:rFonts w:asciiTheme="majorBidi" w:hAnsiTheme="majorBidi" w:cstheme="majorBidi"/>
          <w:sz w:val="24"/>
          <w:szCs w:val="24"/>
        </w:rPr>
        <w:t xml:space="preserve">who needs financial assistance, but can this also be </w:t>
      </w:r>
      <w:r w:rsidR="007639D7">
        <w:rPr>
          <w:rFonts w:asciiTheme="majorBidi" w:hAnsiTheme="majorBidi" w:cstheme="majorBidi"/>
          <w:sz w:val="24"/>
          <w:szCs w:val="24"/>
        </w:rPr>
        <w:t>applied to</w:t>
      </w:r>
      <w:r w:rsidRPr="0042582A">
        <w:rPr>
          <w:rFonts w:asciiTheme="majorBidi" w:hAnsiTheme="majorBidi" w:cstheme="majorBidi"/>
          <w:sz w:val="24"/>
          <w:szCs w:val="24"/>
        </w:rPr>
        <w:t xml:space="preserve"> a </w:t>
      </w:r>
      <w:r w:rsidR="008C4380">
        <w:rPr>
          <w:rFonts w:asciiTheme="majorBidi" w:hAnsiTheme="majorBidi" w:cstheme="majorBidi"/>
          <w:sz w:val="24"/>
          <w:szCs w:val="24"/>
        </w:rPr>
        <w:t>nationwide model</w:t>
      </w:r>
      <w:r w:rsidRPr="0042582A">
        <w:rPr>
          <w:rFonts w:asciiTheme="majorBidi" w:hAnsiTheme="majorBidi" w:cstheme="majorBidi"/>
          <w:sz w:val="24"/>
          <w:szCs w:val="24"/>
        </w:rPr>
        <w:t xml:space="preserve">? Is not the fear that </w:t>
      </w:r>
      <w:r w:rsidR="007639D7">
        <w:rPr>
          <w:rFonts w:asciiTheme="majorBidi" w:hAnsiTheme="majorBidi" w:cstheme="majorBidi"/>
          <w:sz w:val="24"/>
          <w:szCs w:val="24"/>
        </w:rPr>
        <w:t>cheaters w</w:t>
      </w:r>
      <w:r w:rsidR="005F01F1">
        <w:rPr>
          <w:rFonts w:asciiTheme="majorBidi" w:hAnsiTheme="majorBidi" w:cstheme="majorBidi"/>
          <w:sz w:val="24"/>
          <w:szCs w:val="24"/>
        </w:rPr>
        <w:t>ill</w:t>
      </w:r>
      <w:r w:rsidR="007639D7">
        <w:rPr>
          <w:rFonts w:asciiTheme="majorBidi" w:hAnsiTheme="majorBidi" w:cstheme="majorBidi"/>
          <w:sz w:val="24"/>
          <w:szCs w:val="24"/>
        </w:rPr>
        <w:t xml:space="preserve"> try</w:t>
      </w:r>
      <w:r w:rsidRPr="0042582A">
        <w:rPr>
          <w:rFonts w:asciiTheme="majorBidi" w:hAnsiTheme="majorBidi" w:cstheme="majorBidi"/>
          <w:sz w:val="24"/>
          <w:szCs w:val="24"/>
        </w:rPr>
        <w:t xml:space="preserve"> to </w:t>
      </w:r>
      <w:r w:rsidR="005F01F1">
        <w:rPr>
          <w:rFonts w:asciiTheme="majorBidi" w:hAnsiTheme="majorBidi" w:cstheme="majorBidi"/>
          <w:sz w:val="24"/>
          <w:szCs w:val="24"/>
        </w:rPr>
        <w:t>defraud</w:t>
      </w:r>
      <w:r w:rsidRPr="0042582A">
        <w:rPr>
          <w:rFonts w:asciiTheme="majorBidi" w:hAnsiTheme="majorBidi" w:cstheme="majorBidi"/>
          <w:sz w:val="24"/>
          <w:szCs w:val="24"/>
        </w:rPr>
        <w:t xml:space="preserve"> </w:t>
      </w:r>
      <w:r w:rsidR="005F01F1">
        <w:rPr>
          <w:rFonts w:asciiTheme="majorBidi" w:hAnsiTheme="majorBidi" w:cstheme="majorBidi"/>
          <w:sz w:val="24"/>
          <w:szCs w:val="24"/>
        </w:rPr>
        <w:t>the system</w:t>
      </w:r>
      <w:r w:rsidRPr="0042582A">
        <w:rPr>
          <w:rFonts w:asciiTheme="majorBidi" w:hAnsiTheme="majorBidi" w:cstheme="majorBidi"/>
          <w:sz w:val="24"/>
          <w:szCs w:val="24"/>
        </w:rPr>
        <w:t xml:space="preserve"> outweigh the desire to help the needy? Or </w:t>
      </w:r>
      <w:r w:rsidR="007639D7">
        <w:rPr>
          <w:rFonts w:asciiTheme="majorBidi" w:hAnsiTheme="majorBidi" w:cstheme="majorBidi"/>
          <w:sz w:val="24"/>
          <w:szCs w:val="24"/>
        </w:rPr>
        <w:t>running the risk of</w:t>
      </w:r>
      <w:r w:rsidRPr="0042582A">
        <w:rPr>
          <w:rFonts w:asciiTheme="majorBidi" w:hAnsiTheme="majorBidi" w:cstheme="majorBidi"/>
          <w:sz w:val="24"/>
          <w:szCs w:val="24"/>
        </w:rPr>
        <w:t xml:space="preserve"> distributing money to those who do not really need it at the expense of people who do need it? Are these concerns not sufficient to turn the commun</w:t>
      </w:r>
      <w:r w:rsidR="007639D7">
        <w:rPr>
          <w:rFonts w:asciiTheme="majorBidi" w:hAnsiTheme="majorBidi" w:cstheme="majorBidi"/>
          <w:sz w:val="24"/>
          <w:szCs w:val="24"/>
        </w:rPr>
        <w:t>al</w:t>
      </w:r>
      <w:r w:rsidRPr="0042582A">
        <w:rPr>
          <w:rFonts w:asciiTheme="majorBidi" w:hAnsiTheme="majorBidi" w:cstheme="majorBidi"/>
          <w:sz w:val="24"/>
          <w:szCs w:val="24"/>
        </w:rPr>
        <w:t xml:space="preserve"> model proposed by Jewish law into the </w:t>
      </w:r>
      <w:r w:rsidR="007639D7">
        <w:rPr>
          <w:rFonts w:asciiTheme="majorBidi" w:hAnsiTheme="majorBidi" w:cstheme="majorBidi"/>
          <w:sz w:val="24"/>
          <w:szCs w:val="24"/>
        </w:rPr>
        <w:t>national</w:t>
      </w:r>
      <w:r w:rsidRPr="0042582A">
        <w:rPr>
          <w:rFonts w:asciiTheme="majorBidi" w:hAnsiTheme="majorBidi" w:cstheme="majorBidi"/>
          <w:sz w:val="24"/>
          <w:szCs w:val="24"/>
        </w:rPr>
        <w:t xml:space="preserve"> model proposed by Israeli law? Although </w:t>
      </w:r>
      <w:r w:rsidR="007639D7">
        <w:rPr>
          <w:rFonts w:asciiTheme="majorBidi" w:hAnsiTheme="majorBidi" w:cstheme="majorBidi"/>
          <w:sz w:val="24"/>
          <w:szCs w:val="24"/>
        </w:rPr>
        <w:t>this</w:t>
      </w:r>
      <w:r w:rsidRPr="0042582A">
        <w:rPr>
          <w:rFonts w:asciiTheme="majorBidi" w:hAnsiTheme="majorBidi" w:cstheme="majorBidi"/>
          <w:sz w:val="24"/>
          <w:szCs w:val="24"/>
        </w:rPr>
        <w:t xml:space="preserve"> </w:t>
      </w:r>
      <w:r w:rsidR="007639D7">
        <w:rPr>
          <w:rFonts w:asciiTheme="majorBidi" w:hAnsiTheme="majorBidi" w:cstheme="majorBidi"/>
          <w:sz w:val="24"/>
          <w:szCs w:val="24"/>
        </w:rPr>
        <w:t>merits</w:t>
      </w:r>
      <w:r w:rsidRPr="0042582A">
        <w:rPr>
          <w:rFonts w:asciiTheme="majorBidi" w:hAnsiTheme="majorBidi" w:cstheme="majorBidi"/>
          <w:sz w:val="24"/>
          <w:szCs w:val="24"/>
        </w:rPr>
        <w:t xml:space="preserve"> a long discussion, th</w:t>
      </w:r>
      <w:r w:rsidR="007639D7">
        <w:rPr>
          <w:rFonts w:asciiTheme="majorBidi" w:hAnsiTheme="majorBidi" w:cstheme="majorBidi"/>
          <w:sz w:val="24"/>
          <w:szCs w:val="24"/>
        </w:rPr>
        <w:t>is</w:t>
      </w:r>
      <w:r w:rsidRPr="0042582A">
        <w:rPr>
          <w:rFonts w:asciiTheme="majorBidi" w:hAnsiTheme="majorBidi" w:cstheme="majorBidi"/>
          <w:sz w:val="24"/>
          <w:szCs w:val="24"/>
        </w:rPr>
        <w:t xml:space="preserve"> is no</w:t>
      </w:r>
      <w:r w:rsidR="00714EA1">
        <w:rPr>
          <w:rFonts w:asciiTheme="majorBidi" w:hAnsiTheme="majorBidi" w:cstheme="majorBidi"/>
          <w:sz w:val="24"/>
          <w:szCs w:val="24"/>
        </w:rPr>
        <w:t>t</w:t>
      </w:r>
      <w:r w:rsidRPr="0042582A">
        <w:rPr>
          <w:rFonts w:asciiTheme="majorBidi" w:hAnsiTheme="majorBidi" w:cstheme="majorBidi"/>
          <w:sz w:val="24"/>
          <w:szCs w:val="24"/>
        </w:rPr>
        <w:t xml:space="preserve"> </w:t>
      </w:r>
      <w:r w:rsidR="00714EA1">
        <w:rPr>
          <w:rFonts w:asciiTheme="majorBidi" w:hAnsiTheme="majorBidi" w:cstheme="majorBidi"/>
          <w:sz w:val="24"/>
          <w:szCs w:val="24"/>
        </w:rPr>
        <w:t>the proper forum</w:t>
      </w:r>
      <w:r w:rsidRPr="0042582A">
        <w:rPr>
          <w:rFonts w:asciiTheme="majorBidi" w:hAnsiTheme="majorBidi" w:cstheme="majorBidi"/>
          <w:sz w:val="24"/>
          <w:szCs w:val="24"/>
        </w:rPr>
        <w:t xml:space="preserve"> to elaborate, but it can only be concluded that the </w:t>
      </w:r>
      <w:r w:rsidR="00714EA1">
        <w:rPr>
          <w:rFonts w:asciiTheme="majorBidi" w:hAnsiTheme="majorBidi" w:cstheme="majorBidi"/>
          <w:sz w:val="24"/>
          <w:szCs w:val="24"/>
        </w:rPr>
        <w:t xml:space="preserve">judicial </w:t>
      </w:r>
      <w:r w:rsidRPr="0042582A">
        <w:rPr>
          <w:rFonts w:asciiTheme="majorBidi" w:hAnsiTheme="majorBidi" w:cstheme="majorBidi"/>
          <w:sz w:val="24"/>
          <w:szCs w:val="24"/>
        </w:rPr>
        <w:lastRenderedPageBreak/>
        <w:t xml:space="preserve">intervention in the Israeli model </w:t>
      </w:r>
      <w:r w:rsidR="00714EA1">
        <w:rPr>
          <w:rFonts w:asciiTheme="majorBidi" w:hAnsiTheme="majorBidi" w:cstheme="majorBidi"/>
          <w:sz w:val="24"/>
          <w:szCs w:val="24"/>
        </w:rPr>
        <w:t>does</w:t>
      </w:r>
      <w:r w:rsidRPr="0042582A">
        <w:rPr>
          <w:rFonts w:asciiTheme="majorBidi" w:hAnsiTheme="majorBidi" w:cstheme="majorBidi"/>
          <w:sz w:val="24"/>
          <w:szCs w:val="24"/>
        </w:rPr>
        <w:t xml:space="preserve"> not necessarily lead to a better </w:t>
      </w:r>
      <w:r w:rsidR="00714EA1">
        <w:rPr>
          <w:rFonts w:asciiTheme="majorBidi" w:hAnsiTheme="majorBidi" w:cstheme="majorBidi"/>
          <w:sz w:val="24"/>
          <w:szCs w:val="24"/>
        </w:rPr>
        <w:t>dispensation</w:t>
      </w:r>
      <w:r w:rsidRPr="0042582A">
        <w:rPr>
          <w:rFonts w:asciiTheme="majorBidi" w:hAnsiTheme="majorBidi" w:cstheme="majorBidi"/>
          <w:sz w:val="24"/>
          <w:szCs w:val="24"/>
        </w:rPr>
        <w:t xml:space="preserve"> of justice. </w:t>
      </w:r>
      <w:r w:rsidR="00714EA1">
        <w:rPr>
          <w:rFonts w:asciiTheme="majorBidi" w:hAnsiTheme="majorBidi" w:cstheme="majorBidi"/>
          <w:sz w:val="24"/>
          <w:szCs w:val="24"/>
        </w:rPr>
        <w:t>Therefore,</w:t>
      </w:r>
      <w:r w:rsidRPr="0042582A">
        <w:rPr>
          <w:rFonts w:asciiTheme="majorBidi" w:hAnsiTheme="majorBidi" w:cstheme="majorBidi"/>
          <w:sz w:val="24"/>
          <w:szCs w:val="24"/>
        </w:rPr>
        <w:t xml:space="preserve"> one c</w:t>
      </w:r>
      <w:r w:rsidR="00714EA1">
        <w:rPr>
          <w:rFonts w:asciiTheme="majorBidi" w:hAnsiTheme="majorBidi" w:cstheme="majorBidi"/>
          <w:sz w:val="24"/>
          <w:szCs w:val="24"/>
        </w:rPr>
        <w:t>ould</w:t>
      </w:r>
      <w:r w:rsidRPr="0042582A">
        <w:rPr>
          <w:rFonts w:asciiTheme="majorBidi" w:hAnsiTheme="majorBidi" w:cstheme="majorBidi"/>
          <w:sz w:val="24"/>
          <w:szCs w:val="24"/>
        </w:rPr>
        <w:t xml:space="preserve"> disagree with the conclusion of the author of the article, and see how activism and judicial interpretation of the law may actually detract from the justice that that law is trying to </w:t>
      </w:r>
      <w:r w:rsidR="00714EA1">
        <w:rPr>
          <w:rFonts w:asciiTheme="majorBidi" w:hAnsiTheme="majorBidi" w:cstheme="majorBidi"/>
          <w:sz w:val="24"/>
          <w:szCs w:val="24"/>
        </w:rPr>
        <w:t>dispens</w:t>
      </w:r>
      <w:r w:rsidRPr="0042582A">
        <w:rPr>
          <w:rFonts w:asciiTheme="majorBidi" w:hAnsiTheme="majorBidi" w:cstheme="majorBidi"/>
          <w:sz w:val="24"/>
          <w:szCs w:val="24"/>
        </w:rPr>
        <w:t>e.</w:t>
      </w:r>
    </w:p>
    <w:p w14:paraId="5010E217" w14:textId="77777777" w:rsidR="00714EA1" w:rsidRPr="0042582A" w:rsidRDefault="00714EA1" w:rsidP="0042582A">
      <w:pPr>
        <w:pStyle w:val="NoSpacing"/>
        <w:spacing w:line="480" w:lineRule="auto"/>
        <w:rPr>
          <w:rFonts w:asciiTheme="majorBidi" w:hAnsiTheme="majorBidi" w:cstheme="majorBidi"/>
          <w:sz w:val="24"/>
          <w:szCs w:val="24"/>
        </w:rPr>
      </w:pPr>
    </w:p>
    <w:p w14:paraId="306E16A6" w14:textId="32BE71E2" w:rsidR="0042582A" w:rsidRPr="00714EA1" w:rsidRDefault="0042582A" w:rsidP="0042582A">
      <w:pPr>
        <w:pStyle w:val="NoSpacing"/>
        <w:spacing w:line="480" w:lineRule="auto"/>
        <w:rPr>
          <w:rFonts w:asciiTheme="majorBidi" w:hAnsiTheme="majorBidi" w:cstheme="majorBidi"/>
          <w:b/>
          <w:bCs/>
          <w:sz w:val="24"/>
          <w:szCs w:val="24"/>
          <w:u w:val="single"/>
        </w:rPr>
      </w:pPr>
      <w:r w:rsidRPr="00714EA1">
        <w:rPr>
          <w:rFonts w:asciiTheme="majorBidi" w:hAnsiTheme="majorBidi" w:cstheme="majorBidi"/>
          <w:b/>
          <w:bCs/>
          <w:sz w:val="24"/>
          <w:szCs w:val="24"/>
          <w:u w:val="single"/>
        </w:rPr>
        <w:t>Summary</w:t>
      </w:r>
      <w:r w:rsidR="00714EA1">
        <w:rPr>
          <w:rFonts w:asciiTheme="majorBidi" w:hAnsiTheme="majorBidi" w:cstheme="majorBidi"/>
          <w:b/>
          <w:bCs/>
          <w:sz w:val="24"/>
          <w:szCs w:val="24"/>
          <w:u w:val="single"/>
        </w:rPr>
        <w:t>:</w:t>
      </w:r>
    </w:p>
    <w:p w14:paraId="1DFE1AC3" w14:textId="386B63AC" w:rsidR="0042582A" w:rsidRPr="00B829AD" w:rsidRDefault="0042582A" w:rsidP="0042582A">
      <w:pPr>
        <w:pStyle w:val="NoSpacing"/>
        <w:spacing w:line="480" w:lineRule="auto"/>
        <w:rPr>
          <w:rFonts w:asciiTheme="majorBidi" w:hAnsiTheme="majorBidi" w:cstheme="majorBidi" w:hint="cs"/>
          <w:sz w:val="24"/>
          <w:szCs w:val="24"/>
          <w:rtl/>
        </w:rPr>
      </w:pPr>
      <w:r w:rsidRPr="0042582A">
        <w:rPr>
          <w:rFonts w:asciiTheme="majorBidi" w:hAnsiTheme="majorBidi" w:cstheme="majorBidi"/>
          <w:sz w:val="24"/>
          <w:szCs w:val="24"/>
        </w:rPr>
        <w:t xml:space="preserve">We first </w:t>
      </w:r>
      <w:r w:rsidR="00714EA1">
        <w:rPr>
          <w:rFonts w:asciiTheme="majorBidi" w:hAnsiTheme="majorBidi" w:cstheme="majorBidi"/>
          <w:sz w:val="24"/>
          <w:szCs w:val="24"/>
        </w:rPr>
        <w:t>compared</w:t>
      </w:r>
      <w:r w:rsidRPr="0042582A">
        <w:rPr>
          <w:rFonts w:asciiTheme="majorBidi" w:hAnsiTheme="majorBidi" w:cstheme="majorBidi"/>
          <w:sz w:val="24"/>
          <w:szCs w:val="24"/>
        </w:rPr>
        <w:t xml:space="preserve"> between the </w:t>
      </w:r>
      <w:r w:rsidR="00714EA1">
        <w:rPr>
          <w:rFonts w:asciiTheme="majorBidi" w:hAnsiTheme="majorBidi" w:cstheme="majorBidi"/>
          <w:sz w:val="24"/>
          <w:szCs w:val="24"/>
        </w:rPr>
        <w:t>article author’s concept</w:t>
      </w:r>
      <w:r w:rsidRPr="0042582A">
        <w:rPr>
          <w:rFonts w:asciiTheme="majorBidi" w:hAnsiTheme="majorBidi" w:cstheme="majorBidi"/>
          <w:sz w:val="24"/>
          <w:szCs w:val="24"/>
        </w:rPr>
        <w:t xml:space="preserve"> </w:t>
      </w:r>
      <w:r w:rsidR="00714EA1">
        <w:rPr>
          <w:rFonts w:asciiTheme="majorBidi" w:hAnsiTheme="majorBidi" w:cstheme="majorBidi"/>
          <w:sz w:val="24"/>
          <w:szCs w:val="24"/>
        </w:rPr>
        <w:t>of</w:t>
      </w:r>
      <w:r w:rsidRPr="0042582A">
        <w:rPr>
          <w:rFonts w:asciiTheme="majorBidi" w:hAnsiTheme="majorBidi" w:cstheme="majorBidi"/>
          <w:sz w:val="24"/>
          <w:szCs w:val="24"/>
        </w:rPr>
        <w:t xml:space="preserve"> the development of the constitution to the model </w:t>
      </w:r>
      <w:r w:rsidR="00773D95">
        <w:rPr>
          <w:rFonts w:asciiTheme="majorBidi" w:hAnsiTheme="majorBidi" w:cstheme="majorBidi"/>
          <w:sz w:val="24"/>
          <w:szCs w:val="24"/>
        </w:rPr>
        <w:t xml:space="preserve">finally </w:t>
      </w:r>
      <w:r w:rsidRPr="0042582A">
        <w:rPr>
          <w:rFonts w:asciiTheme="majorBidi" w:hAnsiTheme="majorBidi" w:cstheme="majorBidi"/>
          <w:sz w:val="24"/>
          <w:szCs w:val="24"/>
        </w:rPr>
        <w:t xml:space="preserve">adopted </w:t>
      </w:r>
      <w:r w:rsidR="00714EA1">
        <w:rPr>
          <w:rFonts w:asciiTheme="majorBidi" w:hAnsiTheme="majorBidi" w:cstheme="majorBidi"/>
          <w:sz w:val="24"/>
          <w:szCs w:val="24"/>
        </w:rPr>
        <w:t>by</w:t>
      </w:r>
      <w:r w:rsidRPr="0042582A">
        <w:rPr>
          <w:rFonts w:asciiTheme="majorBidi" w:hAnsiTheme="majorBidi" w:cstheme="majorBidi"/>
          <w:sz w:val="24"/>
          <w:szCs w:val="24"/>
        </w:rPr>
        <w:t xml:space="preserve"> the State of Israel. We saw how many controversies arose around the same model, and we reviewed in depth one of them, and that is the controversy over </w:t>
      </w:r>
      <w:r w:rsidR="00773D95">
        <w:rPr>
          <w:rFonts w:asciiTheme="majorBidi" w:hAnsiTheme="majorBidi" w:cstheme="majorBidi"/>
          <w:sz w:val="24"/>
          <w:szCs w:val="24"/>
        </w:rPr>
        <w:t>how much</w:t>
      </w:r>
      <w:r w:rsidRPr="0042582A">
        <w:rPr>
          <w:rFonts w:asciiTheme="majorBidi" w:hAnsiTheme="majorBidi" w:cstheme="majorBidi"/>
          <w:sz w:val="24"/>
          <w:szCs w:val="24"/>
        </w:rPr>
        <w:t xml:space="preserve"> Israeli law </w:t>
      </w:r>
      <w:r w:rsidR="00773D95">
        <w:rPr>
          <w:rFonts w:asciiTheme="majorBidi" w:hAnsiTheme="majorBidi" w:cstheme="majorBidi"/>
          <w:sz w:val="24"/>
          <w:szCs w:val="24"/>
        </w:rPr>
        <w:t>should draw</w:t>
      </w:r>
      <w:r w:rsidRPr="0042582A">
        <w:rPr>
          <w:rFonts w:asciiTheme="majorBidi" w:hAnsiTheme="majorBidi" w:cstheme="majorBidi"/>
          <w:sz w:val="24"/>
          <w:szCs w:val="24"/>
        </w:rPr>
        <w:t xml:space="preserve"> from </w:t>
      </w:r>
      <w:r w:rsidR="00773D95">
        <w:rPr>
          <w:rFonts w:asciiTheme="majorBidi" w:hAnsiTheme="majorBidi" w:cstheme="majorBidi"/>
          <w:sz w:val="24"/>
          <w:szCs w:val="24"/>
        </w:rPr>
        <w:t>Jewish</w:t>
      </w:r>
      <w:r w:rsidRPr="0042582A">
        <w:rPr>
          <w:rFonts w:asciiTheme="majorBidi" w:hAnsiTheme="majorBidi" w:cstheme="majorBidi"/>
          <w:sz w:val="24"/>
          <w:szCs w:val="24"/>
        </w:rPr>
        <w:t xml:space="preserve"> law. Through the examples of wage withholding and the </w:t>
      </w:r>
      <w:r w:rsidR="00773D95">
        <w:rPr>
          <w:rFonts w:asciiTheme="majorBidi" w:hAnsiTheme="majorBidi" w:cstheme="majorBidi"/>
          <w:sz w:val="24"/>
          <w:szCs w:val="24"/>
        </w:rPr>
        <w:t>claiming</w:t>
      </w:r>
      <w:r w:rsidRPr="0042582A">
        <w:rPr>
          <w:rFonts w:asciiTheme="majorBidi" w:hAnsiTheme="majorBidi" w:cstheme="majorBidi"/>
          <w:sz w:val="24"/>
          <w:szCs w:val="24"/>
        </w:rPr>
        <w:t xml:space="preserve"> of </w:t>
      </w:r>
      <w:r w:rsidR="00773D95">
        <w:rPr>
          <w:rFonts w:asciiTheme="majorBidi" w:hAnsiTheme="majorBidi" w:cstheme="majorBidi"/>
          <w:sz w:val="24"/>
          <w:szCs w:val="24"/>
        </w:rPr>
        <w:t>benefits</w:t>
      </w:r>
      <w:r w:rsidRPr="0042582A">
        <w:rPr>
          <w:rFonts w:asciiTheme="majorBidi" w:hAnsiTheme="majorBidi" w:cstheme="majorBidi"/>
          <w:sz w:val="24"/>
          <w:szCs w:val="24"/>
        </w:rPr>
        <w:t>, we have seen how activism and judicial interpretation</w:t>
      </w:r>
      <w:r w:rsidR="00773D95">
        <w:rPr>
          <w:rStyle w:val="FootnoteReference"/>
          <w:rFonts w:asciiTheme="majorBidi" w:hAnsiTheme="majorBidi" w:cstheme="majorBidi"/>
          <w:sz w:val="24"/>
          <w:szCs w:val="24"/>
        </w:rPr>
        <w:footnoteReference w:id="35"/>
      </w:r>
      <w:r w:rsidRPr="0042582A">
        <w:rPr>
          <w:rFonts w:asciiTheme="majorBidi" w:hAnsiTheme="majorBidi" w:cstheme="majorBidi"/>
          <w:sz w:val="24"/>
          <w:szCs w:val="24"/>
        </w:rPr>
        <w:t xml:space="preserve"> may actually cause a </w:t>
      </w:r>
      <w:r w:rsidR="00773D95">
        <w:rPr>
          <w:rFonts w:asciiTheme="majorBidi" w:hAnsiTheme="majorBidi" w:cstheme="majorBidi"/>
          <w:sz w:val="24"/>
          <w:szCs w:val="24"/>
        </w:rPr>
        <w:t>flaw</w:t>
      </w:r>
      <w:r w:rsidRPr="0042582A">
        <w:rPr>
          <w:rFonts w:asciiTheme="majorBidi" w:hAnsiTheme="majorBidi" w:cstheme="majorBidi"/>
          <w:sz w:val="24"/>
          <w:szCs w:val="24"/>
        </w:rPr>
        <w:t xml:space="preserve"> in the administration of justice, or at least raise questions about its correctness and suitability. In light of this</w:t>
      </w:r>
      <w:r w:rsidR="00773D95">
        <w:rPr>
          <w:rFonts w:asciiTheme="majorBidi" w:hAnsiTheme="majorBidi" w:cstheme="majorBidi"/>
          <w:sz w:val="24"/>
          <w:szCs w:val="24"/>
        </w:rPr>
        <w:t>,</w:t>
      </w:r>
      <w:r w:rsidRPr="0042582A">
        <w:rPr>
          <w:rFonts w:asciiTheme="majorBidi" w:hAnsiTheme="majorBidi" w:cstheme="majorBidi"/>
          <w:sz w:val="24"/>
          <w:szCs w:val="24"/>
        </w:rPr>
        <w:t xml:space="preserve"> one has to wonder about the conclusion of the author of the article, and the </w:t>
      </w:r>
      <w:r w:rsidR="00773D95">
        <w:rPr>
          <w:rFonts w:asciiTheme="majorBidi" w:hAnsiTheme="majorBidi" w:cstheme="majorBidi"/>
          <w:sz w:val="24"/>
          <w:szCs w:val="24"/>
        </w:rPr>
        <w:t>leeway</w:t>
      </w:r>
      <w:r w:rsidRPr="0042582A">
        <w:rPr>
          <w:rFonts w:asciiTheme="majorBidi" w:hAnsiTheme="majorBidi" w:cstheme="majorBidi"/>
          <w:sz w:val="24"/>
          <w:szCs w:val="24"/>
        </w:rPr>
        <w:t xml:space="preserve"> he </w:t>
      </w:r>
      <w:r w:rsidR="00773D95">
        <w:rPr>
          <w:rFonts w:asciiTheme="majorBidi" w:hAnsiTheme="majorBidi" w:cstheme="majorBidi"/>
          <w:sz w:val="24"/>
          <w:szCs w:val="24"/>
        </w:rPr>
        <w:t>allows the judiciary</w:t>
      </w:r>
      <w:r w:rsidRPr="0042582A">
        <w:rPr>
          <w:rFonts w:asciiTheme="majorBidi" w:hAnsiTheme="majorBidi" w:cstheme="majorBidi"/>
          <w:sz w:val="24"/>
          <w:szCs w:val="24"/>
        </w:rPr>
        <w:t xml:space="preserve"> to </w:t>
      </w:r>
      <w:r w:rsidR="00EA72C4">
        <w:rPr>
          <w:rFonts w:asciiTheme="majorBidi" w:hAnsiTheme="majorBidi" w:cstheme="majorBidi"/>
          <w:sz w:val="24"/>
          <w:szCs w:val="24"/>
        </w:rPr>
        <w:t>interpret</w:t>
      </w:r>
      <w:r w:rsidRPr="0042582A">
        <w:rPr>
          <w:rFonts w:asciiTheme="majorBidi" w:hAnsiTheme="majorBidi" w:cstheme="majorBidi"/>
          <w:sz w:val="24"/>
          <w:szCs w:val="24"/>
        </w:rPr>
        <w:t xml:space="preserve"> the </w:t>
      </w:r>
      <w:r w:rsidR="00EA72C4">
        <w:rPr>
          <w:rFonts w:asciiTheme="majorBidi" w:hAnsiTheme="majorBidi" w:cstheme="majorBidi"/>
          <w:sz w:val="24"/>
          <w:szCs w:val="24"/>
        </w:rPr>
        <w:t xml:space="preserve">original </w:t>
      </w:r>
      <w:r w:rsidR="00773D95">
        <w:rPr>
          <w:rFonts w:asciiTheme="majorBidi" w:hAnsiTheme="majorBidi" w:cstheme="majorBidi"/>
          <w:sz w:val="24"/>
          <w:szCs w:val="24"/>
        </w:rPr>
        <w:t>lawmakers</w:t>
      </w:r>
      <w:r w:rsidR="00EA72C4">
        <w:rPr>
          <w:rFonts w:asciiTheme="majorBidi" w:hAnsiTheme="majorBidi" w:cstheme="majorBidi"/>
          <w:sz w:val="24"/>
          <w:szCs w:val="24"/>
        </w:rPr>
        <w:t>’ intent</w:t>
      </w:r>
      <w:r w:rsidRPr="0042582A">
        <w:rPr>
          <w:rFonts w:asciiTheme="majorBidi" w:hAnsiTheme="majorBidi" w:cstheme="majorBidi"/>
          <w:sz w:val="24"/>
          <w:szCs w:val="24"/>
        </w:rPr>
        <w:t xml:space="preserve">. In my humble opinion, it is not easy to allow judges a free hand to carry out reforms in the language of the law or to act in judicial activism, unless this is done carefully and under the supervision of an external </w:t>
      </w:r>
      <w:r w:rsidR="002B3BA1">
        <w:rPr>
          <w:rFonts w:asciiTheme="majorBidi" w:hAnsiTheme="majorBidi" w:cstheme="majorBidi"/>
          <w:sz w:val="24"/>
          <w:szCs w:val="24"/>
        </w:rPr>
        <w:t>bod</w:t>
      </w:r>
      <w:r w:rsidRPr="0042582A">
        <w:rPr>
          <w:rFonts w:asciiTheme="majorBidi" w:hAnsiTheme="majorBidi" w:cstheme="majorBidi"/>
          <w:sz w:val="24"/>
          <w:szCs w:val="24"/>
        </w:rPr>
        <w:t xml:space="preserve">y. Suffice it to mention the constitutional revolution that </w:t>
      </w:r>
      <w:proofErr w:type="spellStart"/>
      <w:r w:rsidRPr="0042582A">
        <w:rPr>
          <w:rFonts w:asciiTheme="majorBidi" w:hAnsiTheme="majorBidi" w:cstheme="majorBidi"/>
          <w:sz w:val="24"/>
          <w:szCs w:val="24"/>
        </w:rPr>
        <w:t>Aharon</w:t>
      </w:r>
      <w:proofErr w:type="spellEnd"/>
      <w:r w:rsidRPr="0042582A">
        <w:rPr>
          <w:rFonts w:asciiTheme="majorBidi" w:hAnsiTheme="majorBidi" w:cstheme="majorBidi"/>
          <w:sz w:val="24"/>
          <w:szCs w:val="24"/>
        </w:rPr>
        <w:t xml:space="preserve"> Barak carried out while </w:t>
      </w:r>
      <w:r w:rsidR="00EA72C4">
        <w:rPr>
          <w:rFonts w:asciiTheme="majorBidi" w:hAnsiTheme="majorBidi" w:cstheme="majorBidi"/>
          <w:sz w:val="24"/>
          <w:szCs w:val="24"/>
        </w:rPr>
        <w:t>presiding as Head</w:t>
      </w:r>
      <w:r w:rsidRPr="0042582A">
        <w:rPr>
          <w:rFonts w:asciiTheme="majorBidi" w:hAnsiTheme="majorBidi" w:cstheme="majorBidi"/>
          <w:sz w:val="24"/>
          <w:szCs w:val="24"/>
        </w:rPr>
        <w:t xml:space="preserve"> of the Supreme Court of the State of Israel</w:t>
      </w:r>
      <w:r w:rsidR="00EA72C4">
        <w:rPr>
          <w:rStyle w:val="FootnoteReference"/>
          <w:rFonts w:asciiTheme="majorBidi" w:hAnsiTheme="majorBidi" w:cstheme="majorBidi"/>
          <w:sz w:val="24"/>
          <w:szCs w:val="24"/>
        </w:rPr>
        <w:footnoteReference w:id="36"/>
      </w:r>
      <w:r w:rsidRPr="0042582A">
        <w:rPr>
          <w:rFonts w:asciiTheme="majorBidi" w:hAnsiTheme="majorBidi" w:cstheme="majorBidi"/>
          <w:sz w:val="24"/>
          <w:szCs w:val="24"/>
        </w:rPr>
        <w:t xml:space="preserve"> to see its </w:t>
      </w:r>
      <w:r w:rsidR="00EA72C4">
        <w:rPr>
          <w:rFonts w:asciiTheme="majorBidi" w:hAnsiTheme="majorBidi" w:cstheme="majorBidi"/>
          <w:sz w:val="24"/>
          <w:szCs w:val="24"/>
        </w:rPr>
        <w:t>consequence</w:t>
      </w:r>
      <w:r w:rsidRPr="0042582A">
        <w:rPr>
          <w:rFonts w:asciiTheme="majorBidi" w:hAnsiTheme="majorBidi" w:cstheme="majorBidi"/>
          <w:sz w:val="24"/>
          <w:szCs w:val="24"/>
        </w:rPr>
        <w:t xml:space="preserve">s and the </w:t>
      </w:r>
      <w:r w:rsidR="00EA72C4">
        <w:rPr>
          <w:rFonts w:asciiTheme="majorBidi" w:hAnsiTheme="majorBidi" w:cstheme="majorBidi"/>
          <w:sz w:val="24"/>
          <w:szCs w:val="24"/>
        </w:rPr>
        <w:t>dispute</w:t>
      </w:r>
      <w:r w:rsidRPr="0042582A">
        <w:rPr>
          <w:rFonts w:asciiTheme="majorBidi" w:hAnsiTheme="majorBidi" w:cstheme="majorBidi"/>
          <w:sz w:val="24"/>
          <w:szCs w:val="24"/>
        </w:rPr>
        <w:t xml:space="preserve">s </w:t>
      </w:r>
      <w:r w:rsidR="00EA72C4">
        <w:rPr>
          <w:rFonts w:asciiTheme="majorBidi" w:hAnsiTheme="majorBidi" w:cstheme="majorBidi"/>
          <w:sz w:val="24"/>
          <w:szCs w:val="24"/>
        </w:rPr>
        <w:t>engender</w:t>
      </w:r>
      <w:r w:rsidRPr="0042582A">
        <w:rPr>
          <w:rFonts w:asciiTheme="majorBidi" w:hAnsiTheme="majorBidi" w:cstheme="majorBidi"/>
          <w:sz w:val="24"/>
          <w:szCs w:val="24"/>
        </w:rPr>
        <w:t xml:space="preserve">ed by the possibility of </w:t>
      </w:r>
      <w:r w:rsidR="00EA72C4">
        <w:rPr>
          <w:rFonts w:asciiTheme="majorBidi" w:hAnsiTheme="majorBidi" w:cstheme="majorBidi"/>
          <w:sz w:val="24"/>
          <w:szCs w:val="24"/>
        </w:rPr>
        <w:t xml:space="preserve">a </w:t>
      </w:r>
      <w:r w:rsidRPr="0042582A">
        <w:rPr>
          <w:rFonts w:asciiTheme="majorBidi" w:hAnsiTheme="majorBidi" w:cstheme="majorBidi"/>
          <w:sz w:val="24"/>
          <w:szCs w:val="24"/>
        </w:rPr>
        <w:t xml:space="preserve">free </w:t>
      </w:r>
      <w:r w:rsidR="00EA72C4">
        <w:rPr>
          <w:rFonts w:asciiTheme="majorBidi" w:hAnsiTheme="majorBidi" w:cstheme="majorBidi"/>
          <w:sz w:val="24"/>
          <w:szCs w:val="24"/>
        </w:rPr>
        <w:t xml:space="preserve">hand in </w:t>
      </w:r>
      <w:r w:rsidRPr="0042582A">
        <w:rPr>
          <w:rFonts w:asciiTheme="majorBidi" w:hAnsiTheme="majorBidi" w:cstheme="majorBidi"/>
          <w:sz w:val="24"/>
          <w:szCs w:val="24"/>
        </w:rPr>
        <w:lastRenderedPageBreak/>
        <w:t xml:space="preserve">interpretation </w:t>
      </w:r>
      <w:r w:rsidR="009A6F49">
        <w:rPr>
          <w:rFonts w:asciiTheme="majorBidi" w:hAnsiTheme="majorBidi" w:cstheme="majorBidi"/>
          <w:sz w:val="24"/>
          <w:szCs w:val="24"/>
        </w:rPr>
        <w:t>allowed</w:t>
      </w:r>
      <w:r w:rsidR="00EA72C4">
        <w:rPr>
          <w:rFonts w:asciiTheme="majorBidi" w:hAnsiTheme="majorBidi" w:cstheme="majorBidi"/>
          <w:sz w:val="24"/>
          <w:szCs w:val="24"/>
        </w:rPr>
        <w:t xml:space="preserve"> to</w:t>
      </w:r>
      <w:r w:rsidRPr="0042582A">
        <w:rPr>
          <w:rFonts w:asciiTheme="majorBidi" w:hAnsiTheme="majorBidi" w:cstheme="majorBidi"/>
          <w:sz w:val="24"/>
          <w:szCs w:val="24"/>
        </w:rPr>
        <w:t xml:space="preserve"> Israeli judges</w:t>
      </w:r>
      <w:r w:rsidR="009A4366">
        <w:rPr>
          <w:rStyle w:val="FootnoteReference"/>
          <w:rFonts w:asciiTheme="majorBidi" w:hAnsiTheme="majorBidi" w:cstheme="majorBidi"/>
          <w:sz w:val="24"/>
          <w:szCs w:val="24"/>
        </w:rPr>
        <w:footnoteReference w:id="37"/>
      </w:r>
      <w:r w:rsidRPr="0042582A">
        <w:rPr>
          <w:rFonts w:asciiTheme="majorBidi" w:hAnsiTheme="majorBidi" w:cstheme="majorBidi"/>
          <w:sz w:val="24"/>
          <w:szCs w:val="24"/>
        </w:rPr>
        <w:t xml:space="preserve">. </w:t>
      </w:r>
      <w:r w:rsidR="009A6F49">
        <w:rPr>
          <w:rFonts w:asciiTheme="majorBidi" w:hAnsiTheme="majorBidi" w:cstheme="majorBidi"/>
          <w:sz w:val="24"/>
          <w:szCs w:val="24"/>
        </w:rPr>
        <w:t xml:space="preserve">I do not </w:t>
      </w:r>
      <w:r w:rsidR="009A4366">
        <w:rPr>
          <w:rFonts w:asciiTheme="majorBidi" w:hAnsiTheme="majorBidi" w:cstheme="majorBidi"/>
          <w:sz w:val="24"/>
          <w:szCs w:val="24"/>
        </w:rPr>
        <w:t>mean to recommend carrying out judicial court cases</w:t>
      </w:r>
      <w:r w:rsidRPr="0042582A">
        <w:rPr>
          <w:rFonts w:asciiTheme="majorBidi" w:hAnsiTheme="majorBidi" w:cstheme="majorBidi"/>
          <w:sz w:val="24"/>
          <w:szCs w:val="24"/>
        </w:rPr>
        <w:t xml:space="preserve"> </w:t>
      </w:r>
      <w:r w:rsidR="009A4366">
        <w:rPr>
          <w:rFonts w:asciiTheme="majorBidi" w:hAnsiTheme="majorBidi" w:cstheme="majorBidi"/>
          <w:sz w:val="24"/>
          <w:szCs w:val="24"/>
        </w:rPr>
        <w:t>in</w:t>
      </w:r>
      <w:r w:rsidRPr="0042582A">
        <w:rPr>
          <w:rFonts w:asciiTheme="majorBidi" w:hAnsiTheme="majorBidi" w:cstheme="majorBidi"/>
          <w:sz w:val="24"/>
          <w:szCs w:val="24"/>
        </w:rPr>
        <w:t xml:space="preserve"> a purely technical </w:t>
      </w:r>
      <w:r w:rsidR="009A4366">
        <w:rPr>
          <w:rFonts w:asciiTheme="majorBidi" w:hAnsiTheme="majorBidi" w:cstheme="majorBidi"/>
          <w:sz w:val="24"/>
          <w:szCs w:val="24"/>
        </w:rPr>
        <w:t>manner</w:t>
      </w:r>
      <w:r w:rsidRPr="0042582A">
        <w:rPr>
          <w:rFonts w:asciiTheme="majorBidi" w:hAnsiTheme="majorBidi" w:cstheme="majorBidi"/>
          <w:sz w:val="24"/>
          <w:szCs w:val="24"/>
        </w:rPr>
        <w:t xml:space="preserve">, but the rulings that reform the intention of the legislature must be carried out carefully, and in </w:t>
      </w:r>
      <w:r w:rsidR="009A4366">
        <w:rPr>
          <w:rFonts w:asciiTheme="majorBidi" w:hAnsiTheme="majorBidi" w:cstheme="majorBidi"/>
          <w:sz w:val="24"/>
          <w:szCs w:val="24"/>
        </w:rPr>
        <w:t>commensurate steps</w:t>
      </w:r>
      <w:r w:rsidRPr="0042582A">
        <w:rPr>
          <w:rFonts w:asciiTheme="majorBidi" w:hAnsiTheme="majorBidi" w:cstheme="majorBidi"/>
          <w:sz w:val="24"/>
          <w:szCs w:val="24"/>
        </w:rPr>
        <w:t xml:space="preserve">, so as not to </w:t>
      </w:r>
      <w:r w:rsidR="009A4366">
        <w:rPr>
          <w:rFonts w:asciiTheme="majorBidi" w:hAnsiTheme="majorBidi" w:cstheme="majorBidi"/>
          <w:sz w:val="24"/>
          <w:szCs w:val="24"/>
        </w:rPr>
        <w:t>create an upheaval in the existing structures</w:t>
      </w:r>
      <w:r w:rsidRPr="0042582A">
        <w:rPr>
          <w:rFonts w:asciiTheme="majorBidi" w:hAnsiTheme="majorBidi" w:cstheme="majorBidi"/>
          <w:sz w:val="24"/>
          <w:szCs w:val="24"/>
        </w:rPr>
        <w:t xml:space="preserve">, and to create </w:t>
      </w:r>
      <w:r w:rsidR="009A4366">
        <w:rPr>
          <w:rFonts w:asciiTheme="majorBidi" w:hAnsiTheme="majorBidi" w:cstheme="majorBidi"/>
          <w:sz w:val="24"/>
          <w:szCs w:val="24"/>
        </w:rPr>
        <w:t xml:space="preserve">a </w:t>
      </w:r>
      <w:r w:rsidRPr="0042582A">
        <w:rPr>
          <w:rFonts w:asciiTheme="majorBidi" w:hAnsiTheme="majorBidi" w:cstheme="majorBidi"/>
          <w:sz w:val="24"/>
          <w:szCs w:val="24"/>
        </w:rPr>
        <w:t xml:space="preserve">healthy and </w:t>
      </w:r>
      <w:r w:rsidR="009A4366">
        <w:rPr>
          <w:rFonts w:asciiTheme="majorBidi" w:hAnsiTheme="majorBidi" w:cstheme="majorBidi"/>
          <w:sz w:val="24"/>
          <w:szCs w:val="24"/>
        </w:rPr>
        <w:t>appropriate</w:t>
      </w:r>
      <w:r w:rsidRPr="0042582A">
        <w:rPr>
          <w:rFonts w:asciiTheme="majorBidi" w:hAnsiTheme="majorBidi" w:cstheme="majorBidi"/>
          <w:sz w:val="24"/>
          <w:szCs w:val="24"/>
        </w:rPr>
        <w:t xml:space="preserve"> development of the </w:t>
      </w:r>
      <w:r w:rsidR="0051260E">
        <w:rPr>
          <w:rFonts w:asciiTheme="majorBidi" w:hAnsiTheme="majorBidi" w:cstheme="majorBidi"/>
          <w:sz w:val="24"/>
          <w:szCs w:val="24"/>
        </w:rPr>
        <w:t xml:space="preserve">rule of </w:t>
      </w:r>
      <w:r w:rsidRPr="0042582A">
        <w:rPr>
          <w:rFonts w:asciiTheme="majorBidi" w:hAnsiTheme="majorBidi" w:cstheme="majorBidi"/>
          <w:sz w:val="24"/>
          <w:szCs w:val="24"/>
        </w:rPr>
        <w:t>law</w:t>
      </w:r>
      <w:r w:rsidR="0051260E">
        <w:rPr>
          <w:rFonts w:asciiTheme="majorBidi" w:hAnsiTheme="majorBidi" w:cstheme="majorBidi"/>
          <w:sz w:val="24"/>
          <w:szCs w:val="24"/>
        </w:rPr>
        <w:t xml:space="preserve"> in its application by the judiciary</w:t>
      </w:r>
      <w:r w:rsidRPr="0042582A">
        <w:rPr>
          <w:rFonts w:asciiTheme="majorBidi" w:hAnsiTheme="majorBidi" w:cstheme="majorBidi"/>
          <w:sz w:val="24"/>
          <w:szCs w:val="24"/>
        </w:rPr>
        <w:t>.</w:t>
      </w:r>
    </w:p>
    <w:sectPr w:rsidR="0042582A" w:rsidRPr="00B829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DD0E" w14:textId="77777777" w:rsidR="000F2496" w:rsidRDefault="000F2496" w:rsidP="00C20CBF">
      <w:pPr>
        <w:spacing w:after="0" w:line="240" w:lineRule="auto"/>
      </w:pPr>
      <w:r>
        <w:separator/>
      </w:r>
    </w:p>
  </w:endnote>
  <w:endnote w:type="continuationSeparator" w:id="0">
    <w:p w14:paraId="65BC8FF2" w14:textId="77777777" w:rsidR="000F2496" w:rsidRDefault="000F2496" w:rsidP="00C2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4849" w14:textId="77777777" w:rsidR="000F2496" w:rsidRDefault="000F2496" w:rsidP="00C20CBF">
      <w:pPr>
        <w:spacing w:after="0" w:line="240" w:lineRule="auto"/>
      </w:pPr>
      <w:r>
        <w:separator/>
      </w:r>
    </w:p>
  </w:footnote>
  <w:footnote w:type="continuationSeparator" w:id="0">
    <w:p w14:paraId="2767EBB1" w14:textId="77777777" w:rsidR="000F2496" w:rsidRDefault="000F2496" w:rsidP="00C20CBF">
      <w:pPr>
        <w:spacing w:after="0" w:line="240" w:lineRule="auto"/>
      </w:pPr>
      <w:r>
        <w:continuationSeparator/>
      </w:r>
    </w:p>
  </w:footnote>
  <w:footnote w:id="1">
    <w:p w14:paraId="576D4F5B" w14:textId="6E362618" w:rsidR="00C20CBF" w:rsidRDefault="00C20CBF">
      <w:pPr>
        <w:pStyle w:val="FootnoteText"/>
      </w:pPr>
      <w:r>
        <w:rPr>
          <w:rStyle w:val="FootnoteReference"/>
        </w:rPr>
        <w:footnoteRef/>
      </w:r>
      <w:r>
        <w:t xml:space="preserve"> Page 3</w:t>
      </w:r>
    </w:p>
  </w:footnote>
  <w:footnote w:id="2">
    <w:p w14:paraId="1AA6591E" w14:textId="6F27E8F2" w:rsidR="005B021E" w:rsidRDefault="005B021E">
      <w:pPr>
        <w:pStyle w:val="FootnoteText"/>
      </w:pPr>
      <w:r>
        <w:rPr>
          <w:rStyle w:val="FootnoteReference"/>
        </w:rPr>
        <w:footnoteRef/>
      </w:r>
      <w:r>
        <w:t xml:space="preserve"> Pages 4-6</w:t>
      </w:r>
    </w:p>
  </w:footnote>
  <w:footnote w:id="3">
    <w:p w14:paraId="51DC295E" w14:textId="3650D0F3" w:rsidR="00B461D0" w:rsidRDefault="00B461D0">
      <w:pPr>
        <w:pStyle w:val="FootnoteText"/>
      </w:pPr>
      <w:r>
        <w:rPr>
          <w:rStyle w:val="FootnoteReference"/>
        </w:rPr>
        <w:footnoteRef/>
      </w:r>
      <w:r>
        <w:t xml:space="preserve"> Pages 23-24</w:t>
      </w:r>
    </w:p>
  </w:footnote>
  <w:footnote w:id="4">
    <w:p w14:paraId="6CAC6408" w14:textId="1427462D" w:rsidR="00C6010D" w:rsidRDefault="00C6010D">
      <w:pPr>
        <w:pStyle w:val="FootnoteText"/>
      </w:pPr>
      <w:r>
        <w:rPr>
          <w:rStyle w:val="FootnoteReference"/>
        </w:rPr>
        <w:footnoteRef/>
      </w:r>
      <w:r>
        <w:t xml:space="preserve"> Page 31</w:t>
      </w:r>
    </w:p>
  </w:footnote>
  <w:footnote w:id="5">
    <w:p w14:paraId="6F8B8DBF" w14:textId="1451024D" w:rsidR="00235F26" w:rsidRDefault="00235F26">
      <w:pPr>
        <w:pStyle w:val="FootnoteText"/>
      </w:pPr>
      <w:r>
        <w:rPr>
          <w:rStyle w:val="FootnoteReference"/>
        </w:rPr>
        <w:footnoteRef/>
      </w:r>
      <w:r>
        <w:t xml:space="preserve"> </w:t>
      </w:r>
      <w:r w:rsidR="009B1BE3">
        <w:t>which posits the constitution’s standing as increasing and as an evolving mechanism, in particular in its core concepts and its formalization.</w:t>
      </w:r>
    </w:p>
  </w:footnote>
  <w:footnote w:id="6">
    <w:p w14:paraId="4424ED4C" w14:textId="42BAC90C" w:rsidR="009B1BE3" w:rsidRDefault="009B1BE3" w:rsidP="00000DEF">
      <w:pPr>
        <w:pStyle w:val="FootnoteText"/>
      </w:pPr>
      <w:r>
        <w:rPr>
          <w:rStyle w:val="FootnoteReference"/>
        </w:rPr>
        <w:footnoteRef/>
      </w:r>
      <w:r>
        <w:t xml:space="preserve"> </w:t>
      </w:r>
      <w:r w:rsidR="00CE4937">
        <w:t xml:space="preserve">Two main stands can be discerned in the debate over the constitution - the conservative stand which believed that the creation of a constitution is essential for maintaining balance between the authorities and the protection of civil rights and the liberal stand which believed that it was possible to run the country without a constitution [and used Britain as an example, </w:t>
      </w:r>
      <w:r w:rsidR="00000DEF">
        <w:t>whose legal system inspired Israel’s</w:t>
      </w:r>
      <w:r w:rsidR="00CE4937">
        <w:t xml:space="preserve">, and </w:t>
      </w:r>
      <w:r w:rsidR="00000DEF">
        <w:t xml:space="preserve">which </w:t>
      </w:r>
      <w:r w:rsidR="00CE4937">
        <w:t xml:space="preserve">conducted </w:t>
      </w:r>
      <w:r w:rsidR="00000DEF">
        <w:t xml:space="preserve">its affairs </w:t>
      </w:r>
      <w:r w:rsidR="00CE4937">
        <w:t xml:space="preserve">without a constitution], and that a constitution should not be established </w:t>
      </w:r>
      <w:r w:rsidR="00000DEF">
        <w:t>at this point in time, since large waves of immigration were expected to soon double or triple the population, and this constitution would soon need to be redrafted in view of this development. Naturally, there were also political motives fueling this debate.</w:t>
      </w:r>
    </w:p>
  </w:footnote>
  <w:footnote w:id="7">
    <w:p w14:paraId="4E0BC8D9" w14:textId="334D1704" w:rsidR="001820C0" w:rsidRDefault="001820C0">
      <w:pPr>
        <w:pStyle w:val="FootnoteText"/>
      </w:pPr>
      <w:r>
        <w:rPr>
          <w:rStyle w:val="FootnoteReference"/>
        </w:rPr>
        <w:footnoteRef/>
      </w:r>
      <w:r>
        <w:t xml:space="preserve"> known forthwith as “The Harari Compromise”</w:t>
      </w:r>
    </w:p>
  </w:footnote>
  <w:footnote w:id="8">
    <w:p w14:paraId="6F3B04F9" w14:textId="569258BC" w:rsidR="001820C0" w:rsidRDefault="001820C0">
      <w:pPr>
        <w:pStyle w:val="FootnoteText"/>
      </w:pPr>
      <w:r>
        <w:rPr>
          <w:rStyle w:val="FootnoteReference"/>
        </w:rPr>
        <w:footnoteRef/>
      </w:r>
      <w:r>
        <w:t xml:space="preserve"> Details </w:t>
      </w:r>
      <w:r w:rsidR="00366F5F">
        <w:t xml:space="preserve">of this debate and the various contentions can be found at the Knesset website: </w:t>
      </w:r>
      <w:hyperlink r:id="rId1" w:history="1">
        <w:r w:rsidR="00366F5F" w:rsidRPr="00C13CC3">
          <w:rPr>
            <w:rStyle w:val="Hyperlink"/>
          </w:rPr>
          <w:t>https://main.knesset.gov.il/en/activity/pages/BasicLawsAndConstitution.aspx</w:t>
        </w:r>
      </w:hyperlink>
    </w:p>
  </w:footnote>
  <w:footnote w:id="9">
    <w:p w14:paraId="3BCA2A60" w14:textId="57A5D771" w:rsidR="00C340B6" w:rsidRDefault="00C340B6">
      <w:pPr>
        <w:pStyle w:val="FootnoteText"/>
      </w:pPr>
      <w:r>
        <w:rPr>
          <w:rStyle w:val="FootnoteReference"/>
        </w:rPr>
        <w:footnoteRef/>
      </w:r>
      <w:r w:rsidR="009F40D9">
        <w:t xml:space="preserve"> page 195 </w:t>
      </w:r>
      <w:r>
        <w:t xml:space="preserve"> </w:t>
      </w:r>
      <w:hyperlink r:id="rId2" w:history="1">
        <w:r w:rsidRPr="00C13CC3">
          <w:rPr>
            <w:rStyle w:val="Hyperlink"/>
          </w:rPr>
          <w:t>https://www.knesset.gov.il/laws/special/heb/knesset_laws.pdf</w:t>
        </w:r>
      </w:hyperlink>
    </w:p>
  </w:footnote>
  <w:footnote w:id="10">
    <w:p w14:paraId="2FD82BE6" w14:textId="18875279" w:rsidR="00FB730E" w:rsidRDefault="00FB730E">
      <w:pPr>
        <w:pStyle w:val="FootnoteText"/>
        <w:rPr>
          <w:rStyle w:val="Hyperlink"/>
        </w:rPr>
      </w:pPr>
      <w:r>
        <w:rPr>
          <w:rStyle w:val="FootnoteReference"/>
        </w:rPr>
        <w:footnoteRef/>
      </w:r>
      <w:r>
        <w:t xml:space="preserve"> </w:t>
      </w:r>
      <w:hyperlink r:id="rId3" w:history="1">
        <w:r w:rsidRPr="00C13CC3">
          <w:rPr>
            <w:rStyle w:val="Hyperlink"/>
          </w:rPr>
          <w:t>https://www.nevo.co.il/law_html/law01/055_007.htm</w:t>
        </w:r>
        <w:r w:rsidRPr="00C13CC3">
          <w:rPr>
            <w:rStyle w:val="Hyperlink"/>
            <w:rFonts w:hint="cs"/>
            <w:rtl/>
          </w:rPr>
          <w:t xml:space="preserve"> </w:t>
        </w:r>
        <w:r w:rsidRPr="00C13CC3">
          <w:rPr>
            <w:rStyle w:val="Hyperlink"/>
            <w:rFonts w:hint="cs"/>
            <w:rtl/>
          </w:rPr>
          <w:t>סוף סעיף 1</w:t>
        </w:r>
      </w:hyperlink>
    </w:p>
    <w:p w14:paraId="1A73AE45" w14:textId="77777777" w:rsidR="00FB730E" w:rsidRDefault="00FB730E">
      <w:pPr>
        <w:pStyle w:val="FootnoteText"/>
      </w:pPr>
    </w:p>
  </w:footnote>
  <w:footnote w:id="11">
    <w:p w14:paraId="60989460" w14:textId="4C959588" w:rsidR="00FB730E" w:rsidRDefault="00FB730E">
      <w:pPr>
        <w:pStyle w:val="FootnoteText"/>
      </w:pPr>
      <w:r>
        <w:rPr>
          <w:rStyle w:val="FootnoteReference"/>
        </w:rPr>
        <w:footnoteRef/>
      </w:r>
      <w:r>
        <w:t xml:space="preserve"> Judges Rabbi Prof. Simcha Assaf, Dr.</w:t>
      </w:r>
      <w:r w:rsidR="000C0E0F">
        <w:t xml:space="preserve"> Moshe Silverberg, Haim Cohen and Dr. Itzhak </w:t>
      </w:r>
      <w:proofErr w:type="spellStart"/>
      <w:r w:rsidR="000C0E0F">
        <w:t>Kister</w:t>
      </w:r>
      <w:proofErr w:type="spellEnd"/>
      <w:r w:rsidR="000C0E0F">
        <w:t>.</w:t>
      </w:r>
    </w:p>
  </w:footnote>
  <w:footnote w:id="12">
    <w:p w14:paraId="775EBE4B" w14:textId="7E249E1D" w:rsidR="000C0E0F" w:rsidRDefault="000C0E0F">
      <w:pPr>
        <w:pStyle w:val="FootnoteText"/>
        <w:rPr>
          <w:rtl/>
        </w:rPr>
      </w:pPr>
      <w:r>
        <w:rPr>
          <w:rStyle w:val="FootnoteReference"/>
        </w:rPr>
        <w:footnoteRef/>
      </w:r>
      <w:r>
        <w:t xml:space="preserve"> Judges Moshe </w:t>
      </w:r>
      <w:proofErr w:type="spellStart"/>
      <w:r>
        <w:t>emora</w:t>
      </w:r>
      <w:proofErr w:type="spellEnd"/>
      <w:r>
        <w:t xml:space="preserve">, Alfred </w:t>
      </w:r>
      <w:proofErr w:type="spellStart"/>
      <w:r>
        <w:t>Vitkin</w:t>
      </w:r>
      <w:proofErr w:type="spellEnd"/>
      <w:r>
        <w:t xml:space="preserve">, </w:t>
      </w:r>
      <w:proofErr w:type="spellStart"/>
      <w:r>
        <w:t>Yoel</w:t>
      </w:r>
      <w:proofErr w:type="spellEnd"/>
      <w:r>
        <w:t xml:space="preserve"> Sussman and </w:t>
      </w:r>
      <w:proofErr w:type="spellStart"/>
      <w:r>
        <w:t>Zvi</w:t>
      </w:r>
      <w:proofErr w:type="spellEnd"/>
      <w:r>
        <w:t xml:space="preserve"> </w:t>
      </w:r>
      <w:proofErr w:type="spellStart"/>
      <w:r>
        <w:t>Berenzon</w:t>
      </w:r>
      <w:proofErr w:type="spellEnd"/>
      <w:r>
        <w:t>.</w:t>
      </w:r>
    </w:p>
  </w:footnote>
  <w:footnote w:id="13">
    <w:p w14:paraId="0AFDA85F" w14:textId="75373FE2" w:rsidR="00E762E1" w:rsidRDefault="00E762E1">
      <w:pPr>
        <w:pStyle w:val="FootnoteText"/>
      </w:pPr>
      <w:r>
        <w:rPr>
          <w:rStyle w:val="FootnoteReference"/>
        </w:rPr>
        <w:footnoteRef/>
      </w:r>
      <w:r>
        <w:t xml:space="preserve"> See footnote 6</w:t>
      </w:r>
    </w:p>
  </w:footnote>
  <w:footnote w:id="14">
    <w:p w14:paraId="7926EE53" w14:textId="6FE6B74A" w:rsidR="00433C9C" w:rsidRPr="00433C9C" w:rsidRDefault="00433C9C">
      <w:pPr>
        <w:pStyle w:val="FootnoteText"/>
        <w:rPr>
          <w:b/>
          <w:bCs/>
        </w:rPr>
      </w:pPr>
      <w:r>
        <w:rPr>
          <w:rStyle w:val="FootnoteReference"/>
        </w:rPr>
        <w:footnoteRef/>
      </w:r>
      <w:r>
        <w:t xml:space="preserve"> We can see an example of this conflict in ruling 40/80, </w:t>
      </w:r>
      <w:r w:rsidRPr="00433C9C">
        <w:rPr>
          <w:b/>
          <w:bCs/>
        </w:rPr>
        <w:t>Koenig V Cohen</w:t>
      </w:r>
      <w:r>
        <w:t xml:space="preserve">, as well as in ruling 1635/90 </w:t>
      </w:r>
      <w:proofErr w:type="spellStart"/>
      <w:r>
        <w:rPr>
          <w:b/>
          <w:bCs/>
        </w:rPr>
        <w:t>Zerzevski</w:t>
      </w:r>
      <w:proofErr w:type="spellEnd"/>
      <w:r>
        <w:rPr>
          <w:b/>
          <w:bCs/>
        </w:rPr>
        <w:t xml:space="preserve"> V Israeli Prime Minister and others.</w:t>
      </w:r>
    </w:p>
  </w:footnote>
  <w:footnote w:id="15">
    <w:p w14:paraId="3DD4C643" w14:textId="730122D6" w:rsidR="00433C9C" w:rsidRPr="006F389D" w:rsidRDefault="00433C9C">
      <w:pPr>
        <w:pStyle w:val="FootnoteText"/>
      </w:pPr>
      <w:r>
        <w:rPr>
          <w:rStyle w:val="FootnoteReference"/>
        </w:rPr>
        <w:footnoteRef/>
      </w:r>
      <w:r>
        <w:t xml:space="preserve"> The example and citations are taken from Prof. Benny </w:t>
      </w:r>
      <w:proofErr w:type="spellStart"/>
      <w:r>
        <w:t>Porat’s</w:t>
      </w:r>
      <w:proofErr w:type="spellEnd"/>
      <w:r>
        <w:t xml:space="preserve"> article </w:t>
      </w:r>
      <w:r w:rsidR="006F389D">
        <w:rPr>
          <w:i/>
          <w:iCs/>
        </w:rPr>
        <w:t>I</w:t>
      </w:r>
      <w:r>
        <w:rPr>
          <w:i/>
          <w:iCs/>
        </w:rPr>
        <w:t xml:space="preserve">s the </w:t>
      </w:r>
      <w:r w:rsidR="006F389D">
        <w:rPr>
          <w:i/>
          <w:iCs/>
        </w:rPr>
        <w:t>R</w:t>
      </w:r>
      <w:r>
        <w:rPr>
          <w:i/>
          <w:iCs/>
        </w:rPr>
        <w:t xml:space="preserve">ights </w:t>
      </w:r>
      <w:r w:rsidR="006F389D">
        <w:rPr>
          <w:i/>
          <w:iCs/>
        </w:rPr>
        <w:t>C</w:t>
      </w:r>
      <w:r>
        <w:rPr>
          <w:i/>
          <w:iCs/>
        </w:rPr>
        <w:t xml:space="preserve">laim </w:t>
      </w:r>
      <w:r w:rsidR="006F389D">
        <w:rPr>
          <w:i/>
          <w:iCs/>
        </w:rPr>
        <w:t xml:space="preserve">Necessary? Between </w:t>
      </w:r>
      <w:r w:rsidR="006F389D">
        <w:t>Duties</w:t>
      </w:r>
      <w:r w:rsidR="006F389D" w:rsidRPr="006F389D">
        <w:rPr>
          <w:i/>
          <w:iCs/>
        </w:rPr>
        <w:t xml:space="preserve"> and Rights</w:t>
      </w:r>
      <w:r w:rsidR="006F389D">
        <w:t xml:space="preserve"> (p.18-22)</w:t>
      </w:r>
    </w:p>
  </w:footnote>
  <w:footnote w:id="16">
    <w:p w14:paraId="11DA4E4C" w14:textId="3335F06D" w:rsidR="00E92D0E" w:rsidRDefault="00E92D0E">
      <w:pPr>
        <w:pStyle w:val="FootnoteText"/>
      </w:pPr>
      <w:r>
        <w:rPr>
          <w:rStyle w:val="FootnoteReference"/>
        </w:rPr>
        <w:footnoteRef/>
      </w:r>
      <w:r>
        <w:t xml:space="preserve"> Leviticus Chapter 19 Verse 13</w:t>
      </w:r>
    </w:p>
  </w:footnote>
  <w:footnote w:id="17">
    <w:p w14:paraId="276B75B0" w14:textId="2570E630" w:rsidR="002232E7" w:rsidRDefault="002232E7">
      <w:pPr>
        <w:pStyle w:val="FootnoteText"/>
      </w:pPr>
      <w:r>
        <w:rPr>
          <w:rStyle w:val="FootnoteReference"/>
        </w:rPr>
        <w:footnoteRef/>
      </w:r>
      <w:r>
        <w:t xml:space="preserve"> Deuteronomy Chapter 24 Line 14</w:t>
      </w:r>
    </w:p>
  </w:footnote>
  <w:footnote w:id="18">
    <w:p w14:paraId="7C84B887" w14:textId="6A16B650" w:rsidR="0029462C" w:rsidRDefault="0029462C">
      <w:pPr>
        <w:pStyle w:val="FootnoteText"/>
      </w:pPr>
      <w:r>
        <w:rPr>
          <w:rStyle w:val="FootnoteReference"/>
        </w:rPr>
        <w:footnoteRef/>
      </w:r>
      <w:r>
        <w:t xml:space="preserve"> </w:t>
      </w:r>
      <w:hyperlink r:id="rId4" w:anchor="Seif1" w:history="1">
        <w:r w:rsidRPr="00A70DE6">
          <w:rPr>
            <w:rStyle w:val="Hyperlink"/>
          </w:rPr>
          <w:t>https://www.nevo.co.il/law_html/law01/090_001.htm#Seif1</w:t>
        </w:r>
      </w:hyperlink>
    </w:p>
  </w:footnote>
  <w:footnote w:id="19">
    <w:p w14:paraId="0C2785C0" w14:textId="765BDE79" w:rsidR="0029462C" w:rsidRDefault="0029462C">
      <w:pPr>
        <w:pStyle w:val="FootnoteText"/>
      </w:pPr>
      <w:r>
        <w:rPr>
          <w:rStyle w:val="FootnoteReference"/>
        </w:rPr>
        <w:footnoteRef/>
      </w:r>
      <w:r>
        <w:t xml:space="preserve"> Article 17 </w:t>
      </w:r>
      <w:r w:rsidR="002C62E1">
        <w:t>of</w:t>
      </w:r>
      <w:r>
        <w:t xml:space="preserve"> the Wage Protection Law</w:t>
      </w:r>
    </w:p>
  </w:footnote>
  <w:footnote w:id="20">
    <w:p w14:paraId="014EFC44" w14:textId="2DB7D665" w:rsidR="0029462C" w:rsidRDefault="0029462C" w:rsidP="00F41B38">
      <w:pPr>
        <w:pStyle w:val="FootnoteText"/>
      </w:pPr>
      <w:r>
        <w:rPr>
          <w:rStyle w:val="FootnoteReference"/>
        </w:rPr>
        <w:footnoteRef/>
      </w:r>
      <w:r>
        <w:t xml:space="preserve"> Article </w:t>
      </w:r>
      <w:r w:rsidR="002C62E1">
        <w:t xml:space="preserve">25B (B1) </w:t>
      </w:r>
      <w:r w:rsidR="002C62E1">
        <w:t>17 of the Wage Protection Law</w:t>
      </w:r>
    </w:p>
  </w:footnote>
  <w:footnote w:id="21">
    <w:p w14:paraId="15DA84EA" w14:textId="6E991E39" w:rsidR="00F41B38" w:rsidRDefault="00F41B38">
      <w:pPr>
        <w:pStyle w:val="FootnoteText"/>
      </w:pPr>
      <w:r>
        <w:rPr>
          <w:rStyle w:val="FootnoteReference"/>
        </w:rPr>
        <w:footnoteRef/>
      </w:r>
      <w:r>
        <w:t xml:space="preserve"> </w:t>
      </w:r>
      <w:proofErr w:type="spellStart"/>
      <w:r>
        <w:t>Safra</w:t>
      </w:r>
      <w:proofErr w:type="spellEnd"/>
      <w:r>
        <w:t xml:space="preserve"> </w:t>
      </w:r>
      <w:proofErr w:type="spellStart"/>
      <w:r>
        <w:t>Kdoshim</w:t>
      </w:r>
      <w:proofErr w:type="spellEnd"/>
      <w:r>
        <w:t xml:space="preserve"> 2, end of chapter 3. Parallel to it is the Babylonian Talmud, Baba </w:t>
      </w:r>
      <w:proofErr w:type="spellStart"/>
      <w:r>
        <w:t>Metziah</w:t>
      </w:r>
      <w:proofErr w:type="spellEnd"/>
      <w:r>
        <w:t xml:space="preserve"> </w:t>
      </w:r>
      <w:r w:rsidR="0000070C">
        <w:rPr>
          <w:rFonts w:hint="cs"/>
          <w:rtl/>
        </w:rPr>
        <w:t>112</w:t>
      </w:r>
      <w:r w:rsidR="0000070C">
        <w:t>, line 75</w:t>
      </w:r>
      <w:proofErr w:type="gramStart"/>
      <w:r w:rsidR="0000070C">
        <w:t>:”with</w:t>
      </w:r>
      <w:proofErr w:type="gramEnd"/>
      <w:r w:rsidR="0000070C">
        <w:t xml:space="preserve"> you, with your discretion”. </w:t>
      </w:r>
      <w:proofErr w:type="spellStart"/>
      <w:r w:rsidR="0000070C">
        <w:t>Rashi</w:t>
      </w:r>
      <w:proofErr w:type="spellEnd"/>
      <w:r w:rsidR="0000070C">
        <w:t xml:space="preserve"> interpreted: “with your, not his.” And the </w:t>
      </w:r>
      <w:proofErr w:type="spellStart"/>
      <w:r w:rsidR="0000070C">
        <w:t>Hefetz</w:t>
      </w:r>
      <w:proofErr w:type="spellEnd"/>
      <w:r w:rsidR="0000070C">
        <w:t xml:space="preserve"> Haim interpreted: “If the hired hand does not claim… It is not a wrongdoing since it is as if he allows it.” (</w:t>
      </w:r>
      <w:proofErr w:type="spellStart"/>
      <w:r w:rsidR="0000070C">
        <w:t>Ahavat</w:t>
      </w:r>
      <w:proofErr w:type="spellEnd"/>
      <w:r w:rsidR="0000070C">
        <w:t xml:space="preserve"> </w:t>
      </w:r>
      <w:proofErr w:type="spellStart"/>
      <w:r w:rsidR="0000070C">
        <w:t>Hessed</w:t>
      </w:r>
      <w:proofErr w:type="spellEnd"/>
      <w:r w:rsidR="0000070C">
        <w:t xml:space="preserve">, Chapter 9, </w:t>
      </w:r>
      <w:r w:rsidR="00711B4E">
        <w:t xml:space="preserve">article 11) The </w:t>
      </w:r>
      <w:r w:rsidR="00027528">
        <w:t xml:space="preserve">Baba </w:t>
      </w:r>
      <w:proofErr w:type="spellStart"/>
      <w:r w:rsidR="00027528">
        <w:t>Metziah</w:t>
      </w:r>
      <w:proofErr w:type="spellEnd"/>
      <w:r w:rsidR="00027528">
        <w:t xml:space="preserve"> 9, 12. And this is how the Halakha interpreted it – see </w:t>
      </w:r>
      <w:proofErr w:type="spellStart"/>
      <w:r w:rsidR="00027528">
        <w:t>Mishneh</w:t>
      </w:r>
      <w:proofErr w:type="spellEnd"/>
      <w:r w:rsidR="00027528">
        <w:t xml:space="preserve"> Torah, leasing laws 11, 4. Shulchan </w:t>
      </w:r>
      <w:proofErr w:type="spellStart"/>
      <w:r w:rsidR="00027528">
        <w:t>Aruch</w:t>
      </w:r>
      <w:proofErr w:type="spellEnd"/>
      <w:r w:rsidR="00027528">
        <w:t xml:space="preserve">, </w:t>
      </w:r>
      <w:proofErr w:type="spellStart"/>
      <w:r w:rsidR="00027528">
        <w:t>Chushan</w:t>
      </w:r>
      <w:proofErr w:type="spellEnd"/>
      <w:r w:rsidR="00027528">
        <w:t xml:space="preserve"> </w:t>
      </w:r>
      <w:proofErr w:type="spellStart"/>
      <w:r w:rsidR="00027528">
        <w:t>Mishpat</w:t>
      </w:r>
      <w:proofErr w:type="spellEnd"/>
      <w:r w:rsidR="00027528">
        <w:t xml:space="preserve">, article 10. Regarding temporary reprieve – see Rabbi Gershon </w:t>
      </w:r>
      <w:proofErr w:type="spellStart"/>
      <w:r w:rsidR="00027528">
        <w:t>Ashkenai</w:t>
      </w:r>
      <w:proofErr w:type="spellEnd"/>
      <w:r w:rsidR="00027528">
        <w:t xml:space="preserve"> in his book </w:t>
      </w:r>
      <w:proofErr w:type="spellStart"/>
      <w:r w:rsidR="00027528">
        <w:t>Avodat</w:t>
      </w:r>
      <w:proofErr w:type="spellEnd"/>
      <w:r w:rsidR="00027528">
        <w:t xml:space="preserve"> </w:t>
      </w:r>
      <w:proofErr w:type="spellStart"/>
      <w:r w:rsidR="00027528">
        <w:t>Hagershoni</w:t>
      </w:r>
      <w:proofErr w:type="spellEnd"/>
      <w:r w:rsidR="00027528">
        <w:t xml:space="preserve">, 7, as well as </w:t>
      </w:r>
      <w:proofErr w:type="spellStart"/>
      <w:r w:rsidR="00027528">
        <w:t>Shilem</w:t>
      </w:r>
      <w:proofErr w:type="spellEnd"/>
      <w:r w:rsidR="00027528">
        <w:t xml:space="preserve"> </w:t>
      </w:r>
      <w:proofErr w:type="spellStart"/>
      <w:r w:rsidR="00027528">
        <w:t>Verheftig’s</w:t>
      </w:r>
      <w:proofErr w:type="spellEnd"/>
      <w:r w:rsidR="00027528">
        <w:t xml:space="preserve"> “cancellation of contract due to infringement according to Jewish Law</w:t>
      </w:r>
      <w:r w:rsidR="00EB271F">
        <w:t xml:space="preserve">”, </w:t>
      </w:r>
      <w:proofErr w:type="spellStart"/>
      <w:r w:rsidR="00EB271F">
        <w:t>Dinei</w:t>
      </w:r>
      <w:proofErr w:type="spellEnd"/>
      <w:r w:rsidR="00EB271F">
        <w:t xml:space="preserve"> Israel b-155, 165 (1971)</w:t>
      </w:r>
    </w:p>
  </w:footnote>
  <w:footnote w:id="22">
    <w:p w14:paraId="0A001F97" w14:textId="1D0CB1C1" w:rsidR="00EB271F" w:rsidRDefault="00EB271F">
      <w:pPr>
        <w:pStyle w:val="FootnoteText"/>
      </w:pPr>
      <w:r>
        <w:rPr>
          <w:rStyle w:val="FootnoteReference"/>
        </w:rPr>
        <w:footnoteRef/>
      </w:r>
      <w:r>
        <w:t xml:space="preserve"> The determining day according to the Wage Protection Law is “the ninth day after the payment is due.”</w:t>
      </w:r>
    </w:p>
  </w:footnote>
  <w:footnote w:id="23">
    <w:p w14:paraId="3D805C61" w14:textId="5654CD6A" w:rsidR="00D10E98" w:rsidRDefault="00D10E98">
      <w:pPr>
        <w:pStyle w:val="FootnoteText"/>
      </w:pPr>
      <w:r>
        <w:rPr>
          <w:rStyle w:val="FootnoteReference"/>
        </w:rPr>
        <w:footnoteRef/>
      </w:r>
      <w:r>
        <w:t xml:space="preserve"> </w:t>
      </w:r>
      <w:proofErr w:type="spellStart"/>
      <w:r>
        <w:t>Ahavat</w:t>
      </w:r>
      <w:proofErr w:type="spellEnd"/>
      <w:r>
        <w:t xml:space="preserve"> </w:t>
      </w:r>
      <w:proofErr w:type="spellStart"/>
      <w:r>
        <w:t>Hessed</w:t>
      </w:r>
      <w:proofErr w:type="spellEnd"/>
      <w:r>
        <w:t>, Chapter 9, article 11 as well as in addendum 29</w:t>
      </w:r>
    </w:p>
  </w:footnote>
  <w:footnote w:id="24">
    <w:p w14:paraId="74E21EA5" w14:textId="1CE077E4" w:rsidR="00085F74" w:rsidRDefault="00085F74">
      <w:pPr>
        <w:pStyle w:val="FootnoteText"/>
      </w:pPr>
      <w:r>
        <w:rPr>
          <w:rStyle w:val="FootnoteReference"/>
        </w:rPr>
        <w:footnoteRef/>
      </w:r>
      <w:r>
        <w:t xml:space="preserve"> </w:t>
      </w:r>
      <w:proofErr w:type="spellStart"/>
      <w:r>
        <w:t>Gidulei</w:t>
      </w:r>
      <w:proofErr w:type="spellEnd"/>
      <w:r>
        <w:t xml:space="preserve"> Shmuel on Baba </w:t>
      </w:r>
      <w:proofErr w:type="spellStart"/>
      <w:proofErr w:type="gramStart"/>
      <w:r>
        <w:t>Metziah</w:t>
      </w:r>
      <w:proofErr w:type="spellEnd"/>
      <w:r>
        <w:t>,</w:t>
      </w:r>
      <w:r>
        <w:rPr>
          <w:rFonts w:hint="cs"/>
          <w:rtl/>
        </w:rPr>
        <w:t xml:space="preserve"> </w:t>
      </w:r>
      <w:r>
        <w:t xml:space="preserve"> 111</w:t>
      </w:r>
      <w:proofErr w:type="gramEnd"/>
      <w:r>
        <w:t>-1</w:t>
      </w:r>
    </w:p>
  </w:footnote>
  <w:footnote w:id="25">
    <w:p w14:paraId="2576836F" w14:textId="6B3A5770" w:rsidR="000A2D56" w:rsidRDefault="000A2D56">
      <w:pPr>
        <w:pStyle w:val="FootnoteText"/>
      </w:pPr>
      <w:r>
        <w:rPr>
          <w:rStyle w:val="FootnoteReference"/>
        </w:rPr>
        <w:footnoteRef/>
      </w:r>
      <w:r>
        <w:t xml:space="preserve"> </w:t>
      </w:r>
      <w:proofErr w:type="spellStart"/>
      <w:r>
        <w:t>Yereim</w:t>
      </w:r>
      <w:proofErr w:type="spellEnd"/>
      <w:r>
        <w:t>, 135</w:t>
      </w:r>
    </w:p>
  </w:footnote>
  <w:footnote w:id="26">
    <w:p w14:paraId="0CB153E4" w14:textId="65E82D8D" w:rsidR="000A2D56" w:rsidRDefault="000A2D56">
      <w:pPr>
        <w:pStyle w:val="FootnoteText"/>
      </w:pPr>
      <w:r>
        <w:rPr>
          <w:rStyle w:val="FootnoteReference"/>
        </w:rPr>
        <w:footnoteRef/>
      </w:r>
      <w:r>
        <w:t xml:space="preserve"> As regards the two law systems and their emphasis on claimant/claimed, see Itzhak Breuer’s “The laws of woman, slave and gentile” </w:t>
      </w:r>
      <w:proofErr w:type="spellStart"/>
      <w:r>
        <w:t>Tziunei</w:t>
      </w:r>
      <w:proofErr w:type="spellEnd"/>
      <w:r>
        <w:t xml:space="preserve"> </w:t>
      </w:r>
      <w:proofErr w:type="spellStart"/>
      <w:r>
        <w:t>Derech</w:t>
      </w:r>
      <w:proofErr w:type="spellEnd"/>
      <w:r>
        <w:t xml:space="preserve"> 57</w:t>
      </w:r>
      <w:r w:rsidR="00397C18">
        <w:t xml:space="preserve"> as well as </w:t>
      </w:r>
      <w:r w:rsidR="00397C18">
        <w:t xml:space="preserve">Robert Cover, </w:t>
      </w:r>
      <w:r w:rsidR="00397C18" w:rsidRPr="00397C18">
        <w:rPr>
          <w:i/>
          <w:iCs/>
        </w:rPr>
        <w:t>Obligation a Jewish Jurisprudence of</w:t>
      </w:r>
      <w:r w:rsidR="00397C18" w:rsidRPr="00397C18">
        <w:rPr>
          <w:i/>
          <w:iCs/>
        </w:rPr>
        <w:t xml:space="preserve"> </w:t>
      </w:r>
      <w:r w:rsidR="00397C18" w:rsidRPr="00397C18">
        <w:rPr>
          <w:i/>
          <w:iCs/>
        </w:rPr>
        <w:t>the Social Order</w:t>
      </w:r>
      <w:r w:rsidR="00397C18">
        <w:t>, 5 J. L. &amp; RELIGION. 65 (1987)</w:t>
      </w:r>
    </w:p>
  </w:footnote>
  <w:footnote w:id="27">
    <w:p w14:paraId="71DD1A8D" w14:textId="0BE33ABA" w:rsidR="00CF7819" w:rsidRDefault="00CF7819">
      <w:pPr>
        <w:pStyle w:val="FootnoteText"/>
      </w:pPr>
      <w:r>
        <w:rPr>
          <w:rStyle w:val="FootnoteReference"/>
        </w:rPr>
        <w:footnoteRef/>
      </w:r>
      <w:r>
        <w:t xml:space="preserve"> This example is also extracted from the above-mentioned article by Prof. </w:t>
      </w:r>
      <w:proofErr w:type="spellStart"/>
      <w:r>
        <w:t>Porat</w:t>
      </w:r>
      <w:proofErr w:type="spellEnd"/>
      <w:r>
        <w:t xml:space="preserve">, pages 17-18. This issue </w:t>
      </w:r>
      <w:r w:rsidR="00A64743">
        <w:t xml:space="preserve">is also addressed in another of Prof. </w:t>
      </w:r>
      <w:proofErr w:type="spellStart"/>
      <w:r w:rsidR="00A64743">
        <w:t>Porats</w:t>
      </w:r>
      <w:proofErr w:type="spellEnd"/>
      <w:r w:rsidR="00A64743">
        <w:t xml:space="preserve"> articles “The Right to a Dignified Existence in the Eyes of Israeli Law: Its Legal Standing”</w:t>
      </w:r>
    </w:p>
  </w:footnote>
  <w:footnote w:id="28">
    <w:p w14:paraId="395BF1B1" w14:textId="56CD9DB8" w:rsidR="00A64743" w:rsidRDefault="00A64743">
      <w:pPr>
        <w:pStyle w:val="FootnoteText"/>
      </w:pPr>
      <w:r>
        <w:rPr>
          <w:rStyle w:val="FootnoteReference"/>
        </w:rPr>
        <w:footnoteRef/>
      </w:r>
      <w:r>
        <w:t xml:space="preserve"> For example, the Welfare Services regulations state:” The Welfare Service shall provide welfare and social amenities to the recipient who has applied for it”- Article 2</w:t>
      </w:r>
      <w:r w:rsidR="004048B4">
        <w:t xml:space="preserve"> of the Welfare Department regulations (1986)</w:t>
      </w:r>
    </w:p>
  </w:footnote>
  <w:footnote w:id="29">
    <w:p w14:paraId="1E8EEDC0" w14:textId="1DADC8B3" w:rsidR="004048B4" w:rsidRDefault="004048B4">
      <w:pPr>
        <w:pStyle w:val="FootnoteText"/>
      </w:pPr>
      <w:r>
        <w:rPr>
          <w:rStyle w:val="FootnoteReference"/>
        </w:rPr>
        <w:footnoteRef/>
      </w:r>
      <w:r>
        <w:t xml:space="preserve"> An example of a claim on this matter can be seen in court case 08/628, Eliezer </w:t>
      </w:r>
      <w:proofErr w:type="spellStart"/>
      <w:r>
        <w:t>Giladi</w:t>
      </w:r>
      <w:proofErr w:type="spellEnd"/>
      <w:r>
        <w:t xml:space="preserve"> V </w:t>
      </w:r>
      <w:proofErr w:type="gramStart"/>
      <w:r>
        <w:t>The</w:t>
      </w:r>
      <w:proofErr w:type="gramEnd"/>
      <w:r>
        <w:t xml:space="preserve"> Social Security Administration (15.04.2010)</w:t>
      </w:r>
    </w:p>
  </w:footnote>
  <w:footnote w:id="30">
    <w:p w14:paraId="3596A14D" w14:textId="188F77C3" w:rsidR="00581869" w:rsidRDefault="00581869">
      <w:pPr>
        <w:pStyle w:val="FootnoteText"/>
      </w:pPr>
      <w:r>
        <w:rPr>
          <w:rStyle w:val="FootnoteReference"/>
        </w:rPr>
        <w:footnoteRef/>
      </w:r>
      <w:r>
        <w:t xml:space="preserve"> For example- the Social Security’s obligation to notify the eligible. An example of this imperative can be seen in Section 2B which was added to the Welfare Provision Act (amendment 8) in 2018</w:t>
      </w:r>
    </w:p>
  </w:footnote>
  <w:footnote w:id="31">
    <w:p w14:paraId="31FA3C25" w14:textId="54E1BBAE" w:rsidR="00581869" w:rsidRDefault="00581869">
      <w:pPr>
        <w:pStyle w:val="FootnoteText"/>
      </w:pPr>
      <w:r>
        <w:rPr>
          <w:rStyle w:val="FootnoteReference"/>
        </w:rPr>
        <w:footnoteRef/>
      </w:r>
      <w:r>
        <w:t xml:space="preserve"> </w:t>
      </w:r>
      <w:r w:rsidR="00871266">
        <w:t>The obligation to notify does not solve bureaucratic or psychological obstacles.</w:t>
      </w:r>
    </w:p>
  </w:footnote>
  <w:footnote w:id="32">
    <w:p w14:paraId="0714CFF2" w14:textId="7568673D" w:rsidR="00871266" w:rsidRDefault="00871266">
      <w:pPr>
        <w:pStyle w:val="FootnoteText"/>
      </w:pPr>
      <w:r>
        <w:rPr>
          <w:rStyle w:val="FootnoteReference"/>
        </w:rPr>
        <w:footnoteRef/>
      </w:r>
      <w:r>
        <w:t xml:space="preserve"> </w:t>
      </w:r>
      <w:proofErr w:type="spellStart"/>
      <w:r>
        <w:t>Yoreh</w:t>
      </w:r>
      <w:proofErr w:type="spellEnd"/>
      <w:r>
        <w:t xml:space="preserve"> </w:t>
      </w:r>
      <w:proofErr w:type="spellStart"/>
      <w:r>
        <w:t>De’ah</w:t>
      </w:r>
      <w:proofErr w:type="spellEnd"/>
      <w:r>
        <w:t xml:space="preserve"> 248</w:t>
      </w:r>
    </w:p>
  </w:footnote>
  <w:footnote w:id="33">
    <w:p w14:paraId="6172D848" w14:textId="31DF0A2E" w:rsidR="00FB4CAE" w:rsidRDefault="00FB4CAE">
      <w:pPr>
        <w:pStyle w:val="FootnoteText"/>
      </w:pPr>
      <w:r>
        <w:rPr>
          <w:rStyle w:val="FootnoteReference"/>
        </w:rPr>
        <w:footnoteRef/>
      </w:r>
      <w:r>
        <w:t xml:space="preserve"> </w:t>
      </w:r>
      <w:proofErr w:type="spellStart"/>
      <w:r>
        <w:t>Yoreh</w:t>
      </w:r>
      <w:proofErr w:type="spellEnd"/>
      <w:r>
        <w:t xml:space="preserve"> </w:t>
      </w:r>
      <w:proofErr w:type="spellStart"/>
      <w:r>
        <w:t>De’ah</w:t>
      </w:r>
      <w:proofErr w:type="spellEnd"/>
      <w:r>
        <w:t xml:space="preserve"> 248</w:t>
      </w:r>
      <w:r>
        <w:t>, article 17</w:t>
      </w:r>
    </w:p>
  </w:footnote>
  <w:footnote w:id="34">
    <w:p w14:paraId="2D29FD28" w14:textId="50A000A1" w:rsidR="008C4380" w:rsidRDefault="008C4380">
      <w:pPr>
        <w:pStyle w:val="FootnoteText"/>
      </w:pPr>
      <w:r>
        <w:rPr>
          <w:rStyle w:val="FootnoteReference"/>
        </w:rPr>
        <w:footnoteRef/>
      </w:r>
      <w:r>
        <w:t xml:space="preserve"> The model of synagogues and closed communities</w:t>
      </w:r>
      <w:r w:rsidR="00992CC4">
        <w:t xml:space="preserve"> as the Jews have had for centuries before establishing a sovereign state.</w:t>
      </w:r>
    </w:p>
  </w:footnote>
  <w:footnote w:id="35">
    <w:p w14:paraId="48ACA2A9" w14:textId="27FB3177" w:rsidR="00773D95" w:rsidRDefault="00773D95">
      <w:pPr>
        <w:pStyle w:val="FootnoteText"/>
      </w:pPr>
      <w:r>
        <w:rPr>
          <w:rStyle w:val="FootnoteReference"/>
        </w:rPr>
        <w:footnoteRef/>
      </w:r>
      <w:r>
        <w:t xml:space="preserve"> Which would skew Israeli law towards Jewish law as required by the law.</w:t>
      </w:r>
    </w:p>
  </w:footnote>
  <w:footnote w:id="36">
    <w:p w14:paraId="52279F13" w14:textId="049CA413" w:rsidR="00EA72C4" w:rsidRPr="00EA72C4" w:rsidRDefault="00EA72C4">
      <w:pPr>
        <w:pStyle w:val="FootnoteText"/>
        <w:rPr>
          <w:b/>
          <w:bCs/>
        </w:rPr>
      </w:pPr>
      <w:r>
        <w:rPr>
          <w:rStyle w:val="FootnoteReference"/>
        </w:rPr>
        <w:footnoteRef/>
      </w:r>
      <w:hyperlink r:id="rId5" w:history="1">
        <w:r w:rsidRPr="00255388">
          <w:rPr>
            <w:rStyle w:val="Hyperlink"/>
          </w:rPr>
          <w:t>https://he.wikipedia.org/wiki/%D7%94%D7%9E%D7%94%D7%A4%D7%9B%D7%94_%D7%94%D7%97%D7%95%D7%A7%D7%AA%D7%99%D7%AA</w:t>
        </w:r>
      </w:hyperlink>
    </w:p>
  </w:footnote>
  <w:footnote w:id="37">
    <w:p w14:paraId="6D69C8C3" w14:textId="7EB4ABA1" w:rsidR="009A4366" w:rsidRDefault="009A4366">
      <w:pPr>
        <w:pStyle w:val="FootnoteText"/>
      </w:pPr>
      <w:r>
        <w:rPr>
          <w:rStyle w:val="FootnoteReference"/>
        </w:rPr>
        <w:footnoteRef/>
      </w:r>
      <w:r>
        <w:t xml:space="preserve"> We can see how this dispute manifests itself throughout the legal professions, and we can especially see how to this day it is represented in cases which have not yet received a final ruling.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5E"/>
    <w:rsid w:val="0000070C"/>
    <w:rsid w:val="00000DEF"/>
    <w:rsid w:val="0001258A"/>
    <w:rsid w:val="00027528"/>
    <w:rsid w:val="00085F74"/>
    <w:rsid w:val="000A2D56"/>
    <w:rsid w:val="000A6452"/>
    <w:rsid w:val="000C0E0F"/>
    <w:rsid w:val="000C72A1"/>
    <w:rsid w:val="000D7A45"/>
    <w:rsid w:val="000F2496"/>
    <w:rsid w:val="0010557B"/>
    <w:rsid w:val="001820C0"/>
    <w:rsid w:val="001D6AB3"/>
    <w:rsid w:val="001F7688"/>
    <w:rsid w:val="002232E7"/>
    <w:rsid w:val="00235F26"/>
    <w:rsid w:val="00251658"/>
    <w:rsid w:val="002629C2"/>
    <w:rsid w:val="0029462C"/>
    <w:rsid w:val="002B3BA1"/>
    <w:rsid w:val="002B6AB8"/>
    <w:rsid w:val="002C1D5E"/>
    <w:rsid w:val="002C37BE"/>
    <w:rsid w:val="002C62E1"/>
    <w:rsid w:val="00366F5F"/>
    <w:rsid w:val="00397C18"/>
    <w:rsid w:val="004048B4"/>
    <w:rsid w:val="0042582A"/>
    <w:rsid w:val="00433C9C"/>
    <w:rsid w:val="0043667D"/>
    <w:rsid w:val="00491568"/>
    <w:rsid w:val="004D58A7"/>
    <w:rsid w:val="004F3BAB"/>
    <w:rsid w:val="0051260E"/>
    <w:rsid w:val="0052670D"/>
    <w:rsid w:val="0054105E"/>
    <w:rsid w:val="00566FC3"/>
    <w:rsid w:val="00581869"/>
    <w:rsid w:val="005B021E"/>
    <w:rsid w:val="005C7A0F"/>
    <w:rsid w:val="005F01F1"/>
    <w:rsid w:val="006E46AC"/>
    <w:rsid w:val="006F389D"/>
    <w:rsid w:val="00711B4E"/>
    <w:rsid w:val="00714EA1"/>
    <w:rsid w:val="007639D7"/>
    <w:rsid w:val="00773D95"/>
    <w:rsid w:val="007A6BAE"/>
    <w:rsid w:val="007B0922"/>
    <w:rsid w:val="00811712"/>
    <w:rsid w:val="00827F79"/>
    <w:rsid w:val="00871266"/>
    <w:rsid w:val="00876272"/>
    <w:rsid w:val="008C4380"/>
    <w:rsid w:val="00901DA3"/>
    <w:rsid w:val="00912037"/>
    <w:rsid w:val="00927B19"/>
    <w:rsid w:val="00984BCC"/>
    <w:rsid w:val="00992CC4"/>
    <w:rsid w:val="009A4366"/>
    <w:rsid w:val="009A6F49"/>
    <w:rsid w:val="009B1BE3"/>
    <w:rsid w:val="009F40D9"/>
    <w:rsid w:val="00A13BE4"/>
    <w:rsid w:val="00A27080"/>
    <w:rsid w:val="00A2753C"/>
    <w:rsid w:val="00A56536"/>
    <w:rsid w:val="00A64743"/>
    <w:rsid w:val="00A80404"/>
    <w:rsid w:val="00B1475E"/>
    <w:rsid w:val="00B461D0"/>
    <w:rsid w:val="00B82152"/>
    <w:rsid w:val="00B829AD"/>
    <w:rsid w:val="00BB222B"/>
    <w:rsid w:val="00BC2448"/>
    <w:rsid w:val="00BD03E5"/>
    <w:rsid w:val="00BE0AAE"/>
    <w:rsid w:val="00C20CBF"/>
    <w:rsid w:val="00C340B6"/>
    <w:rsid w:val="00C40363"/>
    <w:rsid w:val="00C6010D"/>
    <w:rsid w:val="00CE0B6B"/>
    <w:rsid w:val="00CE2C8A"/>
    <w:rsid w:val="00CE4937"/>
    <w:rsid w:val="00CF7819"/>
    <w:rsid w:val="00D10E98"/>
    <w:rsid w:val="00D20C18"/>
    <w:rsid w:val="00DB41DE"/>
    <w:rsid w:val="00DC3F7D"/>
    <w:rsid w:val="00DE3532"/>
    <w:rsid w:val="00E70392"/>
    <w:rsid w:val="00E762E1"/>
    <w:rsid w:val="00E92D0E"/>
    <w:rsid w:val="00EA72C4"/>
    <w:rsid w:val="00EB271F"/>
    <w:rsid w:val="00F41B38"/>
    <w:rsid w:val="00F53D99"/>
    <w:rsid w:val="00FB4CAE"/>
    <w:rsid w:val="00FB730E"/>
    <w:rsid w:val="00FC4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C02A"/>
  <w15:chartTrackingRefBased/>
  <w15:docId w15:val="{48419EEB-9BBB-464A-A094-6197FDC3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D5E"/>
    <w:pPr>
      <w:spacing w:after="0" w:line="240" w:lineRule="auto"/>
    </w:pPr>
  </w:style>
  <w:style w:type="paragraph" w:styleId="FootnoteText">
    <w:name w:val="footnote text"/>
    <w:basedOn w:val="Normal"/>
    <w:link w:val="FootnoteTextChar"/>
    <w:uiPriority w:val="99"/>
    <w:semiHidden/>
    <w:unhideWhenUsed/>
    <w:rsid w:val="00C20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CBF"/>
    <w:rPr>
      <w:sz w:val="20"/>
      <w:szCs w:val="20"/>
    </w:rPr>
  </w:style>
  <w:style w:type="character" w:styleId="FootnoteReference">
    <w:name w:val="footnote reference"/>
    <w:basedOn w:val="DefaultParagraphFont"/>
    <w:uiPriority w:val="99"/>
    <w:semiHidden/>
    <w:unhideWhenUsed/>
    <w:rsid w:val="00C20CBF"/>
    <w:rPr>
      <w:vertAlign w:val="superscript"/>
    </w:rPr>
  </w:style>
  <w:style w:type="character" w:styleId="Hyperlink">
    <w:name w:val="Hyperlink"/>
    <w:basedOn w:val="DefaultParagraphFont"/>
    <w:uiPriority w:val="99"/>
    <w:unhideWhenUsed/>
    <w:rsid w:val="00366F5F"/>
    <w:rPr>
      <w:color w:val="0563C1" w:themeColor="hyperlink"/>
      <w:u w:val="single"/>
    </w:rPr>
  </w:style>
  <w:style w:type="character" w:styleId="FollowedHyperlink">
    <w:name w:val="FollowedHyperlink"/>
    <w:basedOn w:val="DefaultParagraphFont"/>
    <w:uiPriority w:val="99"/>
    <w:semiHidden/>
    <w:unhideWhenUsed/>
    <w:rsid w:val="00C340B6"/>
    <w:rPr>
      <w:color w:val="954F72" w:themeColor="followedHyperlink"/>
      <w:u w:val="single"/>
    </w:rPr>
  </w:style>
  <w:style w:type="paragraph" w:styleId="NormalWeb">
    <w:name w:val="Normal (Web)"/>
    <w:basedOn w:val="Normal"/>
    <w:uiPriority w:val="99"/>
    <w:semiHidden/>
    <w:unhideWhenUsed/>
    <w:rsid w:val="00E92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92D0E"/>
  </w:style>
  <w:style w:type="character" w:styleId="UnresolvedMention">
    <w:name w:val="Unresolved Mention"/>
    <w:basedOn w:val="DefaultParagraphFont"/>
    <w:uiPriority w:val="99"/>
    <w:semiHidden/>
    <w:unhideWhenUsed/>
    <w:rsid w:val="00EA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evo.co.il/law_html/law01/055_007.htm%20&#1505;&#1493;&#1507;%20&#1505;&#1506;&#1497;&#1507;%201" TargetMode="External"/><Relationship Id="rId2" Type="http://schemas.openxmlformats.org/officeDocument/2006/relationships/hyperlink" Target="https://www.knesset.gov.il/laws/special/heb/knesset_laws.pdf" TargetMode="External"/><Relationship Id="rId1" Type="http://schemas.openxmlformats.org/officeDocument/2006/relationships/hyperlink" Target="https://main.knesset.gov.il/en/activity/pages/BasicLawsAndConstitution.aspx" TargetMode="External"/><Relationship Id="rId5" Type="http://schemas.openxmlformats.org/officeDocument/2006/relationships/hyperlink" Target="https://he.wikipedia.org/wiki/%D7%94%D7%9E%D7%94%D7%A4%D7%9B%D7%94_%D7%94%D7%97%D7%95%D7%A7%D7%AA%D7%99%D7%AA" TargetMode="External"/><Relationship Id="rId4" Type="http://schemas.openxmlformats.org/officeDocument/2006/relationships/hyperlink" Target="https://www.nevo.co.il/law_html/law01/090_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0AA0-89BE-4410-A4CE-FAA96774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12</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`Shooki` Keinan</dc:creator>
  <cp:keywords/>
  <dc:description/>
  <cp:lastModifiedBy>Joshua `Shooki` Keinan</cp:lastModifiedBy>
  <cp:revision>39</cp:revision>
  <dcterms:created xsi:type="dcterms:W3CDTF">2022-01-02T18:02:00Z</dcterms:created>
  <dcterms:modified xsi:type="dcterms:W3CDTF">2022-01-05T19:50:00Z</dcterms:modified>
</cp:coreProperties>
</file>