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0CB35" w14:textId="77777777" w:rsidR="00E53115" w:rsidRPr="00C5596E" w:rsidRDefault="00E53115" w:rsidP="00E53115">
      <w:pPr>
        <w:pStyle w:val="h1"/>
        <w:rPr>
          <w:sz w:val="24"/>
        </w:rPr>
      </w:pPr>
      <w:r w:rsidRPr="00C5596E">
        <w:rPr>
          <w:sz w:val="24"/>
        </w:rPr>
        <w:t>Where linguistics meets historiography: The Great War and popular Italian in the works of Leo Spitzer</w:t>
      </w:r>
      <w:r w:rsidRPr="00C5596E">
        <w:rPr>
          <w:rStyle w:val="apple-converted-space"/>
          <w:sz w:val="24"/>
        </w:rPr>
        <w:t xml:space="preserve"> </w:t>
      </w:r>
    </w:p>
    <w:p w14:paraId="09806229" w14:textId="77777777" w:rsidR="00E53115" w:rsidRPr="00C5596E" w:rsidRDefault="00E53115" w:rsidP="00E53115">
      <w:pPr>
        <w:pStyle w:val="h1"/>
      </w:pPr>
      <w:r w:rsidRPr="00C5596E">
        <w:t>Fabio Rossi</w:t>
      </w:r>
    </w:p>
    <w:p w14:paraId="1D427153" w14:textId="77777777" w:rsidR="00E53115" w:rsidRPr="00C5596E" w:rsidRDefault="00E53115" w:rsidP="00E53115">
      <w:pPr>
        <w:rPr>
          <w:sz w:val="20"/>
          <w:szCs w:val="20"/>
        </w:rPr>
      </w:pPr>
    </w:p>
    <w:p w14:paraId="190239FF" w14:textId="77777777" w:rsidR="00E53115" w:rsidRPr="00C5596E" w:rsidRDefault="00E53115" w:rsidP="00E53115">
      <w:pPr>
        <w:rPr>
          <w:sz w:val="20"/>
          <w:szCs w:val="20"/>
        </w:rPr>
      </w:pPr>
    </w:p>
    <w:p w14:paraId="0577B200" w14:textId="77777777" w:rsidR="00E53115" w:rsidRPr="00C5596E" w:rsidRDefault="00E53115" w:rsidP="00E53115">
      <w:pPr>
        <w:rPr>
          <w:sz w:val="20"/>
          <w:szCs w:val="20"/>
        </w:rPr>
      </w:pPr>
    </w:p>
    <w:p w14:paraId="5BF44C9E" w14:textId="77777777" w:rsidR="00E53115" w:rsidRPr="00C5596E" w:rsidRDefault="00E53115" w:rsidP="00E53115">
      <w:pPr>
        <w:jc w:val="center"/>
        <w:rPr>
          <w:b/>
        </w:rPr>
      </w:pPr>
      <w:r w:rsidRPr="00C5596E">
        <w:rPr>
          <w:b/>
          <w:bCs/>
          <w:lang w:val="en-GB"/>
        </w:rPr>
        <w:t>1. Introductory remarks</w:t>
      </w:r>
    </w:p>
    <w:p w14:paraId="462C2017" w14:textId="77777777" w:rsidR="00E53115" w:rsidRPr="00C5596E" w:rsidRDefault="00E53115" w:rsidP="00E53115">
      <w:pPr>
        <w:jc w:val="center"/>
        <w:rPr>
          <w:b/>
        </w:rPr>
      </w:pPr>
    </w:p>
    <w:p w14:paraId="25D7F244" w14:textId="77777777" w:rsidR="00E53115" w:rsidRPr="00C5596E" w:rsidRDefault="00E53115" w:rsidP="00E53115">
      <w:pPr>
        <w:rPr>
          <w:sz w:val="18"/>
          <w:szCs w:val="18"/>
        </w:rPr>
      </w:pPr>
    </w:p>
    <w:p w14:paraId="6875E15C" w14:textId="60140650" w:rsidR="00E53115" w:rsidRPr="00C5596E" w:rsidRDefault="00E53115" w:rsidP="00E53115">
      <w:pPr>
        <w:jc w:val="both"/>
        <w:rPr>
          <w:sz w:val="20"/>
          <w:szCs w:val="20"/>
          <w:lang w:val="en-GB"/>
        </w:rPr>
      </w:pPr>
      <w:r w:rsidRPr="00C5596E">
        <w:rPr>
          <w:sz w:val="20"/>
          <w:szCs w:val="20"/>
          <w:lang w:val="en-GB"/>
        </w:rPr>
        <w:t xml:space="preserve">We may justify a linguistic study of the Great War (hereinafter, GW) for various reasons, even though linguistic aspects are often those most neglected in the study of historical phenomena. </w:t>
      </w:r>
      <w:r w:rsidRPr="00C5596E">
        <w:rPr>
          <w:bCs/>
          <w:sz w:val="20"/>
          <w:szCs w:val="20"/>
          <w:lang w:val="en-GB"/>
        </w:rPr>
        <w:t>The GW led to a revolution in the production of letters and diaries, so much so that the period has been seen as suffering from “writing bulimia” (</w:t>
      </w:r>
      <w:proofErr w:type="spellStart"/>
      <w:r w:rsidRPr="00C5596E">
        <w:rPr>
          <w:bCs/>
          <w:sz w:val="20"/>
          <w:szCs w:val="20"/>
          <w:lang w:val="en-GB"/>
        </w:rPr>
        <w:t>Cafferana</w:t>
      </w:r>
      <w:proofErr w:type="spellEnd"/>
      <w:r w:rsidRPr="00C5596E">
        <w:rPr>
          <w:b/>
          <w:bCs/>
          <w:sz w:val="20"/>
          <w:szCs w:val="20"/>
          <w:lang w:val="en-GB"/>
        </w:rPr>
        <w:t xml:space="preserve"> </w:t>
      </w:r>
      <w:r w:rsidRPr="00C5596E">
        <w:rPr>
          <w:sz w:val="20"/>
          <w:szCs w:val="20"/>
          <w:lang w:val="en-GB"/>
        </w:rPr>
        <w:t>2005: 40).</w:t>
      </w:r>
      <w:r w:rsidRPr="00C5596E">
        <w:rPr>
          <w:rStyle w:val="Rimandonotaapidipagina"/>
          <w:sz w:val="20"/>
          <w:szCs w:val="20"/>
          <w:lang w:val="en-GB"/>
        </w:rPr>
        <w:footnoteReference w:id="1"/>
      </w:r>
      <w:r w:rsidRPr="00C5596E">
        <w:rPr>
          <w:sz w:val="20"/>
          <w:szCs w:val="20"/>
          <w:lang w:val="en-GB"/>
        </w:rPr>
        <w:t xml:space="preserve"> During the war years, </w:t>
      </w:r>
      <w:r w:rsidRPr="00C5596E">
        <w:rPr>
          <w:bCs/>
          <w:sz w:val="20"/>
          <w:szCs w:val="20"/>
          <w:lang w:val="en-GB"/>
        </w:rPr>
        <w:t xml:space="preserve">four billion </w:t>
      </w:r>
      <w:r w:rsidRPr="00C5596E">
        <w:rPr>
          <w:sz w:val="20"/>
          <w:szCs w:val="20"/>
          <w:lang w:val="en-GB"/>
        </w:rPr>
        <w:t>letters and postcards were written in Italy alone, as well as</w:t>
      </w:r>
      <w:r w:rsidRPr="00C5596E">
        <w:rPr>
          <w:bCs/>
          <w:sz w:val="20"/>
          <w:szCs w:val="20"/>
          <w:lang w:val="en-GB"/>
        </w:rPr>
        <w:t xml:space="preserve"> ten billion in France, and thirty billion</w:t>
      </w:r>
      <w:r w:rsidRPr="00C5596E">
        <w:rPr>
          <w:sz w:val="20"/>
          <w:szCs w:val="20"/>
          <w:lang w:val="en-GB"/>
        </w:rPr>
        <w:t xml:space="preserve"> in Germany. The figures are even more impressive if one considers that the illiteracy rate among Italian soldiers at the time was between 32% and 39%, with peaks of up to 53% in Calabria (Renzi 2016; </w:t>
      </w:r>
      <w:proofErr w:type="spellStart"/>
      <w:r w:rsidRPr="00C5596E">
        <w:rPr>
          <w:sz w:val="20"/>
          <w:szCs w:val="20"/>
          <w:lang w:val="en-GB"/>
        </w:rPr>
        <w:t>Caffarena</w:t>
      </w:r>
      <w:proofErr w:type="spellEnd"/>
      <w:r w:rsidRPr="00C5596E">
        <w:rPr>
          <w:sz w:val="20"/>
          <w:szCs w:val="20"/>
          <w:lang w:val="en-GB"/>
        </w:rPr>
        <w:t xml:space="preserve"> 2005: 42-43). The data provided by De Mauro (1963, chapter 3: with 40% of Italians still illiterate in 1911; see also below, footnote 5) are much more pessimistic. </w:t>
      </w:r>
    </w:p>
    <w:p w14:paraId="0D536B47" w14:textId="77777777" w:rsidR="00E53115" w:rsidRPr="00C5596E" w:rsidRDefault="00E53115" w:rsidP="00E53115">
      <w:pPr>
        <w:ind w:firstLine="284"/>
        <w:jc w:val="both"/>
        <w:rPr>
          <w:color w:val="000000"/>
          <w:sz w:val="20"/>
          <w:szCs w:val="20"/>
        </w:rPr>
      </w:pPr>
      <w:r w:rsidRPr="00C5596E">
        <w:rPr>
          <w:sz w:val="20"/>
          <w:szCs w:val="20"/>
          <w:lang w:val="en-GB"/>
        </w:rPr>
        <w:t>These data clearly suggest fairly widespread phenomena of collective and “delegated” writing (</w:t>
      </w:r>
      <w:proofErr w:type="spellStart"/>
      <w:r w:rsidRPr="00C5596E">
        <w:rPr>
          <w:sz w:val="20"/>
          <w:szCs w:val="20"/>
          <w:lang w:val="en-GB"/>
        </w:rPr>
        <w:t>Caffarena</w:t>
      </w:r>
      <w:proofErr w:type="spellEnd"/>
      <w:r w:rsidRPr="00C5596E">
        <w:rPr>
          <w:sz w:val="20"/>
          <w:szCs w:val="20"/>
          <w:lang w:val="en-GB"/>
        </w:rPr>
        <w:t xml:space="preserve"> 2005: 60), in which a writer just slightly more educated than his peers would take on the task of reading and composing letters for a group of illiterate people. The vast majority of these letters, postcards, and diaries are still waiting to be studied. Given the widespread illiteracy in Italy in the early </w:t>
      </w:r>
      <w:r w:rsidRPr="00C5596E">
        <w:rPr>
          <w:bCs/>
          <w:sz w:val="20"/>
          <w:szCs w:val="20"/>
          <w:lang w:val="en-GB"/>
        </w:rPr>
        <w:t>twentieth century</w:t>
      </w:r>
      <w:r w:rsidRPr="00C5596E">
        <w:rPr>
          <w:sz w:val="20"/>
          <w:szCs w:val="20"/>
          <w:lang w:val="en-GB"/>
        </w:rPr>
        <w:t xml:space="preserve">, the language of these documents was obviously not standard Italian, but a different type of Italian, strongly influenced by dialect, later referred to as </w:t>
      </w:r>
      <w:r w:rsidRPr="00C5596E">
        <w:rPr>
          <w:i/>
          <w:iCs/>
          <w:sz w:val="20"/>
          <w:szCs w:val="20"/>
          <w:shd w:val="clear" w:color="auto" w:fill="FFFFFF"/>
          <w:lang w:val="en-GB"/>
        </w:rPr>
        <w:t>unitary popular Italian</w:t>
      </w:r>
      <w:r w:rsidRPr="00C5596E">
        <w:rPr>
          <w:sz w:val="20"/>
          <w:szCs w:val="20"/>
          <w:shd w:val="clear" w:color="auto" w:fill="FFFFFF"/>
          <w:lang w:val="en-GB"/>
        </w:rPr>
        <w:t xml:space="preserve">, that is, </w:t>
      </w:r>
      <w:r w:rsidRPr="00C5596E">
        <w:rPr>
          <w:sz w:val="20"/>
          <w:szCs w:val="20"/>
          <w:lang w:val="en-GB"/>
        </w:rPr>
        <w:t>“a form of Italian imperfectly acquired by those who have a dialect as their mother tongue” (</w:t>
      </w:r>
      <w:proofErr w:type="spellStart"/>
      <w:r w:rsidRPr="00C5596E">
        <w:rPr>
          <w:sz w:val="20"/>
          <w:szCs w:val="20"/>
          <w:lang w:val="en-GB"/>
        </w:rPr>
        <w:t>Cortelazzo</w:t>
      </w:r>
      <w:proofErr w:type="spellEnd"/>
      <w:r w:rsidRPr="00C5596E">
        <w:rPr>
          <w:sz w:val="20"/>
          <w:szCs w:val="20"/>
          <w:lang w:val="en-GB"/>
        </w:rPr>
        <w:t xml:space="preserve"> 1972: 11; </w:t>
      </w:r>
      <w:proofErr w:type="spellStart"/>
      <w:r w:rsidRPr="00C5596E">
        <w:rPr>
          <w:sz w:val="20"/>
          <w:szCs w:val="20"/>
          <w:lang w:val="en-GB"/>
        </w:rPr>
        <w:t>Lepschy</w:t>
      </w:r>
      <w:proofErr w:type="spellEnd"/>
      <w:r w:rsidRPr="00C5596E">
        <w:rPr>
          <w:sz w:val="20"/>
          <w:szCs w:val="20"/>
          <w:lang w:val="en-GB"/>
        </w:rPr>
        <w:t xml:space="preserve"> 1990: 69)</w:t>
      </w:r>
      <w:r w:rsidRPr="00C5596E">
        <w:rPr>
          <w:color w:val="000000"/>
          <w:sz w:val="20"/>
          <w:szCs w:val="20"/>
          <w:lang w:val="en-GB"/>
        </w:rPr>
        <w:t xml:space="preserve">. </w:t>
      </w:r>
    </w:p>
    <w:p w14:paraId="54474900" w14:textId="77777777" w:rsidR="00E53115" w:rsidRPr="00C5596E" w:rsidRDefault="00E53115" w:rsidP="00E53115">
      <w:pPr>
        <w:ind w:firstLine="284"/>
        <w:jc w:val="both"/>
        <w:rPr>
          <w:color w:val="000000"/>
          <w:sz w:val="20"/>
          <w:szCs w:val="20"/>
        </w:rPr>
      </w:pPr>
      <w:r w:rsidRPr="00C5596E">
        <w:rPr>
          <w:color w:val="000000"/>
          <w:sz w:val="20"/>
          <w:szCs w:val="20"/>
          <w:lang w:val="en-GB"/>
        </w:rPr>
        <w:t xml:space="preserve">In the following pages, we will examine the characteristics of popular Italian, as compared to other types of Italian, on the basis of a study by Spitzer (1921/2016) that revolutionized linguistics. For the first time, he shifted the interest of linguists from traditional writing to a type of writing strongly influenced by spoken language, which displayed features that were not dealt with in the grammars of the time. Spitzer leads us to reflect on a series of paradoxes regarding the GW and the very nature of language: </w:t>
      </w:r>
    </w:p>
    <w:p w14:paraId="4DC86668" w14:textId="77777777" w:rsidR="00E53115" w:rsidRPr="00C5596E" w:rsidRDefault="00E53115" w:rsidP="00E53115">
      <w:pPr>
        <w:ind w:firstLine="284"/>
        <w:jc w:val="both"/>
        <w:rPr>
          <w:color w:val="000000"/>
          <w:sz w:val="20"/>
          <w:szCs w:val="20"/>
        </w:rPr>
      </w:pPr>
      <w:r w:rsidRPr="00C5596E">
        <w:rPr>
          <w:color w:val="000000"/>
          <w:sz w:val="20"/>
          <w:szCs w:val="20"/>
          <w:lang w:val="en-GB"/>
        </w:rPr>
        <w:t xml:space="preserve">1. The catastrophe of the war has always been considered unspeakable and unrepresentable (Amato 2015; Amato </w:t>
      </w:r>
      <w:r w:rsidRPr="00C5596E">
        <w:rPr>
          <w:i/>
          <w:iCs/>
          <w:color w:val="000000"/>
          <w:sz w:val="20"/>
          <w:szCs w:val="20"/>
          <w:lang w:val="en-GB"/>
        </w:rPr>
        <w:t>et al.</w:t>
      </w:r>
      <w:r w:rsidRPr="00C5596E">
        <w:rPr>
          <w:color w:val="000000"/>
          <w:sz w:val="20"/>
          <w:szCs w:val="20"/>
          <w:lang w:val="en-GB"/>
        </w:rPr>
        <w:t xml:space="preserve"> 2017), but to what extent is this due to the obvious restrictions imposed by writing, as well as by censorship, on those who were in a position to describe it? </w:t>
      </w:r>
    </w:p>
    <w:p w14:paraId="1C0D82B8" w14:textId="77777777" w:rsidR="00E53115" w:rsidRPr="00C5596E" w:rsidRDefault="00E53115" w:rsidP="00E53115">
      <w:pPr>
        <w:ind w:firstLine="284"/>
        <w:jc w:val="both"/>
        <w:rPr>
          <w:color w:val="000000"/>
          <w:sz w:val="20"/>
          <w:szCs w:val="20"/>
        </w:rPr>
      </w:pPr>
      <w:r w:rsidRPr="00C5596E">
        <w:rPr>
          <w:color w:val="000000"/>
          <w:sz w:val="20"/>
          <w:szCs w:val="20"/>
          <w:lang w:val="en-GB"/>
        </w:rPr>
        <w:t xml:space="preserve">2. How is it possible to transcribe, and thus analyse, this material (letters written by the working classes) without manipulating them, without radically transforming them into something else? </w:t>
      </w:r>
    </w:p>
    <w:p w14:paraId="4D5C85A4" w14:textId="77777777" w:rsidR="00E53115" w:rsidRPr="00C5596E" w:rsidRDefault="00E53115" w:rsidP="00E53115">
      <w:pPr>
        <w:ind w:firstLine="284"/>
        <w:jc w:val="both"/>
        <w:rPr>
          <w:color w:val="000000"/>
          <w:sz w:val="20"/>
          <w:szCs w:val="20"/>
        </w:rPr>
      </w:pPr>
      <w:r w:rsidRPr="00C5596E">
        <w:rPr>
          <w:color w:val="000000"/>
          <w:sz w:val="20"/>
          <w:szCs w:val="20"/>
          <w:lang w:val="en-GB"/>
        </w:rPr>
        <w:t xml:space="preserve">3. How should we assess deviations from the standard found in such letters, and how should we interpret the many similarities between popular Italian and Italian </w:t>
      </w:r>
      <w:proofErr w:type="spellStart"/>
      <w:r w:rsidRPr="00C5596E">
        <w:rPr>
          <w:i/>
          <w:iCs/>
          <w:color w:val="000000"/>
          <w:sz w:val="20"/>
          <w:szCs w:val="20"/>
          <w:lang w:val="en-GB"/>
        </w:rPr>
        <w:t>Umgangssprache</w:t>
      </w:r>
      <w:proofErr w:type="spellEnd"/>
      <w:r w:rsidRPr="00C5596E">
        <w:rPr>
          <w:color w:val="000000"/>
          <w:sz w:val="20"/>
          <w:szCs w:val="20"/>
          <w:lang w:val="en-GB"/>
        </w:rPr>
        <w:t>?</w:t>
      </w:r>
    </w:p>
    <w:p w14:paraId="4E53C60D" w14:textId="442A0878" w:rsidR="007A4B8A" w:rsidRPr="00E53115" w:rsidRDefault="00E53115" w:rsidP="00E53115">
      <w:pPr>
        <w:ind w:firstLine="284"/>
        <w:jc w:val="both"/>
        <w:rPr>
          <w:sz w:val="20"/>
          <w:szCs w:val="20"/>
        </w:rPr>
      </w:pPr>
      <w:r w:rsidRPr="00C5596E">
        <w:rPr>
          <w:color w:val="000000"/>
          <w:sz w:val="20"/>
          <w:szCs w:val="20"/>
          <w:lang w:val="en-GB"/>
        </w:rPr>
        <w:t xml:space="preserve">As we shall see, </w:t>
      </w:r>
      <w:r w:rsidRPr="00C5596E">
        <w:rPr>
          <w:sz w:val="20"/>
          <w:szCs w:val="20"/>
          <w:lang w:val="en-GB"/>
        </w:rPr>
        <w:t>the content of the letters confirms the inexpressibility of the War, since they rarely contain interesting historical information. Instead, their form, their signifier, tells us a great deal about the Italian population of the time and the differences between written and spoken language, between standard, substandard and neo-standard.</w:t>
      </w:r>
    </w:p>
    <w:sectPr w:rsidR="007A4B8A" w:rsidRPr="00E53115" w:rsidSect="00E53115">
      <w:pgSz w:w="12240" w:h="15840"/>
      <w:pgMar w:top="1985" w:right="1985" w:bottom="1985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E391D" w14:textId="77777777" w:rsidR="006A0F7D" w:rsidRDefault="006A0F7D" w:rsidP="00E53115">
      <w:r>
        <w:separator/>
      </w:r>
    </w:p>
  </w:endnote>
  <w:endnote w:type="continuationSeparator" w:id="0">
    <w:p w14:paraId="4C200EF0" w14:textId="77777777" w:rsidR="006A0F7D" w:rsidRDefault="006A0F7D" w:rsidP="00E5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0D5C1" w14:textId="77777777" w:rsidR="006A0F7D" w:rsidRDefault="006A0F7D" w:rsidP="00E53115">
      <w:r>
        <w:separator/>
      </w:r>
    </w:p>
  </w:footnote>
  <w:footnote w:type="continuationSeparator" w:id="0">
    <w:p w14:paraId="29AC8976" w14:textId="77777777" w:rsidR="006A0F7D" w:rsidRDefault="006A0F7D" w:rsidP="00E53115">
      <w:r>
        <w:continuationSeparator/>
      </w:r>
    </w:p>
  </w:footnote>
  <w:footnote w:id="1">
    <w:p w14:paraId="4AE7357E" w14:textId="77777777" w:rsidR="00E53115" w:rsidRPr="000A6461" w:rsidRDefault="00E53115" w:rsidP="00E53115">
      <w:pPr>
        <w:pStyle w:val="Testonotaapidipagina"/>
        <w:jc w:val="both"/>
        <w:rPr>
          <w:sz w:val="18"/>
          <w:szCs w:val="18"/>
          <w:lang w:val="en-GB"/>
        </w:rPr>
      </w:pPr>
      <w:r w:rsidRPr="00C5596E">
        <w:rPr>
          <w:rStyle w:val="Rimandonotaapidipagina"/>
        </w:rPr>
        <w:footnoteRef/>
      </w:r>
      <w:r w:rsidRPr="00C5596E">
        <w:t xml:space="preserve"> </w:t>
      </w:r>
      <w:r w:rsidRPr="00C5596E">
        <w:rPr>
          <w:sz w:val="18"/>
          <w:szCs w:val="18"/>
        </w:rPr>
        <w:t xml:space="preserve">All quotations in this chapter have been taken from Italian editions of texts unavailable in English and translated by the author, with the exception of </w:t>
      </w:r>
      <w:proofErr w:type="spellStart"/>
      <w:r w:rsidRPr="00C5596E">
        <w:rPr>
          <w:sz w:val="18"/>
          <w:szCs w:val="18"/>
        </w:rPr>
        <w:t>Lepschy</w:t>
      </w:r>
      <w:proofErr w:type="spellEnd"/>
      <w:r w:rsidRPr="00C5596E">
        <w:rPr>
          <w:sz w:val="18"/>
          <w:szCs w:val="18"/>
        </w:rPr>
        <w:t>, which was published in English.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15"/>
    <w:rsid w:val="001F23C0"/>
    <w:rsid w:val="006A0F7D"/>
    <w:rsid w:val="007A4B8A"/>
    <w:rsid w:val="00B55735"/>
    <w:rsid w:val="00E5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45B2"/>
  <w15:chartTrackingRefBased/>
  <w15:docId w15:val="{572B9D0B-CDA2-49E5-B1D4-EE11FC51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1">
    <w:name w:val="h1"/>
    <w:basedOn w:val="Normale"/>
    <w:rsid w:val="00E53115"/>
    <w:pPr>
      <w:keepNext/>
      <w:spacing w:before="280" w:after="180"/>
      <w:jc w:val="center"/>
    </w:pPr>
    <w:rPr>
      <w:smallCaps/>
      <w:sz w:val="32"/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531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311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uiPriority w:val="99"/>
    <w:semiHidden/>
    <w:rsid w:val="00E53115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E531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7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73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dcterms:created xsi:type="dcterms:W3CDTF">2020-05-19T08:01:00Z</dcterms:created>
  <dcterms:modified xsi:type="dcterms:W3CDTF">2020-05-19T08:05:00Z</dcterms:modified>
</cp:coreProperties>
</file>