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6"/>
        </w:rPr>
      </w:pPr>
    </w:p>
    <w:p>
      <w:pPr>
        <w:pStyle w:val="Heading1"/>
        <w:spacing w:before="101"/>
      </w:pPr>
      <w:r>
        <w:rPr>
          <w:color w:val="4F81BD"/>
        </w:rPr>
        <w:t>CHAPITRE 10</w:t>
      </w:r>
    </w:p>
    <w:p>
      <w:pPr>
        <w:pStyle w:val="BodyText"/>
        <w:spacing w:before="10"/>
        <w:rPr>
          <w:b/>
          <w:sz w:val="34"/>
        </w:rPr>
      </w:pPr>
    </w:p>
    <w:p>
      <w:pPr>
        <w:spacing w:before="0"/>
        <w:ind w:left="3338" w:right="3304" w:firstLine="0"/>
        <w:jc w:val="center"/>
        <w:rPr>
          <w:b/>
          <w:sz w:val="24"/>
        </w:rPr>
      </w:pPr>
      <w:r>
        <w:rPr>
          <w:b/>
          <w:color w:val="4F81BD"/>
          <w:sz w:val="24"/>
        </w:rPr>
        <w:t>Le feu de la terre</w:t>
      </w:r>
    </w:p>
    <w:p>
      <w:pPr>
        <w:pStyle w:val="BodyText"/>
        <w:spacing w:before="11"/>
        <w:rPr>
          <w:b/>
          <w:sz w:val="25"/>
        </w:rPr>
      </w:pPr>
    </w:p>
    <w:p>
      <w:pPr>
        <w:spacing w:before="103"/>
        <w:ind w:left="5548" w:right="0" w:firstLine="0"/>
        <w:jc w:val="left"/>
        <w:rPr>
          <w:i/>
          <w:sz w:val="18"/>
        </w:rPr>
      </w:pPr>
      <w:r>
        <w:rPr>
          <w:i/>
          <w:sz w:val="18"/>
        </w:rPr>
        <w:t>No falta fuego cuando es </w:t>
      </w:r>
      <w:r>
        <w:rPr>
          <w:i/>
          <w:spacing w:val="8"/>
          <w:sz w:val="18"/>
        </w:rPr>
        <w:t> </w:t>
      </w:r>
      <w:r>
        <w:rPr>
          <w:i/>
          <w:sz w:val="18"/>
        </w:rPr>
        <w:t>menester.</w:t>
      </w:r>
    </w:p>
    <w:p>
      <w:pPr>
        <w:spacing w:before="9"/>
        <w:ind w:left="6340" w:right="0" w:firstLine="0"/>
        <w:jc w:val="left"/>
        <w:rPr>
          <w:sz w:val="18"/>
        </w:rPr>
      </w:pPr>
      <w:r>
        <w:rPr>
          <w:sz w:val="18"/>
        </w:rPr>
        <w:t>Juan Huarte de San</w:t>
      </w:r>
      <w:r>
        <w:rPr>
          <w:spacing w:val="33"/>
          <w:sz w:val="18"/>
        </w:rPr>
        <w:t> </w:t>
      </w:r>
      <w:r>
        <w:rPr>
          <w:sz w:val="18"/>
        </w:rPr>
        <w:t>Juan</w:t>
      </w:r>
    </w:p>
    <w:p>
      <w:pPr>
        <w:pStyle w:val="BodyText"/>
      </w:pPr>
    </w:p>
    <w:p>
      <w:pPr>
        <w:pStyle w:val="BodyText"/>
      </w:pPr>
    </w:p>
    <w:p>
      <w:pPr>
        <w:pStyle w:val="BodyText"/>
      </w:pPr>
    </w:p>
    <w:p>
      <w:pPr>
        <w:pStyle w:val="BodyText"/>
      </w:pPr>
    </w:p>
    <w:p>
      <w:pPr>
        <w:pStyle w:val="BodyText"/>
      </w:pPr>
    </w:p>
    <w:p>
      <w:pPr>
        <w:pStyle w:val="BodyText"/>
        <w:spacing w:before="7"/>
        <w:rPr>
          <w:sz w:val="24"/>
        </w:rPr>
      </w:pPr>
    </w:p>
    <w:p>
      <w:pPr>
        <w:pStyle w:val="BodyText"/>
        <w:spacing w:line="367" w:lineRule="auto"/>
        <w:ind w:left="323" w:right="282" w:firstLine="661"/>
        <w:jc w:val="both"/>
        <w:rPr>
          <w:i/>
        </w:rPr>
      </w:pPr>
      <w:r>
        <w:rPr/>
        <w:t>Dans la dernière partie de son </w:t>
      </w:r>
      <w:r>
        <w:rPr>
          <w:i/>
        </w:rPr>
        <w:t>Examen de  ingenios  para  las  ciencias,  </w:t>
      </w:r>
      <w:r>
        <w:rPr>
          <w:spacing w:val="-107"/>
        </w:rPr>
        <w:t>Juan</w:t>
      </w:r>
      <w:r>
        <w:rPr>
          <w:spacing w:val="45"/>
        </w:rPr>
        <w:t> </w:t>
      </w:r>
      <w:r>
        <w:rPr/>
        <w:t>Huarte de San Juan développe une série de conseils afin que les parents puissent engendrer des  garçons  aptes  pour  les  sciences  et  les  lettres.  L’</w:t>
      </w:r>
      <w:r>
        <w:rPr>
          <w:i/>
        </w:rPr>
        <w:t>Examen  </w:t>
      </w:r>
      <w:r>
        <w:rPr/>
        <w:t>finit  </w:t>
      </w:r>
      <w:r>
        <w:rPr>
          <w:spacing w:val="-92"/>
        </w:rPr>
        <w:t>ainsi</w:t>
      </w:r>
      <w:r>
        <w:rPr>
          <w:spacing w:val="60"/>
        </w:rPr>
        <w:t> </w:t>
      </w:r>
      <w:r>
        <w:rPr/>
        <w:t>par une réflexion sur la reproduction et confère à la notion d’</w:t>
      </w:r>
      <w:r>
        <w:rPr>
          <w:i/>
        </w:rPr>
        <w:t>ingenio  </w:t>
      </w:r>
      <w:r>
        <w:rPr/>
        <w:t>toute  </w:t>
      </w:r>
      <w:r>
        <w:rPr>
          <w:spacing w:val="-114"/>
        </w:rPr>
        <w:t>son</w:t>
      </w:r>
      <w:r>
        <w:rPr>
          <w:spacing w:val="57"/>
        </w:rPr>
        <w:t> </w:t>
      </w:r>
      <w:r>
        <w:rPr/>
        <w:t>ampleur : une puissance d’engendrement qui est présente dans les opérations du corps, dans les œuvres de la raison ainsi que dans l’acte de la génération de la vie. L’</w:t>
      </w:r>
      <w:r>
        <w:rPr>
          <w:i/>
        </w:rPr>
        <w:t>Examen </w:t>
      </w:r>
      <w:r>
        <w:rPr/>
        <w:t>souhaite libérer, en  les  faisant  connaître,  toutes  les  forces  </w:t>
      </w:r>
      <w:r>
        <w:rPr>
          <w:spacing w:val="-118"/>
        </w:rPr>
        <w:t>de</w:t>
      </w:r>
      <w:r>
        <w:rPr>
          <w:spacing w:val="64"/>
        </w:rPr>
        <w:t> </w:t>
      </w:r>
      <w:r>
        <w:rPr/>
        <w:t>productivité de la nature humaine. Dans cette dernière partie, Huarte s’efforce de comprendre le travail, le savoir, la pensée, les habitudes et la vie du corps à travers une conception tant sexuelle et reproductive qu’érotique et</w:t>
      </w:r>
      <w:r>
        <w:rPr>
          <w:spacing w:val="31"/>
        </w:rPr>
        <w:t> </w:t>
      </w:r>
      <w:r>
        <w:rPr/>
        <w:t>passionnelle</w:t>
      </w:r>
      <w:r>
        <w:rPr>
          <w:i/>
        </w:rPr>
        <w:t>.</w:t>
      </w:r>
    </w:p>
    <w:p>
      <w:pPr>
        <w:pStyle w:val="BodyText"/>
        <w:spacing w:before="8"/>
        <w:rPr>
          <w:i/>
          <w:sz w:val="21"/>
        </w:rPr>
      </w:pPr>
    </w:p>
    <w:p>
      <w:pPr>
        <w:pStyle w:val="BodyText"/>
        <w:spacing w:line="367" w:lineRule="auto"/>
        <w:ind w:left="322" w:right="284" w:firstLine="661"/>
        <w:jc w:val="both"/>
      </w:pPr>
      <w:r>
        <w:rPr/>
        <w:t>Dans l’édition </w:t>
      </w:r>
      <w:r>
        <w:rPr>
          <w:i/>
        </w:rPr>
        <w:t>subdprinceps </w:t>
      </w:r>
      <w:r>
        <w:rPr/>
        <w:t>de 1594, Huarte intègre à sa partie consacrée à   la fécondité des </w:t>
      </w:r>
      <w:r>
        <w:rPr>
          <w:i/>
        </w:rPr>
        <w:t>ingenios </w:t>
      </w:r>
      <w:r>
        <w:rPr/>
        <w:t>une méditation sur le feu. Il y propose une opinion paradoxale : le feu est le plus pesant de tous les éléments et son lieu naturel n’est pas au^dessus de l’air et dans le concave de la Lune mais au centre de la terre. Pour le prouver, Huarte convoque un </w:t>
      </w:r>
      <w:r>
        <w:rPr>
          <w:i/>
        </w:rPr>
        <w:t>argumentum a loco </w:t>
      </w:r>
      <w:r>
        <w:rPr/>
        <w:t>–un argument tiré d’un lieu– :   le paysage volcanique de la ville de Pozzuoli (en français Pouzzoles), près  de  Naples, est d’après lui la meilleure preuve du feu souterrain. Pourquoi une </w:t>
      </w:r>
      <w:r>
        <w:rPr>
          <w:spacing w:val="-84"/>
        </w:rPr>
        <w:t>telle</w:t>
      </w:r>
      <w:r>
        <w:rPr>
          <w:spacing w:val="58"/>
        </w:rPr>
        <w:t> </w:t>
      </w:r>
      <w:r>
        <w:rPr/>
        <w:t>référence</w:t>
      </w:r>
      <w:r>
        <w:rPr>
          <w:spacing w:val="6"/>
        </w:rPr>
        <w:t> </w:t>
      </w:r>
      <w:r>
        <w:rPr/>
        <w:t>à</w:t>
      </w:r>
      <w:r>
        <w:rPr>
          <w:spacing w:val="7"/>
        </w:rPr>
        <w:t> </w:t>
      </w:r>
      <w:r>
        <w:rPr/>
        <w:t>ce</w:t>
      </w:r>
      <w:r>
        <w:rPr>
          <w:spacing w:val="6"/>
        </w:rPr>
        <w:t> </w:t>
      </w:r>
      <w:r>
        <w:rPr/>
        <w:t>paysage</w:t>
      </w:r>
      <w:r>
        <w:rPr>
          <w:spacing w:val="7"/>
        </w:rPr>
        <w:t> </w:t>
      </w:r>
      <w:r>
        <w:rPr/>
        <w:t>à</w:t>
      </w:r>
      <w:r>
        <w:rPr>
          <w:spacing w:val="6"/>
        </w:rPr>
        <w:t> </w:t>
      </w:r>
      <w:r>
        <w:rPr/>
        <w:t>l’intérieur</w:t>
      </w:r>
      <w:r>
        <w:rPr>
          <w:spacing w:val="7"/>
        </w:rPr>
        <w:t> </w:t>
      </w:r>
      <w:r>
        <w:rPr/>
        <w:t>d’un</w:t>
      </w:r>
      <w:r>
        <w:rPr>
          <w:spacing w:val="7"/>
        </w:rPr>
        <w:t> </w:t>
      </w:r>
      <w:r>
        <w:rPr/>
        <w:t>texte</w:t>
      </w:r>
      <w:r>
        <w:rPr>
          <w:spacing w:val="6"/>
        </w:rPr>
        <w:t> </w:t>
      </w:r>
      <w:r>
        <w:rPr/>
        <w:t>sur</w:t>
      </w:r>
      <w:r>
        <w:rPr>
          <w:spacing w:val="7"/>
        </w:rPr>
        <w:t> </w:t>
      </w:r>
      <w:r>
        <w:rPr/>
        <w:t>la</w:t>
      </w:r>
      <w:r>
        <w:rPr>
          <w:spacing w:val="6"/>
        </w:rPr>
        <w:t> </w:t>
      </w:r>
      <w:r>
        <w:rPr/>
        <w:t>reproduction</w:t>
      </w:r>
      <w:r>
        <w:rPr>
          <w:spacing w:val="7"/>
        </w:rPr>
        <w:t> </w:t>
      </w:r>
      <w:r>
        <w:rPr/>
        <w:t>et</w:t>
      </w:r>
      <w:r>
        <w:rPr>
          <w:spacing w:val="7"/>
        </w:rPr>
        <w:t> </w:t>
      </w:r>
      <w:r>
        <w:rPr/>
        <w:t>la</w:t>
      </w:r>
      <w:r>
        <w:rPr>
          <w:spacing w:val="6"/>
        </w:rPr>
        <w:t> </w:t>
      </w:r>
      <w:r>
        <w:rPr/>
        <w:t>sexualité</w:t>
      </w:r>
      <w:r>
        <w:rPr>
          <w:spacing w:val="7"/>
        </w:rPr>
        <w:t> </w:t>
      </w:r>
      <w:r>
        <w:rPr/>
        <w:t>?</w:t>
      </w:r>
    </w:p>
    <w:p>
      <w:pPr>
        <w:pStyle w:val="BodyText"/>
        <w:spacing w:before="5"/>
        <w:rPr>
          <w:sz w:val="21"/>
        </w:rPr>
      </w:pPr>
    </w:p>
    <w:p>
      <w:pPr>
        <w:pStyle w:val="BodyText"/>
        <w:spacing w:line="367" w:lineRule="auto"/>
        <w:ind w:left="322" w:right="283" w:firstLine="661"/>
        <w:jc w:val="both"/>
      </w:pPr>
      <w:r>
        <w:rPr/>
        <w:t>L’hypothèse de  ce  chapitre  est  qu’à  travers  le  paysage  volcanique,  </w:t>
      </w:r>
      <w:r>
        <w:rPr>
          <w:spacing w:val="-112"/>
        </w:rPr>
        <w:t>Huarte</w:t>
      </w:r>
      <w:r>
        <w:rPr>
          <w:spacing w:val="33"/>
        </w:rPr>
        <w:t> </w:t>
      </w:r>
      <w:r>
        <w:rPr/>
        <w:t>dresse un </w:t>
      </w:r>
      <w:r>
        <w:rPr>
          <w:i/>
        </w:rPr>
        <w:t>emblème </w:t>
      </w:r>
      <w:r>
        <w:rPr/>
        <w:t>qui organise et réunit ses conceptions sur l’</w:t>
      </w:r>
      <w:r>
        <w:rPr>
          <w:i/>
        </w:rPr>
        <w:t>ingenio </w:t>
      </w:r>
      <w:r>
        <w:rPr>
          <w:spacing w:val="-35"/>
        </w:rPr>
        <w:t>comme </w:t>
      </w:r>
      <w:r>
        <w:rPr>
          <w:i/>
        </w:rPr>
        <w:t>potencia</w:t>
      </w:r>
      <w:r>
        <w:rPr>
          <w:i/>
          <w:spacing w:val="8"/>
        </w:rPr>
        <w:t> </w:t>
      </w:r>
      <w:r>
        <w:rPr>
          <w:i/>
        </w:rPr>
        <w:t>generativa</w:t>
      </w:r>
      <w:r>
        <w:rPr>
          <w:position w:val="6"/>
          <w:sz w:val="14"/>
        </w:rPr>
        <w:t>1</w:t>
      </w:r>
      <w:r>
        <w:rPr/>
        <w:t>.</w:t>
      </w:r>
      <w:r>
        <w:rPr>
          <w:spacing w:val="8"/>
        </w:rPr>
        <w:t> </w:t>
      </w:r>
      <w:r>
        <w:rPr/>
        <w:t>On</w:t>
      </w:r>
      <w:r>
        <w:rPr>
          <w:spacing w:val="8"/>
        </w:rPr>
        <w:t> </w:t>
      </w:r>
      <w:r>
        <w:rPr/>
        <w:t>verra</w:t>
      </w:r>
      <w:r>
        <w:rPr>
          <w:spacing w:val="8"/>
        </w:rPr>
        <w:t> </w:t>
      </w:r>
      <w:r>
        <w:rPr/>
        <w:t>dans</w:t>
      </w:r>
      <w:r>
        <w:rPr>
          <w:spacing w:val="8"/>
        </w:rPr>
        <w:t> </w:t>
      </w:r>
      <w:r>
        <w:rPr/>
        <w:t>un</w:t>
      </w:r>
      <w:r>
        <w:rPr>
          <w:spacing w:val="8"/>
        </w:rPr>
        <w:t> </w:t>
      </w:r>
      <w:r>
        <w:rPr/>
        <w:t>premier</w:t>
      </w:r>
      <w:r>
        <w:rPr>
          <w:spacing w:val="9"/>
        </w:rPr>
        <w:t> </w:t>
      </w:r>
      <w:r>
        <w:rPr/>
        <w:t>temps</w:t>
      </w:r>
      <w:r>
        <w:rPr>
          <w:spacing w:val="8"/>
        </w:rPr>
        <w:t> </w:t>
      </w:r>
      <w:r>
        <w:rPr/>
        <w:t>que</w:t>
      </w:r>
      <w:r>
        <w:rPr>
          <w:spacing w:val="8"/>
        </w:rPr>
        <w:t> </w:t>
      </w:r>
      <w:r>
        <w:rPr/>
        <w:t>sa</w:t>
      </w:r>
      <w:r>
        <w:rPr>
          <w:spacing w:val="8"/>
        </w:rPr>
        <w:t> </w:t>
      </w:r>
      <w:r>
        <w:rPr/>
        <w:t>méditation</w:t>
      </w:r>
      <w:r>
        <w:rPr>
          <w:spacing w:val="8"/>
        </w:rPr>
        <w:t> </w:t>
      </w:r>
      <w:r>
        <w:rPr/>
        <w:t>s’inscrit</w:t>
      </w:r>
    </w:p>
    <w:p>
      <w:pPr>
        <w:pStyle w:val="BodyText"/>
        <w:spacing w:before="4"/>
      </w:pPr>
      <w:r>
        <w:rPr/>
        <w:pict>
          <v:line style="position:absolute;mso-position-horizontal-relative:page;mso-position-vertical-relative:paragraph;z-index:-1024;mso-wrap-distance-left:0;mso-wrap-distance-right:0" from="100.169098pt,15.324262pt" to="234.521998pt,15.324262pt" stroked="true" strokeweight=".447843pt" strokecolor="#000000">
            <v:stroke dashstyle="solid"/>
            <w10:wrap type="topAndBottom"/>
          </v:line>
        </w:pict>
      </w:r>
    </w:p>
    <w:p>
      <w:pPr>
        <w:spacing w:line="242" w:lineRule="auto" w:before="71"/>
        <w:ind w:left="323" w:right="118" w:firstLine="0"/>
        <w:jc w:val="left"/>
        <w:rPr>
          <w:sz w:val="20"/>
        </w:rPr>
      </w:pPr>
      <w:r>
        <w:rPr>
          <w:position w:val="4"/>
          <w:sz w:val="13"/>
        </w:rPr>
        <w:t>1 </w:t>
      </w:r>
      <w:r>
        <w:rPr>
          <w:sz w:val="20"/>
        </w:rPr>
        <w:t>Juan Huarte de San Juan, </w:t>
      </w:r>
      <w:r>
        <w:rPr>
          <w:i/>
          <w:sz w:val="20"/>
        </w:rPr>
        <w:t>Examen de ingenios</w:t>
      </w:r>
      <w:r>
        <w:rPr>
          <w:sz w:val="20"/>
        </w:rPr>
        <w:t>, Madrid, Cátedra, 1989, p., 187, </w:t>
      </w:r>
      <w:r>
        <w:rPr>
          <w:i/>
          <w:sz w:val="20"/>
        </w:rPr>
        <w:t>chapitre I de </w:t>
      </w:r>
      <w:r>
        <w:rPr>
          <w:i/>
          <w:sz w:val="20"/>
        </w:rPr>
        <w:t>1594</w:t>
      </w:r>
      <w:r>
        <w:rPr>
          <w:sz w:val="20"/>
        </w:rPr>
        <w:t>.</w:t>
      </w:r>
    </w:p>
    <w:p>
      <w:pPr>
        <w:pStyle w:val="BodyText"/>
        <w:spacing w:before="6"/>
        <w:rPr>
          <w:sz w:val="25"/>
        </w:rPr>
      </w:pPr>
    </w:p>
    <w:p>
      <w:pPr>
        <w:pStyle w:val="BodyText"/>
        <w:spacing w:before="104"/>
        <w:ind w:right="283"/>
        <w:jc w:val="right"/>
      </w:pPr>
      <w:r>
        <w:rPr/>
        <w:t>321</w:t>
      </w:r>
    </w:p>
    <w:p>
      <w:pPr>
        <w:spacing w:after="0"/>
        <w:jc w:val="right"/>
        <w:sectPr>
          <w:type w:val="continuous"/>
          <w:pgSz w:w="11900" w:h="16840"/>
          <w:pgMar w:top="1600" w:bottom="280" w:left="1680" w:right="1680"/>
        </w:sectPr>
      </w:pPr>
    </w:p>
    <w:p>
      <w:pPr>
        <w:pStyle w:val="BodyText"/>
        <w:spacing w:before="7"/>
        <w:rPr>
          <w:sz w:val="15"/>
        </w:rPr>
      </w:pPr>
    </w:p>
    <w:p>
      <w:pPr>
        <w:pStyle w:val="BodyText"/>
        <w:spacing w:line="367" w:lineRule="auto" w:before="104"/>
        <w:ind w:left="323" w:right="285"/>
        <w:jc w:val="both"/>
      </w:pPr>
      <w:r>
        <w:rPr/>
        <w:t>dans un contexte scientifique et culturel qui accorde une importance centrale aux enjeux cosmologiques et au débat sur le rôle des astres dans la pensée médicale de la reproduction. On verra ensuite les raisons qui amènent Huarte à mobiliser </w:t>
      </w:r>
      <w:r>
        <w:rPr>
          <w:spacing w:val="-44"/>
        </w:rPr>
        <w:t> </w:t>
      </w:r>
      <w:r>
        <w:rPr>
          <w:spacing w:val="-86"/>
        </w:rPr>
        <w:t>le</w:t>
      </w:r>
      <w:r>
        <w:rPr/>
        <w:t>paysage  de  Pouzzoles  comme  un  argument.  Enfin,  on  évaluera  la  portée  de    cet </w:t>
      </w:r>
      <w:r>
        <w:rPr>
          <w:i/>
        </w:rPr>
        <w:t>emblème volcanique </w:t>
      </w:r>
      <w:r>
        <w:rPr/>
        <w:t>dans la conception huartienne de l’</w:t>
      </w:r>
      <w:r>
        <w:rPr>
          <w:i/>
        </w:rPr>
        <w:t>ingenio</w:t>
      </w:r>
      <w:r>
        <w:rPr/>
        <w:t>. En continuité avec les précédents chapitres, on prêtera une attention toute particulière à la présence de la culture géographique dans les réflexions médicales de la  Renaissance.</w:t>
      </w:r>
    </w:p>
    <w:p>
      <w:pPr>
        <w:pStyle w:val="BodyText"/>
        <w:rPr>
          <w:sz w:val="26"/>
        </w:rPr>
      </w:pPr>
    </w:p>
    <w:p>
      <w:pPr>
        <w:pStyle w:val="BodyText"/>
        <w:rPr>
          <w:sz w:val="26"/>
        </w:rPr>
      </w:pPr>
    </w:p>
    <w:p>
      <w:pPr>
        <w:pStyle w:val="BodyText"/>
        <w:rPr>
          <w:sz w:val="26"/>
        </w:rPr>
      </w:pPr>
    </w:p>
    <w:p>
      <w:pPr>
        <w:spacing w:before="0"/>
        <w:ind w:left="323" w:right="0" w:firstLine="0"/>
        <w:jc w:val="left"/>
        <w:rPr>
          <w:b/>
          <w:i/>
          <w:sz w:val="22"/>
        </w:rPr>
      </w:pPr>
      <w:r>
        <w:rPr>
          <w:b/>
          <w:color w:val="4F81BD"/>
          <w:sz w:val="22"/>
        </w:rPr>
        <w:t>Fertilité de l’</w:t>
      </w:r>
      <w:r>
        <w:rPr>
          <w:b/>
          <w:i/>
          <w:color w:val="4F81BD"/>
          <w:sz w:val="22"/>
        </w:rPr>
        <w:t>ingenio</w:t>
      </w:r>
    </w:p>
    <w:p>
      <w:pPr>
        <w:pStyle w:val="BodyText"/>
        <w:rPr>
          <w:b/>
          <w:i/>
          <w:sz w:val="26"/>
        </w:rPr>
      </w:pPr>
    </w:p>
    <w:p>
      <w:pPr>
        <w:pStyle w:val="BodyText"/>
        <w:rPr>
          <w:b/>
          <w:i/>
          <w:sz w:val="26"/>
        </w:rPr>
      </w:pPr>
    </w:p>
    <w:p>
      <w:pPr>
        <w:pStyle w:val="BodyText"/>
        <w:spacing w:before="6"/>
        <w:rPr>
          <w:b/>
          <w:i/>
          <w:sz w:val="37"/>
        </w:rPr>
      </w:pPr>
    </w:p>
    <w:p>
      <w:pPr>
        <w:pStyle w:val="BodyText"/>
        <w:spacing w:line="367" w:lineRule="auto"/>
        <w:ind w:left="323" w:right="284" w:firstLine="661"/>
        <w:jc w:val="both"/>
      </w:pPr>
      <w:r>
        <w:rPr/>
        <w:t>La dernière partie de l’</w:t>
      </w:r>
      <w:r>
        <w:rPr>
          <w:i/>
        </w:rPr>
        <w:t>Examen </w:t>
      </w:r>
      <w:r>
        <w:rPr/>
        <w:t>peut sembler de prime abord un traité d’eugénisme destiné à répondre à une question : est^il possible de prolonger la vie de  l’</w:t>
      </w:r>
      <w:r>
        <w:rPr>
          <w:i/>
        </w:rPr>
        <w:t>ingenio  </w:t>
      </w:r>
      <w:r>
        <w:rPr/>
        <w:t>à  travers  la  procréation ?   Autrement   dit,   peut^on   </w:t>
      </w:r>
      <w:r>
        <w:rPr>
          <w:spacing w:val="-100"/>
        </w:rPr>
        <w:t>contrôler</w:t>
      </w:r>
      <w:r>
        <w:rPr>
          <w:spacing w:val="35"/>
        </w:rPr>
        <w:t> </w:t>
      </w:r>
      <w:r>
        <w:rPr/>
        <w:t>l’engendrement de telle sorte que les enfants naissent avec un bon tempérament pour les sciences ? Considérant cette possibilité, Huarte propose de réduire en art</w:t>
      </w:r>
    </w:p>
    <w:p>
      <w:pPr>
        <w:spacing w:line="367" w:lineRule="auto" w:before="0"/>
        <w:ind w:left="323" w:right="286" w:firstLine="0"/>
        <w:jc w:val="both"/>
        <w:rPr>
          <w:sz w:val="22"/>
        </w:rPr>
      </w:pPr>
      <w:r>
        <w:rPr>
          <w:sz w:val="22"/>
        </w:rPr>
        <w:t>« </w:t>
      </w:r>
      <w:r>
        <w:rPr>
          <w:i/>
          <w:sz w:val="22"/>
        </w:rPr>
        <w:t>la manera cómo los padres han de engendrar los hijos sabios y del ingenio  </w:t>
      </w:r>
      <w:r>
        <w:rPr>
          <w:i/>
          <w:spacing w:val="-114"/>
          <w:sz w:val="22"/>
        </w:rPr>
        <w:t>que</w:t>
      </w:r>
      <w:r>
        <w:rPr>
          <w:i/>
          <w:spacing w:val="57"/>
          <w:sz w:val="22"/>
        </w:rPr>
        <w:t> </w:t>
      </w:r>
      <w:r>
        <w:rPr>
          <w:i/>
          <w:sz w:val="22"/>
        </w:rPr>
        <w:t>requieren para las letras </w:t>
      </w:r>
      <w:r>
        <w:rPr>
          <w:sz w:val="22"/>
        </w:rPr>
        <w:t>»</w:t>
      </w:r>
      <w:r>
        <w:rPr>
          <w:position w:val="6"/>
          <w:sz w:val="14"/>
        </w:rPr>
        <w:t>2</w:t>
      </w:r>
      <w:r>
        <w:rPr>
          <w:sz w:val="22"/>
        </w:rPr>
        <w:t>. La réduction en art, omniprésente à l’époque dans les domaines</w:t>
      </w:r>
      <w:r>
        <w:rPr>
          <w:spacing w:val="10"/>
          <w:sz w:val="22"/>
        </w:rPr>
        <w:t> </w:t>
      </w:r>
      <w:r>
        <w:rPr>
          <w:sz w:val="22"/>
        </w:rPr>
        <w:t>des</w:t>
      </w:r>
      <w:r>
        <w:rPr>
          <w:spacing w:val="11"/>
          <w:sz w:val="22"/>
        </w:rPr>
        <w:t> </w:t>
      </w:r>
      <w:r>
        <w:rPr>
          <w:sz w:val="22"/>
        </w:rPr>
        <w:t>arts</w:t>
      </w:r>
      <w:r>
        <w:rPr>
          <w:spacing w:val="7"/>
          <w:sz w:val="22"/>
        </w:rPr>
        <w:t> </w:t>
      </w:r>
      <w:r>
        <w:rPr>
          <w:sz w:val="22"/>
        </w:rPr>
        <w:t>peut</w:t>
      </w:r>
      <w:r>
        <w:rPr>
          <w:spacing w:val="11"/>
          <w:sz w:val="22"/>
        </w:rPr>
        <w:t> </w:t>
      </w:r>
      <w:r>
        <w:rPr>
          <w:sz w:val="22"/>
        </w:rPr>
        <w:t>être</w:t>
      </w:r>
      <w:r>
        <w:rPr>
          <w:spacing w:val="11"/>
          <w:sz w:val="22"/>
        </w:rPr>
        <w:t> </w:t>
      </w:r>
      <w:r>
        <w:rPr>
          <w:sz w:val="22"/>
        </w:rPr>
        <w:t>entendue,</w:t>
      </w:r>
      <w:r>
        <w:rPr>
          <w:spacing w:val="11"/>
          <w:sz w:val="22"/>
        </w:rPr>
        <w:t> </w:t>
      </w:r>
      <w:r>
        <w:rPr>
          <w:sz w:val="22"/>
        </w:rPr>
        <w:t>selon</w:t>
      </w:r>
      <w:r>
        <w:rPr>
          <w:spacing w:val="11"/>
          <w:sz w:val="22"/>
        </w:rPr>
        <w:t> </w:t>
      </w:r>
      <w:r>
        <w:rPr>
          <w:sz w:val="22"/>
        </w:rPr>
        <w:t>Hélène</w:t>
      </w:r>
      <w:r>
        <w:rPr>
          <w:spacing w:val="11"/>
          <w:sz w:val="22"/>
        </w:rPr>
        <w:t> </w:t>
      </w:r>
      <w:r>
        <w:rPr>
          <w:sz w:val="22"/>
        </w:rPr>
        <w:t>Vérin,</w:t>
      </w:r>
      <w:r>
        <w:rPr>
          <w:spacing w:val="11"/>
          <w:sz w:val="22"/>
        </w:rPr>
        <w:t> </w:t>
      </w:r>
      <w:r>
        <w:rPr>
          <w:sz w:val="22"/>
        </w:rPr>
        <w:t>comme</w:t>
      </w:r>
      <w:r>
        <w:rPr>
          <w:spacing w:val="10"/>
          <w:sz w:val="22"/>
        </w:rPr>
        <w:t> </w:t>
      </w:r>
      <w:r>
        <w:rPr>
          <w:sz w:val="22"/>
        </w:rPr>
        <w:t>l’acte</w:t>
      </w:r>
      <w:r>
        <w:rPr>
          <w:spacing w:val="11"/>
          <w:sz w:val="22"/>
        </w:rPr>
        <w:t> </w:t>
      </w:r>
      <w:r>
        <w:rPr>
          <w:spacing w:val="-118"/>
          <w:sz w:val="22"/>
        </w:rPr>
        <w:t>de</w:t>
      </w:r>
    </w:p>
    <w:p>
      <w:pPr>
        <w:pStyle w:val="BodyText"/>
        <w:spacing w:line="367" w:lineRule="auto"/>
        <w:ind w:left="323" w:right="283"/>
        <w:jc w:val="both"/>
      </w:pPr>
      <w:r>
        <w:rPr/>
        <w:t>« conduire ou ramener, au moyen de l’écriture et de la figuration, les savoirs  </w:t>
      </w:r>
      <w:r>
        <w:rPr>
          <w:spacing w:val="-100"/>
        </w:rPr>
        <w:t>à</w:t>
      </w:r>
      <w:r>
        <w:rPr>
          <w:spacing w:val="70"/>
        </w:rPr>
        <w:t> </w:t>
      </w:r>
      <w:r>
        <w:rPr/>
        <w:t>l’ordre de l’art »</w:t>
      </w:r>
      <w:r>
        <w:rPr>
          <w:position w:val="6"/>
          <w:sz w:val="14"/>
        </w:rPr>
        <w:t>3</w:t>
      </w:r>
      <w:r>
        <w:rPr/>
        <w:t>. Dans ce but, Huarte décrit et classifie, d’abord, les femmes et les hommes en fonction de leurs signes de fertilité.  Il  prodigue  ensuite  des  </w:t>
      </w:r>
      <w:r>
        <w:rPr>
          <w:spacing w:val="-97"/>
        </w:rPr>
        <w:t>conseils</w:t>
      </w:r>
      <w:r>
        <w:rPr>
          <w:spacing w:val="6"/>
        </w:rPr>
        <w:t> </w:t>
      </w:r>
      <w:r>
        <w:rPr/>
        <w:t>pour  avoir des garçons, avant de donner une méthode permettant d’engendrer des enfants avec un </w:t>
      </w:r>
      <w:r>
        <w:rPr>
          <w:i/>
        </w:rPr>
        <w:t>ingenio  </w:t>
      </w:r>
      <w:r>
        <w:rPr/>
        <w:t>apte  à  la  sagesse,  c’est^à^dire  un  bon  entendement  sans</w:t>
      </w: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1000;mso-wrap-distance-left:0;mso-wrap-distance-right:0" from="100.169098pt,10.873478pt" to="234.521998pt,10.873478pt" stroked="true" strokeweight=".447843pt" strokecolor="#000000">
            <v:stroke dashstyle="solid"/>
            <w10:wrap type="topAndBottom"/>
          </v:line>
        </w:pict>
      </w:r>
    </w:p>
    <w:p>
      <w:pPr>
        <w:spacing w:line="244" w:lineRule="auto" w:before="71"/>
        <w:ind w:left="323" w:right="286" w:firstLine="0"/>
        <w:jc w:val="both"/>
        <w:rPr>
          <w:sz w:val="20"/>
        </w:rPr>
      </w:pPr>
      <w:r>
        <w:rPr>
          <w:position w:val="4"/>
          <w:sz w:val="13"/>
        </w:rPr>
        <w:t>2 </w:t>
      </w:r>
      <w:r>
        <w:rPr>
          <w:sz w:val="20"/>
        </w:rPr>
        <w:t>Voici comment Huarte le présente : « </w:t>
      </w:r>
      <w:r>
        <w:rPr>
          <w:i/>
          <w:sz w:val="20"/>
        </w:rPr>
        <w:t>reducir a arte perfecta la manera que se ha de tener </w:t>
      </w:r>
      <w:r>
        <w:rPr>
          <w:i/>
          <w:sz w:val="20"/>
        </w:rPr>
        <w:t>para que  los  hombres  salgan  de  ingenio  muy  delicado  es  una  de  las  cosas  que  la  </w:t>
      </w:r>
      <w:r>
        <w:rPr>
          <w:i/>
          <w:spacing w:val="-90"/>
          <w:sz w:val="20"/>
        </w:rPr>
        <w:t>república</w:t>
      </w:r>
      <w:r>
        <w:rPr>
          <w:i/>
          <w:spacing w:val="2"/>
          <w:sz w:val="20"/>
        </w:rPr>
        <w:t> </w:t>
      </w:r>
      <w:r>
        <w:rPr>
          <w:i/>
          <w:sz w:val="20"/>
        </w:rPr>
        <w:t>más  ha menester </w:t>
      </w:r>
      <w:r>
        <w:rPr>
          <w:sz w:val="20"/>
        </w:rPr>
        <w:t>». </w:t>
      </w:r>
      <w:r>
        <w:rPr>
          <w:i/>
          <w:sz w:val="20"/>
        </w:rPr>
        <w:t>Ibid., </w:t>
      </w:r>
      <w:r>
        <w:rPr>
          <w:sz w:val="20"/>
        </w:rPr>
        <w:t>p., 607, </w:t>
      </w:r>
      <w:r>
        <w:rPr>
          <w:i/>
          <w:sz w:val="20"/>
        </w:rPr>
        <w:t>chapitre XVII de 1594</w:t>
      </w:r>
      <w:r>
        <w:rPr>
          <w:sz w:val="20"/>
        </w:rPr>
        <w:t>.</w:t>
      </w:r>
    </w:p>
    <w:p>
      <w:pPr>
        <w:spacing w:line="242" w:lineRule="auto" w:before="4"/>
        <w:ind w:left="323" w:right="286" w:firstLine="0"/>
        <w:jc w:val="both"/>
        <w:rPr>
          <w:sz w:val="20"/>
        </w:rPr>
      </w:pPr>
      <w:r>
        <w:rPr>
          <w:position w:val="4"/>
          <w:sz w:val="13"/>
        </w:rPr>
        <w:t>3 </w:t>
      </w:r>
      <w:r>
        <w:rPr>
          <w:sz w:val="20"/>
        </w:rPr>
        <w:t>Pascal Doubourg Galtigny et Hélène Vérin (dir.), </w:t>
      </w:r>
      <w:r>
        <w:rPr>
          <w:i/>
          <w:sz w:val="20"/>
        </w:rPr>
        <w:t>Réduire en Art. La technologie de la </w:t>
      </w:r>
      <w:r>
        <w:rPr>
          <w:i/>
          <w:sz w:val="20"/>
        </w:rPr>
        <w:t>Renaissance aux Lumières, </w:t>
      </w:r>
      <w:r>
        <w:rPr>
          <w:sz w:val="20"/>
        </w:rPr>
        <w:t>Paris, Éditions de la Maison de sciences de l’homme, 2008, p.,</w:t>
      </w:r>
    </w:p>
    <w:p>
      <w:pPr>
        <w:spacing w:line="247" w:lineRule="auto" w:before="5"/>
        <w:ind w:left="323" w:right="287" w:firstLine="0"/>
        <w:jc w:val="both"/>
        <w:rPr>
          <w:sz w:val="20"/>
        </w:rPr>
      </w:pPr>
      <w:r>
        <w:rPr>
          <w:sz w:val="20"/>
        </w:rPr>
        <w:t>11. En effet, la réduction en art est une expression très employée  par  les  savants  et  </w:t>
      </w:r>
      <w:r>
        <w:rPr>
          <w:spacing w:val="-78"/>
          <w:sz w:val="20"/>
        </w:rPr>
        <w:t>elle</w:t>
      </w:r>
      <w:r>
        <w:rPr>
          <w:spacing w:val="10"/>
          <w:sz w:val="20"/>
        </w:rPr>
        <w:t> </w:t>
      </w:r>
      <w:r>
        <w:rPr>
          <w:sz w:val="20"/>
        </w:rPr>
        <w:t>permet de faire l’histoire des savoirs à partir  d’une  perspective  différente  </w:t>
      </w:r>
      <w:r>
        <w:rPr>
          <w:spacing w:val="-84"/>
          <w:sz w:val="20"/>
        </w:rPr>
        <w:t>ou</w:t>
      </w:r>
      <w:r>
        <w:rPr>
          <w:spacing w:val="2"/>
          <w:sz w:val="20"/>
        </w:rPr>
        <w:t> </w:t>
      </w:r>
      <w:r>
        <w:rPr>
          <w:sz w:val="20"/>
        </w:rPr>
        <w:t>complémentaire à celle du paradigme historiographique de la « révolution scientifique moderne ».</w:t>
      </w:r>
    </w:p>
    <w:p>
      <w:pPr>
        <w:pStyle w:val="BodyText"/>
        <w:spacing w:before="9"/>
        <w:rPr>
          <w:sz w:val="24"/>
        </w:rPr>
      </w:pPr>
    </w:p>
    <w:p>
      <w:pPr>
        <w:pStyle w:val="BodyText"/>
        <w:spacing w:before="104"/>
        <w:ind w:left="323"/>
      </w:pPr>
      <w:r>
        <w:rPr/>
        <w:t>322</w:t>
      </w:r>
    </w:p>
    <w:sectPr>
      <w:pgSz w:w="1190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rPr>
      <w:rFonts w:ascii="Cambria" w:hAnsi="Cambria" w:eastAsia="Cambria" w:cs="Cambria"/>
      <w:sz w:val="22"/>
      <w:szCs w:val="22"/>
    </w:rPr>
  </w:style>
  <w:style w:styleId="Heading1" w:type="paragraph">
    <w:name w:val="Heading 1"/>
    <w:basedOn w:val="Normal"/>
    <w:uiPriority w:val="1"/>
    <w:qFormat/>
    <w:pPr>
      <w:ind w:left="3338" w:right="3304"/>
      <w:jc w:val="center"/>
      <w:outlineLvl w:val="1"/>
    </w:pPr>
    <w:rPr>
      <w:rFonts w:ascii="Cambria" w:hAnsi="Cambria" w:eastAsia="Cambria" w:cs="Cambria"/>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2018-05-06T12:13:53Z</dcterms:created>
  <dcterms:modified xsi:type="dcterms:W3CDTF">2018-05-06T12:13:53Z</dcterms:modified>
</cp:coreProperties>
</file>