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9E91" w14:textId="20B8D196" w:rsidR="005177C6" w:rsidRPr="000B420A" w:rsidRDefault="000B420A" w:rsidP="000B420A">
      <w:pPr>
        <w:spacing w:after="240" w:line="360" w:lineRule="auto"/>
        <w:rPr>
          <w:sz w:val="28"/>
          <w:szCs w:val="28"/>
          <w:lang w:val="en-US"/>
        </w:rPr>
      </w:pPr>
      <w:r w:rsidRPr="000B420A">
        <w:rPr>
          <w:sz w:val="28"/>
          <w:szCs w:val="28"/>
          <w:lang w:val="en-US"/>
        </w:rPr>
        <w:t>The Great Depression in Hungary</w:t>
      </w:r>
    </w:p>
    <w:p w14:paraId="7B7EDF80" w14:textId="7D2B4D83" w:rsidR="00574FA6" w:rsidRPr="000B420A" w:rsidRDefault="00382248" w:rsidP="00574FA6">
      <w:pPr>
        <w:spacing w:line="360" w:lineRule="auto"/>
        <w:rPr>
          <w:lang w:val="en-US"/>
        </w:rPr>
      </w:pPr>
      <w:r w:rsidRPr="000B420A">
        <w:rPr>
          <w:lang w:val="en-US"/>
        </w:rPr>
        <w:t xml:space="preserve">Béla </w:t>
      </w:r>
      <w:r w:rsidR="00574FA6" w:rsidRPr="000B420A">
        <w:rPr>
          <w:lang w:val="en-US"/>
        </w:rPr>
        <w:t>Tomka</w:t>
      </w:r>
      <w:r>
        <w:rPr>
          <w:lang w:val="en-US"/>
        </w:rPr>
        <w:t>, University of Szeged</w:t>
      </w:r>
    </w:p>
    <w:p w14:paraId="36EAB8BC" w14:textId="680BB451" w:rsidR="00574FA6" w:rsidRDefault="00382248" w:rsidP="00574FA6">
      <w:pPr>
        <w:spacing w:line="360" w:lineRule="auto"/>
        <w:jc w:val="both"/>
        <w:rPr>
          <w:lang w:val="en-US"/>
        </w:rPr>
      </w:pPr>
      <w:r>
        <w:rPr>
          <w:lang w:val="en-US"/>
        </w:rPr>
        <w:t>Version 24.06.2023</w:t>
      </w:r>
    </w:p>
    <w:p w14:paraId="241168E9" w14:textId="77777777" w:rsidR="00382248" w:rsidRPr="00382248" w:rsidRDefault="00382248" w:rsidP="00574FA6">
      <w:pPr>
        <w:spacing w:line="360" w:lineRule="auto"/>
        <w:jc w:val="both"/>
        <w:rPr>
          <w:lang w:val="en-US"/>
        </w:rPr>
      </w:pPr>
    </w:p>
    <w:p w14:paraId="53699926" w14:textId="77777777" w:rsidR="00892A40" w:rsidRDefault="00892A40" w:rsidP="00574FA6">
      <w:pPr>
        <w:spacing w:line="360" w:lineRule="auto"/>
        <w:jc w:val="both"/>
        <w:rPr>
          <w:lang w:val="hu-HU"/>
        </w:rPr>
      </w:pPr>
    </w:p>
    <w:p w14:paraId="27F337E0" w14:textId="6C52B8B0" w:rsidR="00605B4F" w:rsidRPr="00175C4F" w:rsidRDefault="00605B4F" w:rsidP="00574FA6">
      <w:pPr>
        <w:spacing w:line="360" w:lineRule="auto"/>
        <w:jc w:val="both"/>
        <w:rPr>
          <w:b/>
          <w:bCs/>
          <w:lang w:val="hu-HU"/>
        </w:rPr>
      </w:pPr>
      <w:r w:rsidRPr="00175C4F">
        <w:rPr>
          <w:b/>
          <w:bCs/>
          <w:lang w:val="hu-HU"/>
        </w:rPr>
        <w:t>1. Bevezetés</w:t>
      </w:r>
    </w:p>
    <w:p w14:paraId="0BF8ACFB" w14:textId="77777777" w:rsidR="00605B4F" w:rsidRDefault="00605B4F" w:rsidP="00574FA6">
      <w:pPr>
        <w:spacing w:line="360" w:lineRule="auto"/>
        <w:jc w:val="both"/>
        <w:rPr>
          <w:lang w:val="hu-HU"/>
        </w:rPr>
      </w:pPr>
    </w:p>
    <w:p w14:paraId="7198035C" w14:textId="3B95D2D3" w:rsidR="00FB2D48" w:rsidRDefault="00344DB5" w:rsidP="00574FA6">
      <w:pPr>
        <w:spacing w:line="360" w:lineRule="auto"/>
        <w:jc w:val="both"/>
        <w:rPr>
          <w:lang w:val="hu-HU"/>
        </w:rPr>
      </w:pPr>
      <w:r>
        <w:rPr>
          <w:lang w:val="hu-HU"/>
        </w:rPr>
        <w:t xml:space="preserve">A </w:t>
      </w:r>
      <w:r w:rsidRPr="00344DB5">
        <w:rPr>
          <w:lang w:val="hu-HU"/>
        </w:rPr>
        <w:t xml:space="preserve">két </w:t>
      </w:r>
      <w:r w:rsidRPr="00344DB5">
        <w:rPr>
          <w:lang w:val="hu-HU" w:eastAsia="x-none"/>
        </w:rPr>
        <w:t>világháború</w:t>
      </w:r>
      <w:r w:rsidRPr="00344DB5">
        <w:rPr>
          <w:lang w:val="hu-HU"/>
        </w:rPr>
        <w:t xml:space="preserve"> között</w:t>
      </w:r>
      <w:r>
        <w:rPr>
          <w:lang w:val="hu-HU"/>
        </w:rPr>
        <w:t>i időszak</w:t>
      </w:r>
      <w:r w:rsidR="00DB6FE0">
        <w:rPr>
          <w:lang w:val="hu-HU"/>
        </w:rPr>
        <w:t xml:space="preserve"> </w:t>
      </w:r>
      <w:r w:rsidR="00DB6FE0" w:rsidRPr="00DB6FE0">
        <w:rPr>
          <w:lang w:val="hu-HU" w:eastAsia="x-none"/>
        </w:rPr>
        <w:t>kelet-közép-európai</w:t>
      </w:r>
      <w:r w:rsidR="00DB6FE0">
        <w:rPr>
          <w:lang w:val="hu-HU"/>
        </w:rPr>
        <w:t xml:space="preserve"> – és ezen belül</w:t>
      </w:r>
      <w:r>
        <w:rPr>
          <w:lang w:val="hu-HU"/>
        </w:rPr>
        <w:t xml:space="preserve"> </w:t>
      </w:r>
      <w:r w:rsidRPr="00344DB5">
        <w:rPr>
          <w:lang w:val="hu-HU"/>
        </w:rPr>
        <w:t>magyarországi</w:t>
      </w:r>
      <w:r w:rsidR="00DB6FE0">
        <w:rPr>
          <w:lang w:val="hu-HU"/>
        </w:rPr>
        <w:t xml:space="preserve"> --</w:t>
      </w:r>
      <w:r>
        <w:rPr>
          <w:lang w:val="hu-HU"/>
        </w:rPr>
        <w:t xml:space="preserve"> gazdasági viszonyait a szakirodalom </w:t>
      </w:r>
      <w:r w:rsidR="00DB6FE0">
        <w:rPr>
          <w:lang w:val="hu-HU"/>
        </w:rPr>
        <w:t>általában</w:t>
      </w:r>
      <w:r>
        <w:rPr>
          <w:lang w:val="hu-HU"/>
        </w:rPr>
        <w:t xml:space="preserve"> erősen negatív módon ábrázol</w:t>
      </w:r>
      <w:r w:rsidR="00DB6FE0">
        <w:rPr>
          <w:lang w:val="hu-HU"/>
        </w:rPr>
        <w:t>j</w:t>
      </w:r>
      <w:r>
        <w:rPr>
          <w:lang w:val="hu-HU"/>
        </w:rPr>
        <w:t>a.</w:t>
      </w:r>
      <w:r w:rsidR="00DB6FE0">
        <w:rPr>
          <w:rStyle w:val="Lbjegyzet-hivatkozs"/>
          <w:lang w:val="hu-HU"/>
        </w:rPr>
        <w:footnoteReference w:id="1"/>
      </w:r>
      <w:r>
        <w:rPr>
          <w:lang w:val="hu-HU"/>
        </w:rPr>
        <w:t xml:space="preserve"> Mindez</w:t>
      </w:r>
      <w:r w:rsidR="00DB6FE0">
        <w:rPr>
          <w:lang w:val="hu-HU"/>
        </w:rPr>
        <w:t xml:space="preserve"> jól</w:t>
      </w:r>
      <w:r>
        <w:rPr>
          <w:lang w:val="hu-HU"/>
        </w:rPr>
        <w:t xml:space="preserve"> illeszked</w:t>
      </w:r>
      <w:r w:rsidR="00DB6FE0">
        <w:rPr>
          <w:lang w:val="hu-HU"/>
        </w:rPr>
        <w:t>ik</w:t>
      </w:r>
      <w:r>
        <w:rPr>
          <w:lang w:val="hu-HU"/>
        </w:rPr>
        <w:t xml:space="preserve"> ahhoz, ahogyan a tágabb </w:t>
      </w:r>
      <w:r w:rsidR="00DB6FE0">
        <w:rPr>
          <w:lang w:val="hu-HU"/>
        </w:rPr>
        <w:t xml:space="preserve">európai és </w:t>
      </w:r>
      <w:r w:rsidR="00DB6FE0" w:rsidRPr="00DB6FE0">
        <w:rPr>
          <w:lang w:val="hu-HU"/>
        </w:rPr>
        <w:t>világgazdaság</w:t>
      </w:r>
      <w:r w:rsidR="00DB6FE0">
        <w:rPr>
          <w:lang w:val="hu-HU"/>
        </w:rPr>
        <w:t>i</w:t>
      </w:r>
      <w:r>
        <w:rPr>
          <w:lang w:val="hu-HU"/>
        </w:rPr>
        <w:t xml:space="preserve"> környezet folyamatai megjelen</w:t>
      </w:r>
      <w:r w:rsidR="00DB6FE0">
        <w:rPr>
          <w:lang w:val="hu-HU"/>
        </w:rPr>
        <w:t>n</w:t>
      </w:r>
      <w:r>
        <w:rPr>
          <w:lang w:val="hu-HU"/>
        </w:rPr>
        <w:t>ek</w:t>
      </w:r>
      <w:r w:rsidR="00863164">
        <w:rPr>
          <w:lang w:val="hu-HU"/>
        </w:rPr>
        <w:t xml:space="preserve"> a történeti munkákban</w:t>
      </w:r>
      <w:r>
        <w:rPr>
          <w:lang w:val="hu-HU"/>
        </w:rPr>
        <w:t>.</w:t>
      </w:r>
      <w:r>
        <w:rPr>
          <w:rStyle w:val="Lbjegyzet-hivatkozs"/>
          <w:lang w:val="hu-HU"/>
        </w:rPr>
        <w:footnoteReference w:id="2"/>
      </w:r>
      <w:r>
        <w:rPr>
          <w:lang w:val="hu-HU"/>
        </w:rPr>
        <w:t xml:space="preserve"> </w:t>
      </w:r>
      <w:r w:rsidR="00DB6FE0">
        <w:rPr>
          <w:lang w:val="hu-HU"/>
        </w:rPr>
        <w:t>Eszerint a</w:t>
      </w:r>
      <w:r>
        <w:rPr>
          <w:lang w:val="hu-HU"/>
        </w:rPr>
        <w:t xml:space="preserve">z </w:t>
      </w:r>
      <w:r w:rsidRPr="00344DB5">
        <w:rPr>
          <w:lang w:val="hu-HU" w:eastAsia="x-none"/>
        </w:rPr>
        <w:t>első világháború</w:t>
      </w:r>
      <w:r>
        <w:rPr>
          <w:lang w:val="hu-HU"/>
        </w:rPr>
        <w:t xml:space="preserve"> okozta destrukció után az 1920-as években a vezető hatalmak gazdaságpolitikájának alakítói igyekeztek </w:t>
      </w:r>
      <w:r w:rsidR="00863164">
        <w:rPr>
          <w:lang w:val="hu-HU"/>
        </w:rPr>
        <w:t>visszaállítani</w:t>
      </w:r>
      <w:r>
        <w:rPr>
          <w:lang w:val="hu-HU"/>
        </w:rPr>
        <w:t xml:space="preserve"> a háború előtti időszak </w:t>
      </w:r>
      <w:r w:rsidR="00DB6FE0">
        <w:rPr>
          <w:lang w:val="hu-HU"/>
        </w:rPr>
        <w:t>gazdasági intézményeit és</w:t>
      </w:r>
      <w:r w:rsidR="00863164">
        <w:rPr>
          <w:lang w:val="hu-HU"/>
        </w:rPr>
        <w:t xml:space="preserve"> visszatérni</w:t>
      </w:r>
      <w:r w:rsidR="00DB6FE0">
        <w:rPr>
          <w:lang w:val="hu-HU"/>
        </w:rPr>
        <w:t xml:space="preserve"> </w:t>
      </w:r>
      <w:r w:rsidR="0030159E">
        <w:rPr>
          <w:lang w:val="hu-HU"/>
        </w:rPr>
        <w:t xml:space="preserve">annak </w:t>
      </w:r>
      <w:r w:rsidR="00DB6FE0">
        <w:rPr>
          <w:lang w:val="hu-HU"/>
        </w:rPr>
        <w:t>fő gazdaságpolitikai irányai</w:t>
      </w:r>
      <w:r w:rsidR="00863164">
        <w:rPr>
          <w:lang w:val="hu-HU"/>
        </w:rPr>
        <w:t>hoz</w:t>
      </w:r>
      <w:r w:rsidR="00DB6FE0">
        <w:rPr>
          <w:lang w:val="hu-HU"/>
        </w:rPr>
        <w:t xml:space="preserve"> </w:t>
      </w:r>
      <w:r>
        <w:rPr>
          <w:lang w:val="hu-HU"/>
        </w:rPr>
        <w:t>az aranystandard</w:t>
      </w:r>
      <w:r w:rsidR="00863164">
        <w:rPr>
          <w:lang w:val="hu-HU"/>
        </w:rPr>
        <w:t>tól a szabadkereskedelmen keresztül a</w:t>
      </w:r>
      <w:r>
        <w:rPr>
          <w:lang w:val="hu-HU"/>
        </w:rPr>
        <w:t xml:space="preserve"> fiskális fegyelemig.</w:t>
      </w:r>
      <w:r w:rsidR="00DB6FE0">
        <w:rPr>
          <w:lang w:val="hu-HU"/>
        </w:rPr>
        <w:t xml:space="preserve"> </w:t>
      </w:r>
      <w:r w:rsidR="00FB2D48">
        <w:rPr>
          <w:lang w:val="hu-HU"/>
        </w:rPr>
        <w:t xml:space="preserve">A </w:t>
      </w:r>
      <w:r w:rsidRPr="00344DB5">
        <w:rPr>
          <w:lang w:val="hu-HU" w:eastAsia="x-none"/>
        </w:rPr>
        <w:t>világháború</w:t>
      </w:r>
      <w:r>
        <w:rPr>
          <w:lang w:val="hu-HU"/>
        </w:rPr>
        <w:t xml:space="preserve"> </w:t>
      </w:r>
      <w:r w:rsidR="0075544A">
        <w:rPr>
          <w:lang w:val="hu-HU"/>
        </w:rPr>
        <w:t xml:space="preserve">hosszabb távú </w:t>
      </w:r>
      <w:r w:rsidR="0030159E">
        <w:rPr>
          <w:lang w:val="hu-HU"/>
        </w:rPr>
        <w:t>hatásai</w:t>
      </w:r>
      <w:r>
        <w:rPr>
          <w:lang w:val="hu-HU"/>
        </w:rPr>
        <w:t xml:space="preserve"> </w:t>
      </w:r>
      <w:r w:rsidR="00863164">
        <w:rPr>
          <w:lang w:val="hu-HU"/>
        </w:rPr>
        <w:t xml:space="preserve">azonban </w:t>
      </w:r>
      <w:r>
        <w:rPr>
          <w:lang w:val="hu-HU"/>
        </w:rPr>
        <w:t>akadályozták ezeket a törekvéseket</w:t>
      </w:r>
      <w:r w:rsidR="00FB2D48">
        <w:rPr>
          <w:lang w:val="hu-HU"/>
        </w:rPr>
        <w:t xml:space="preserve">: </w:t>
      </w:r>
      <w:r>
        <w:rPr>
          <w:lang w:val="hu-HU"/>
        </w:rPr>
        <w:t>eltolódások</w:t>
      </w:r>
      <w:r w:rsidR="0030159E">
        <w:rPr>
          <w:lang w:val="hu-HU"/>
        </w:rPr>
        <w:t xml:space="preserve"> következtek be</w:t>
      </w:r>
      <w:r>
        <w:rPr>
          <w:lang w:val="hu-HU"/>
        </w:rPr>
        <w:t xml:space="preserve"> a nagyhatalmak </w:t>
      </w:r>
      <w:r w:rsidR="0075544A">
        <w:rPr>
          <w:lang w:val="hu-HU"/>
        </w:rPr>
        <w:t xml:space="preserve">gazdasági és politikai </w:t>
      </w:r>
      <w:r>
        <w:rPr>
          <w:lang w:val="hu-HU"/>
        </w:rPr>
        <w:t xml:space="preserve">erőviszonyaiban, </w:t>
      </w:r>
      <w:r w:rsidR="0030159E">
        <w:rPr>
          <w:lang w:val="hu-HU"/>
        </w:rPr>
        <w:t xml:space="preserve">akadozott vagy egyenesen megszűnt </w:t>
      </w:r>
      <w:r>
        <w:rPr>
          <w:lang w:val="hu-HU"/>
        </w:rPr>
        <w:t xml:space="preserve">a </w:t>
      </w:r>
      <w:r w:rsidR="00FB2D48">
        <w:rPr>
          <w:lang w:val="hu-HU"/>
        </w:rPr>
        <w:t>korábban közöttük kialakult</w:t>
      </w:r>
      <w:r>
        <w:rPr>
          <w:lang w:val="hu-HU"/>
        </w:rPr>
        <w:t xml:space="preserve"> kooperáció </w:t>
      </w:r>
      <w:r w:rsidR="00863164">
        <w:rPr>
          <w:lang w:val="hu-HU"/>
        </w:rPr>
        <w:t>és egy sor további körülmény is megváltozott.</w:t>
      </w:r>
      <w:r w:rsidR="00863164">
        <w:rPr>
          <w:rStyle w:val="Lbjegyzet-hivatkozs"/>
          <w:lang w:val="hu-HU"/>
        </w:rPr>
        <w:footnoteReference w:id="3"/>
      </w:r>
    </w:p>
    <w:p w14:paraId="4A1D7899" w14:textId="37D1D336" w:rsidR="00FB2D48" w:rsidRDefault="00FB2D48" w:rsidP="00FB2D48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 xml:space="preserve">A nagy válság </w:t>
      </w:r>
      <w:r w:rsidR="0030159E">
        <w:rPr>
          <w:lang w:val="hu-HU"/>
        </w:rPr>
        <w:t>érthető módon</w:t>
      </w:r>
      <w:r>
        <w:rPr>
          <w:lang w:val="hu-HU"/>
        </w:rPr>
        <w:t xml:space="preserve"> jelentős szerepet kap a</w:t>
      </w:r>
      <w:r w:rsidR="0075544A">
        <w:rPr>
          <w:lang w:val="hu-HU"/>
        </w:rPr>
        <w:t xml:space="preserve"> </w:t>
      </w:r>
      <w:r w:rsidR="0075544A" w:rsidRPr="0075544A">
        <w:rPr>
          <w:lang w:val="hu-HU"/>
        </w:rPr>
        <w:t xml:space="preserve">két </w:t>
      </w:r>
      <w:r w:rsidR="0075544A" w:rsidRPr="0075544A">
        <w:rPr>
          <w:lang w:val="hu-HU" w:eastAsia="x-none"/>
        </w:rPr>
        <w:t>világháború</w:t>
      </w:r>
      <w:r w:rsidR="0075544A" w:rsidRPr="0075544A">
        <w:rPr>
          <w:lang w:val="hu-HU"/>
        </w:rPr>
        <w:t xml:space="preserve"> között</w:t>
      </w:r>
      <w:r w:rsidR="0030159E">
        <w:rPr>
          <w:lang w:val="hu-HU"/>
        </w:rPr>
        <w:t>i Európa és általában a nyugati világ gazdasági</w:t>
      </w:r>
      <w:r w:rsidR="0075544A">
        <w:rPr>
          <w:lang w:val="hu-HU"/>
        </w:rPr>
        <w:t xml:space="preserve"> viszony</w:t>
      </w:r>
      <w:r w:rsidR="0030159E">
        <w:rPr>
          <w:lang w:val="hu-HU"/>
        </w:rPr>
        <w:t>ainak</w:t>
      </w:r>
      <w:r>
        <w:rPr>
          <w:lang w:val="hu-HU"/>
        </w:rPr>
        <w:t xml:space="preserve"> ábrázolásba</w:t>
      </w:r>
      <w:r w:rsidR="00C20E02">
        <w:rPr>
          <w:lang w:val="hu-HU"/>
        </w:rPr>
        <w:t>n</w:t>
      </w:r>
      <w:r>
        <w:rPr>
          <w:lang w:val="hu-HU"/>
        </w:rPr>
        <w:t xml:space="preserve">. </w:t>
      </w:r>
      <w:r w:rsidR="00344DB5">
        <w:rPr>
          <w:lang w:val="hu-HU"/>
        </w:rPr>
        <w:t xml:space="preserve">Az 1920-as évek közepére a gazdasági rekonstrukció előre haladt, de a nagy depresszió 1929-től semmissé tette ezeket az eredményeket. A következő években az aranystandard és a nemzetközi kereskedelem rendszere </w:t>
      </w:r>
      <w:r w:rsidR="00344DB5">
        <w:rPr>
          <w:lang w:val="hu-HU"/>
        </w:rPr>
        <w:lastRenderedPageBreak/>
        <w:t>összeomlott és számos ország kormánya fizetésképtelenné vált. A</w:t>
      </w:r>
      <w:r w:rsidR="008B34DB">
        <w:rPr>
          <w:lang w:val="hu-HU"/>
        </w:rPr>
        <w:t xml:space="preserve"> legtöbb </w:t>
      </w:r>
      <w:r w:rsidR="008B34DB" w:rsidRPr="008B34DB">
        <w:rPr>
          <w:lang w:val="hu-HU"/>
        </w:rPr>
        <w:t>nyugat-európai</w:t>
      </w:r>
      <w:r w:rsidR="008B34DB">
        <w:rPr>
          <w:lang w:val="hu-HU"/>
        </w:rPr>
        <w:t xml:space="preserve"> országban és az </w:t>
      </w:r>
      <w:r w:rsidR="008B34DB" w:rsidRPr="008B34DB">
        <w:rPr>
          <w:lang w:val="hu-HU" w:eastAsia="x-none"/>
        </w:rPr>
        <w:t>Egyesült Államok</w:t>
      </w:r>
      <w:r w:rsidR="008B34DB">
        <w:rPr>
          <w:lang w:val="hu-HU"/>
        </w:rPr>
        <w:t>ban a</w:t>
      </w:r>
      <w:r w:rsidR="00344DB5">
        <w:rPr>
          <w:lang w:val="hu-HU"/>
        </w:rPr>
        <w:t xml:space="preserve"> gazdasági kibocsátás óriási mértékben visszaesett, majd a meginduló gyógyulási folyamat lassú volt. Több ország még a </w:t>
      </w:r>
      <w:r w:rsidR="00344DB5" w:rsidRPr="00344DB5">
        <w:rPr>
          <w:lang w:val="hu-HU"/>
        </w:rPr>
        <w:t>második világháború</w:t>
      </w:r>
      <w:r w:rsidR="00344DB5">
        <w:rPr>
          <w:lang w:val="hu-HU"/>
        </w:rPr>
        <w:t xml:space="preserve"> kit</w:t>
      </w:r>
      <w:r w:rsidR="00056091">
        <w:rPr>
          <w:lang w:val="hu-HU"/>
        </w:rPr>
        <w:t>ö</w:t>
      </w:r>
      <w:r w:rsidR="00344DB5">
        <w:rPr>
          <w:lang w:val="hu-HU"/>
        </w:rPr>
        <w:t>rése idejére sem érte el a válság előtti ki</w:t>
      </w:r>
      <w:r w:rsidR="00056091">
        <w:rPr>
          <w:lang w:val="hu-HU"/>
        </w:rPr>
        <w:t>bocsátás szintjét.</w:t>
      </w:r>
      <w:r w:rsidR="008B34DB">
        <w:rPr>
          <w:rStyle w:val="Lbjegyzet-hivatkozs"/>
          <w:lang w:val="hu-HU"/>
        </w:rPr>
        <w:footnoteReference w:id="4"/>
      </w:r>
      <w:r>
        <w:rPr>
          <w:lang w:val="hu-HU"/>
        </w:rPr>
        <w:t xml:space="preserve"> </w:t>
      </w:r>
      <w:r w:rsidR="00056091">
        <w:rPr>
          <w:lang w:val="hu-HU"/>
        </w:rPr>
        <w:t>A válság társadalmi és politikai következményei szintén súlyosak voltak</w:t>
      </w:r>
      <w:r>
        <w:rPr>
          <w:lang w:val="hu-HU"/>
        </w:rPr>
        <w:t>, mivel az nem csak tömeges munkanélküliséghez és nélkülözéshez vezetett, hanem hozzájárult a szélsőséges politikai tendenciák megerősödéséhez, melyet jól példáz a náci rendszer kialakulása Németországban.</w:t>
      </w:r>
      <w:r w:rsidR="008B34DB">
        <w:rPr>
          <w:rStyle w:val="Lbjegyzet-hivatkozs"/>
          <w:lang w:val="hu-HU"/>
        </w:rPr>
        <w:footnoteReference w:id="5"/>
      </w:r>
      <w:r>
        <w:rPr>
          <w:lang w:val="hu-HU"/>
        </w:rPr>
        <w:t xml:space="preserve"> </w:t>
      </w:r>
    </w:p>
    <w:p w14:paraId="2EE1FC78" w14:textId="6A28E927" w:rsidR="00E65FD2" w:rsidRDefault="00056091" w:rsidP="00605B4F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 szakirodalom</w:t>
      </w:r>
      <w:r w:rsidR="00FB2D48">
        <w:rPr>
          <w:lang w:val="hu-HU"/>
        </w:rPr>
        <w:t xml:space="preserve">ban domináns interpretáció súlyosnak tekinti </w:t>
      </w:r>
      <w:r w:rsidR="00FB2D48" w:rsidRPr="00FB2D48">
        <w:rPr>
          <w:lang w:val="hu-HU" w:eastAsia="x-none"/>
        </w:rPr>
        <w:t>Kelet-Közép-Európa</w:t>
      </w:r>
      <w:r w:rsidR="00FB2D48">
        <w:rPr>
          <w:lang w:val="hu-HU"/>
        </w:rPr>
        <w:t xml:space="preserve"> és Délkelet-Európa </w:t>
      </w:r>
      <w:r>
        <w:rPr>
          <w:lang w:val="hu-HU"/>
        </w:rPr>
        <w:t>válságát</w:t>
      </w:r>
      <w:r w:rsidR="00FB2D48">
        <w:rPr>
          <w:lang w:val="hu-HU"/>
        </w:rPr>
        <w:t xml:space="preserve"> is</w:t>
      </w:r>
      <w:r w:rsidR="00A43F5C">
        <w:rPr>
          <w:lang w:val="hu-HU"/>
        </w:rPr>
        <w:t>: s</w:t>
      </w:r>
      <w:r w:rsidR="00FB2D48">
        <w:rPr>
          <w:lang w:val="hu-HU"/>
        </w:rPr>
        <w:t xml:space="preserve">őt, </w:t>
      </w:r>
      <w:r w:rsidR="0030159E">
        <w:rPr>
          <w:lang w:val="hu-HU"/>
        </w:rPr>
        <w:t>a válság</w:t>
      </w:r>
      <w:r w:rsidR="0075544A">
        <w:rPr>
          <w:lang w:val="hu-HU"/>
        </w:rPr>
        <w:t xml:space="preserve"> </w:t>
      </w:r>
      <w:r w:rsidR="00FB2D48">
        <w:rPr>
          <w:lang w:val="hu-HU"/>
        </w:rPr>
        <w:t>különlegesen erőteljes jelentkezéséről ír</w:t>
      </w:r>
      <w:r w:rsidR="00A43F5C">
        <w:rPr>
          <w:lang w:val="hu-HU"/>
        </w:rPr>
        <w:t>nak</w:t>
      </w:r>
      <w:r w:rsidR="00FB2D48">
        <w:rPr>
          <w:lang w:val="hu-HU"/>
        </w:rPr>
        <w:t xml:space="preserve"> ebben a régióban, mely sajátos gazdaságszerkezeti </w:t>
      </w:r>
      <w:r w:rsidR="0075544A">
        <w:rPr>
          <w:lang w:val="hu-HU"/>
        </w:rPr>
        <w:t>problémákkal</w:t>
      </w:r>
      <w:r w:rsidR="00FB2D48">
        <w:rPr>
          <w:lang w:val="hu-HU"/>
        </w:rPr>
        <w:t xml:space="preserve"> kapcsolódott össze.</w:t>
      </w:r>
      <w:r w:rsidR="00FB2D48">
        <w:rPr>
          <w:rStyle w:val="Lbjegyzet-hivatkozs"/>
          <w:lang w:val="hu-HU"/>
        </w:rPr>
        <w:footnoteReference w:id="6"/>
      </w:r>
      <w:r w:rsidR="00FB2D48">
        <w:rPr>
          <w:lang w:val="hu-HU"/>
        </w:rPr>
        <w:t xml:space="preserve"> E </w:t>
      </w:r>
      <w:r w:rsidR="0075544A">
        <w:rPr>
          <w:lang w:val="hu-HU"/>
        </w:rPr>
        <w:t>vélemények</w:t>
      </w:r>
      <w:r w:rsidR="00FB2D48">
        <w:rPr>
          <w:lang w:val="hu-HU"/>
        </w:rPr>
        <w:t xml:space="preserve"> szerint a </w:t>
      </w:r>
      <w:r w:rsidR="00FB2D48" w:rsidRPr="00FB2D48">
        <w:rPr>
          <w:lang w:val="hu-HU"/>
        </w:rPr>
        <w:t xml:space="preserve">két </w:t>
      </w:r>
      <w:r w:rsidR="00FB2D48" w:rsidRPr="00FB2D48">
        <w:rPr>
          <w:lang w:val="hu-HU" w:eastAsia="x-none"/>
        </w:rPr>
        <w:t>világháború</w:t>
      </w:r>
      <w:r w:rsidR="00FB2D48" w:rsidRPr="00FB2D48">
        <w:rPr>
          <w:lang w:val="hu-HU"/>
        </w:rPr>
        <w:t xml:space="preserve"> között</w:t>
      </w:r>
      <w:r w:rsidR="0075544A">
        <w:rPr>
          <w:lang w:val="hu-HU"/>
        </w:rPr>
        <w:t>i</w:t>
      </w:r>
      <w:r w:rsidR="00FB2D48">
        <w:rPr>
          <w:lang w:val="hu-HU"/>
        </w:rPr>
        <w:t xml:space="preserve"> gazdasági fejlődés és a válság lefolyása </w:t>
      </w:r>
      <w:r w:rsidR="00FB2D48" w:rsidRPr="00FB2D48">
        <w:rPr>
          <w:lang w:val="hu-HU"/>
        </w:rPr>
        <w:t>Magyarország</w:t>
      </w:r>
      <w:r w:rsidR="00FB2D48">
        <w:rPr>
          <w:lang w:val="hu-HU"/>
        </w:rPr>
        <w:t>on kevéssé különbözött ettől: sajátosságot</w:t>
      </w:r>
      <w:r w:rsidR="00E65FD2">
        <w:rPr>
          <w:lang w:val="hu-HU"/>
        </w:rPr>
        <w:t xml:space="preserve"> inkább</w:t>
      </w:r>
      <w:r w:rsidR="00FB2D48">
        <w:rPr>
          <w:lang w:val="hu-HU"/>
        </w:rPr>
        <w:t xml:space="preserve"> a Trianoni békeszerződés utáni átfogó határváltozások és az Osztrák-Magyar Monarchia gazdasági egységének felbomlása jelentettek</w:t>
      </w:r>
      <w:r w:rsidR="00E65FD2">
        <w:rPr>
          <w:lang w:val="hu-HU"/>
        </w:rPr>
        <w:t>, melyek még inkább megnehezítették a korábbi növekedési pályához való visszatérést.</w:t>
      </w:r>
      <w:r w:rsidR="00A43F5C">
        <w:rPr>
          <w:rStyle w:val="Lbjegyzet-hivatkozs"/>
          <w:lang w:val="hu-HU"/>
        </w:rPr>
        <w:footnoteReference w:id="7"/>
      </w:r>
    </w:p>
    <w:p w14:paraId="6B9FC3D0" w14:textId="6516D110" w:rsidR="00C20E02" w:rsidRDefault="00E65FD2" w:rsidP="00C20E02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Néhány az utóbbi években megjelent tanulmány ennél árnyaltabb képet ad a régió </w:t>
      </w:r>
      <w:r w:rsidRPr="00E65FD2">
        <w:rPr>
          <w:lang w:val="hu-HU"/>
        </w:rPr>
        <w:t xml:space="preserve">két </w:t>
      </w:r>
      <w:r w:rsidRPr="00E65FD2">
        <w:rPr>
          <w:lang w:val="hu-HU" w:eastAsia="x-none"/>
        </w:rPr>
        <w:t>világháború</w:t>
      </w:r>
      <w:r w:rsidRPr="00E65FD2">
        <w:rPr>
          <w:lang w:val="hu-HU"/>
        </w:rPr>
        <w:t xml:space="preserve"> között</w:t>
      </w:r>
      <w:r>
        <w:rPr>
          <w:lang w:val="hu-HU"/>
        </w:rPr>
        <w:t>i gazdasági fejlődéséről.</w:t>
      </w:r>
      <w:r>
        <w:rPr>
          <w:rStyle w:val="Lbjegyzet-hivatkozs"/>
          <w:lang w:val="hu-HU"/>
        </w:rPr>
        <w:footnoteReference w:id="8"/>
      </w:r>
      <w:r w:rsidR="00FB2D48">
        <w:rPr>
          <w:lang w:val="hu-HU"/>
        </w:rPr>
        <w:t xml:space="preserve"> </w:t>
      </w:r>
      <w:r w:rsidR="00C20E02">
        <w:rPr>
          <w:lang w:val="hu-HU"/>
        </w:rPr>
        <w:t>Matthias Morys arra hívja fel a figyelmet, hogy „</w:t>
      </w:r>
      <w:r w:rsidR="00C20E02" w:rsidRPr="00C20E02">
        <w:rPr>
          <w:lang w:val="hu-HU"/>
        </w:rPr>
        <w:t>the</w:t>
      </w:r>
      <w:r w:rsidR="00C20E02">
        <w:rPr>
          <w:lang w:val="hu-HU"/>
        </w:rPr>
        <w:t xml:space="preserve"> </w:t>
      </w:r>
      <w:r w:rsidR="00C20E02" w:rsidRPr="00C20E02">
        <w:rPr>
          <w:lang w:val="hu-HU"/>
        </w:rPr>
        <w:t>critical assessment of the interwar achievements carries a subtext, namely to justify,</w:t>
      </w:r>
      <w:r w:rsidR="00C20E02">
        <w:rPr>
          <w:lang w:val="hu-HU"/>
        </w:rPr>
        <w:t xml:space="preserve"> </w:t>
      </w:r>
      <w:r w:rsidR="00C20E02" w:rsidRPr="00C20E02">
        <w:rPr>
          <w:lang w:val="hu-HU"/>
        </w:rPr>
        <w:t>very subtly, the heavy state intervention, collectivisation of agriculture and</w:t>
      </w:r>
      <w:r w:rsidR="00C20E02">
        <w:rPr>
          <w:lang w:val="hu-HU"/>
        </w:rPr>
        <w:t xml:space="preserve"> </w:t>
      </w:r>
      <w:r w:rsidR="00C20E02" w:rsidRPr="00C20E02">
        <w:rPr>
          <w:lang w:val="hu-HU"/>
        </w:rPr>
        <w:t>forced industrialisation which materialised after World War II under communist</w:t>
      </w:r>
      <w:r w:rsidR="00C20E02">
        <w:rPr>
          <w:lang w:val="hu-HU"/>
        </w:rPr>
        <w:t xml:space="preserve"> </w:t>
      </w:r>
      <w:r w:rsidR="00C20E02" w:rsidRPr="00C20E02">
        <w:rPr>
          <w:lang w:val="hu-HU"/>
        </w:rPr>
        <w:t>regimes.</w:t>
      </w:r>
      <w:r w:rsidR="00C20E02">
        <w:rPr>
          <w:lang w:val="hu-HU"/>
        </w:rPr>
        <w:t>”</w:t>
      </w:r>
      <w:r w:rsidR="00C20E02">
        <w:rPr>
          <w:rStyle w:val="Lbjegyzet-hivatkozs"/>
          <w:lang w:val="hu-HU"/>
        </w:rPr>
        <w:footnoteReference w:id="9"/>
      </w:r>
      <w:r w:rsidR="00C20E02">
        <w:rPr>
          <w:lang w:val="hu-HU"/>
        </w:rPr>
        <w:t xml:space="preserve"> Mindazonáltal ezek az újabb, optimist</w:t>
      </w:r>
      <w:r w:rsidR="00A43F5C">
        <w:rPr>
          <w:lang w:val="hu-HU"/>
        </w:rPr>
        <w:t>ább</w:t>
      </w:r>
      <w:r w:rsidR="00C20E02">
        <w:rPr>
          <w:lang w:val="hu-HU"/>
        </w:rPr>
        <w:t xml:space="preserve"> megközelítések a </w:t>
      </w:r>
      <w:r w:rsidR="00C20E02" w:rsidRPr="00C20E02">
        <w:rPr>
          <w:lang w:val="hu-HU"/>
        </w:rPr>
        <w:t xml:space="preserve">két </w:t>
      </w:r>
      <w:r w:rsidR="00C20E02" w:rsidRPr="00C20E02">
        <w:rPr>
          <w:lang w:val="hu-HU" w:eastAsia="x-none"/>
        </w:rPr>
        <w:t>világháború</w:t>
      </w:r>
      <w:r w:rsidR="00C20E02" w:rsidRPr="00C20E02">
        <w:rPr>
          <w:lang w:val="hu-HU"/>
        </w:rPr>
        <w:t xml:space="preserve"> között</w:t>
      </w:r>
      <w:r w:rsidR="00C20E02">
        <w:rPr>
          <w:lang w:val="hu-HU"/>
        </w:rPr>
        <w:t xml:space="preserve">i időszak egészét tárgyalják. Ez elengedhetetlen a hosszabb távú folyamatok megismeréséhez, de kevéssé ad választ arra, hogy </w:t>
      </w:r>
      <w:r w:rsidR="00C20E02">
        <w:rPr>
          <w:lang w:val="hu-HU"/>
        </w:rPr>
        <w:lastRenderedPageBreak/>
        <w:t>a nagy válság milyen gazdasági és társadalmi-politikai hatás</w:t>
      </w:r>
      <w:r w:rsidR="00A43F5C">
        <w:rPr>
          <w:lang w:val="hu-HU"/>
        </w:rPr>
        <w:t>okka</w:t>
      </w:r>
      <w:r w:rsidR="00C20E02">
        <w:rPr>
          <w:lang w:val="hu-HU"/>
        </w:rPr>
        <w:t>l járt. Az újabb interpretációk egyelőre kevéssé egyeztethetőek össze az</w:t>
      </w:r>
      <w:r w:rsidR="00FB2028">
        <w:rPr>
          <w:lang w:val="hu-HU"/>
        </w:rPr>
        <w:t>zal, hogy az</w:t>
      </w:r>
      <w:r w:rsidR="00C20E02">
        <w:rPr>
          <w:lang w:val="hu-HU"/>
        </w:rPr>
        <w:t xml:space="preserve"> 1930-as évek</w:t>
      </w:r>
      <w:r w:rsidR="00FB2028">
        <w:rPr>
          <w:lang w:val="hu-HU"/>
        </w:rPr>
        <w:t>ben</w:t>
      </w:r>
      <w:r w:rsidR="00C20E02">
        <w:rPr>
          <w:lang w:val="hu-HU"/>
        </w:rPr>
        <w:t xml:space="preserve"> </w:t>
      </w:r>
      <w:r w:rsidR="00A43F5C">
        <w:rPr>
          <w:lang w:val="hu-HU"/>
        </w:rPr>
        <w:t>radikális</w:t>
      </w:r>
      <w:r w:rsidR="00C20E02">
        <w:rPr>
          <w:lang w:val="hu-HU"/>
        </w:rPr>
        <w:t xml:space="preserve"> társadalmi-politikai változás</w:t>
      </w:r>
      <w:r w:rsidR="00FB2028">
        <w:rPr>
          <w:lang w:val="hu-HU"/>
        </w:rPr>
        <w:t>ok következtek be</w:t>
      </w:r>
      <w:r w:rsidR="00C20E02">
        <w:rPr>
          <w:lang w:val="hu-HU"/>
        </w:rPr>
        <w:t xml:space="preserve"> a régióban. Továbbá </w:t>
      </w:r>
      <w:r w:rsidR="00A43F5C">
        <w:rPr>
          <w:lang w:val="hu-HU"/>
        </w:rPr>
        <w:t>a jelzett tanulmányok a k</w:t>
      </w:r>
      <w:r w:rsidR="00C20E02" w:rsidRPr="00C20E02">
        <w:rPr>
          <w:lang w:val="hu-HU" w:eastAsia="x-none"/>
        </w:rPr>
        <w:t>elet-közép-európai</w:t>
      </w:r>
      <w:r w:rsidR="00C20E02">
        <w:rPr>
          <w:lang w:val="hu-HU"/>
        </w:rPr>
        <w:t xml:space="preserve"> és </w:t>
      </w:r>
      <w:r w:rsidR="00C20E02" w:rsidRPr="00C20E02">
        <w:rPr>
          <w:lang w:val="hu-HU"/>
        </w:rPr>
        <w:t>délkelet-európai</w:t>
      </w:r>
      <w:r w:rsidR="00C20E02">
        <w:rPr>
          <w:lang w:val="hu-HU"/>
        </w:rPr>
        <w:t xml:space="preserve"> régió vagy egyenesen Európa egészével foglalkoznak</w:t>
      </w:r>
      <w:r w:rsidR="00A43F5C">
        <w:rPr>
          <w:lang w:val="hu-HU"/>
        </w:rPr>
        <w:t xml:space="preserve"> néhány kiválasztott aspektus vizsgálatára fókuszálva. Í</w:t>
      </w:r>
      <w:r w:rsidR="00C20E02">
        <w:rPr>
          <w:lang w:val="hu-HU"/>
        </w:rPr>
        <w:t xml:space="preserve">gy az egyes </w:t>
      </w:r>
      <w:r w:rsidR="00A43F5C">
        <w:rPr>
          <w:lang w:val="hu-HU"/>
        </w:rPr>
        <w:t>régió béli</w:t>
      </w:r>
      <w:r w:rsidR="00C20E02">
        <w:rPr>
          <w:lang w:val="hu-HU"/>
        </w:rPr>
        <w:t xml:space="preserve"> országok – közöttük </w:t>
      </w:r>
      <w:r w:rsidR="00C20E02" w:rsidRPr="00C20E02">
        <w:rPr>
          <w:lang w:val="hu-HU"/>
        </w:rPr>
        <w:t>Magyarország</w:t>
      </w:r>
      <w:r w:rsidR="00C20E02">
        <w:rPr>
          <w:lang w:val="hu-HU"/>
        </w:rPr>
        <w:t xml:space="preserve"> -- értelemszerűen korlátozott figyelmet kapnak.</w:t>
      </w:r>
      <w:r w:rsidR="00A43F5C">
        <w:rPr>
          <w:lang w:val="hu-HU"/>
        </w:rPr>
        <w:t xml:space="preserve"> Ezért szükségesnek tűnik az egyes </w:t>
      </w:r>
      <w:r w:rsidR="00A43F5C" w:rsidRPr="00A43F5C">
        <w:rPr>
          <w:lang w:val="hu-HU" w:eastAsia="x-none"/>
        </w:rPr>
        <w:t>kelet-közép-európai</w:t>
      </w:r>
      <w:r w:rsidR="00A43F5C">
        <w:rPr>
          <w:lang w:val="hu-HU"/>
        </w:rPr>
        <w:t xml:space="preserve"> és </w:t>
      </w:r>
      <w:r w:rsidR="00A43F5C" w:rsidRPr="00A43F5C">
        <w:rPr>
          <w:lang w:val="hu-HU"/>
        </w:rPr>
        <w:t>délkelet-európai</w:t>
      </w:r>
      <w:r w:rsidR="00A43F5C">
        <w:rPr>
          <w:lang w:val="hu-HU"/>
        </w:rPr>
        <w:t xml:space="preserve"> társadalmak részletesebb vizsgálata, amely tovább finomíthatja a régió két </w:t>
      </w:r>
      <w:r w:rsidR="00A43F5C" w:rsidRPr="00A43F5C">
        <w:rPr>
          <w:lang w:val="hu-HU" w:eastAsia="x-none"/>
        </w:rPr>
        <w:t>világháború</w:t>
      </w:r>
      <w:r w:rsidR="00A43F5C">
        <w:rPr>
          <w:lang w:val="hu-HU"/>
        </w:rPr>
        <w:t xml:space="preserve"> közötti fejlődésére vonatkozó értelmezéseket.</w:t>
      </w:r>
    </w:p>
    <w:p w14:paraId="743CEFFB" w14:textId="7DA8D5AD" w:rsidR="00605B4F" w:rsidRDefault="00A43F5C" w:rsidP="00605B4F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Ennek megfelelően a</w:t>
      </w:r>
      <w:r w:rsidR="00605B4F">
        <w:rPr>
          <w:lang w:val="hu-HU"/>
        </w:rPr>
        <w:t xml:space="preserve"> következőkben</w:t>
      </w:r>
      <w:r w:rsidR="00C20E02">
        <w:rPr>
          <w:lang w:val="hu-HU"/>
        </w:rPr>
        <w:t xml:space="preserve"> azt kívánjuk vizsgálni, hogy a nagy válság miként érintette </w:t>
      </w:r>
      <w:r w:rsidR="00C20E02" w:rsidRPr="00C20E02">
        <w:rPr>
          <w:lang w:val="hu-HU"/>
        </w:rPr>
        <w:t>Magyarország</w:t>
      </w:r>
      <w:r w:rsidR="00C20E02">
        <w:rPr>
          <w:lang w:val="hu-HU"/>
        </w:rPr>
        <w:t xml:space="preserve">ot. Először </w:t>
      </w:r>
      <w:r w:rsidR="00605B4F">
        <w:rPr>
          <w:lang w:val="hu-HU"/>
        </w:rPr>
        <w:t xml:space="preserve">bemutatjuk a gazdasági válság </w:t>
      </w:r>
      <w:r w:rsidR="000B395A">
        <w:rPr>
          <w:lang w:val="hu-HU"/>
        </w:rPr>
        <w:t xml:space="preserve">előzményeit, </w:t>
      </w:r>
      <w:r w:rsidR="00C20E02">
        <w:rPr>
          <w:lang w:val="hu-HU"/>
        </w:rPr>
        <w:t xml:space="preserve">majd annak </w:t>
      </w:r>
      <w:r w:rsidR="00605B4F">
        <w:rPr>
          <w:lang w:val="hu-HU"/>
        </w:rPr>
        <w:t>lefolyását és</w:t>
      </w:r>
      <w:r w:rsidR="00C20E02">
        <w:rPr>
          <w:lang w:val="hu-HU"/>
        </w:rPr>
        <w:t xml:space="preserve"> az</w:t>
      </w:r>
      <w:r w:rsidR="00605B4F">
        <w:rPr>
          <w:lang w:val="hu-HU"/>
        </w:rPr>
        <w:t xml:space="preserve"> enyhítésére hozott kormányzati intézkedés</w:t>
      </w:r>
      <w:r w:rsidR="004D2DC3">
        <w:rPr>
          <w:lang w:val="hu-HU"/>
        </w:rPr>
        <w:t>e</w:t>
      </w:r>
      <w:r w:rsidR="00605B4F">
        <w:rPr>
          <w:lang w:val="hu-HU"/>
        </w:rPr>
        <w:t>ket</w:t>
      </w:r>
      <w:r w:rsidR="00C20E02">
        <w:rPr>
          <w:lang w:val="hu-HU"/>
        </w:rPr>
        <w:t xml:space="preserve"> tárgyaljuk</w:t>
      </w:r>
      <w:r w:rsidR="00605B4F">
        <w:rPr>
          <w:lang w:val="hu-HU"/>
        </w:rPr>
        <w:t>.</w:t>
      </w:r>
      <w:r w:rsidR="0030159E">
        <w:rPr>
          <w:lang w:val="hu-HU"/>
        </w:rPr>
        <w:t xml:space="preserve"> Külön kitérünk a gazdasági válság lefutása szempontjából nagy fontosságú gazdasági szerkezetváltásra és a külkereskedelmi reorientációra.</w:t>
      </w:r>
      <w:r w:rsidR="00605B4F">
        <w:rPr>
          <w:lang w:val="hu-HU"/>
        </w:rPr>
        <w:t xml:space="preserve"> </w:t>
      </w:r>
      <w:r w:rsidR="0030159E">
        <w:rPr>
          <w:lang w:val="hu-HU"/>
        </w:rPr>
        <w:t>E</w:t>
      </w:r>
      <w:r w:rsidR="00605B4F">
        <w:rPr>
          <w:lang w:val="hu-HU"/>
        </w:rPr>
        <w:t>zt követően a</w:t>
      </w:r>
      <w:r w:rsidR="0030159E">
        <w:rPr>
          <w:lang w:val="hu-HU"/>
        </w:rPr>
        <w:t xml:space="preserve"> magyar gazdaság válság alatti növekedési pályáját nemzetközi perspektívában mutatjuk be. V</w:t>
      </w:r>
      <w:r w:rsidR="00E16A91">
        <w:rPr>
          <w:lang w:val="hu-HU"/>
        </w:rPr>
        <w:t>é</w:t>
      </w:r>
      <w:r w:rsidR="0030159E">
        <w:rPr>
          <w:lang w:val="hu-HU"/>
        </w:rPr>
        <w:t xml:space="preserve">gül a </w:t>
      </w:r>
      <w:r w:rsidR="00605B4F">
        <w:rPr>
          <w:lang w:val="hu-HU"/>
        </w:rPr>
        <w:t xml:space="preserve">válság szélesebb társadalmi és politikai következményeit </w:t>
      </w:r>
      <w:r w:rsidR="00C20E02">
        <w:rPr>
          <w:lang w:val="hu-HU"/>
        </w:rPr>
        <w:t>tanulmányozzu</w:t>
      </w:r>
      <w:r w:rsidR="00E16A91">
        <w:rPr>
          <w:lang w:val="hu-HU"/>
        </w:rPr>
        <w:t>k</w:t>
      </w:r>
      <w:r w:rsidR="0030159E">
        <w:rPr>
          <w:lang w:val="hu-HU"/>
        </w:rPr>
        <w:t xml:space="preserve"> és összefoglaljuk eredményeinket.</w:t>
      </w:r>
      <w:r w:rsidR="00605B4F">
        <w:rPr>
          <w:lang w:val="hu-HU"/>
        </w:rPr>
        <w:t xml:space="preserve">   </w:t>
      </w:r>
    </w:p>
    <w:p w14:paraId="4CAA0861" w14:textId="77777777" w:rsidR="00892A40" w:rsidRDefault="00892A40" w:rsidP="00574FA6">
      <w:pPr>
        <w:spacing w:line="360" w:lineRule="auto"/>
        <w:jc w:val="both"/>
        <w:rPr>
          <w:lang w:val="hu-HU"/>
        </w:rPr>
      </w:pPr>
    </w:p>
    <w:p w14:paraId="3449248F" w14:textId="77777777" w:rsidR="00D914C4" w:rsidRDefault="00D914C4" w:rsidP="00574FA6">
      <w:pPr>
        <w:spacing w:line="360" w:lineRule="auto"/>
        <w:jc w:val="both"/>
        <w:rPr>
          <w:lang w:val="hu-HU"/>
        </w:rPr>
      </w:pPr>
    </w:p>
    <w:p w14:paraId="3F533E26" w14:textId="3FD42EF2" w:rsidR="00574FA6" w:rsidRPr="00175C4F" w:rsidRDefault="00175C4F" w:rsidP="00574FA6">
      <w:pPr>
        <w:spacing w:line="360" w:lineRule="auto"/>
        <w:jc w:val="both"/>
        <w:rPr>
          <w:b/>
          <w:bCs/>
          <w:lang w:val="hu-HU"/>
        </w:rPr>
      </w:pPr>
      <w:r w:rsidRPr="00175C4F">
        <w:rPr>
          <w:b/>
          <w:bCs/>
          <w:lang w:val="hu-HU"/>
        </w:rPr>
        <w:t xml:space="preserve">2. </w:t>
      </w:r>
      <w:r w:rsidR="000B395A">
        <w:rPr>
          <w:b/>
          <w:bCs/>
          <w:lang w:val="hu-HU"/>
        </w:rPr>
        <w:t>Előzmények</w:t>
      </w:r>
    </w:p>
    <w:p w14:paraId="1A2193C1" w14:textId="77777777" w:rsidR="00175C4F" w:rsidRDefault="00175C4F" w:rsidP="00574FA6">
      <w:pPr>
        <w:spacing w:line="360" w:lineRule="auto"/>
        <w:jc w:val="both"/>
        <w:rPr>
          <w:lang w:val="hu-HU"/>
        </w:rPr>
      </w:pPr>
    </w:p>
    <w:p w14:paraId="54582DD6" w14:textId="309FE3F7" w:rsidR="005843F3" w:rsidRPr="002804B1" w:rsidRDefault="005843F3" w:rsidP="005843F3">
      <w:pPr>
        <w:spacing w:line="360" w:lineRule="auto"/>
        <w:jc w:val="both"/>
        <w:rPr>
          <w:lang w:val="hu-HU"/>
        </w:rPr>
      </w:pPr>
      <w:r w:rsidRPr="002804B1">
        <w:rPr>
          <w:lang w:val="hu-HU"/>
        </w:rPr>
        <w:t>Az első világháború alatt és különösen az után lényegesen megváltoztak a magyar gazdaság működési körülményei.</w:t>
      </w:r>
      <w:r w:rsidRPr="002804B1">
        <w:rPr>
          <w:rStyle w:val="Lbjegyzet-hivatkozs"/>
          <w:lang w:val="hu-HU"/>
        </w:rPr>
        <w:footnoteReference w:id="10"/>
      </w:r>
      <w:r w:rsidRPr="002804B1">
        <w:rPr>
          <w:lang w:val="hu-HU"/>
        </w:rPr>
        <w:t xml:space="preserve"> A háborús események közvetlen pusztítást ugyan nem okoztak, mivel hadműveletek az országnak csak kis részén folytak, melyek a</w:t>
      </w:r>
      <w:r w:rsidR="0030159E">
        <w:rPr>
          <w:lang w:val="hu-HU"/>
        </w:rPr>
        <w:t xml:space="preserve">z 1920 utáni </w:t>
      </w:r>
      <w:r w:rsidRPr="002804B1">
        <w:rPr>
          <w:lang w:val="hu-HU"/>
        </w:rPr>
        <w:t>– általunk vizsgált – országterületen kívül estek, de számottevő volt a humán tőkében bekövetkezett kár. Az ország gazdaságát a háborús erőfeszítések más tekintetben is kimerítették. 1918-ra súlyos fűtő-, nyersanyag- és élelmiszerhiány alakult ki, a közlekedésben, az ipari termelésben, a közellátásban okozva zavarokat.</w:t>
      </w:r>
      <w:r w:rsidRPr="002804B1">
        <w:rPr>
          <w:rStyle w:val="Lbjegyzet-hivatkozs"/>
          <w:lang w:val="hu-HU"/>
        </w:rPr>
        <w:footnoteReference w:id="11"/>
      </w:r>
      <w:r w:rsidRPr="002804B1">
        <w:rPr>
          <w:lang w:val="hu-HU"/>
        </w:rPr>
        <w:t xml:space="preserve"> Jellemző a gazdasági dezorganizációra, hogy a világháború utolsó időszakában már nem csak némelyik fogyasztási cikket előállító termelési ág kibocsátása zuhant 60</w:t>
      </w:r>
      <w:r>
        <w:rPr>
          <w:lang w:val="hu-HU"/>
        </w:rPr>
        <w:t>–</w:t>
      </w:r>
      <w:r w:rsidRPr="00E02641">
        <w:rPr>
          <w:lang w:val="hu-HU"/>
        </w:rPr>
        <w:t xml:space="preserve">70%-kal, hanem a kimondottan hadiszükségleteket kielégítő szektorok termelése is </w:t>
      </w:r>
      <w:r w:rsidRPr="00E02641">
        <w:rPr>
          <w:lang w:val="hu-HU"/>
        </w:rPr>
        <w:lastRenderedPageBreak/>
        <w:t>csökkent.</w:t>
      </w:r>
      <w:r w:rsidR="00382248">
        <w:rPr>
          <w:lang w:val="hu-HU"/>
        </w:rPr>
        <w:t xml:space="preserve"> A feldolgozóipar termelése 1920-ban a háború előtti szint 35-40 %-án állt.</w:t>
      </w:r>
      <w:r w:rsidRPr="00B65D2C">
        <w:rPr>
          <w:rStyle w:val="Lbjegyzet-hivatkozs"/>
          <w:lang w:val="hu-HU"/>
        </w:rPr>
        <w:footnoteReference w:id="12"/>
      </w:r>
    </w:p>
    <w:p w14:paraId="55E353B7" w14:textId="36D04585" w:rsidR="005843F3" w:rsidRPr="00B65D2C" w:rsidRDefault="005843F3" w:rsidP="005843F3">
      <w:pPr>
        <w:spacing w:line="360" w:lineRule="auto"/>
        <w:ind w:firstLine="708"/>
        <w:jc w:val="both"/>
        <w:rPr>
          <w:lang w:val="hu-HU"/>
        </w:rPr>
      </w:pPr>
      <w:r w:rsidRPr="002804B1">
        <w:rPr>
          <w:lang w:val="hu-HU"/>
        </w:rPr>
        <w:t xml:space="preserve">A háború fiskális vonatkozásban és a valuta tekintetében is súlyos következményekkel járt. A hadikiadások a háború utolsó éveiben a nemzeti termék nagy hányadát – mintegy felét – tették ki. </w:t>
      </w:r>
      <w:r w:rsidR="00D76D49">
        <w:rPr>
          <w:lang w:val="hu-HU"/>
        </w:rPr>
        <w:t>A</w:t>
      </w:r>
      <w:r w:rsidRPr="002804B1">
        <w:rPr>
          <w:lang w:val="hu-HU"/>
        </w:rPr>
        <w:t xml:space="preserve"> költségvetés képtelen </w:t>
      </w:r>
      <w:r w:rsidR="00D76D49">
        <w:rPr>
          <w:lang w:val="hu-HU"/>
        </w:rPr>
        <w:t>volt</w:t>
      </w:r>
      <w:r w:rsidRPr="002804B1">
        <w:rPr>
          <w:lang w:val="hu-HU"/>
        </w:rPr>
        <w:t xml:space="preserve"> ezeket a hagyományos bevételi forrásokból fedezni. A kormányok nem is törekedtek a fokozott adóztatásra, inkább hitelek felvételéhez folyamodtak, s a kiadások egyre nagyobb részét papírpénz kibocsátása révén fedezték. Az infláció már a háború megindulásával kezdetét vette, majd a korona belső és külső értékvesztési folyamata ettől kezdve – lendületében néha megtorpanva, de összességében inkább gyorsulva – egy évtizeden át folytatódott, új kereteket adva a magyar gazdaság fejlődésének. 1918 végén a magyar állam háborús adósságai 33</w:t>
      </w:r>
      <w:r>
        <w:rPr>
          <w:lang w:val="hu-HU"/>
        </w:rPr>
        <w:t>–</w:t>
      </w:r>
      <w:r w:rsidRPr="00E02641">
        <w:rPr>
          <w:lang w:val="hu-HU"/>
        </w:rPr>
        <w:t>34 milliárd koronát tettek ki. A háború újszerű finanszírozási módszereiért azonban később súlyos árat kellett fizetni.</w:t>
      </w:r>
      <w:r w:rsidRPr="006D14A4">
        <w:rPr>
          <w:rStyle w:val="Lbjegyzet-hivatkozs"/>
          <w:lang w:val="hu-HU"/>
        </w:rPr>
        <w:footnoteReference w:id="13"/>
      </w:r>
    </w:p>
    <w:p w14:paraId="063965C6" w14:textId="77777777" w:rsidR="0030159E" w:rsidRDefault="005843F3" w:rsidP="005843F3">
      <w:pPr>
        <w:spacing w:line="360" w:lineRule="auto"/>
        <w:ind w:firstLine="708"/>
        <w:jc w:val="both"/>
        <w:rPr>
          <w:lang w:val="hu-HU"/>
        </w:rPr>
      </w:pPr>
      <w:r w:rsidRPr="002804B1">
        <w:rPr>
          <w:lang w:val="hu-HU"/>
        </w:rPr>
        <w:t>A gazdasági dezorganizációt súlyosbították a háborút követő 1918</w:t>
      </w:r>
      <w:r>
        <w:rPr>
          <w:lang w:val="hu-HU"/>
        </w:rPr>
        <w:t>–</w:t>
      </w:r>
      <w:r w:rsidRPr="00E02641">
        <w:rPr>
          <w:lang w:val="hu-HU"/>
        </w:rPr>
        <w:t>1919-es forradalmak és</w:t>
      </w:r>
      <w:r w:rsidRPr="006D14A4">
        <w:rPr>
          <w:lang w:val="hu-HU"/>
        </w:rPr>
        <w:t xml:space="preserve"> több szomszédos országgal kialakult konfliktus.  Ezek – különösen </w:t>
      </w:r>
      <w:r w:rsidRPr="002804B1">
        <w:rPr>
          <w:lang w:val="hu-HU"/>
        </w:rPr>
        <w:t>1919-ben az ország román megszállása – már a termelőeszközökben is jelentős veszteségeket okoztak.</w:t>
      </w:r>
      <w:r w:rsidRPr="002804B1">
        <w:rPr>
          <w:rStyle w:val="Lbjegyzet-hivatkozs"/>
          <w:lang w:val="hu-HU"/>
        </w:rPr>
        <w:footnoteReference w:id="14"/>
      </w:r>
      <w:r w:rsidRPr="002804B1">
        <w:rPr>
          <w:lang w:val="hu-HU"/>
        </w:rPr>
        <w:t xml:space="preserve"> A gazdasági nehézségeket tovább fokozta az ország területének mintegy egyharmadára, népességének felére csökkenése, amelyet a trianoni békeszerződés 1920-ban már csupán szentesített, és egyebek között hátrányos pénzügyi-gazdasági intézkedésekkel – jóvátételek, gazdasági korlátozások – egészített ki. Az antant a háború után még jó ideig fenntartotta a gazdasági blokádot. </w:t>
      </w:r>
    </w:p>
    <w:p w14:paraId="0D0F7FAE" w14:textId="29685346" w:rsidR="005843F3" w:rsidRDefault="005843F3" w:rsidP="005843F3">
      <w:pPr>
        <w:spacing w:line="360" w:lineRule="auto"/>
        <w:ind w:firstLine="708"/>
        <w:jc w:val="both"/>
        <w:rPr>
          <w:lang w:val="hu-HU"/>
        </w:rPr>
      </w:pPr>
      <w:r w:rsidRPr="002804B1">
        <w:rPr>
          <w:lang w:val="hu-HU"/>
        </w:rPr>
        <w:t>Magyarország kivált a Monarchia gazdasági integrációjából, amivel a hagyományos beszállítói és kereskedelmi kapcsolatok megszakadtak. A nyersanyagforrásokat és feldolgozóüzemeket elvágták egymástól az új, nehezen átjárható határok, vagyis a korábban belkereskedelemnek minősülő tranzakciók körülményesebben és drágábban lebonyolítható külkereskedelmi ügyletekké alakultak. A határváltozások emellett bizonyos iparágakban, illetve ágazatokban nagy kihasználatlan kapacitásokat eredményeztek, a mezőgazdaság számára piacproblémákkal jártak, s a kormányzati bürokrácia túlméretezettségét eredményezték.</w:t>
      </w:r>
      <w:r w:rsidRPr="002804B1">
        <w:rPr>
          <w:rStyle w:val="Lbjegyzet-hivatkozs"/>
          <w:lang w:val="hu-HU"/>
        </w:rPr>
        <w:footnoteReference w:id="15"/>
      </w:r>
      <w:r w:rsidR="00D76D49">
        <w:rPr>
          <w:lang w:val="hu-HU"/>
        </w:rPr>
        <w:t xml:space="preserve"> </w:t>
      </w:r>
      <w:r w:rsidR="00D76D49" w:rsidRPr="00D76D49">
        <w:rPr>
          <w:lang w:val="hu-HU"/>
        </w:rPr>
        <w:t xml:space="preserve">Ugyanakkor </w:t>
      </w:r>
      <w:r w:rsidR="00D76D49">
        <w:rPr>
          <w:lang w:val="hu-HU"/>
        </w:rPr>
        <w:t xml:space="preserve">a szomszédos országokból </w:t>
      </w:r>
      <w:r w:rsidR="00D76D49" w:rsidRPr="00D76D49">
        <w:rPr>
          <w:lang w:val="hu-HU"/>
        </w:rPr>
        <w:t>Magyarország</w:t>
      </w:r>
      <w:r w:rsidR="00D76D49">
        <w:rPr>
          <w:lang w:val="hu-HU"/>
        </w:rPr>
        <w:t>ra jelentős számban áttelepülő korábbi állami alkalmazottak gyarapították a humán tőkét.</w:t>
      </w:r>
      <w:r w:rsidR="0041668F">
        <w:rPr>
          <w:lang w:val="hu-HU"/>
        </w:rPr>
        <w:t xml:space="preserve"> A területváltozások a </w:t>
      </w:r>
      <w:r w:rsidR="0041668F">
        <w:rPr>
          <w:lang w:val="hu-HU"/>
        </w:rPr>
        <w:lastRenderedPageBreak/>
        <w:t>kortársak gyakran apokaliptikus jóslatai ellenére hosszabb távon kevéssé befolyásolták a növekedési lehetőségeket.</w:t>
      </w:r>
      <w:r w:rsidR="0041668F">
        <w:rPr>
          <w:rStyle w:val="Lbjegyzet-hivatkozs"/>
          <w:lang w:val="hu-HU"/>
        </w:rPr>
        <w:footnoteReference w:id="16"/>
      </w:r>
    </w:p>
    <w:p w14:paraId="26A1F4C7" w14:textId="2BE4F35B" w:rsidR="005843F3" w:rsidRDefault="0041668F" w:rsidP="0041668F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Az 1920-as évek elején számos kísérlet történt az infláció letörésére. Ezek sikertelenségének oka elsősorban a nagy költségvetési hiány volt, másrészt a gazdaság számos szereplője számára egy ideig előnyös volt az inflációs finanszírozás, mivel az adósságaik megsemmisüléével járt. Az inflációt az 1924-1925-ös stabilizáció zárta le. Erre az időszakra a</w:t>
      </w:r>
      <w:r w:rsidR="00382248">
        <w:rPr>
          <w:lang w:val="hu-HU"/>
        </w:rPr>
        <w:t xml:space="preserve"> bruttó hazai termék elérte a háború előtti szintet, s így az adóbevételek növekedése lehetővé tette </w:t>
      </w:r>
      <w:r>
        <w:rPr>
          <w:lang w:val="hu-HU"/>
        </w:rPr>
        <w:t xml:space="preserve">a költségvetési egyensúly </w:t>
      </w:r>
      <w:r w:rsidR="00382248">
        <w:rPr>
          <w:lang w:val="hu-HU"/>
        </w:rPr>
        <w:t>helyreállítását</w:t>
      </w:r>
      <w:r>
        <w:rPr>
          <w:lang w:val="hu-HU"/>
        </w:rPr>
        <w:t xml:space="preserve">. Másrészt egy jelentős népszövetségi kölcsön is segítette a pénzügyi stabilizációt, csakúgy, mint </w:t>
      </w:r>
      <w:r w:rsidR="005843F3" w:rsidRPr="002804B1">
        <w:rPr>
          <w:lang w:val="hu-HU"/>
        </w:rPr>
        <w:t>az adók emelése, valamint az állami alkalmazottak számának jelentős csökkentése.</w:t>
      </w:r>
      <w:r w:rsidR="005843F3" w:rsidRPr="002804B1">
        <w:rPr>
          <w:rStyle w:val="Lbjegyzet-hivatkozs"/>
          <w:lang w:val="hu-HU"/>
        </w:rPr>
        <w:footnoteReference w:id="17"/>
      </w:r>
      <w:r w:rsidR="005843F3" w:rsidRPr="002804B1">
        <w:rPr>
          <w:lang w:val="hu-HU"/>
        </w:rPr>
        <w:t xml:space="preserve">  </w:t>
      </w:r>
      <w:r>
        <w:rPr>
          <w:lang w:val="hu-HU"/>
        </w:rPr>
        <w:t>M</w:t>
      </w:r>
      <w:r w:rsidR="005843F3" w:rsidRPr="002804B1">
        <w:rPr>
          <w:lang w:val="hu-HU"/>
        </w:rPr>
        <w:t>egszülettek a stabilizációs törvények és megalakult az autonómiával rendelkező Magyar Nemzeti Bank is.</w:t>
      </w:r>
      <w:r w:rsidR="005843F3" w:rsidRPr="002804B1">
        <w:rPr>
          <w:rStyle w:val="Lbjegyzet-hivatkozs"/>
          <w:lang w:val="hu-HU"/>
        </w:rPr>
        <w:footnoteReference w:id="18"/>
      </w:r>
      <w:r w:rsidR="005843F3" w:rsidRPr="002804B1">
        <w:rPr>
          <w:lang w:val="hu-HU"/>
        </w:rPr>
        <w:t xml:space="preserve"> 1927. január 1-jén </w:t>
      </w:r>
      <w:r w:rsidR="005843F3">
        <w:rPr>
          <w:lang w:val="hu-HU"/>
        </w:rPr>
        <w:t xml:space="preserve">megtörtént </w:t>
      </w:r>
      <w:r w:rsidR="005843F3" w:rsidRPr="002804B1">
        <w:rPr>
          <w:lang w:val="hu-HU"/>
        </w:rPr>
        <w:t>a</w:t>
      </w:r>
      <w:r w:rsidR="005843F3">
        <w:rPr>
          <w:lang w:val="hu-HU"/>
        </w:rPr>
        <w:t>z</w:t>
      </w:r>
      <w:r w:rsidR="005843F3" w:rsidRPr="002804B1">
        <w:rPr>
          <w:lang w:val="hu-HU"/>
        </w:rPr>
        <w:t xml:space="preserve"> áttérés</w:t>
      </w:r>
      <w:r w:rsidR="005843F3">
        <w:rPr>
          <w:lang w:val="hu-HU"/>
        </w:rPr>
        <w:t xml:space="preserve"> </w:t>
      </w:r>
      <w:r w:rsidR="005843F3" w:rsidRPr="002804B1">
        <w:rPr>
          <w:lang w:val="hu-HU"/>
        </w:rPr>
        <w:t>az új pénznemre</w:t>
      </w:r>
      <w:r w:rsidR="005843F3">
        <w:rPr>
          <w:lang w:val="hu-HU"/>
        </w:rPr>
        <w:t>, a koronára</w:t>
      </w:r>
      <w:r w:rsidR="005843F3" w:rsidRPr="002804B1">
        <w:rPr>
          <w:lang w:val="hu-HU"/>
        </w:rPr>
        <w:t>.</w:t>
      </w:r>
      <w:r w:rsidR="005843F3" w:rsidRPr="002804B1">
        <w:rPr>
          <w:rStyle w:val="Lbjegyzet-hivatkozs"/>
          <w:lang w:val="hu-HU"/>
        </w:rPr>
        <w:footnoteReference w:id="19"/>
      </w:r>
    </w:p>
    <w:p w14:paraId="5A16AA0C" w14:textId="655C0900" w:rsidR="005843F3" w:rsidRPr="002804B1" w:rsidRDefault="005843F3" w:rsidP="00FB2028">
      <w:pPr>
        <w:spacing w:line="360" w:lineRule="auto"/>
        <w:ind w:firstLine="708"/>
        <w:jc w:val="both"/>
        <w:rPr>
          <w:lang w:val="hu-HU"/>
        </w:rPr>
      </w:pPr>
      <w:r w:rsidRPr="002804B1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D3B18" wp14:editId="4FF0F14B">
                <wp:simplePos x="0" y="0"/>
                <wp:positionH relativeFrom="column">
                  <wp:posOffset>-2171700</wp:posOffset>
                </wp:positionH>
                <wp:positionV relativeFrom="paragraph">
                  <wp:posOffset>-251460</wp:posOffset>
                </wp:positionV>
                <wp:extent cx="147955" cy="153035"/>
                <wp:effectExtent l="0" t="0" r="0" b="3810"/>
                <wp:wrapNone/>
                <wp:docPr id="20633702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DE211" w14:textId="77777777" w:rsidR="005843F3" w:rsidRDefault="005843F3" w:rsidP="00584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D3B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1pt;margin-top:-19.8pt;width:11.65pt;height:1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" stroked="f">
                <v:textbox>
                  <w:txbxContent>
                    <w:p w14:paraId="55EDE211" w14:textId="77777777" w:rsidR="005843F3" w:rsidRDefault="005843F3" w:rsidP="005843F3"/>
                  </w:txbxContent>
                </v:textbox>
              </v:shape>
            </w:pict>
          </mc:Fallback>
        </mc:AlternateContent>
      </w:r>
      <w:r>
        <w:rPr>
          <w:lang w:val="hu-HU"/>
        </w:rPr>
        <w:t>A</w:t>
      </w:r>
      <w:r w:rsidR="0041668F">
        <w:rPr>
          <w:lang w:val="hu-HU"/>
        </w:rPr>
        <w:t xml:space="preserve"> </w:t>
      </w:r>
      <w:r w:rsidRPr="002804B1">
        <w:rPr>
          <w:lang w:val="hu-HU"/>
        </w:rPr>
        <w:t>stabilizáció</w:t>
      </w:r>
      <w:r>
        <w:rPr>
          <w:lang w:val="hu-HU"/>
        </w:rPr>
        <w:t xml:space="preserve">val megvalósult </w:t>
      </w:r>
      <w:r w:rsidRPr="002804B1">
        <w:rPr>
          <w:lang w:val="hu-HU"/>
        </w:rPr>
        <w:t xml:space="preserve">a háború közvetlen következményeinek elhárítása. A korona stabilizálása, az államháztartás egyensúlyának helyreállítása, a kötött devizagazdálkodás megszüntetése </w:t>
      </w:r>
      <w:r>
        <w:rPr>
          <w:lang w:val="hu-HU"/>
        </w:rPr>
        <w:t>l</w:t>
      </w:r>
      <w:r w:rsidRPr="002804B1">
        <w:rPr>
          <w:lang w:val="hu-HU"/>
        </w:rPr>
        <w:t xml:space="preserve">ehetővé tette a világgazdasági konjunktúra kihasználását. </w:t>
      </w:r>
      <w:r w:rsidR="00D76D49">
        <w:rPr>
          <w:lang w:val="hu-HU"/>
        </w:rPr>
        <w:t xml:space="preserve">Az 1920-as évek gazdasági rekonstrukciója számára előnyös feltételeket teremtettek </w:t>
      </w:r>
      <w:r w:rsidR="00D76D49" w:rsidRPr="00605B4F">
        <w:rPr>
          <w:lang w:val="hu-HU"/>
        </w:rPr>
        <w:t>Magyarország</w:t>
      </w:r>
      <w:r w:rsidR="00D76D49">
        <w:rPr>
          <w:lang w:val="hu-HU"/>
        </w:rPr>
        <w:t xml:space="preserve">on a </w:t>
      </w:r>
      <w:r w:rsidR="00D76D49" w:rsidRPr="00605B4F">
        <w:rPr>
          <w:lang w:val="hu-HU" w:eastAsia="x-none"/>
        </w:rPr>
        <w:t>mezőgazdaság</w:t>
      </w:r>
      <w:r w:rsidR="00D76D49">
        <w:rPr>
          <w:lang w:val="hu-HU"/>
        </w:rPr>
        <w:t xml:space="preserve">i termékek viszonylag kedvező világpiaci értékesítési lehetőségei és a jelentős tőkeimport. </w:t>
      </w:r>
      <w:r w:rsidRPr="002804B1">
        <w:rPr>
          <w:lang w:val="hu-HU"/>
        </w:rPr>
        <w:t>Az</w:t>
      </w:r>
      <w:r>
        <w:rPr>
          <w:lang w:val="hu-HU"/>
        </w:rPr>
        <w:t xml:space="preserve"> </w:t>
      </w:r>
      <w:r w:rsidRPr="002804B1">
        <w:rPr>
          <w:lang w:val="hu-HU"/>
        </w:rPr>
        <w:t>1925 elején bevezetett új vámrendszer az ipari termékek széles körét igen magas vámokkal védte, melyek így lényegesen meghaladták a Monarchia idején alkalmazott tételeket. Számos, a mezőgazdaság által használt ipari termékre is kiterjedt az emelés, amivel gyakorlatilag az agrárágazattal fizettették meg a nem versenyképes ipari termelés költségeit. Az új vámpolitika kiemelt célja volt a korábban alulfejlett textilipar támogatása.</w:t>
      </w:r>
      <w:r w:rsidRPr="002804B1">
        <w:rPr>
          <w:rStyle w:val="Lbjegyzet-hivatkozs"/>
          <w:lang w:val="hu-HU"/>
        </w:rPr>
        <w:footnoteReference w:id="20"/>
      </w:r>
    </w:p>
    <w:p w14:paraId="328669FF" w14:textId="32D8B8AC" w:rsidR="005843F3" w:rsidRPr="002804B1" w:rsidRDefault="005843F3" w:rsidP="005843F3">
      <w:pPr>
        <w:pStyle w:val="llb"/>
        <w:tabs>
          <w:tab w:val="left" w:pos="709"/>
        </w:tabs>
        <w:spacing w:line="360" w:lineRule="auto"/>
        <w:ind w:firstLine="709"/>
        <w:jc w:val="both"/>
        <w:rPr>
          <w:lang w:val="hu-HU"/>
        </w:rPr>
      </w:pPr>
      <w:r w:rsidRPr="00B65D2C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5A176" wp14:editId="7AF01630">
                <wp:simplePos x="0" y="0"/>
                <wp:positionH relativeFrom="column">
                  <wp:posOffset>-2171700</wp:posOffset>
                </wp:positionH>
                <wp:positionV relativeFrom="paragraph">
                  <wp:posOffset>1383030</wp:posOffset>
                </wp:positionV>
                <wp:extent cx="342900" cy="457200"/>
                <wp:effectExtent l="0" t="635" r="635" b="0"/>
                <wp:wrapNone/>
                <wp:docPr id="13803421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694B2" w14:textId="77777777" w:rsidR="005843F3" w:rsidRDefault="005843F3" w:rsidP="00584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A176" id="Text Box 3" o:spid="_x0000_s1027" type="#_x0000_t202" style="position:absolute;left:0;text-align:left;margin-left:-171pt;margin-top:108.9pt;width:2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" stroked="f">
                <v:textbox>
                  <w:txbxContent>
                    <w:p w14:paraId="220694B2" w14:textId="77777777" w:rsidR="005843F3" w:rsidRDefault="005843F3" w:rsidP="005843F3"/>
                  </w:txbxContent>
                </v:textbox>
              </v:shape>
            </w:pict>
          </mc:Fallback>
        </mc:AlternateContent>
      </w:r>
      <w:r w:rsidRPr="002804B1">
        <w:rPr>
          <w:lang w:val="hu-HU"/>
        </w:rPr>
        <w:t xml:space="preserve">Az 1920-as évek második felének fellendülése </w:t>
      </w:r>
      <w:r w:rsidR="00D76D49">
        <w:rPr>
          <w:lang w:val="hu-HU"/>
        </w:rPr>
        <w:t>jelentős</w:t>
      </w:r>
      <w:r w:rsidRPr="002804B1">
        <w:rPr>
          <w:lang w:val="hu-HU"/>
        </w:rPr>
        <w:t xml:space="preserve"> eredménnyel járt Magyarországon, mivel 1929-re az egy főre jutó bruttó hazai termék mintegy 18%-kal haladta meg az utolsó békeév színvonalát. Ez igen kedvező arány például Ausztria teljesítményével </w:t>
      </w:r>
      <w:r w:rsidRPr="002804B1">
        <w:rPr>
          <w:lang w:val="hu-HU"/>
        </w:rPr>
        <w:lastRenderedPageBreak/>
        <w:t xml:space="preserve">összevetve, ahol a növekedés </w:t>
      </w:r>
      <w:r w:rsidR="0041668F">
        <w:rPr>
          <w:lang w:val="hu-HU"/>
        </w:rPr>
        <w:t>ugyan</w:t>
      </w:r>
      <w:r w:rsidR="00D76D49">
        <w:rPr>
          <w:lang w:val="hu-HU"/>
        </w:rPr>
        <w:t xml:space="preserve">ebben az időszakban </w:t>
      </w:r>
      <w:r w:rsidRPr="002804B1">
        <w:rPr>
          <w:lang w:val="hu-HU"/>
        </w:rPr>
        <w:t>mindössze 6,8%-os volt.</w:t>
      </w:r>
      <w:r w:rsidRPr="002804B1">
        <w:rPr>
          <w:rStyle w:val="Lbjegyzet-hivatkozs"/>
          <w:lang w:val="hu-HU"/>
        </w:rPr>
        <w:footnoteReference w:id="21"/>
      </w:r>
    </w:p>
    <w:p w14:paraId="2B57EEA4" w14:textId="77777777" w:rsidR="00382248" w:rsidRDefault="00382248" w:rsidP="00574FA6">
      <w:pPr>
        <w:spacing w:line="360" w:lineRule="auto"/>
        <w:jc w:val="both"/>
        <w:rPr>
          <w:b/>
          <w:bCs/>
          <w:lang w:val="hu-HU"/>
        </w:rPr>
      </w:pPr>
    </w:p>
    <w:p w14:paraId="060306D4" w14:textId="77777777" w:rsidR="00382248" w:rsidRDefault="00382248" w:rsidP="00574FA6">
      <w:pPr>
        <w:spacing w:line="360" w:lineRule="auto"/>
        <w:jc w:val="both"/>
        <w:rPr>
          <w:b/>
          <w:bCs/>
          <w:lang w:val="hu-HU"/>
        </w:rPr>
      </w:pPr>
    </w:p>
    <w:p w14:paraId="1C716E5E" w14:textId="676AC48B" w:rsidR="000B395A" w:rsidRPr="000B395A" w:rsidRDefault="000B395A" w:rsidP="00574FA6">
      <w:pPr>
        <w:spacing w:line="360" w:lineRule="auto"/>
        <w:jc w:val="both"/>
        <w:rPr>
          <w:b/>
          <w:bCs/>
          <w:lang w:val="hu-HU"/>
        </w:rPr>
      </w:pPr>
      <w:r w:rsidRPr="000B395A">
        <w:rPr>
          <w:b/>
          <w:bCs/>
          <w:lang w:val="hu-HU"/>
        </w:rPr>
        <w:t>3. A válság lefolyása</w:t>
      </w:r>
      <w:r w:rsidR="00D914C4">
        <w:rPr>
          <w:b/>
          <w:bCs/>
          <w:lang w:val="hu-HU"/>
        </w:rPr>
        <w:t xml:space="preserve"> és az elhárítására hozott gazdaságpolitikai intézkedések</w:t>
      </w:r>
    </w:p>
    <w:p w14:paraId="149BFC0C" w14:textId="77777777" w:rsidR="000B395A" w:rsidRDefault="000B395A" w:rsidP="00574FA6">
      <w:pPr>
        <w:spacing w:line="360" w:lineRule="auto"/>
        <w:jc w:val="both"/>
        <w:rPr>
          <w:lang w:val="hu-HU"/>
        </w:rPr>
      </w:pPr>
    </w:p>
    <w:p w14:paraId="78F50E78" w14:textId="7508F0B4" w:rsidR="00605B4F" w:rsidRDefault="00605B4F" w:rsidP="00574FA6">
      <w:pPr>
        <w:spacing w:line="360" w:lineRule="auto"/>
        <w:jc w:val="both"/>
        <w:rPr>
          <w:lang w:val="hu-HU"/>
        </w:rPr>
      </w:pPr>
      <w:r>
        <w:rPr>
          <w:lang w:val="hu-HU"/>
        </w:rPr>
        <w:t>A</w:t>
      </w:r>
      <w:r w:rsidR="00382248">
        <w:rPr>
          <w:lang w:val="hu-HU"/>
        </w:rPr>
        <w:t xml:space="preserve">z 1920-as évek második felének viszonylag eredményes növekedési folyamatát a </w:t>
      </w:r>
      <w:r w:rsidRPr="00605B4F">
        <w:rPr>
          <w:lang w:val="hu-HU"/>
        </w:rPr>
        <w:t>világgazdaság</w:t>
      </w:r>
      <w:r w:rsidR="0030159E">
        <w:rPr>
          <w:lang w:val="hu-HU"/>
        </w:rPr>
        <w:t>i</w:t>
      </w:r>
      <w:r>
        <w:rPr>
          <w:lang w:val="hu-HU"/>
        </w:rPr>
        <w:t xml:space="preserve"> válság </w:t>
      </w:r>
      <w:r w:rsidR="00382248">
        <w:rPr>
          <w:lang w:val="hu-HU"/>
        </w:rPr>
        <w:t xml:space="preserve">zárta le: </w:t>
      </w:r>
      <w:r>
        <w:rPr>
          <w:lang w:val="hu-HU"/>
        </w:rPr>
        <w:t xml:space="preserve">a </w:t>
      </w:r>
      <w:r w:rsidRPr="00605B4F">
        <w:rPr>
          <w:lang w:val="hu-HU" w:eastAsia="x-none"/>
        </w:rPr>
        <w:t>mezőgazdaság</w:t>
      </w:r>
      <w:r>
        <w:rPr>
          <w:lang w:val="hu-HU"/>
        </w:rPr>
        <w:t>i termékek relatív árszínvonala csökkent</w:t>
      </w:r>
      <w:r w:rsidR="000B395A">
        <w:rPr>
          <w:lang w:val="hu-HU"/>
        </w:rPr>
        <w:t xml:space="preserve"> és az exportlehetőségek más tekintetben is romlottak, </w:t>
      </w:r>
      <w:r w:rsidR="00382248">
        <w:rPr>
          <w:lang w:val="hu-HU"/>
        </w:rPr>
        <w:t xml:space="preserve">az ipari termelés jelentősen visszaesett, </w:t>
      </w:r>
      <w:r w:rsidR="000B395A">
        <w:rPr>
          <w:lang w:val="hu-HU"/>
        </w:rPr>
        <w:t>továbbá</w:t>
      </w:r>
      <w:r>
        <w:rPr>
          <w:lang w:val="hu-HU"/>
        </w:rPr>
        <w:t xml:space="preserve"> a nemzetközi pénzügyi kapcsolatok </w:t>
      </w:r>
      <w:r w:rsidR="000B395A">
        <w:rPr>
          <w:lang w:val="hu-HU"/>
        </w:rPr>
        <w:t>1</w:t>
      </w:r>
      <w:r>
        <w:rPr>
          <w:lang w:val="hu-HU"/>
        </w:rPr>
        <w:t>931-től</w:t>
      </w:r>
      <w:r w:rsidR="000B395A">
        <w:rPr>
          <w:lang w:val="hu-HU"/>
        </w:rPr>
        <w:t xml:space="preserve"> rendkívül</w:t>
      </w:r>
      <w:r>
        <w:rPr>
          <w:lang w:val="hu-HU"/>
        </w:rPr>
        <w:t xml:space="preserve"> megnehezültek vagy egyenesen megszakadtak.</w:t>
      </w:r>
      <w:r w:rsidR="000B395A">
        <w:rPr>
          <w:lang w:val="hu-HU"/>
        </w:rPr>
        <w:t xml:space="preserve"> </w:t>
      </w:r>
      <w:r w:rsidR="00382248">
        <w:rPr>
          <w:lang w:val="hu-HU"/>
        </w:rPr>
        <w:t xml:space="preserve">Ugyanakkor a gazdasági kibocsátás </w:t>
      </w:r>
      <w:r w:rsidR="000B395A">
        <w:rPr>
          <w:lang w:val="hu-HU"/>
        </w:rPr>
        <w:t>nem csökkent olyan mértékben, mint számos nyugati országban.</w:t>
      </w:r>
      <w:r>
        <w:rPr>
          <w:lang w:val="hu-HU"/>
        </w:rPr>
        <w:t xml:space="preserve"> </w:t>
      </w:r>
    </w:p>
    <w:p w14:paraId="50789C67" w14:textId="77777777" w:rsidR="004D2DC3" w:rsidRDefault="004D2DC3" w:rsidP="00574FA6">
      <w:pPr>
        <w:spacing w:line="360" w:lineRule="auto"/>
        <w:jc w:val="both"/>
        <w:rPr>
          <w:lang w:val="hu-HU"/>
        </w:rPr>
      </w:pPr>
    </w:p>
    <w:p w14:paraId="43FDC310" w14:textId="7916C38F" w:rsidR="004D2DC3" w:rsidRPr="004D2DC3" w:rsidRDefault="004D2DC3" w:rsidP="00574FA6">
      <w:pPr>
        <w:spacing w:line="360" w:lineRule="auto"/>
        <w:jc w:val="both"/>
        <w:rPr>
          <w:i/>
          <w:iCs/>
          <w:lang w:val="hu-HU"/>
        </w:rPr>
      </w:pPr>
      <w:r w:rsidRPr="004D2DC3">
        <w:rPr>
          <w:i/>
          <w:iCs/>
          <w:lang w:val="hu-HU"/>
        </w:rPr>
        <w:t>Mezőgazdaság</w:t>
      </w:r>
    </w:p>
    <w:p w14:paraId="790ADF51" w14:textId="79A84E15" w:rsidR="00A54022" w:rsidRDefault="00A54022" w:rsidP="00574FA6">
      <w:pPr>
        <w:spacing w:line="360" w:lineRule="auto"/>
        <w:jc w:val="both"/>
        <w:rPr>
          <w:lang w:val="hu-HU"/>
        </w:rPr>
      </w:pPr>
      <w:r w:rsidRPr="00A54022">
        <w:rPr>
          <w:lang w:val="hu-HU"/>
        </w:rPr>
        <w:t>Magyarország</w:t>
      </w:r>
      <w:r>
        <w:rPr>
          <w:lang w:val="hu-HU"/>
        </w:rPr>
        <w:t xml:space="preserve">on a válság a </w:t>
      </w:r>
      <w:r w:rsidRPr="00A54022">
        <w:rPr>
          <w:lang w:val="hu-HU" w:eastAsia="x-none"/>
        </w:rPr>
        <w:t>mezőgazdaság</w:t>
      </w:r>
      <w:r>
        <w:rPr>
          <w:lang w:val="hu-HU"/>
        </w:rPr>
        <w:t>ban jelentkezett elsőként</w:t>
      </w:r>
      <w:r w:rsidR="00382248">
        <w:rPr>
          <w:lang w:val="hu-HU"/>
        </w:rPr>
        <w:t>: m</w:t>
      </w:r>
      <w:r>
        <w:rPr>
          <w:lang w:val="hu-HU"/>
        </w:rPr>
        <w:t xml:space="preserve">iközben az ipari konjunktúra még tartott, a </w:t>
      </w:r>
      <w:r w:rsidRPr="00A54022">
        <w:rPr>
          <w:lang w:val="hu-HU" w:eastAsia="x-none"/>
        </w:rPr>
        <w:t>mezőgazdaság</w:t>
      </w:r>
      <w:r>
        <w:rPr>
          <w:lang w:val="hu-HU"/>
        </w:rPr>
        <w:t>ban már 1928-ban válság</w:t>
      </w:r>
      <w:r w:rsidR="00D76D49">
        <w:rPr>
          <w:lang w:val="hu-HU"/>
        </w:rPr>
        <w:t xml:space="preserve">ról beszéltek. </w:t>
      </w:r>
      <w:r>
        <w:rPr>
          <w:lang w:val="hu-HU"/>
        </w:rPr>
        <w:t xml:space="preserve">A magyar </w:t>
      </w:r>
      <w:r w:rsidRPr="00A54022">
        <w:rPr>
          <w:lang w:val="hu-HU" w:eastAsia="x-none"/>
        </w:rPr>
        <w:t>gazdaság</w:t>
      </w:r>
      <w:r>
        <w:rPr>
          <w:lang w:val="hu-HU"/>
        </w:rPr>
        <w:t xml:space="preserve"> szerkezeti jellemzői miatt – </w:t>
      </w:r>
      <w:r w:rsidR="00D76D49">
        <w:rPr>
          <w:lang w:val="hu-HU"/>
        </w:rPr>
        <w:t>mindenekelőtt</w:t>
      </w:r>
      <w:r>
        <w:rPr>
          <w:lang w:val="hu-HU"/>
        </w:rPr>
        <w:t xml:space="preserve"> a </w:t>
      </w:r>
      <w:r w:rsidRPr="00A54022">
        <w:rPr>
          <w:lang w:val="hu-HU" w:eastAsia="x-none"/>
        </w:rPr>
        <w:t>mezőgazdaság</w:t>
      </w:r>
      <w:r>
        <w:rPr>
          <w:lang w:val="hu-HU"/>
        </w:rPr>
        <w:t xml:space="preserve">i foglalkoztatottság nagy aránya következtében -- ennek összgazdasági hatása jelentősebb volt, mint az iparban </w:t>
      </w:r>
      <w:r w:rsidR="00D76D49">
        <w:rPr>
          <w:lang w:val="hu-HU"/>
        </w:rPr>
        <w:t xml:space="preserve">eleve </w:t>
      </w:r>
      <w:r>
        <w:rPr>
          <w:lang w:val="hu-HU"/>
        </w:rPr>
        <w:t>később jelentkező válság</w:t>
      </w:r>
      <w:r w:rsidR="00D76D49">
        <w:rPr>
          <w:lang w:val="hu-HU"/>
        </w:rPr>
        <w:t>é</w:t>
      </w:r>
      <w:r>
        <w:rPr>
          <w:lang w:val="hu-HU"/>
        </w:rPr>
        <w:t xml:space="preserve">. </w:t>
      </w:r>
    </w:p>
    <w:p w14:paraId="33B01B0D" w14:textId="3F2A2A74" w:rsidR="009D3165" w:rsidRDefault="00D76D49" w:rsidP="005E6F78">
      <w:pPr>
        <w:spacing w:line="360" w:lineRule="auto"/>
        <w:ind w:firstLine="708"/>
        <w:jc w:val="both"/>
        <w:rPr>
          <w:lang w:val="hu-HU" w:eastAsia="x-none"/>
        </w:rPr>
      </w:pPr>
      <w:r>
        <w:rPr>
          <w:lang w:val="hu-HU"/>
        </w:rPr>
        <w:t xml:space="preserve">A </w:t>
      </w:r>
      <w:r w:rsidRPr="00D76D49">
        <w:rPr>
          <w:lang w:val="hu-HU" w:eastAsia="x-none"/>
        </w:rPr>
        <w:t>mezőgazdaság</w:t>
      </w:r>
      <w:r>
        <w:rPr>
          <w:lang w:val="hu-HU"/>
        </w:rPr>
        <w:t xml:space="preserve"> válsága nem a termelés csökkenését</w:t>
      </w:r>
      <w:r w:rsidRPr="000B395A">
        <w:rPr>
          <w:lang w:val="hu-HU"/>
        </w:rPr>
        <w:t xml:space="preserve"> </w:t>
      </w:r>
      <w:r>
        <w:rPr>
          <w:lang w:val="hu-HU"/>
        </w:rPr>
        <w:t xml:space="preserve">eredményezte, mivel a nagy számú birtokos nem tudta a termelés visszafogásának stratégiáját követni az árak fenntartása céljából. </w:t>
      </w:r>
      <w:r w:rsidR="005E6F78">
        <w:rPr>
          <w:lang w:val="hu-HU"/>
        </w:rPr>
        <w:t xml:space="preserve">A </w:t>
      </w:r>
      <w:r w:rsidR="005E6F78" w:rsidRPr="002A732D">
        <w:rPr>
          <w:lang w:val="hu-HU" w:eastAsia="x-none"/>
        </w:rPr>
        <w:t>mezőgazdaság</w:t>
      </w:r>
      <w:r w:rsidR="005E6F78">
        <w:rPr>
          <w:lang w:val="hu-HU"/>
        </w:rPr>
        <w:t>i termelés értéke</w:t>
      </w:r>
      <w:r w:rsidR="008D4011">
        <w:rPr>
          <w:lang w:val="hu-HU"/>
        </w:rPr>
        <w:t xml:space="preserve"> 1929 és 1934 között</w:t>
      </w:r>
      <w:r w:rsidR="005E6F78">
        <w:rPr>
          <w:lang w:val="hu-HU"/>
        </w:rPr>
        <w:t xml:space="preserve"> – változatlan árakon számítva – 1,3%-kal nőtt, vagyis lényegében stagnált a válság alatt.</w:t>
      </w:r>
      <w:r w:rsidR="005E6F78">
        <w:rPr>
          <w:rStyle w:val="Lbjegyzet-hivatkozs"/>
          <w:lang w:val="hu-HU"/>
        </w:rPr>
        <w:footnoteReference w:id="22"/>
      </w:r>
      <w:r w:rsidR="005E6F78">
        <w:rPr>
          <w:lang w:val="hu-HU"/>
        </w:rPr>
        <w:t xml:space="preserve"> </w:t>
      </w:r>
      <w:r w:rsidR="009D3165">
        <w:rPr>
          <w:lang w:val="hu-HU"/>
        </w:rPr>
        <w:t xml:space="preserve">Így a válság hatása a </w:t>
      </w:r>
      <w:r w:rsidR="009D3165" w:rsidRPr="009D3165">
        <w:rPr>
          <w:lang w:val="hu-HU" w:eastAsia="x-none"/>
        </w:rPr>
        <w:t>mezőgazdaság</w:t>
      </w:r>
      <w:r w:rsidR="009D3165">
        <w:rPr>
          <w:lang w:val="hu-HU" w:eastAsia="x-none"/>
        </w:rPr>
        <w:t>ban három fő</w:t>
      </w:r>
      <w:r w:rsidR="00E16A91">
        <w:rPr>
          <w:lang w:val="hu-HU" w:eastAsia="x-none"/>
        </w:rPr>
        <w:t xml:space="preserve"> – egymással is összefüggő --</w:t>
      </w:r>
      <w:r w:rsidR="009D3165">
        <w:rPr>
          <w:lang w:val="hu-HU" w:eastAsia="x-none"/>
        </w:rPr>
        <w:t xml:space="preserve"> területen figyelhető meg: </w:t>
      </w:r>
    </w:p>
    <w:p w14:paraId="16235A66" w14:textId="172748A6" w:rsidR="009D3165" w:rsidRDefault="000B395A" w:rsidP="00574FA6">
      <w:pPr>
        <w:spacing w:line="360" w:lineRule="auto"/>
        <w:jc w:val="both"/>
        <w:rPr>
          <w:lang w:val="hu-HU" w:eastAsia="x-none"/>
        </w:rPr>
      </w:pPr>
      <w:r>
        <w:rPr>
          <w:lang w:val="hu-HU" w:eastAsia="x-none"/>
        </w:rPr>
        <w:t>a)</w:t>
      </w:r>
      <w:r w:rsidR="009D3165">
        <w:rPr>
          <w:lang w:val="hu-HU" w:eastAsia="x-none"/>
        </w:rPr>
        <w:t xml:space="preserve"> a </w:t>
      </w:r>
      <w:r w:rsidR="009D3165" w:rsidRPr="009D3165">
        <w:rPr>
          <w:lang w:val="hu-HU" w:eastAsia="x-none"/>
        </w:rPr>
        <w:t>mezőgazdaság</w:t>
      </w:r>
      <w:r w:rsidR="009D3165">
        <w:rPr>
          <w:lang w:val="hu-HU" w:eastAsia="x-none"/>
        </w:rPr>
        <w:t xml:space="preserve">i termékek ára esett, s így a termelők jövedelme csökkent; </w:t>
      </w:r>
    </w:p>
    <w:p w14:paraId="58C1777F" w14:textId="768C0BF2" w:rsidR="009D3165" w:rsidRDefault="000B395A" w:rsidP="00574FA6">
      <w:pPr>
        <w:spacing w:line="360" w:lineRule="auto"/>
        <w:jc w:val="both"/>
        <w:rPr>
          <w:lang w:val="hu-HU" w:eastAsia="x-none"/>
        </w:rPr>
      </w:pPr>
      <w:r>
        <w:rPr>
          <w:lang w:val="hu-HU" w:eastAsia="x-none"/>
        </w:rPr>
        <w:t>b)</w:t>
      </w:r>
      <w:r w:rsidR="009D3165">
        <w:rPr>
          <w:lang w:val="hu-HU" w:eastAsia="x-none"/>
        </w:rPr>
        <w:t xml:space="preserve"> az ipari és a </w:t>
      </w:r>
      <w:r w:rsidR="009D3165" w:rsidRPr="009D3165">
        <w:rPr>
          <w:lang w:val="hu-HU" w:eastAsia="x-none"/>
        </w:rPr>
        <w:t>mezőgazdaság</w:t>
      </w:r>
      <w:r w:rsidR="009D3165">
        <w:rPr>
          <w:lang w:val="hu-HU" w:eastAsia="x-none"/>
        </w:rPr>
        <w:t xml:space="preserve">i árak eltérő </w:t>
      </w:r>
      <w:r w:rsidR="00E75DE0">
        <w:rPr>
          <w:lang w:val="hu-HU" w:eastAsia="x-none"/>
        </w:rPr>
        <w:t xml:space="preserve">dinamikájú </w:t>
      </w:r>
      <w:r w:rsidR="009D3165">
        <w:rPr>
          <w:lang w:val="hu-HU" w:eastAsia="x-none"/>
        </w:rPr>
        <w:t>változása nyomán</w:t>
      </w:r>
      <w:r w:rsidR="00E75DE0">
        <w:rPr>
          <w:lang w:val="hu-HU" w:eastAsia="x-none"/>
        </w:rPr>
        <w:t xml:space="preserve"> agrárolló alakult ki;</w:t>
      </w:r>
    </w:p>
    <w:p w14:paraId="526434AB" w14:textId="08539C35" w:rsidR="00E75DE0" w:rsidRDefault="000B395A" w:rsidP="00574FA6">
      <w:pPr>
        <w:spacing w:line="360" w:lineRule="auto"/>
        <w:jc w:val="both"/>
        <w:rPr>
          <w:lang w:val="hu-HU" w:eastAsia="x-none"/>
        </w:rPr>
      </w:pPr>
      <w:r>
        <w:rPr>
          <w:lang w:val="hu-HU" w:eastAsia="x-none"/>
        </w:rPr>
        <w:t>c)</w:t>
      </w:r>
      <w:r w:rsidR="00E75DE0">
        <w:rPr>
          <w:lang w:val="hu-HU" w:eastAsia="x-none"/>
        </w:rPr>
        <w:t xml:space="preserve"> az exportpiacok beszűkültek.</w:t>
      </w:r>
      <w:r w:rsidR="00E75DE0">
        <w:rPr>
          <w:rStyle w:val="Lbjegyzet-hivatkozs"/>
          <w:lang w:val="hu-HU" w:eastAsia="x-none"/>
        </w:rPr>
        <w:footnoteReference w:id="23"/>
      </w:r>
    </w:p>
    <w:p w14:paraId="7582D2B9" w14:textId="531DD625" w:rsidR="00056A40" w:rsidRDefault="000B395A" w:rsidP="00D76D49">
      <w:pPr>
        <w:spacing w:line="360" w:lineRule="auto"/>
        <w:ind w:firstLine="708"/>
        <w:jc w:val="both"/>
        <w:rPr>
          <w:lang w:val="hu-HU"/>
        </w:rPr>
      </w:pPr>
      <w:r>
        <w:rPr>
          <w:lang w:val="hu-HU" w:eastAsia="x-none"/>
        </w:rPr>
        <w:t xml:space="preserve">a) </w:t>
      </w:r>
      <w:r w:rsidR="00E75DE0">
        <w:rPr>
          <w:lang w:val="hu-HU" w:eastAsia="x-none"/>
        </w:rPr>
        <w:t xml:space="preserve">A </w:t>
      </w:r>
      <w:r w:rsidR="00E75DE0" w:rsidRPr="00E75DE0">
        <w:rPr>
          <w:lang w:val="hu-HU" w:eastAsia="x-none"/>
        </w:rPr>
        <w:t>mezőgazdaság</w:t>
      </w:r>
      <w:r w:rsidR="00E75DE0">
        <w:rPr>
          <w:lang w:val="hu-HU" w:eastAsia="x-none"/>
        </w:rPr>
        <w:t xml:space="preserve"> </w:t>
      </w:r>
      <w:r w:rsidR="00E75DE0" w:rsidRPr="002A732D">
        <w:rPr>
          <w:u w:val="single"/>
          <w:lang w:val="hu-HU" w:eastAsia="x-none"/>
        </w:rPr>
        <w:t>árak csökkenése</w:t>
      </w:r>
      <w:r w:rsidR="00E75DE0">
        <w:rPr>
          <w:lang w:val="hu-HU" w:eastAsia="x-none"/>
        </w:rPr>
        <w:t xml:space="preserve"> 1928 végén kezdődött, s ezt követően évekig tartott. </w:t>
      </w:r>
      <w:r w:rsidR="00D76D49">
        <w:rPr>
          <w:lang w:val="hu-HU"/>
        </w:rPr>
        <w:t xml:space="preserve">Az agrárválság korai kialakulásának okai között első helyen a világ agrárpiaci átalakulása szerepelt, mely az </w:t>
      </w:r>
      <w:r w:rsidR="00D76D49" w:rsidRPr="00A54022">
        <w:rPr>
          <w:lang w:val="hu-HU" w:eastAsia="x-none"/>
        </w:rPr>
        <w:t>első világháború</w:t>
      </w:r>
      <w:r w:rsidR="00D76D49">
        <w:rPr>
          <w:lang w:val="hu-HU"/>
        </w:rPr>
        <w:t xml:space="preserve"> utáni időszakban erőteljesen folytatódott. A </w:t>
      </w:r>
      <w:r w:rsidR="00D76D49">
        <w:rPr>
          <w:lang w:val="hu-HU"/>
        </w:rPr>
        <w:lastRenderedPageBreak/>
        <w:t xml:space="preserve">tengerentúli termelők – elsősorban az </w:t>
      </w:r>
      <w:r w:rsidR="00D76D49" w:rsidRPr="00D76D49">
        <w:rPr>
          <w:lang w:val="hu-HU" w:eastAsia="x-none"/>
        </w:rPr>
        <w:t>Egyesült Államok</w:t>
      </w:r>
      <w:r w:rsidR="00D76D49">
        <w:rPr>
          <w:lang w:val="hu-HU"/>
        </w:rPr>
        <w:t xml:space="preserve">, Kanada, Argentína és Ausztrália – erőteljes versenye miatt a búza világpiaci ára nagyban esett. Ez rontotta a magyar termelők értékesítési lehetőségeit is. </w:t>
      </w:r>
      <w:r w:rsidR="00056A40">
        <w:rPr>
          <w:lang w:val="hu-HU"/>
        </w:rPr>
        <w:t>A mezőgazdasági árak 1933-ban érték el a mélypontot, amikor a búza ára az 1928-as szint 35,1%-ára, a kukoricáé 25,5%-ára, a burgonyáé 25,4%-ára, a hízott sertésé 46,8%-ára, a tehéntej</w:t>
      </w:r>
      <w:r w:rsidR="00E16A91">
        <w:rPr>
          <w:lang w:val="hu-HU"/>
        </w:rPr>
        <w:t>é</w:t>
      </w:r>
      <w:r w:rsidR="00056A40">
        <w:rPr>
          <w:lang w:val="hu-HU"/>
        </w:rPr>
        <w:t xml:space="preserve"> 74,4%-ára esett.</w:t>
      </w:r>
      <w:r w:rsidR="00056A40">
        <w:rPr>
          <w:rStyle w:val="Lbjegyzet-hivatkozs"/>
          <w:lang w:val="hu-HU"/>
        </w:rPr>
        <w:footnoteReference w:id="24"/>
      </w:r>
      <w:r w:rsidR="00056A40">
        <w:rPr>
          <w:lang w:val="hu-HU"/>
        </w:rPr>
        <w:t xml:space="preserve"> Össességében a mezőgazdasági árak 1933-ban az 1928-as szint 45,1%-át tették ki.</w:t>
      </w:r>
      <w:r w:rsidR="00056A40">
        <w:rPr>
          <w:rStyle w:val="Lbjegyzet-hivatkozs"/>
          <w:lang w:val="hu-HU"/>
        </w:rPr>
        <w:footnoteReference w:id="25"/>
      </w:r>
    </w:p>
    <w:p w14:paraId="22B54ADA" w14:textId="2A2A8CCF" w:rsidR="00E75DE0" w:rsidRDefault="002A732D" w:rsidP="00574FA6">
      <w:pPr>
        <w:spacing w:line="360" w:lineRule="auto"/>
        <w:jc w:val="both"/>
        <w:rPr>
          <w:lang w:val="hu-HU" w:eastAsia="x-none"/>
        </w:rPr>
      </w:pPr>
      <w:r>
        <w:rPr>
          <w:lang w:val="hu-HU" w:eastAsia="x-none"/>
        </w:rPr>
        <w:tab/>
      </w:r>
      <w:r w:rsidR="000B395A">
        <w:rPr>
          <w:lang w:val="hu-HU" w:eastAsia="x-none"/>
        </w:rPr>
        <w:t xml:space="preserve">b) </w:t>
      </w:r>
      <w:r>
        <w:rPr>
          <w:lang w:val="hu-HU" w:eastAsia="x-none"/>
        </w:rPr>
        <w:t xml:space="preserve">A </w:t>
      </w:r>
      <w:r w:rsidRPr="002A732D">
        <w:rPr>
          <w:lang w:val="hu-HU" w:eastAsia="x-none"/>
        </w:rPr>
        <w:t>mezőgazdaság</w:t>
      </w:r>
      <w:r>
        <w:rPr>
          <w:lang w:val="hu-HU" w:eastAsia="x-none"/>
        </w:rPr>
        <w:t>i termelők helyzetét tovább súlyosbította az ipari és az agrárárak viszonyának számukra hátrányos alakulása</w:t>
      </w:r>
      <w:r w:rsidR="000B395A">
        <w:rPr>
          <w:lang w:val="hu-HU" w:eastAsia="x-none"/>
        </w:rPr>
        <w:t xml:space="preserve">, mely világjelenség volt, de a </w:t>
      </w:r>
      <w:r w:rsidR="00D76D49" w:rsidRPr="00D76D49">
        <w:rPr>
          <w:lang w:val="hu-HU" w:eastAsia="x-none"/>
        </w:rPr>
        <w:t>kelet-közép-</w:t>
      </w:r>
      <w:r w:rsidR="00FB2028">
        <w:rPr>
          <w:lang w:val="hu-HU" w:eastAsia="x-none"/>
        </w:rPr>
        <w:t xml:space="preserve"> és délkelet-</w:t>
      </w:r>
      <w:r w:rsidR="00D76D49" w:rsidRPr="00D76D49">
        <w:rPr>
          <w:lang w:val="hu-HU" w:eastAsia="x-none"/>
        </w:rPr>
        <w:t>európai</w:t>
      </w:r>
      <w:r w:rsidR="000B395A">
        <w:rPr>
          <w:lang w:val="hu-HU" w:eastAsia="x-none"/>
        </w:rPr>
        <w:t xml:space="preserve"> régióban különösen erősen jelentkezett</w:t>
      </w:r>
      <w:r>
        <w:rPr>
          <w:lang w:val="hu-HU" w:eastAsia="x-none"/>
        </w:rPr>
        <w:t xml:space="preserve">. Kisebb </w:t>
      </w:r>
      <w:r w:rsidRPr="002A732D">
        <w:rPr>
          <w:u w:val="single"/>
          <w:lang w:val="hu-HU" w:eastAsia="x-none"/>
        </w:rPr>
        <w:t>agrárolló</w:t>
      </w:r>
      <w:r>
        <w:rPr>
          <w:lang w:val="hu-HU" w:eastAsia="x-none"/>
        </w:rPr>
        <w:t xml:space="preserve"> már az 1920-as években is érvényesült</w:t>
      </w:r>
      <w:r w:rsidR="00FB2028">
        <w:rPr>
          <w:lang w:val="hu-HU" w:eastAsia="x-none"/>
        </w:rPr>
        <w:t xml:space="preserve"> </w:t>
      </w:r>
      <w:r w:rsidR="00FB2028" w:rsidRPr="00FB2028">
        <w:rPr>
          <w:lang w:val="hu-HU" w:eastAsia="x-none"/>
        </w:rPr>
        <w:t>Magyarország</w:t>
      </w:r>
      <w:r w:rsidR="00FB2028">
        <w:rPr>
          <w:lang w:val="hu-HU" w:eastAsia="x-none"/>
        </w:rPr>
        <w:t>on</w:t>
      </w:r>
      <w:r>
        <w:rPr>
          <w:lang w:val="hu-HU" w:eastAsia="x-none"/>
        </w:rPr>
        <w:t>,</w:t>
      </w:r>
      <w:r>
        <w:rPr>
          <w:rStyle w:val="Lbjegyzet-hivatkozs"/>
          <w:lang w:val="hu-HU" w:eastAsia="x-none"/>
        </w:rPr>
        <w:footnoteReference w:id="26"/>
      </w:r>
      <w:r w:rsidR="000B395A">
        <w:rPr>
          <w:lang w:val="hu-HU" w:eastAsia="x-none"/>
        </w:rPr>
        <w:t xml:space="preserve"> </w:t>
      </w:r>
      <w:r>
        <w:rPr>
          <w:lang w:val="hu-HU" w:eastAsia="x-none"/>
        </w:rPr>
        <w:t xml:space="preserve">de ez 1928-ban 1913-hoz képest még csak </w:t>
      </w:r>
      <w:r w:rsidR="00056A40">
        <w:rPr>
          <w:lang w:val="hu-HU" w:eastAsia="x-none"/>
        </w:rPr>
        <w:t>9,9</w:t>
      </w:r>
      <w:r>
        <w:rPr>
          <w:lang w:val="hu-HU" w:eastAsia="x-none"/>
        </w:rPr>
        <w:t xml:space="preserve">% volt, vagyis az ipari termékek árindexe ennyivel volt magasabb, mint a </w:t>
      </w:r>
      <w:r w:rsidRPr="002A732D">
        <w:rPr>
          <w:lang w:val="hu-HU" w:eastAsia="x-none"/>
        </w:rPr>
        <w:t>mezőgazdaság</w:t>
      </w:r>
      <w:r>
        <w:rPr>
          <w:lang w:val="hu-HU" w:eastAsia="x-none"/>
        </w:rPr>
        <w:t>i termékeké. 193</w:t>
      </w:r>
      <w:r w:rsidR="00056A40">
        <w:rPr>
          <w:lang w:val="hu-HU" w:eastAsia="x-none"/>
        </w:rPr>
        <w:t>3</w:t>
      </w:r>
      <w:r>
        <w:rPr>
          <w:lang w:val="hu-HU" w:eastAsia="x-none"/>
        </w:rPr>
        <w:t xml:space="preserve">-ban viszont a különbség </w:t>
      </w:r>
      <w:r w:rsidR="0030159E">
        <w:rPr>
          <w:lang w:val="hu-HU" w:eastAsia="x-none"/>
        </w:rPr>
        <w:t xml:space="preserve">már </w:t>
      </w:r>
      <w:r>
        <w:rPr>
          <w:lang w:val="hu-HU" w:eastAsia="x-none"/>
        </w:rPr>
        <w:t>4</w:t>
      </w:r>
      <w:r w:rsidR="00056A40">
        <w:rPr>
          <w:lang w:val="hu-HU" w:eastAsia="x-none"/>
        </w:rPr>
        <w:t>5,</w:t>
      </w:r>
      <w:r>
        <w:rPr>
          <w:lang w:val="hu-HU" w:eastAsia="x-none"/>
        </w:rPr>
        <w:t>7% volt.</w:t>
      </w:r>
      <w:r>
        <w:rPr>
          <w:rStyle w:val="Lbjegyzet-hivatkozs"/>
          <w:lang w:val="hu-HU" w:eastAsia="x-none"/>
        </w:rPr>
        <w:footnoteReference w:id="27"/>
      </w:r>
    </w:p>
    <w:p w14:paraId="2EC50C63" w14:textId="20A9F733" w:rsidR="00605B4F" w:rsidRDefault="000B395A" w:rsidP="00E75DE0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c) </w:t>
      </w:r>
      <w:r w:rsidR="002A732D">
        <w:rPr>
          <w:lang w:val="hu-HU"/>
        </w:rPr>
        <w:t xml:space="preserve">A belső kereslet csökkenését az export sem ellensúlyozhatta, mivel a </w:t>
      </w:r>
      <w:r w:rsidR="002A732D" w:rsidRPr="002A732D">
        <w:rPr>
          <w:u w:val="single"/>
          <w:lang w:val="hu-HU"/>
        </w:rPr>
        <w:t>külpiacok részben bezárultak</w:t>
      </w:r>
      <w:r w:rsidR="002A732D">
        <w:rPr>
          <w:lang w:val="hu-HU"/>
        </w:rPr>
        <w:t xml:space="preserve">. </w:t>
      </w:r>
      <w:r w:rsidR="009D3165" w:rsidRPr="009D3165">
        <w:rPr>
          <w:lang w:val="hu-HU"/>
        </w:rPr>
        <w:t>Magyarország</w:t>
      </w:r>
      <w:r w:rsidR="009D3165">
        <w:rPr>
          <w:lang w:val="hu-HU"/>
        </w:rPr>
        <w:t xml:space="preserve"> jelentős agrárexportőr volt, </w:t>
      </w:r>
      <w:r w:rsidR="00E16A91">
        <w:rPr>
          <w:lang w:val="hu-HU"/>
        </w:rPr>
        <w:t>de</w:t>
      </w:r>
      <w:r w:rsidR="009D3165">
        <w:rPr>
          <w:lang w:val="hu-HU"/>
        </w:rPr>
        <w:t xml:space="preserve"> a </w:t>
      </w:r>
      <w:r w:rsidR="009D3165" w:rsidRPr="009D3165">
        <w:rPr>
          <w:lang w:val="hu-HU" w:eastAsia="x-none"/>
        </w:rPr>
        <w:t>mezőgazdaság</w:t>
      </w:r>
      <w:r w:rsidR="009D3165">
        <w:rPr>
          <w:lang w:val="hu-HU"/>
        </w:rPr>
        <w:t xml:space="preserve">i termékek </w:t>
      </w:r>
      <w:r w:rsidR="00D76D49">
        <w:rPr>
          <w:lang w:val="hu-HU"/>
        </w:rPr>
        <w:t>piacai</w:t>
      </w:r>
      <w:r w:rsidR="009D3165">
        <w:rPr>
          <w:lang w:val="hu-HU"/>
        </w:rPr>
        <w:t xml:space="preserve"> igyekeztek védeni saját termelőiket. Szintén </w:t>
      </w:r>
      <w:r>
        <w:rPr>
          <w:lang w:val="hu-HU"/>
        </w:rPr>
        <w:t>rontotta</w:t>
      </w:r>
      <w:r w:rsidR="009D3165">
        <w:rPr>
          <w:lang w:val="hu-HU"/>
        </w:rPr>
        <w:t xml:space="preserve"> a külpiaci lehetőségeket a magyar </w:t>
      </w:r>
      <w:r w:rsidR="009D3165" w:rsidRPr="009D3165">
        <w:rPr>
          <w:lang w:val="hu-HU" w:eastAsia="x-none"/>
        </w:rPr>
        <w:t>mezőgazdaság</w:t>
      </w:r>
      <w:r w:rsidR="009D3165">
        <w:rPr>
          <w:lang w:val="hu-HU"/>
        </w:rPr>
        <w:t xml:space="preserve"> termelési szerkezete, melyben a gabonának és a kukoricának kiemelt jelentősége volt, miközben a válság</w:t>
      </w:r>
      <w:r w:rsidR="00E75DE0">
        <w:rPr>
          <w:lang w:val="hu-HU"/>
        </w:rPr>
        <w:t xml:space="preserve"> során ezen termények </w:t>
      </w:r>
      <w:r w:rsidR="00E16A91">
        <w:rPr>
          <w:lang w:val="hu-HU"/>
        </w:rPr>
        <w:t xml:space="preserve">világpiaci </w:t>
      </w:r>
      <w:r w:rsidR="00E75DE0">
        <w:rPr>
          <w:lang w:val="hu-HU"/>
        </w:rPr>
        <w:t xml:space="preserve">árai az átlagnál jobban csökkentek. </w:t>
      </w:r>
      <w:r>
        <w:rPr>
          <w:lang w:val="hu-HU"/>
        </w:rPr>
        <w:t xml:space="preserve">A világpiaci árak </w:t>
      </w:r>
      <w:r w:rsidR="00E16A91">
        <w:rPr>
          <w:lang w:val="hu-HU"/>
        </w:rPr>
        <w:t>esése</w:t>
      </w:r>
      <w:r>
        <w:rPr>
          <w:lang w:val="hu-HU"/>
        </w:rPr>
        <w:t xml:space="preserve"> és a romló exportlehetőségek miatt a </w:t>
      </w:r>
      <w:r w:rsidRPr="000B395A">
        <w:rPr>
          <w:lang w:val="hu-HU" w:eastAsia="x-none"/>
        </w:rPr>
        <w:t>mezőgazdaság</w:t>
      </w:r>
      <w:r>
        <w:rPr>
          <w:lang w:val="hu-HU"/>
        </w:rPr>
        <w:t>i export mennyisége 1929-hez képest 1934-re 27%-kal, a kivitt áruk értéke pedig 61%-kal csökkent.</w:t>
      </w:r>
      <w:r>
        <w:rPr>
          <w:rStyle w:val="Lbjegyzet-hivatkozs"/>
          <w:lang w:val="hu-HU"/>
        </w:rPr>
        <w:footnoteReference w:id="28"/>
      </w:r>
    </w:p>
    <w:p w14:paraId="6DD5DAD7" w14:textId="4F2CAAC3" w:rsidR="00FB77C6" w:rsidRDefault="00382248" w:rsidP="00E75DE0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</w:t>
      </w:r>
      <w:r w:rsidR="00FB77C6">
        <w:rPr>
          <w:lang w:val="hu-HU"/>
        </w:rPr>
        <w:t>z agrártermékek</w:t>
      </w:r>
      <w:r>
        <w:rPr>
          <w:lang w:val="hu-HU"/>
        </w:rPr>
        <w:t xml:space="preserve"> kiemelt jelentőséget foglaltak el </w:t>
      </w:r>
      <w:r w:rsidRPr="00FB77C6">
        <w:rPr>
          <w:lang w:val="hu-HU"/>
        </w:rPr>
        <w:t>Magyarország</w:t>
      </w:r>
      <w:r>
        <w:rPr>
          <w:lang w:val="hu-HU"/>
        </w:rPr>
        <w:t xml:space="preserve"> kivitelében:</w:t>
      </w:r>
      <w:r w:rsidR="00E16A91">
        <w:rPr>
          <w:lang w:val="hu-HU"/>
        </w:rPr>
        <w:t xml:space="preserve"> 1928-ban azok tették ki az export 73,8%-át.</w:t>
      </w:r>
      <w:r w:rsidR="00E16A91">
        <w:rPr>
          <w:rStyle w:val="Lbjegyzet-hivatkozs"/>
          <w:lang w:val="hu-HU"/>
        </w:rPr>
        <w:footnoteReference w:id="29"/>
      </w:r>
      <w:r w:rsidR="00E16A91">
        <w:rPr>
          <w:lang w:val="hu-HU"/>
        </w:rPr>
        <w:t xml:space="preserve"> E</w:t>
      </w:r>
      <w:r w:rsidR="00FB77C6">
        <w:rPr>
          <w:lang w:val="hu-HU"/>
        </w:rPr>
        <w:t xml:space="preserve">zért azok világpiaci árcsökkenésének széles körű gazdasági hatásai voltak, melyek különösen a </w:t>
      </w:r>
      <w:r w:rsidR="00FB77C6" w:rsidRPr="00FB77C6">
        <w:rPr>
          <w:u w:val="single"/>
          <w:lang w:val="hu-HU"/>
        </w:rPr>
        <w:t>cserearányok</w:t>
      </w:r>
      <w:r w:rsidR="00FB77C6">
        <w:rPr>
          <w:lang w:val="hu-HU"/>
        </w:rPr>
        <w:t xml:space="preserve"> romlásában jelentkeztek. A cserearányok kedvezőtlen alakulása már az 1920-as évek első felében is l</w:t>
      </w:r>
      <w:r w:rsidR="005E6F78">
        <w:rPr>
          <w:lang w:val="hu-HU"/>
        </w:rPr>
        <w:t>á</w:t>
      </w:r>
      <w:r w:rsidR="00FB77C6">
        <w:rPr>
          <w:lang w:val="hu-HU"/>
        </w:rPr>
        <w:t xml:space="preserve">tható, de a válság nyomán ez a folyamat felgyorsult. Az 1925-1927. évi külkereskedelmi árszintet tekintve a viszonyítási alapnak, 1929-ben 8, 1930-ban 10, 1931-ben 15, 1933-ban pedig már 19%-os cserearányromlás következett be. Így az </w:t>
      </w:r>
      <w:r w:rsidR="00FB77C6" w:rsidRPr="00FB77C6">
        <w:rPr>
          <w:lang w:val="hu-HU" w:eastAsia="x-none"/>
        </w:rPr>
        <w:t>első világháború</w:t>
      </w:r>
      <w:r w:rsidR="00FB77C6">
        <w:rPr>
          <w:lang w:val="hu-HU"/>
        </w:rPr>
        <w:t xml:space="preserve"> előtti időszakhoz képest már mintegy 30%-ot tett ki a cserearányromlás</w:t>
      </w:r>
      <w:r w:rsidR="00E16A91">
        <w:rPr>
          <w:lang w:val="hu-HU"/>
        </w:rPr>
        <w:t>, mely</w:t>
      </w:r>
      <w:r w:rsidR="00FB77C6">
        <w:rPr>
          <w:lang w:val="hu-HU"/>
        </w:rPr>
        <w:t xml:space="preserve"> kimondottan az agrár- és nyersanyagexport magas </w:t>
      </w:r>
      <w:r w:rsidR="00FB77C6">
        <w:rPr>
          <w:lang w:val="hu-HU"/>
        </w:rPr>
        <w:lastRenderedPageBreak/>
        <w:t>aránya miatt következett be. A kedvezőbb exportszerkezetű Csehszlovákiában például az importárak átlagosan 52%-kal, az exportárak ellenben csak 35%-kal csökkentek</w:t>
      </w:r>
      <w:r w:rsidR="002870E9">
        <w:rPr>
          <w:lang w:val="hu-HU"/>
        </w:rPr>
        <w:t xml:space="preserve"> ebben az időszakban</w:t>
      </w:r>
      <w:r w:rsidR="00FB77C6">
        <w:rPr>
          <w:lang w:val="hu-HU"/>
        </w:rPr>
        <w:t>.</w:t>
      </w:r>
      <w:r w:rsidR="00FB2028">
        <w:rPr>
          <w:rStyle w:val="Lbjegyzet-hivatkozs"/>
          <w:lang w:val="hu-HU"/>
        </w:rPr>
        <w:footnoteReference w:id="30"/>
      </w:r>
    </w:p>
    <w:p w14:paraId="02712DAD" w14:textId="0AC4CBFF" w:rsidR="00FB77C6" w:rsidRDefault="00E16A91" w:rsidP="00E75DE0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 kormányzati politika ebben a helyzetben több módon igyekezett mérsékelni a válság hatását.</w:t>
      </w:r>
      <w:r w:rsidR="002870E9">
        <w:rPr>
          <w:lang w:val="hu-HU"/>
        </w:rPr>
        <w:t xml:space="preserve"> Ezek közé tartozott a minőségi termelés ösztönzése vetőmagakciókkal, a vetésterület korlátozására való törekvés, de mindenekelőtt a növényi termékek értékesítésének pénzügyi támogatása, az értékesítés állami intézményeinek megteremtése, a bankokkal szembeni adósságok átütemézése és az export ösztönzése.</w:t>
      </w:r>
      <w:r w:rsidR="002870E9" w:rsidRPr="002870E9">
        <w:rPr>
          <w:rStyle w:val="Lbjegyzet-hivatkozs"/>
          <w:lang w:val="hu-HU"/>
        </w:rPr>
        <w:footnoteReference w:id="31"/>
      </w:r>
      <w:r w:rsidR="002870E9">
        <w:rPr>
          <w:lang w:val="hu-HU"/>
        </w:rPr>
        <w:t xml:space="preserve"> </w:t>
      </w:r>
      <w:r w:rsidR="00FB77C6">
        <w:rPr>
          <w:lang w:val="hu-HU"/>
        </w:rPr>
        <w:t xml:space="preserve">Az értékesítéshez nyújtott </w:t>
      </w:r>
      <w:r>
        <w:rPr>
          <w:lang w:val="hu-HU"/>
        </w:rPr>
        <w:t xml:space="preserve">pénzügyi </w:t>
      </w:r>
      <w:r w:rsidR="00FB77C6" w:rsidRPr="005E6F78">
        <w:rPr>
          <w:u w:val="single"/>
          <w:lang w:val="hu-HU"/>
        </w:rPr>
        <w:t>támogatás</w:t>
      </w:r>
      <w:r w:rsidR="00FB77C6">
        <w:rPr>
          <w:lang w:val="hu-HU"/>
        </w:rPr>
        <w:t xml:space="preserve"> 1930 közepén indult meg, amikor a </w:t>
      </w:r>
      <w:r w:rsidR="00FB77C6" w:rsidRPr="00FB77C6">
        <w:rPr>
          <w:lang w:val="hu-HU" w:eastAsia="x-none"/>
        </w:rPr>
        <w:t>mezőgazdaság</w:t>
      </w:r>
      <w:r w:rsidR="00FB77C6">
        <w:rPr>
          <w:lang w:val="hu-HU"/>
        </w:rPr>
        <w:t xml:space="preserve">i termékek </w:t>
      </w:r>
      <w:r w:rsidR="00F413B0">
        <w:rPr>
          <w:lang w:val="hu-HU"/>
        </w:rPr>
        <w:t>ár</w:t>
      </w:r>
      <w:r>
        <w:rPr>
          <w:lang w:val="hu-HU"/>
        </w:rPr>
        <w:t xml:space="preserve">esése felgyorsult. </w:t>
      </w:r>
      <w:r w:rsidR="00F413B0">
        <w:rPr>
          <w:lang w:val="hu-HU"/>
        </w:rPr>
        <w:t>Ennek</w:t>
      </w:r>
      <w:r>
        <w:rPr>
          <w:lang w:val="hu-HU"/>
        </w:rPr>
        <w:t xml:space="preserve"> fő</w:t>
      </w:r>
      <w:r w:rsidR="00F413B0">
        <w:rPr>
          <w:lang w:val="hu-HU"/>
        </w:rPr>
        <w:t xml:space="preserve"> eszköze a négy évig működő ún. boletta-rendszer volt: a vevők a kialkudott áron felül minden mázsa eladott búza után 3-6 pengő értékű bolettát (gabonajegyet) </w:t>
      </w:r>
      <w:r w:rsidR="005E6F78">
        <w:rPr>
          <w:lang w:val="hu-HU"/>
        </w:rPr>
        <w:t xml:space="preserve">is </w:t>
      </w:r>
      <w:r w:rsidR="00F413B0">
        <w:rPr>
          <w:lang w:val="hu-HU"/>
        </w:rPr>
        <w:t>fizettek, melyet a termelők adófizetésre használhattak fel, illetve készpénzre válthattak.</w:t>
      </w:r>
      <w:r w:rsidR="00F413B0">
        <w:rPr>
          <w:rStyle w:val="Lbjegyzet-hivatkozs"/>
          <w:lang w:val="hu-HU"/>
        </w:rPr>
        <w:footnoteReference w:id="32"/>
      </w:r>
      <w:r w:rsidR="00F413B0">
        <w:rPr>
          <w:lang w:val="hu-HU"/>
        </w:rPr>
        <w:t xml:space="preserve"> A támogatás másik </w:t>
      </w:r>
      <w:r w:rsidR="000358A3">
        <w:rPr>
          <w:lang w:val="hu-HU"/>
        </w:rPr>
        <w:t>módja</w:t>
      </w:r>
      <w:r w:rsidR="00F413B0">
        <w:rPr>
          <w:lang w:val="hu-HU"/>
        </w:rPr>
        <w:t xml:space="preserve"> az </w:t>
      </w:r>
      <w:r w:rsidR="00F413B0" w:rsidRPr="00FB2028">
        <w:rPr>
          <w:u w:val="single"/>
          <w:lang w:val="hu-HU"/>
        </w:rPr>
        <w:t>értékesítés monopolizálása</w:t>
      </w:r>
      <w:r w:rsidR="00F413B0">
        <w:rPr>
          <w:lang w:val="hu-HU"/>
        </w:rPr>
        <w:t xml:space="preserve"> volt állami részvétellel működő értékesítési szervezetek működtetése révén, melyek minimális átvételi árat alkalmaztak. A 70%-ban állami tulajdonban lévő Hangya Szövetkezet, vagy a tisztán állami Futura Rt. és más szervezetek kizárólagos jogot kaptak </w:t>
      </w:r>
      <w:r w:rsidR="007A4B23">
        <w:rPr>
          <w:lang w:val="hu-HU"/>
        </w:rPr>
        <w:t>egyes</w:t>
      </w:r>
      <w:r w:rsidR="00F413B0">
        <w:rPr>
          <w:lang w:val="hu-HU"/>
        </w:rPr>
        <w:t xml:space="preserve"> </w:t>
      </w:r>
      <w:r w:rsidR="00F413B0" w:rsidRPr="00F413B0">
        <w:rPr>
          <w:lang w:val="hu-HU" w:eastAsia="x-none"/>
        </w:rPr>
        <w:t>mezőgazdaság</w:t>
      </w:r>
      <w:r w:rsidR="00F413B0">
        <w:rPr>
          <w:lang w:val="hu-HU"/>
        </w:rPr>
        <w:t xml:space="preserve">i termékek kereskedelmére és exportjára. Az 1930-as évek végén a </w:t>
      </w:r>
      <w:r w:rsidR="00F413B0" w:rsidRPr="00F413B0">
        <w:rPr>
          <w:lang w:val="hu-HU" w:eastAsia="x-none"/>
        </w:rPr>
        <w:t>mezőgazdaság</w:t>
      </w:r>
      <w:r w:rsidR="00F413B0">
        <w:rPr>
          <w:lang w:val="hu-HU"/>
        </w:rPr>
        <w:t>i export 80-85%-át már ezek bonyolították le.</w:t>
      </w:r>
      <w:r w:rsidR="00F413B0">
        <w:rPr>
          <w:rStyle w:val="Lbjegyzet-hivatkozs"/>
          <w:lang w:val="hu-HU"/>
        </w:rPr>
        <w:footnoteReference w:id="33"/>
      </w:r>
    </w:p>
    <w:p w14:paraId="267760D5" w14:textId="77777777" w:rsidR="002870E9" w:rsidRPr="00855E19" w:rsidRDefault="002870E9" w:rsidP="002870E9">
      <w:pPr>
        <w:spacing w:line="360" w:lineRule="auto"/>
        <w:ind w:firstLine="708"/>
        <w:jc w:val="both"/>
        <w:rPr>
          <w:lang w:val="hu-HU"/>
        </w:rPr>
      </w:pPr>
      <w:r w:rsidRPr="00855E19">
        <w:rPr>
          <w:lang w:val="hu-HU"/>
        </w:rPr>
        <w:t>A</w:t>
      </w:r>
      <w:r>
        <w:rPr>
          <w:lang w:val="hu-HU"/>
        </w:rPr>
        <w:t xml:space="preserve">z állami segyítség további formáját jelentette a fizetésképtelenné vált </w:t>
      </w:r>
      <w:r w:rsidRPr="00855E19">
        <w:rPr>
          <w:lang w:val="hu-HU"/>
        </w:rPr>
        <w:t>mez</w:t>
      </w:r>
      <w:r>
        <w:rPr>
          <w:lang w:val="hu-HU"/>
        </w:rPr>
        <w:t>ő</w:t>
      </w:r>
      <w:r w:rsidRPr="00855E19">
        <w:rPr>
          <w:lang w:val="hu-HU"/>
        </w:rPr>
        <w:t>gazdasági termel</w:t>
      </w:r>
      <w:r>
        <w:rPr>
          <w:lang w:val="hu-HU"/>
        </w:rPr>
        <w:t>ő</w:t>
      </w:r>
      <w:r w:rsidRPr="00855E19">
        <w:rPr>
          <w:lang w:val="hu-HU"/>
        </w:rPr>
        <w:t xml:space="preserve">k </w:t>
      </w:r>
      <w:r w:rsidRPr="002870E9">
        <w:rPr>
          <w:u w:val="single"/>
          <w:lang w:val="hu-HU"/>
        </w:rPr>
        <w:t>adósságainak átütemezése</w:t>
      </w:r>
      <w:r>
        <w:rPr>
          <w:lang w:val="hu-HU"/>
        </w:rPr>
        <w:t xml:space="preserve">. </w:t>
      </w:r>
      <w:r w:rsidRPr="00855E19">
        <w:rPr>
          <w:lang w:val="hu-HU"/>
        </w:rPr>
        <w:t>1931-t</w:t>
      </w:r>
      <w:r>
        <w:rPr>
          <w:lang w:val="hu-HU"/>
        </w:rPr>
        <w:t>ő</w:t>
      </w:r>
      <w:r w:rsidRPr="00855E19">
        <w:rPr>
          <w:lang w:val="hu-HU"/>
        </w:rPr>
        <w:t>l több kormányrendelet írta el</w:t>
      </w:r>
      <w:r>
        <w:rPr>
          <w:lang w:val="hu-HU"/>
        </w:rPr>
        <w:t>ő</w:t>
      </w:r>
      <w:r w:rsidRPr="00855E19">
        <w:rPr>
          <w:lang w:val="hu-HU"/>
        </w:rPr>
        <w:t>, hogy az ún. földteherrendezési eljárás megindítása során az ingatlanokat nem lehet árveréssel értékesíteni Ez természetesen súlyosan érintette a hitelez</w:t>
      </w:r>
      <w:r>
        <w:rPr>
          <w:lang w:val="hu-HU"/>
        </w:rPr>
        <w:t>ő</w:t>
      </w:r>
      <w:r w:rsidRPr="00855E19">
        <w:rPr>
          <w:lang w:val="hu-HU"/>
        </w:rPr>
        <w:t xml:space="preserve"> pénzintézeteket, mindenekel</w:t>
      </w:r>
      <w:r>
        <w:rPr>
          <w:lang w:val="hu-HU"/>
        </w:rPr>
        <w:t>ő</w:t>
      </w:r>
      <w:r w:rsidRPr="00855E19">
        <w:rPr>
          <w:lang w:val="hu-HU"/>
        </w:rPr>
        <w:t>tt a kisebb vidéki bankokat és tak</w:t>
      </w:r>
      <w:r>
        <w:rPr>
          <w:lang w:val="hu-HU"/>
        </w:rPr>
        <w:t>a</w:t>
      </w:r>
      <w:r w:rsidRPr="00855E19">
        <w:rPr>
          <w:lang w:val="hu-HU"/>
        </w:rPr>
        <w:t xml:space="preserve">rékpénztárakat, hiszen követeléseik ezáltal befagytak. A rendezés </w:t>
      </w:r>
      <w:r>
        <w:rPr>
          <w:lang w:val="hu-HU"/>
        </w:rPr>
        <w:t>előrehaladásával</w:t>
      </w:r>
      <w:r w:rsidRPr="00855E19">
        <w:rPr>
          <w:lang w:val="hu-HU"/>
        </w:rPr>
        <w:t xml:space="preserve"> fokozatosan megszüntették az eladósodott birtokok védelmét, így az adósság behajthatóvá vált. </w:t>
      </w:r>
    </w:p>
    <w:p w14:paraId="08BB47DF" w14:textId="1E22654E" w:rsidR="000358A3" w:rsidRDefault="000358A3" w:rsidP="000358A3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Az </w:t>
      </w:r>
      <w:r w:rsidRPr="00FB2028">
        <w:rPr>
          <w:u w:val="single"/>
          <w:lang w:val="hu-HU"/>
        </w:rPr>
        <w:t>agárexportban való állami részvétel</w:t>
      </w:r>
      <w:r>
        <w:rPr>
          <w:lang w:val="hu-HU"/>
        </w:rPr>
        <w:t xml:space="preserve"> </w:t>
      </w:r>
      <w:r w:rsidR="002870E9">
        <w:rPr>
          <w:lang w:val="hu-HU"/>
        </w:rPr>
        <w:t xml:space="preserve">különösen az évtized közepétől erősödött meg, ami </w:t>
      </w:r>
      <w:r>
        <w:rPr>
          <w:lang w:val="hu-HU"/>
        </w:rPr>
        <w:t xml:space="preserve">összefüggött azzal, hogy – mint azt később látni fogjuk -- </w:t>
      </w:r>
      <w:r w:rsidR="002870E9">
        <w:rPr>
          <w:lang w:val="hu-HU"/>
        </w:rPr>
        <w:t>ekkortól</w:t>
      </w:r>
      <w:r>
        <w:rPr>
          <w:lang w:val="hu-HU"/>
        </w:rPr>
        <w:t xml:space="preserve"> erősen bővültek </w:t>
      </w:r>
      <w:r w:rsidRPr="00F413B0">
        <w:rPr>
          <w:lang w:val="hu-HU"/>
        </w:rPr>
        <w:t>Magyarország</w:t>
      </w:r>
      <w:r>
        <w:rPr>
          <w:lang w:val="hu-HU"/>
        </w:rPr>
        <w:t xml:space="preserve"> kereskedelmi kapcsolatai </w:t>
      </w:r>
      <w:r w:rsidRPr="00F413B0">
        <w:rPr>
          <w:lang w:val="hu-HU" w:eastAsia="x-none"/>
        </w:rPr>
        <w:t>Németország</w:t>
      </w:r>
      <w:r>
        <w:rPr>
          <w:lang w:val="hu-HU"/>
        </w:rPr>
        <w:t xml:space="preserve">gal. </w:t>
      </w:r>
      <w:r w:rsidR="002870E9">
        <w:rPr>
          <w:lang w:val="hu-HU"/>
        </w:rPr>
        <w:t>A</w:t>
      </w:r>
      <w:r>
        <w:rPr>
          <w:lang w:val="hu-HU"/>
        </w:rPr>
        <w:t xml:space="preserve">z export jelentős részét </w:t>
      </w:r>
      <w:r w:rsidR="002870E9">
        <w:rPr>
          <w:lang w:val="hu-HU"/>
        </w:rPr>
        <w:t xml:space="preserve">ebben az időszakban már </w:t>
      </w:r>
      <w:r>
        <w:rPr>
          <w:lang w:val="hu-HU"/>
        </w:rPr>
        <w:t>államközi kereskedelmi szerződések alapján bonyolították.</w:t>
      </w:r>
    </w:p>
    <w:p w14:paraId="66D6AD69" w14:textId="2985484B" w:rsidR="00F413B0" w:rsidRDefault="00F413B0" w:rsidP="00E75DE0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lastRenderedPageBreak/>
        <w:t xml:space="preserve">Ezek az </w:t>
      </w:r>
      <w:r w:rsidRPr="00FB2028">
        <w:rPr>
          <w:u w:val="single"/>
          <w:lang w:val="hu-HU"/>
        </w:rPr>
        <w:t>állami intervenciók</w:t>
      </w:r>
      <w:r>
        <w:rPr>
          <w:lang w:val="hu-HU"/>
        </w:rPr>
        <w:t xml:space="preserve"> segítették a </w:t>
      </w:r>
      <w:r w:rsidRPr="00F413B0">
        <w:rPr>
          <w:lang w:val="hu-HU" w:eastAsia="x-none"/>
        </w:rPr>
        <w:t>mezőgazdaság</w:t>
      </w:r>
      <w:r>
        <w:rPr>
          <w:lang w:val="hu-HU"/>
        </w:rPr>
        <w:t xml:space="preserve"> válságból való kilábalását, de abban más tényezők is közrejátszottak. </w:t>
      </w:r>
      <w:r w:rsidR="000358A3">
        <w:rPr>
          <w:lang w:val="hu-HU"/>
        </w:rPr>
        <w:t xml:space="preserve">Egyrészt </w:t>
      </w:r>
      <w:r>
        <w:rPr>
          <w:lang w:val="hu-HU"/>
        </w:rPr>
        <w:t xml:space="preserve">1934-ben és 1936-ban a kedvezőtlen időjárás miatt csökkent a világ gabonatermelése, s így javultak a </w:t>
      </w:r>
      <w:r w:rsidRPr="00F413B0">
        <w:rPr>
          <w:lang w:val="hu-HU" w:eastAsia="x-none"/>
        </w:rPr>
        <w:t>kelet-európai</w:t>
      </w:r>
      <w:r>
        <w:rPr>
          <w:lang w:val="hu-HU"/>
        </w:rPr>
        <w:t xml:space="preserve"> termelők piaci lehetőségei. </w:t>
      </w:r>
      <w:r w:rsidR="000358A3">
        <w:rPr>
          <w:lang w:val="hu-HU"/>
        </w:rPr>
        <w:t>Másrészt a</w:t>
      </w:r>
      <w:r>
        <w:rPr>
          <w:lang w:val="hu-HU"/>
        </w:rPr>
        <w:t xml:space="preserve"> gazdaság más szektorainak meginduló növekedése nyomán </w:t>
      </w:r>
      <w:r w:rsidR="000358A3">
        <w:rPr>
          <w:lang w:val="hu-HU"/>
        </w:rPr>
        <w:t xml:space="preserve">1933-tól </w:t>
      </w:r>
      <w:r>
        <w:rPr>
          <w:lang w:val="hu-HU"/>
        </w:rPr>
        <w:t xml:space="preserve">a belső piac is kezdett bővülni. </w:t>
      </w:r>
    </w:p>
    <w:p w14:paraId="49D4FA06" w14:textId="77777777" w:rsidR="00F413B0" w:rsidRPr="004D2DC3" w:rsidRDefault="00F413B0" w:rsidP="00E75DE0">
      <w:pPr>
        <w:spacing w:line="360" w:lineRule="auto"/>
        <w:ind w:firstLine="708"/>
        <w:jc w:val="both"/>
        <w:rPr>
          <w:i/>
          <w:iCs/>
          <w:lang w:val="hu-HU"/>
        </w:rPr>
      </w:pPr>
    </w:p>
    <w:p w14:paraId="41ED8371" w14:textId="396A95D1" w:rsidR="004D2DC3" w:rsidRPr="004D2DC3" w:rsidRDefault="004D2DC3" w:rsidP="004D2DC3">
      <w:pPr>
        <w:spacing w:line="360" w:lineRule="auto"/>
        <w:jc w:val="both"/>
        <w:rPr>
          <w:i/>
          <w:iCs/>
          <w:lang w:val="hu-HU"/>
        </w:rPr>
      </w:pPr>
      <w:r w:rsidRPr="004D2DC3">
        <w:rPr>
          <w:i/>
          <w:iCs/>
          <w:lang w:val="hu-HU"/>
        </w:rPr>
        <w:t>Ipar</w:t>
      </w:r>
    </w:p>
    <w:p w14:paraId="3E050D3C" w14:textId="0D6A012B" w:rsidR="00655FED" w:rsidRDefault="005E6F78" w:rsidP="007424EF">
      <w:pPr>
        <w:spacing w:line="360" w:lineRule="auto"/>
        <w:jc w:val="both"/>
        <w:rPr>
          <w:lang w:val="hu-HU"/>
        </w:rPr>
      </w:pPr>
      <w:r>
        <w:rPr>
          <w:lang w:val="hu-HU"/>
        </w:rPr>
        <w:t xml:space="preserve">Az agrárválság önmagában is hatott az iparra, hiszen a lakosság jelentős részének mérsékelte a vásárlóerejét. Mindazonáltal az ipari </w:t>
      </w:r>
      <w:r w:rsidR="007A4B23">
        <w:rPr>
          <w:lang w:val="hu-HU"/>
        </w:rPr>
        <w:t>válság</w:t>
      </w:r>
      <w:r>
        <w:rPr>
          <w:lang w:val="hu-HU"/>
        </w:rPr>
        <w:t xml:space="preserve"> nem volt olyan nagy fokú, mint a nyugati országokban</w:t>
      </w:r>
      <w:r w:rsidR="000358A3">
        <w:rPr>
          <w:lang w:val="hu-HU"/>
        </w:rPr>
        <w:t>.</w:t>
      </w:r>
      <w:r>
        <w:rPr>
          <w:lang w:val="hu-HU"/>
        </w:rPr>
        <w:t xml:space="preserve"> </w:t>
      </w:r>
      <w:r w:rsidR="000358A3">
        <w:rPr>
          <w:lang w:val="hu-HU"/>
        </w:rPr>
        <w:t>Összességében az ipar kibocsátása az 1932-es mélyponton 2</w:t>
      </w:r>
      <w:r w:rsidR="0050664E">
        <w:rPr>
          <w:lang w:val="hu-HU"/>
        </w:rPr>
        <w:t>3</w:t>
      </w:r>
      <w:r w:rsidR="000358A3">
        <w:rPr>
          <w:lang w:val="hu-HU"/>
        </w:rPr>
        <w:t xml:space="preserve">%-kal, az ipari foglalkoztatottak </w:t>
      </w:r>
      <w:r w:rsidR="00731EBF">
        <w:rPr>
          <w:lang w:val="hu-HU"/>
        </w:rPr>
        <w:t>száma 27</w:t>
      </w:r>
      <w:r w:rsidR="000358A3">
        <w:rPr>
          <w:lang w:val="hu-HU"/>
        </w:rPr>
        <w:t>%-kal maradt el az 1929-es szinttől. Az ipari termelés 193</w:t>
      </w:r>
      <w:r w:rsidR="0050664E">
        <w:rPr>
          <w:lang w:val="hu-HU"/>
        </w:rPr>
        <w:t>5</w:t>
      </w:r>
      <w:r w:rsidR="000358A3">
        <w:rPr>
          <w:lang w:val="hu-HU"/>
        </w:rPr>
        <w:t>-b</w:t>
      </w:r>
      <w:r w:rsidR="0050664E">
        <w:rPr>
          <w:lang w:val="hu-HU"/>
        </w:rPr>
        <w:t>e</w:t>
      </w:r>
      <w:r w:rsidR="000358A3">
        <w:rPr>
          <w:lang w:val="hu-HU"/>
        </w:rPr>
        <w:t xml:space="preserve">n érte el ismét az 1929. évi színvonalat, amikor </w:t>
      </w:r>
      <w:r w:rsidR="0050664E">
        <w:rPr>
          <w:lang w:val="hu-HU"/>
        </w:rPr>
        <w:t>11</w:t>
      </w:r>
      <w:r w:rsidR="000358A3">
        <w:rPr>
          <w:lang w:val="hu-HU"/>
        </w:rPr>
        <w:t>%-kal már meg is haladta azt.</w:t>
      </w:r>
      <w:r w:rsidR="000358A3">
        <w:rPr>
          <w:rStyle w:val="Lbjegyzet-hivatkozs"/>
          <w:lang w:val="hu-HU"/>
        </w:rPr>
        <w:footnoteReference w:id="34"/>
      </w:r>
      <w:r w:rsidR="000358A3">
        <w:rPr>
          <w:lang w:val="hu-HU"/>
        </w:rPr>
        <w:t xml:space="preserve"> E</w:t>
      </w:r>
      <w:r>
        <w:rPr>
          <w:lang w:val="hu-HU"/>
        </w:rPr>
        <w:t>mellett</w:t>
      </w:r>
      <w:r w:rsidR="000358A3">
        <w:rPr>
          <w:lang w:val="hu-HU"/>
        </w:rPr>
        <w:t xml:space="preserve"> a válság</w:t>
      </w:r>
      <w:r>
        <w:rPr>
          <w:lang w:val="hu-HU"/>
        </w:rPr>
        <w:t xml:space="preserve"> </w:t>
      </w:r>
      <w:r w:rsidR="00655FED">
        <w:rPr>
          <w:lang w:val="hu-HU"/>
        </w:rPr>
        <w:t xml:space="preserve">eltérően érintette a különböző </w:t>
      </w:r>
      <w:r w:rsidR="007A4B23">
        <w:rPr>
          <w:lang w:val="hu-HU"/>
        </w:rPr>
        <w:t>ágazatokat</w:t>
      </w:r>
      <w:r w:rsidR="00655FED">
        <w:rPr>
          <w:lang w:val="hu-HU"/>
        </w:rPr>
        <w:t xml:space="preserve">. A legnagyobb mértékű visszaesés a termelőeszközöket </w:t>
      </w:r>
      <w:r w:rsidR="007A4B23">
        <w:rPr>
          <w:lang w:val="hu-HU"/>
        </w:rPr>
        <w:t xml:space="preserve">és beruházási javakat </w:t>
      </w:r>
      <w:r w:rsidR="00655FED">
        <w:rPr>
          <w:lang w:val="hu-HU"/>
        </w:rPr>
        <w:t>előállító ágazatokban következett be: ide tartozott a vas- és fémipar, a gépgyártás, az építőanyagipar és a faipar. Ezek együttes termelése 1932-re az 1929. évi szint 52%-ára csökkent. Az élelmiszeripar és néhány további, fogyasztási cikkeket előállító iparág jóval kisebb veszteségeket szenvedett a válság során</w:t>
      </w:r>
      <w:r w:rsidR="007A4B23">
        <w:rPr>
          <w:lang w:val="hu-HU"/>
        </w:rPr>
        <w:t>, mivel az</w:t>
      </w:r>
      <w:r w:rsidR="00655FED">
        <w:rPr>
          <w:lang w:val="hu-HU"/>
        </w:rPr>
        <w:t xml:space="preserve"> ezek termékei iránti kereslet kevésbé</w:t>
      </w:r>
      <w:r w:rsidR="000358A3">
        <w:rPr>
          <w:lang w:val="hu-HU"/>
        </w:rPr>
        <w:t xml:space="preserve"> volt</w:t>
      </w:r>
      <w:r w:rsidR="00655FED">
        <w:rPr>
          <w:lang w:val="hu-HU"/>
        </w:rPr>
        <w:t xml:space="preserve"> rugalmas. Az élelmiszeripar és a ruhaipar termelése 23%-kal csökkent. Voltak azonban olyan iparágak, melyek kezdeti minimális mértékű csökkenés után növelni tudták kibocsátásukat a válság éveiben is. Ide tartozott a textil-, a bőr- és a papíripar, melyek együttes termelési értéke 1931-ben 2, 1932-ben 4%-kal kisebb volt az 1929-es szintnél, de 1933-ban már 10%-kal meghaladta azt.</w:t>
      </w:r>
      <w:r w:rsidR="00655FED">
        <w:rPr>
          <w:rStyle w:val="Lbjegyzet-hivatkozs"/>
          <w:lang w:val="hu-HU"/>
        </w:rPr>
        <w:footnoteReference w:id="35"/>
      </w:r>
      <w:r w:rsidR="00655FED">
        <w:rPr>
          <w:lang w:val="hu-HU"/>
        </w:rPr>
        <w:t xml:space="preserve"> Szintén elkerülte a válság a vegyipart és a villamosenergiaipart</w:t>
      </w:r>
      <w:r w:rsidR="003C6BCA">
        <w:rPr>
          <w:lang w:val="hu-HU"/>
        </w:rPr>
        <w:t>: például az olajfinomítás és a gyógyszergyártás növelte a termelését, s a válság alatt új villamoserőmű is épült.</w:t>
      </w:r>
    </w:p>
    <w:p w14:paraId="760B433F" w14:textId="36DCA226" w:rsidR="005678FD" w:rsidRDefault="00655FED" w:rsidP="00E75DE0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Ezen ágazatokat is sújtotta a belső fogyasztás csökkenése, de az állami intervenció ellensúlyozta ezt</w:t>
      </w:r>
      <w:r w:rsidR="000358A3">
        <w:rPr>
          <w:lang w:val="hu-HU"/>
        </w:rPr>
        <w:t xml:space="preserve"> a hazai termelők számára</w:t>
      </w:r>
      <w:r>
        <w:rPr>
          <w:lang w:val="hu-HU"/>
        </w:rPr>
        <w:t xml:space="preserve">: vámokkal és korlátozásokkal </w:t>
      </w:r>
      <w:r w:rsidR="005E6F78">
        <w:rPr>
          <w:lang w:val="hu-HU"/>
        </w:rPr>
        <w:t xml:space="preserve">ugyanis </w:t>
      </w:r>
      <w:r>
        <w:rPr>
          <w:lang w:val="hu-HU"/>
        </w:rPr>
        <w:t>jórészt kiszorították a külföldi termékeket ezekből a piaci szegmensekből.</w:t>
      </w:r>
      <w:r w:rsidR="007424EF">
        <w:rPr>
          <w:lang w:val="hu-HU"/>
        </w:rPr>
        <w:t xml:space="preserve"> Ez a</w:t>
      </w:r>
      <w:r w:rsidR="002870E9">
        <w:rPr>
          <w:lang w:val="hu-HU"/>
        </w:rPr>
        <w:t xml:space="preserve"> </w:t>
      </w:r>
      <w:r w:rsidR="007424EF">
        <w:rPr>
          <w:lang w:val="hu-HU"/>
        </w:rPr>
        <w:t xml:space="preserve">folyamat már jóval a válság előtt megindult: a feldolgozott ipari áruk vámtarifája 1913-ban átlagosan Magyarországon 18%-ot tett ki, 1925-ben mér 27%-ra emelkedett, s 1931-re aztán tovább nőtt 42,6%-ra. Ez a folyamat más kelet-közép-európai és délkelet-európai országokban is hasonlóan </w:t>
      </w:r>
      <w:r w:rsidR="007424EF">
        <w:rPr>
          <w:lang w:val="hu-HU"/>
        </w:rPr>
        <w:lastRenderedPageBreak/>
        <w:t>vagy még erőteljesebben lejátszódott (1. táblázat).</w:t>
      </w:r>
      <w:r w:rsidR="002870E9">
        <w:rPr>
          <w:rStyle w:val="Lbjegyzet-hivatkozs"/>
          <w:lang w:val="hu-HU"/>
        </w:rPr>
        <w:footnoteReference w:id="36"/>
      </w:r>
      <w:r w:rsidR="007424EF">
        <w:rPr>
          <w:lang w:val="hu-HU"/>
        </w:rPr>
        <w:t xml:space="preserve"> </w:t>
      </w:r>
      <w:r w:rsidR="007520E0">
        <w:rPr>
          <w:lang w:val="hu-HU"/>
        </w:rPr>
        <w:t>A behozatal</w:t>
      </w:r>
      <w:r w:rsidR="005678FD">
        <w:rPr>
          <w:lang w:val="hu-HU"/>
        </w:rPr>
        <w:t xml:space="preserve"> visszaszorításában a válság során egyre nagyobb szerepet kaptak a közvetlen importkorlátozások: a kormányzat </w:t>
      </w:r>
      <w:r w:rsidR="005678FD" w:rsidRPr="00FB2028">
        <w:rPr>
          <w:u w:val="single"/>
          <w:lang w:val="hu-HU"/>
        </w:rPr>
        <w:t>kontingensek</w:t>
      </w:r>
      <w:r w:rsidR="005678FD">
        <w:rPr>
          <w:u w:val="single"/>
          <w:lang w:val="hu-HU"/>
        </w:rPr>
        <w:t>et</w:t>
      </w:r>
      <w:r w:rsidR="005678FD">
        <w:rPr>
          <w:lang w:val="hu-HU"/>
        </w:rPr>
        <w:t xml:space="preserve"> vezetett be, melyek révén </w:t>
      </w:r>
      <w:r w:rsidR="007520E0">
        <w:rPr>
          <w:lang w:val="hu-HU"/>
        </w:rPr>
        <w:t xml:space="preserve">meghatározta az </w:t>
      </w:r>
      <w:r w:rsidR="005678FD">
        <w:rPr>
          <w:lang w:val="hu-HU"/>
        </w:rPr>
        <w:t xml:space="preserve">egyes termékekből külföldről behozható </w:t>
      </w:r>
      <w:r w:rsidR="007520E0">
        <w:rPr>
          <w:lang w:val="hu-HU"/>
        </w:rPr>
        <w:t xml:space="preserve">mennyiséget. </w:t>
      </w:r>
      <w:r w:rsidR="005678FD">
        <w:rPr>
          <w:lang w:val="hu-HU"/>
        </w:rPr>
        <w:t xml:space="preserve">Ilyenek korábban is léteztek, de ekkor már </w:t>
      </w:r>
      <w:r w:rsidR="007520E0">
        <w:rPr>
          <w:lang w:val="hu-HU"/>
        </w:rPr>
        <w:t xml:space="preserve">rendszerint jóval a válság előtti szint </w:t>
      </w:r>
      <w:r w:rsidR="005678FD">
        <w:rPr>
          <w:lang w:val="hu-HU"/>
        </w:rPr>
        <w:t xml:space="preserve">alatt határozták meg őket. A válság felerősítette a gazdasági nacionalizmust: ennek logikáját és következményeit jól illusztrálja a Csehszlovákia és Magyarország között a külkereskedelmi szerződésük 1930 végi lejárta után kitört vámháború. Csehszlovákia 90%-os vámot és más korlátozásokat vezetett be a magyar gabonára, melnyek nyomán az oda irányuló teljes magyar kivitel egyik évről a másikra 85%-kal visszaesett. A válaszként a cseh ipari termékekre magyar részről </w:t>
      </w:r>
      <w:r w:rsidR="00BC6466">
        <w:rPr>
          <w:lang w:val="hu-HU"/>
        </w:rPr>
        <w:t>kivetett megemelt vámok következtében a Magyarországra irányuló csehszlovák export 71%-kal csökkent. A két ország közötti kereskedelmi kapcsolat nem is heverte ki ezt az évtized hátralévő részében.</w:t>
      </w:r>
      <w:r w:rsidR="00BC6466">
        <w:rPr>
          <w:rStyle w:val="Lbjegyzet-hivatkozs"/>
          <w:lang w:val="hu-HU"/>
        </w:rPr>
        <w:footnoteReference w:id="37"/>
      </w:r>
      <w:r w:rsidR="005678FD">
        <w:rPr>
          <w:lang w:val="hu-HU"/>
        </w:rPr>
        <w:t xml:space="preserve">   </w:t>
      </w:r>
    </w:p>
    <w:p w14:paraId="047C4BF3" w14:textId="77777777" w:rsidR="007424EF" w:rsidRDefault="007424EF" w:rsidP="00855E19">
      <w:pPr>
        <w:spacing w:line="360" w:lineRule="auto"/>
        <w:jc w:val="both"/>
        <w:rPr>
          <w:i/>
          <w:iCs/>
          <w:lang w:val="hu-HU"/>
        </w:rPr>
      </w:pPr>
    </w:p>
    <w:p w14:paraId="08805C9D" w14:textId="5E65DA80" w:rsidR="00855E19" w:rsidRPr="004D2DC3" w:rsidRDefault="004D2DC3" w:rsidP="00855E19">
      <w:pPr>
        <w:spacing w:line="360" w:lineRule="auto"/>
        <w:jc w:val="both"/>
        <w:rPr>
          <w:i/>
          <w:iCs/>
          <w:lang w:val="hu-HU"/>
        </w:rPr>
      </w:pPr>
      <w:r w:rsidRPr="004D2DC3">
        <w:rPr>
          <w:i/>
          <w:iCs/>
          <w:lang w:val="hu-HU"/>
        </w:rPr>
        <w:t>Pénzügy</w:t>
      </w:r>
      <w:r w:rsidR="000358A3">
        <w:rPr>
          <w:i/>
          <w:iCs/>
          <w:lang w:val="hu-HU"/>
        </w:rPr>
        <w:t>ek</w:t>
      </w:r>
    </w:p>
    <w:p w14:paraId="11704E37" w14:textId="2AE5096C" w:rsidR="005E6F78" w:rsidRDefault="00855E19" w:rsidP="000358A3">
      <w:pPr>
        <w:spacing w:line="360" w:lineRule="auto"/>
        <w:jc w:val="both"/>
        <w:rPr>
          <w:lang w:val="hu-HU"/>
        </w:rPr>
      </w:pPr>
      <w:r w:rsidRPr="00855E19">
        <w:rPr>
          <w:lang w:val="hu-HU"/>
        </w:rPr>
        <w:t>A magyar gazdaságot</w:t>
      </w:r>
      <w:r w:rsidR="004D2DC3">
        <w:rPr>
          <w:lang w:val="hu-HU"/>
        </w:rPr>
        <w:t xml:space="preserve"> – mint láttuk </w:t>
      </w:r>
      <w:r w:rsidR="007A4B23">
        <w:rPr>
          <w:lang w:val="hu-HU"/>
        </w:rPr>
        <w:t>– már az 1920-as évek végétől</w:t>
      </w:r>
      <w:r w:rsidRPr="00855E19">
        <w:rPr>
          <w:lang w:val="hu-HU"/>
        </w:rPr>
        <w:t xml:space="preserve"> súlyosan érintette </w:t>
      </w:r>
      <w:r w:rsidR="007A4B23">
        <w:rPr>
          <w:lang w:val="hu-HU"/>
        </w:rPr>
        <w:t>a</w:t>
      </w:r>
      <w:r w:rsidRPr="00855E19">
        <w:rPr>
          <w:lang w:val="hu-HU"/>
        </w:rPr>
        <w:t xml:space="preserve"> mez</w:t>
      </w:r>
      <w:r>
        <w:rPr>
          <w:lang w:val="hu-HU"/>
        </w:rPr>
        <w:t>ő</w:t>
      </w:r>
      <w:r w:rsidRPr="00855E19">
        <w:rPr>
          <w:lang w:val="hu-HU"/>
        </w:rPr>
        <w:t>gazdasági termékek áresése, amely jelent</w:t>
      </w:r>
      <w:r>
        <w:rPr>
          <w:lang w:val="hu-HU"/>
        </w:rPr>
        <w:t>ő</w:t>
      </w:r>
      <w:r w:rsidRPr="00855E19">
        <w:rPr>
          <w:lang w:val="hu-HU"/>
        </w:rPr>
        <w:t>sen csökkentette</w:t>
      </w:r>
      <w:r w:rsidR="00FB2028">
        <w:rPr>
          <w:lang w:val="hu-HU"/>
        </w:rPr>
        <w:t xml:space="preserve"> </w:t>
      </w:r>
      <w:r w:rsidR="000358A3" w:rsidRPr="00855E19">
        <w:rPr>
          <w:lang w:val="hu-HU"/>
        </w:rPr>
        <w:t xml:space="preserve">az exportbevételeket </w:t>
      </w:r>
      <w:r w:rsidR="00FB2028">
        <w:rPr>
          <w:lang w:val="hu-HU"/>
        </w:rPr>
        <w:t>és így rontotta a külkereskedelmi mérleget</w:t>
      </w:r>
      <w:r w:rsidRPr="00855E19">
        <w:rPr>
          <w:lang w:val="hu-HU"/>
        </w:rPr>
        <w:t xml:space="preserve">. </w:t>
      </w:r>
      <w:r w:rsidR="005E6F78">
        <w:rPr>
          <w:lang w:val="hu-HU"/>
        </w:rPr>
        <w:t>Emellett megnehezült az újabb külföldi hitelek felvétele</w:t>
      </w:r>
      <w:r w:rsidR="000358A3">
        <w:rPr>
          <w:lang w:val="hu-HU"/>
        </w:rPr>
        <w:t xml:space="preserve">. </w:t>
      </w:r>
      <w:r w:rsidR="00955195" w:rsidRPr="002804B1">
        <w:rPr>
          <w:lang w:val="hu-HU"/>
        </w:rPr>
        <w:t xml:space="preserve">A New York-i tőzsde 1928–1929-es </w:t>
      </w:r>
      <w:r w:rsidR="00955195" w:rsidRPr="002804B1">
        <w:rPr>
          <w:i/>
          <w:lang w:val="hu-HU"/>
        </w:rPr>
        <w:t>hausse</w:t>
      </w:r>
      <w:r w:rsidR="00955195" w:rsidRPr="002804B1">
        <w:rPr>
          <w:lang w:val="hu-HU"/>
        </w:rPr>
        <w:t xml:space="preserve">-periódusa </w:t>
      </w:r>
      <w:r w:rsidR="000358A3">
        <w:rPr>
          <w:lang w:val="hu-HU"/>
        </w:rPr>
        <w:t xml:space="preserve">ugyanis </w:t>
      </w:r>
      <w:r w:rsidR="00955195" w:rsidRPr="002804B1">
        <w:rPr>
          <w:lang w:val="hu-HU"/>
        </w:rPr>
        <w:t>nem csupán az amerikai tőkét tartotta otthon, hanem még az európait is a tengeren túlra vonzotta. A tőkebehozatal lehetőségei ezáltal Magyarországon is romlottak, jelentős feszültségeket idézve elő a pénzpiacon.</w:t>
      </w:r>
      <w:r w:rsidR="00955195" w:rsidRPr="002804B1">
        <w:rPr>
          <w:rStyle w:val="Lbjegyzet-hivatkozs"/>
          <w:lang w:val="hu-HU"/>
        </w:rPr>
        <w:footnoteReference w:id="38"/>
      </w:r>
      <w:r w:rsidR="000358A3">
        <w:rPr>
          <w:lang w:val="hu-HU"/>
        </w:rPr>
        <w:t xml:space="preserve"> A kiviteli problémák és az újabb hitelek felvételének nehézségei különösen azért voltak fenyegetőek, mert a</w:t>
      </w:r>
      <w:r w:rsidR="003C6BCA">
        <w:rPr>
          <w:lang w:val="hu-HU"/>
        </w:rPr>
        <w:t xml:space="preserve">z 1920-as évek második felében </w:t>
      </w:r>
      <w:r w:rsidR="003C6BCA" w:rsidRPr="003C6BCA">
        <w:rPr>
          <w:lang w:val="hu-HU"/>
        </w:rPr>
        <w:t>Magyarország</w:t>
      </w:r>
      <w:r w:rsidR="003C6BCA">
        <w:rPr>
          <w:lang w:val="hu-HU"/>
        </w:rPr>
        <w:t xml:space="preserve">ra mintegy 2 milliárd pengő (400 millió dollár) </w:t>
      </w:r>
      <w:r w:rsidR="000358A3">
        <w:rPr>
          <w:lang w:val="hu-HU"/>
        </w:rPr>
        <w:t xml:space="preserve">külföldi </w:t>
      </w:r>
      <w:r w:rsidR="003C6BCA">
        <w:rPr>
          <w:lang w:val="hu-HU"/>
        </w:rPr>
        <w:t>hitel került, ami a bruttó hazai termék mintegy harmadát tette ki</w:t>
      </w:r>
      <w:r w:rsidR="000358A3">
        <w:rPr>
          <w:lang w:val="hu-HU"/>
        </w:rPr>
        <w:t>, s jelentősen hozzájárult a gazdasági konszolidáció sikeréhez.</w:t>
      </w:r>
      <w:r w:rsidR="003C6BCA">
        <w:rPr>
          <w:rStyle w:val="Lbjegyzet-hivatkozs"/>
          <w:lang w:val="hu-HU"/>
        </w:rPr>
        <w:footnoteReference w:id="39"/>
      </w:r>
      <w:r w:rsidR="003C6BCA">
        <w:rPr>
          <w:lang w:val="hu-HU"/>
        </w:rPr>
        <w:t xml:space="preserve"> </w:t>
      </w:r>
      <w:r w:rsidR="00D10FAE">
        <w:rPr>
          <w:lang w:val="hu-HU"/>
        </w:rPr>
        <w:t>A tőkeimport akadozása miatt</w:t>
      </w:r>
      <w:r w:rsidR="005E6F78">
        <w:rPr>
          <w:lang w:val="hu-HU"/>
        </w:rPr>
        <w:t xml:space="preserve"> 1929-ben </w:t>
      </w:r>
      <w:r w:rsidR="003C6BCA">
        <w:rPr>
          <w:lang w:val="hu-HU"/>
        </w:rPr>
        <w:t xml:space="preserve">a tőke- és kamattörlesztés együttes összege már </w:t>
      </w:r>
      <w:r w:rsidR="005E6F78">
        <w:rPr>
          <w:lang w:val="hu-HU"/>
        </w:rPr>
        <w:t>16%-kal meghaladta az országba áramló külföldi tőke összegét</w:t>
      </w:r>
      <w:r w:rsidR="00D10FAE">
        <w:rPr>
          <w:lang w:val="hu-HU"/>
        </w:rPr>
        <w:t>, s ez teljesen új helyzetet teremtett a magyar gazdaság számára.</w:t>
      </w:r>
      <w:r w:rsidR="004A2B25">
        <w:rPr>
          <w:lang w:val="hu-HU"/>
        </w:rPr>
        <w:t xml:space="preserve"> 1930-ban az egy főre jutó hiteltörlesztés összege </w:t>
      </w:r>
      <w:r w:rsidR="004A2B25" w:rsidRPr="004A2B25">
        <w:rPr>
          <w:lang w:val="hu-HU"/>
        </w:rPr>
        <w:t>Magyarország</w:t>
      </w:r>
      <w:r w:rsidR="004A2B25">
        <w:rPr>
          <w:lang w:val="hu-HU"/>
        </w:rPr>
        <w:t xml:space="preserve">on a legmagasabb volt a </w:t>
      </w:r>
      <w:r w:rsidR="004A2B25" w:rsidRPr="004A2B25">
        <w:rPr>
          <w:lang w:val="hu-HU" w:eastAsia="x-none"/>
        </w:rPr>
        <w:t>kelet-közép-európai</w:t>
      </w:r>
      <w:r w:rsidR="004A2B25">
        <w:rPr>
          <w:lang w:val="hu-HU"/>
        </w:rPr>
        <w:t xml:space="preserve"> és </w:t>
      </w:r>
      <w:r w:rsidR="004A2B25" w:rsidRPr="004A2B25">
        <w:rPr>
          <w:lang w:val="hu-HU"/>
        </w:rPr>
        <w:t>délkelet-európai</w:t>
      </w:r>
      <w:r w:rsidR="004A2B25">
        <w:rPr>
          <w:lang w:val="hu-HU"/>
        </w:rPr>
        <w:t xml:space="preserve"> országok között</w:t>
      </w:r>
      <w:r w:rsidR="00D10FAE">
        <w:rPr>
          <w:lang w:val="hu-HU"/>
        </w:rPr>
        <w:t>, egyszersmind a</w:t>
      </w:r>
      <w:r w:rsidR="004A2B25">
        <w:rPr>
          <w:lang w:val="hu-HU"/>
        </w:rPr>
        <w:t xml:space="preserve">z export 22,1%-át tette ki, </w:t>
      </w:r>
      <w:r w:rsidR="004A2B25">
        <w:rPr>
          <w:lang w:val="hu-HU"/>
        </w:rPr>
        <w:lastRenderedPageBreak/>
        <w:t>ami szintén a legmagasabb aránynak számított a régióban.</w:t>
      </w:r>
      <w:r w:rsidR="004A2B25">
        <w:rPr>
          <w:rStyle w:val="Lbjegyzet-hivatkozs"/>
          <w:lang w:val="hu-HU"/>
        </w:rPr>
        <w:footnoteReference w:id="40"/>
      </w:r>
      <w:r w:rsidR="004A2B25">
        <w:rPr>
          <w:lang w:val="hu-HU"/>
        </w:rPr>
        <w:t xml:space="preserve"> </w:t>
      </w:r>
    </w:p>
    <w:p w14:paraId="5DA26200" w14:textId="54E39CF4" w:rsidR="00855E19" w:rsidRPr="00855E19" w:rsidRDefault="00855E19" w:rsidP="00D10FAE">
      <w:pPr>
        <w:spacing w:line="360" w:lineRule="auto"/>
        <w:ind w:firstLine="708"/>
        <w:jc w:val="both"/>
        <w:rPr>
          <w:lang w:val="hu-HU"/>
        </w:rPr>
      </w:pPr>
      <w:r w:rsidRPr="00855E19">
        <w:rPr>
          <w:lang w:val="hu-HU"/>
        </w:rPr>
        <w:t xml:space="preserve">Az igazi pénzügyi </w:t>
      </w:r>
      <w:r w:rsidR="00D10FAE">
        <w:rPr>
          <w:lang w:val="hu-HU"/>
        </w:rPr>
        <w:t>bonyodalmakat</w:t>
      </w:r>
      <w:r w:rsidRPr="00855E19">
        <w:rPr>
          <w:lang w:val="hu-HU"/>
        </w:rPr>
        <w:t xml:space="preserve"> azonban 1931 hozta.</w:t>
      </w:r>
      <w:r w:rsidR="00D10FAE">
        <w:rPr>
          <w:lang w:val="hu-HU"/>
        </w:rPr>
        <w:t xml:space="preserve"> Az év </w:t>
      </w:r>
      <w:r w:rsidRPr="00855E19">
        <w:rPr>
          <w:lang w:val="hu-HU"/>
        </w:rPr>
        <w:t>els</w:t>
      </w:r>
      <w:r>
        <w:rPr>
          <w:lang w:val="hu-HU"/>
        </w:rPr>
        <w:t>ő</w:t>
      </w:r>
      <w:r w:rsidRPr="00855E19">
        <w:rPr>
          <w:lang w:val="hu-HU"/>
        </w:rPr>
        <w:t xml:space="preserve"> felében</w:t>
      </w:r>
      <w:r w:rsidR="00D10FAE">
        <w:rPr>
          <w:lang w:val="hu-HU"/>
        </w:rPr>
        <w:t xml:space="preserve"> több más országhoz hasonlóan</w:t>
      </w:r>
      <w:r w:rsidRPr="00855E19">
        <w:rPr>
          <w:lang w:val="hu-HU"/>
        </w:rPr>
        <w:t xml:space="preserve"> Magyarországon is nagyarányúvá váltak a külföldi hitelfelmondások</w:t>
      </w:r>
      <w:r w:rsidR="00D10FAE">
        <w:rPr>
          <w:lang w:val="hu-HU"/>
        </w:rPr>
        <w:t xml:space="preserve">,  melyeket </w:t>
      </w:r>
      <w:r w:rsidR="00D10FAE" w:rsidRPr="00855E19">
        <w:rPr>
          <w:lang w:val="hu-HU"/>
        </w:rPr>
        <w:t>tovább gyorsított</w:t>
      </w:r>
      <w:r w:rsidR="00D10FAE">
        <w:rPr>
          <w:lang w:val="hu-HU"/>
        </w:rPr>
        <w:t xml:space="preserve"> a</w:t>
      </w:r>
      <w:r w:rsidR="00D10FAE" w:rsidRPr="00855E19">
        <w:rPr>
          <w:lang w:val="hu-HU"/>
        </w:rPr>
        <w:t xml:space="preserve"> nagy múltú bécsi óriásbank, a Creditanstalt </w:t>
      </w:r>
      <w:r w:rsidR="00D10FAE">
        <w:rPr>
          <w:lang w:val="hu-HU"/>
        </w:rPr>
        <w:t xml:space="preserve">1931 </w:t>
      </w:r>
      <w:r w:rsidR="00D10FAE" w:rsidRPr="00855E19">
        <w:rPr>
          <w:lang w:val="hu-HU"/>
        </w:rPr>
        <w:t>május közepén nyilvánosságra hozott összeomlása</w:t>
      </w:r>
      <w:r w:rsidR="00D10FAE">
        <w:rPr>
          <w:lang w:val="hu-HU"/>
        </w:rPr>
        <w:t>.</w:t>
      </w:r>
      <w:r w:rsidR="00D10FAE" w:rsidRPr="002804B1">
        <w:rPr>
          <w:rStyle w:val="Lbjegyzet-hivatkozs"/>
          <w:lang w:val="hu-HU"/>
        </w:rPr>
        <w:footnoteReference w:id="41"/>
      </w:r>
      <w:r w:rsidR="00D10FAE">
        <w:rPr>
          <w:lang w:val="hu-HU"/>
        </w:rPr>
        <w:t xml:space="preserve"> A</w:t>
      </w:r>
      <w:r w:rsidR="007A4B23">
        <w:rPr>
          <w:lang w:val="hu-HU"/>
        </w:rPr>
        <w:t xml:space="preserve"> fokozódó bizonytalanság miatt belföldön is nőttek</w:t>
      </w:r>
      <w:r w:rsidRPr="00855E19">
        <w:rPr>
          <w:lang w:val="hu-HU"/>
        </w:rPr>
        <w:t xml:space="preserve"> a devizavásárlások</w:t>
      </w:r>
      <w:r w:rsidR="004D2DC3">
        <w:rPr>
          <w:lang w:val="hu-HU"/>
        </w:rPr>
        <w:t>.</w:t>
      </w:r>
      <w:r w:rsidRPr="00855E19">
        <w:rPr>
          <w:lang w:val="hu-HU"/>
        </w:rPr>
        <w:t xml:space="preserve"> A bankjegyek ércfedezete el</w:t>
      </w:r>
      <w:r>
        <w:rPr>
          <w:lang w:val="hu-HU"/>
        </w:rPr>
        <w:t>ő</w:t>
      </w:r>
      <w:r w:rsidRPr="00855E19">
        <w:rPr>
          <w:lang w:val="hu-HU"/>
        </w:rPr>
        <w:t>ször csökkent a stabilizáció óta 40% alá, s július végén már csak 28%-os volt. Annak ellenére, hogy a magyar pénzintézetek minden jelentkez</w:t>
      </w:r>
      <w:r>
        <w:rPr>
          <w:lang w:val="hu-HU"/>
        </w:rPr>
        <w:t>ő</w:t>
      </w:r>
      <w:r w:rsidRPr="00855E19">
        <w:rPr>
          <w:lang w:val="hu-HU"/>
        </w:rPr>
        <w:t xml:space="preserve"> igényt kielégítettek, itt is fennállt a pánikszer</w:t>
      </w:r>
      <w:r>
        <w:rPr>
          <w:lang w:val="hu-HU"/>
        </w:rPr>
        <w:t>ű</w:t>
      </w:r>
      <w:r w:rsidRPr="00855E19">
        <w:rPr>
          <w:lang w:val="hu-HU"/>
        </w:rPr>
        <w:t xml:space="preserve"> betétkivonás veszélye, mint az július elején Bukarestben, Szófiában, Athénban, vagy július 13-án Németországban bekövetkezett. Ezért </w:t>
      </w:r>
      <w:r w:rsidR="00D10FAE" w:rsidRPr="00855E19">
        <w:rPr>
          <w:lang w:val="hu-HU"/>
        </w:rPr>
        <w:t xml:space="preserve">a magyar kormány </w:t>
      </w:r>
      <w:r w:rsidRPr="00855E19">
        <w:rPr>
          <w:lang w:val="hu-HU"/>
        </w:rPr>
        <w:t>német mintára július 14–15–16-át bankszünnappá nyilvánította. A t</w:t>
      </w:r>
      <w:r>
        <w:rPr>
          <w:lang w:val="hu-HU"/>
        </w:rPr>
        <w:t>ő</w:t>
      </w:r>
      <w:r w:rsidRPr="00855E19">
        <w:rPr>
          <w:lang w:val="hu-HU"/>
        </w:rPr>
        <w:t xml:space="preserve">zsde is bezárt, s csak 1932 áprilisában indult meg egyes állampapírok, majd az év végén néhány részvény adásvétele. A bankzárlatot </w:t>
      </w:r>
      <w:r w:rsidR="00D10FAE">
        <w:rPr>
          <w:lang w:val="hu-HU"/>
        </w:rPr>
        <w:t xml:space="preserve">ugyan </w:t>
      </w:r>
      <w:r w:rsidR="004D2DC3">
        <w:rPr>
          <w:lang w:val="hu-HU"/>
        </w:rPr>
        <w:t xml:space="preserve">a következő hónapokban fokozatosan feloldották. Ezt </w:t>
      </w:r>
      <w:r w:rsidRPr="00855E19">
        <w:rPr>
          <w:lang w:val="hu-HU"/>
        </w:rPr>
        <w:t xml:space="preserve">az is </w:t>
      </w:r>
      <w:r w:rsidR="004D2DC3">
        <w:rPr>
          <w:lang w:val="hu-HU"/>
        </w:rPr>
        <w:t>segítette</w:t>
      </w:r>
      <w:r w:rsidRPr="00855E19">
        <w:rPr>
          <w:lang w:val="hu-HU"/>
        </w:rPr>
        <w:t>, hogy – a várakozással és más országok tapasztalataival ellentétben – Magyarországon nem rohanta meg a közönség az intézeteket. Hozzájárult ehhez, hogy a bankzárlat után elhelyezett összegekkel tulajdonosaik már kezdett</w:t>
      </w:r>
      <w:r>
        <w:rPr>
          <w:lang w:val="hu-HU"/>
        </w:rPr>
        <w:t>ő</w:t>
      </w:r>
      <w:r w:rsidRPr="00855E19">
        <w:rPr>
          <w:lang w:val="hu-HU"/>
        </w:rPr>
        <w:t>l szabadon rendelkezhettek, de</w:t>
      </w:r>
      <w:r w:rsidR="007A4B23">
        <w:rPr>
          <w:lang w:val="hu-HU"/>
        </w:rPr>
        <w:t xml:space="preserve"> a könnyítés</w:t>
      </w:r>
      <w:r w:rsidRPr="00855E19">
        <w:rPr>
          <w:lang w:val="hu-HU"/>
        </w:rPr>
        <w:t xml:space="preserve"> f</w:t>
      </w:r>
      <w:r>
        <w:rPr>
          <w:lang w:val="hu-HU"/>
        </w:rPr>
        <w:t>ő</w:t>
      </w:r>
      <w:r w:rsidRPr="00855E19">
        <w:rPr>
          <w:lang w:val="hu-HU"/>
        </w:rPr>
        <w:t xml:space="preserve"> oka az volt, hogy egyetlen jelent</w:t>
      </w:r>
      <w:r>
        <w:rPr>
          <w:lang w:val="hu-HU"/>
        </w:rPr>
        <w:t>ő</w:t>
      </w:r>
      <w:r w:rsidRPr="00855E19">
        <w:rPr>
          <w:lang w:val="hu-HU"/>
        </w:rPr>
        <w:t>sebb</w:t>
      </w:r>
      <w:r w:rsidR="007A4B23">
        <w:rPr>
          <w:lang w:val="hu-HU"/>
        </w:rPr>
        <w:t xml:space="preserve"> </w:t>
      </w:r>
      <w:r w:rsidR="007A4B23" w:rsidRPr="007A4B23">
        <w:rPr>
          <w:lang w:val="hu-HU"/>
        </w:rPr>
        <w:t>magyarországi</w:t>
      </w:r>
      <w:r w:rsidRPr="00855E19">
        <w:rPr>
          <w:lang w:val="hu-HU"/>
        </w:rPr>
        <w:t xml:space="preserve"> pénzintézet sem vált fizetésképtelenné ebben az id</w:t>
      </w:r>
      <w:r>
        <w:rPr>
          <w:lang w:val="hu-HU"/>
        </w:rPr>
        <w:t>ő</w:t>
      </w:r>
      <w:r w:rsidRPr="00855E19">
        <w:rPr>
          <w:lang w:val="hu-HU"/>
        </w:rPr>
        <w:t>szakban.</w:t>
      </w:r>
      <w:r w:rsidR="001004DC">
        <w:rPr>
          <w:rStyle w:val="Lbjegyzet-hivatkozs"/>
          <w:lang w:val="hu-HU"/>
        </w:rPr>
        <w:footnoteReference w:id="42"/>
      </w:r>
    </w:p>
    <w:p w14:paraId="399671D1" w14:textId="56751F02" w:rsidR="00855E19" w:rsidRPr="00855E19" w:rsidRDefault="00855E19" w:rsidP="00855E19">
      <w:pPr>
        <w:spacing w:line="360" w:lineRule="auto"/>
        <w:jc w:val="both"/>
        <w:rPr>
          <w:lang w:val="hu-HU"/>
        </w:rPr>
      </w:pPr>
      <w:r w:rsidRPr="00855E19">
        <w:rPr>
          <w:lang w:val="hu-HU"/>
        </w:rPr>
        <w:tab/>
        <w:t xml:space="preserve">Az augusztus közepén kiadott ún. </w:t>
      </w:r>
      <w:r w:rsidRPr="007A4B23">
        <w:rPr>
          <w:u w:val="single"/>
          <w:lang w:val="hu-HU"/>
        </w:rPr>
        <w:t>aranypengőrendelet</w:t>
      </w:r>
      <w:r w:rsidRPr="00855E19">
        <w:rPr>
          <w:lang w:val="hu-HU"/>
        </w:rPr>
        <w:t xml:space="preserve"> is segítette a hitelez</w:t>
      </w:r>
      <w:r>
        <w:rPr>
          <w:lang w:val="hu-HU"/>
        </w:rPr>
        <w:t>ő</w:t>
      </w:r>
      <w:r w:rsidRPr="00855E19">
        <w:rPr>
          <w:lang w:val="hu-HU"/>
        </w:rPr>
        <w:t xml:space="preserve">k és betétesek megnyugtatását, akik </w:t>
      </w:r>
      <w:r w:rsidR="007A4B23">
        <w:rPr>
          <w:lang w:val="hu-HU"/>
        </w:rPr>
        <w:t xml:space="preserve">korábban </w:t>
      </w:r>
      <w:r w:rsidRPr="00855E19">
        <w:rPr>
          <w:lang w:val="hu-HU"/>
        </w:rPr>
        <w:t>a koronával már szerezhettek rossz tapasztalatokat a pénz elértéktelenedését illet</w:t>
      </w:r>
      <w:r>
        <w:rPr>
          <w:lang w:val="hu-HU"/>
        </w:rPr>
        <w:t>ő</w:t>
      </w:r>
      <w:r w:rsidRPr="00855E19">
        <w:rPr>
          <w:lang w:val="hu-HU"/>
        </w:rPr>
        <w:t>en. A rendelet el</w:t>
      </w:r>
      <w:r>
        <w:rPr>
          <w:lang w:val="hu-HU"/>
        </w:rPr>
        <w:t>ő</w:t>
      </w:r>
      <w:r w:rsidRPr="00855E19">
        <w:rPr>
          <w:lang w:val="hu-HU"/>
        </w:rPr>
        <w:t>írta, hogy az augusztus 15-e el</w:t>
      </w:r>
      <w:r>
        <w:rPr>
          <w:lang w:val="hu-HU"/>
        </w:rPr>
        <w:t>ő</w:t>
      </w:r>
      <w:r w:rsidRPr="00855E19">
        <w:rPr>
          <w:lang w:val="hu-HU"/>
        </w:rPr>
        <w:t>tti tartozásokat automatikusan ún. aranypeng</w:t>
      </w:r>
      <w:r>
        <w:rPr>
          <w:lang w:val="hu-HU"/>
        </w:rPr>
        <w:t>ő</w:t>
      </w:r>
      <w:r w:rsidRPr="00855E19">
        <w:rPr>
          <w:lang w:val="hu-HU"/>
        </w:rPr>
        <w:t>ben teljesítend</w:t>
      </w:r>
      <w:r>
        <w:rPr>
          <w:lang w:val="hu-HU"/>
        </w:rPr>
        <w:t>ő</w:t>
      </w:r>
      <w:r w:rsidRPr="00855E19">
        <w:rPr>
          <w:lang w:val="hu-HU"/>
        </w:rPr>
        <w:t>nek kell tekinteni, s lehet</w:t>
      </w:r>
      <w:r>
        <w:rPr>
          <w:lang w:val="hu-HU"/>
        </w:rPr>
        <w:t>ő</w:t>
      </w:r>
      <w:r w:rsidRPr="00855E19">
        <w:rPr>
          <w:lang w:val="hu-HU"/>
        </w:rPr>
        <w:t>vé tette ezután az id</w:t>
      </w:r>
      <w:r>
        <w:rPr>
          <w:lang w:val="hu-HU"/>
        </w:rPr>
        <w:t>ő</w:t>
      </w:r>
      <w:r w:rsidRPr="00855E19">
        <w:rPr>
          <w:lang w:val="hu-HU"/>
        </w:rPr>
        <w:t>pont után is a pénzkövetelések aranypeng</w:t>
      </w:r>
      <w:r>
        <w:rPr>
          <w:lang w:val="hu-HU"/>
        </w:rPr>
        <w:t>ő</w:t>
      </w:r>
      <w:r w:rsidRPr="00855E19">
        <w:rPr>
          <w:lang w:val="hu-HU"/>
        </w:rPr>
        <w:t>ben történ</w:t>
      </w:r>
      <w:r>
        <w:rPr>
          <w:lang w:val="hu-HU"/>
        </w:rPr>
        <w:t>ő</w:t>
      </w:r>
      <w:r w:rsidRPr="00855E19">
        <w:rPr>
          <w:lang w:val="hu-HU"/>
        </w:rPr>
        <w:t xml:space="preserve"> meghatározását. Az aranypeng</w:t>
      </w:r>
      <w:r>
        <w:rPr>
          <w:lang w:val="hu-HU"/>
        </w:rPr>
        <w:t>ő</w:t>
      </w:r>
      <w:r w:rsidRPr="00855E19">
        <w:rPr>
          <w:lang w:val="hu-HU"/>
        </w:rPr>
        <w:t xml:space="preserve"> és a peng</w:t>
      </w:r>
      <w:r>
        <w:rPr>
          <w:lang w:val="hu-HU"/>
        </w:rPr>
        <w:t>ő</w:t>
      </w:r>
      <w:r w:rsidRPr="00855E19">
        <w:rPr>
          <w:lang w:val="hu-HU"/>
        </w:rPr>
        <w:t xml:space="preserve"> értékarányát a pénzügyminiszter utasítására a Magyar Nemzeti Bank állapította meg. </w:t>
      </w:r>
      <w:r w:rsidR="00D10FAE">
        <w:rPr>
          <w:lang w:val="hu-HU"/>
        </w:rPr>
        <w:t xml:space="preserve">A </w:t>
      </w:r>
      <w:r w:rsidRPr="00855E19">
        <w:rPr>
          <w:lang w:val="hu-HU"/>
        </w:rPr>
        <w:t>kiindulópontként szolgáló 1:1 arány a kés</w:t>
      </w:r>
      <w:r>
        <w:rPr>
          <w:lang w:val="hu-HU"/>
        </w:rPr>
        <w:t>ő</w:t>
      </w:r>
      <w:r w:rsidRPr="00855E19">
        <w:rPr>
          <w:lang w:val="hu-HU"/>
        </w:rPr>
        <w:t>bbiekben sem módosult</w:t>
      </w:r>
      <w:r w:rsidR="00D10FAE">
        <w:rPr>
          <w:lang w:val="hu-HU"/>
        </w:rPr>
        <w:t>. A</w:t>
      </w:r>
      <w:r w:rsidRPr="00855E19">
        <w:rPr>
          <w:lang w:val="hu-HU"/>
        </w:rPr>
        <w:t>z aranypeng</w:t>
      </w:r>
      <w:r>
        <w:rPr>
          <w:lang w:val="hu-HU"/>
        </w:rPr>
        <w:t>ő</w:t>
      </w:r>
      <w:r w:rsidRPr="00855E19">
        <w:rPr>
          <w:lang w:val="hu-HU"/>
        </w:rPr>
        <w:t xml:space="preserve"> bevezetése </w:t>
      </w:r>
      <w:r w:rsidR="00D10FAE">
        <w:rPr>
          <w:lang w:val="hu-HU"/>
        </w:rPr>
        <w:t xml:space="preserve">rövid távon </w:t>
      </w:r>
      <w:r w:rsidRPr="00855E19">
        <w:rPr>
          <w:lang w:val="hu-HU"/>
        </w:rPr>
        <w:t>kétségkívül hasznos pszichológiai hatást váltott ki.</w:t>
      </w:r>
      <w:r w:rsidR="0008165B">
        <w:rPr>
          <w:rStyle w:val="Lbjegyzet-hivatkozs"/>
          <w:lang w:val="hu-HU"/>
        </w:rPr>
        <w:footnoteReference w:id="43"/>
      </w:r>
      <w:r w:rsidRPr="00855E19">
        <w:rPr>
          <w:lang w:val="hu-HU"/>
        </w:rPr>
        <w:t xml:space="preserve">  A magyar valuta </w:t>
      </w:r>
      <w:r w:rsidR="00D10FAE" w:rsidRPr="00855E19">
        <w:rPr>
          <w:lang w:val="hu-HU"/>
        </w:rPr>
        <w:t xml:space="preserve">azonban </w:t>
      </w:r>
      <w:r w:rsidRPr="00855E19">
        <w:rPr>
          <w:lang w:val="hu-HU"/>
        </w:rPr>
        <w:t xml:space="preserve">ennek következtében "irányított valutává" vált, mert nem aranyfedezete, hanem a jegybank </w:t>
      </w:r>
      <w:r w:rsidRPr="00855E19">
        <w:rPr>
          <w:lang w:val="hu-HU"/>
        </w:rPr>
        <w:lastRenderedPageBreak/>
        <w:t>politikája garantálta belföldi stabilitását.</w:t>
      </w:r>
      <w:r w:rsidR="0008165B">
        <w:rPr>
          <w:rStyle w:val="Lbjegyzet-hivatkozs"/>
          <w:lang w:val="hu-HU"/>
        </w:rPr>
        <w:footnoteReference w:id="44"/>
      </w:r>
      <w:r w:rsidRPr="00855E19">
        <w:rPr>
          <w:lang w:val="hu-HU"/>
        </w:rPr>
        <w:t xml:space="preserve"> </w:t>
      </w:r>
    </w:p>
    <w:p w14:paraId="5B993445" w14:textId="3E404B57" w:rsidR="00855E19" w:rsidRPr="00855E19" w:rsidRDefault="00855E19" w:rsidP="00855E19">
      <w:pPr>
        <w:spacing w:line="360" w:lineRule="auto"/>
        <w:jc w:val="both"/>
        <w:rPr>
          <w:lang w:val="hu-HU"/>
        </w:rPr>
      </w:pPr>
      <w:r w:rsidRPr="00855E19">
        <w:rPr>
          <w:lang w:val="hu-HU"/>
        </w:rPr>
        <w:tab/>
        <w:t xml:space="preserve">A néhány hét után teljesen feloldott betétkivételi korlátozásoknál lényegesen tartósabb intézkedéseknek bizonyultak azok, amelyek a </w:t>
      </w:r>
      <w:r w:rsidRPr="007A4B23">
        <w:rPr>
          <w:u w:val="single"/>
          <w:lang w:val="hu-HU"/>
        </w:rPr>
        <w:t>kötött devizagazdálkodás</w:t>
      </w:r>
      <w:r w:rsidRPr="00855E19">
        <w:rPr>
          <w:lang w:val="hu-HU"/>
        </w:rPr>
        <w:t xml:space="preserve"> kiépítésének kezdetét jelezték. Ezek közül </w:t>
      </w:r>
      <w:r w:rsidR="007A4B23">
        <w:rPr>
          <w:lang w:val="hu-HU"/>
        </w:rPr>
        <w:t xml:space="preserve">a </w:t>
      </w:r>
      <w:r w:rsidRPr="00855E19">
        <w:rPr>
          <w:lang w:val="hu-HU"/>
        </w:rPr>
        <w:t>legfontosabb az</w:t>
      </w:r>
      <w:r w:rsidR="007A4B23">
        <w:rPr>
          <w:lang w:val="hu-HU"/>
        </w:rPr>
        <w:t xml:space="preserve">t írta elő, hogy </w:t>
      </w:r>
      <w:r w:rsidRPr="00855E19">
        <w:rPr>
          <w:lang w:val="hu-HU"/>
        </w:rPr>
        <w:t>csak a Magyar Nemzeti Bank engedélyével lehet külföldi devizában fizetéseket végrehajtani, fizet</w:t>
      </w:r>
      <w:r>
        <w:rPr>
          <w:lang w:val="hu-HU"/>
        </w:rPr>
        <w:t>ő</w:t>
      </w:r>
      <w:r w:rsidRPr="00855E19">
        <w:rPr>
          <w:lang w:val="hu-HU"/>
        </w:rPr>
        <w:t>eszközöket kivinni, valamint külföldi hitelt felvenni.</w:t>
      </w:r>
      <w:r w:rsidR="001E7280">
        <w:rPr>
          <w:lang w:val="hu-HU"/>
        </w:rPr>
        <w:t xml:space="preserve"> Ezzel gyakorlatilag megszűnt a pengő konvertibilitása.</w:t>
      </w:r>
      <w:r w:rsidRPr="00855E19">
        <w:rPr>
          <w:lang w:val="hu-HU"/>
        </w:rPr>
        <w:t xml:space="preserve"> Szintén a központi bank monopóliumát biztosította, hogy az exportból származó devizát ezután </w:t>
      </w:r>
      <w:r w:rsidR="00D10FAE">
        <w:rPr>
          <w:lang w:val="hu-HU"/>
        </w:rPr>
        <w:t>annak</w:t>
      </w:r>
      <w:r w:rsidRPr="00855E19">
        <w:rPr>
          <w:lang w:val="hu-HU"/>
        </w:rPr>
        <w:t xml:space="preserve"> kellett beszolgáltatni. Hamarosan kötelez</w:t>
      </w:r>
      <w:r>
        <w:rPr>
          <w:lang w:val="hu-HU"/>
        </w:rPr>
        <w:t>ő</w:t>
      </w:r>
      <w:r w:rsidRPr="00855E19">
        <w:rPr>
          <w:lang w:val="hu-HU"/>
        </w:rPr>
        <w:t>vé tették a jelent</w:t>
      </w:r>
      <w:r>
        <w:rPr>
          <w:lang w:val="hu-HU"/>
        </w:rPr>
        <w:t>ő</w:t>
      </w:r>
      <w:r w:rsidRPr="00855E19">
        <w:rPr>
          <w:lang w:val="hu-HU"/>
        </w:rPr>
        <w:t xml:space="preserve">sebb – 5000 </w:t>
      </w:r>
      <w:r w:rsidR="007A4B23">
        <w:rPr>
          <w:lang w:val="hu-HU"/>
        </w:rPr>
        <w:t>pengőn</w:t>
      </w:r>
      <w:r w:rsidRPr="00855E19">
        <w:rPr>
          <w:lang w:val="hu-HU"/>
        </w:rPr>
        <w:t xml:space="preserve"> felüli – külföldi tartozások, külföldi fizet</w:t>
      </w:r>
      <w:r>
        <w:rPr>
          <w:lang w:val="hu-HU"/>
        </w:rPr>
        <w:t>ő</w:t>
      </w:r>
      <w:r w:rsidRPr="00855E19">
        <w:rPr>
          <w:lang w:val="hu-HU"/>
        </w:rPr>
        <w:t>eszközök, értékpapírok tulajdonjogának bejelentését is.</w:t>
      </w:r>
      <w:r w:rsidR="0008165B">
        <w:rPr>
          <w:rStyle w:val="Lbjegyzet-hivatkozs"/>
          <w:lang w:val="hu-HU"/>
        </w:rPr>
        <w:footnoteReference w:id="45"/>
      </w:r>
    </w:p>
    <w:p w14:paraId="1F7710A3" w14:textId="3181F6A0" w:rsidR="00855E19" w:rsidRPr="00855E19" w:rsidRDefault="00855E19" w:rsidP="00855E19">
      <w:pPr>
        <w:spacing w:line="360" w:lineRule="auto"/>
        <w:jc w:val="both"/>
        <w:rPr>
          <w:lang w:val="hu-HU"/>
        </w:rPr>
      </w:pPr>
      <w:r w:rsidRPr="00855E19">
        <w:rPr>
          <w:lang w:val="hu-HU"/>
        </w:rPr>
        <w:tab/>
        <w:t xml:space="preserve">A kötött </w:t>
      </w:r>
      <w:r w:rsidR="00D10FAE">
        <w:rPr>
          <w:lang w:val="hu-HU"/>
        </w:rPr>
        <w:t>deviza</w:t>
      </w:r>
      <w:r w:rsidRPr="00855E19">
        <w:rPr>
          <w:lang w:val="hu-HU"/>
        </w:rPr>
        <w:t xml:space="preserve">gazdálkodás ellenére a Magyar Nemzeti Bank devizaállománya nagymértékben lecsökkent 1931 végére. Nyilvánvalóvá vált, hogy az adósságszolgálat teljesítéséhez szükséges évi mintegy 270 millió </w:t>
      </w:r>
      <w:r w:rsidR="007A4B23">
        <w:rPr>
          <w:lang w:val="hu-HU"/>
        </w:rPr>
        <w:t>pengő</w:t>
      </w:r>
      <w:r w:rsidRPr="00855E19">
        <w:rPr>
          <w:lang w:val="hu-HU"/>
        </w:rPr>
        <w:t xml:space="preserve"> érték</w:t>
      </w:r>
      <w:r>
        <w:rPr>
          <w:lang w:val="hu-HU"/>
        </w:rPr>
        <w:t>ű</w:t>
      </w:r>
      <w:r w:rsidRPr="00855E19">
        <w:rPr>
          <w:lang w:val="hu-HU"/>
        </w:rPr>
        <w:t xml:space="preserve"> deviza nem áll rendelkezésre, újabb külföldi kölcsönökhöz pedig már </w:t>
      </w:r>
      <w:r w:rsidR="00C004C8">
        <w:rPr>
          <w:lang w:val="hu-HU"/>
        </w:rPr>
        <w:t xml:space="preserve">lényegében </w:t>
      </w:r>
      <w:r w:rsidRPr="00855E19">
        <w:rPr>
          <w:lang w:val="hu-HU"/>
        </w:rPr>
        <w:t>nem lehetett hozzájutni.</w:t>
      </w:r>
      <w:r w:rsidR="00C004C8">
        <w:rPr>
          <w:rStyle w:val="Lbjegyzet-hivatkozs"/>
          <w:lang w:val="hu-HU"/>
        </w:rPr>
        <w:footnoteReference w:id="46"/>
      </w:r>
      <w:r w:rsidRPr="00855E19">
        <w:rPr>
          <w:lang w:val="hu-HU"/>
        </w:rPr>
        <w:t xml:space="preserve"> A Népszövetség Pénzügyi Bizottságának magyar kérésre kiküldött szakért</w:t>
      </w:r>
      <w:r>
        <w:rPr>
          <w:lang w:val="hu-HU"/>
        </w:rPr>
        <w:t>ő</w:t>
      </w:r>
      <w:r w:rsidRPr="00855E19">
        <w:rPr>
          <w:lang w:val="hu-HU"/>
        </w:rPr>
        <w:t>i ezért a hitelez</w:t>
      </w:r>
      <w:r>
        <w:rPr>
          <w:lang w:val="hu-HU"/>
        </w:rPr>
        <w:t>ő</w:t>
      </w:r>
      <w:r w:rsidRPr="00855E19">
        <w:rPr>
          <w:lang w:val="hu-HU"/>
        </w:rPr>
        <w:t xml:space="preserve">knek ún. hitelrögzítést </w:t>
      </w:r>
      <w:r w:rsidR="009531FF">
        <w:rPr>
          <w:lang w:val="hu-HU"/>
        </w:rPr>
        <w:t xml:space="preserve">-- </w:t>
      </w:r>
      <w:r w:rsidRPr="00855E19">
        <w:rPr>
          <w:lang w:val="hu-HU"/>
        </w:rPr>
        <w:t>a korban elterjedt szakkifejezéssel "</w:t>
      </w:r>
      <w:r w:rsidRPr="003F3FB9">
        <w:rPr>
          <w:i/>
          <w:iCs/>
          <w:lang w:val="hu-HU"/>
        </w:rPr>
        <w:t>Stillhalte</w:t>
      </w:r>
      <w:r w:rsidRPr="00855E19">
        <w:rPr>
          <w:lang w:val="hu-HU"/>
        </w:rPr>
        <w:t>"-t</w:t>
      </w:r>
      <w:r w:rsidR="009531FF">
        <w:rPr>
          <w:lang w:val="hu-HU"/>
        </w:rPr>
        <w:t xml:space="preserve"> --</w:t>
      </w:r>
      <w:r w:rsidRPr="00855E19">
        <w:rPr>
          <w:lang w:val="hu-HU"/>
        </w:rPr>
        <w:t xml:space="preserve"> ajánlottak. A kormány december </w:t>
      </w:r>
      <w:r w:rsidR="007A4B23">
        <w:rPr>
          <w:lang w:val="hu-HU"/>
        </w:rPr>
        <w:t>vég</w:t>
      </w:r>
      <w:r w:rsidRPr="00855E19">
        <w:rPr>
          <w:lang w:val="hu-HU"/>
        </w:rPr>
        <w:t>én elrendelte a transzfermoratóriumot, ami – a népszövetségi kölcsön kivételével – megtiltotta minden adósság és kamatának külföldre való utalását. Az ily módon felszabadult összegek ellenértékét az újonnan létrehozott Külföldi Hitelez</w:t>
      </w:r>
      <w:r>
        <w:rPr>
          <w:lang w:val="hu-HU"/>
        </w:rPr>
        <w:t>ő</w:t>
      </w:r>
      <w:r w:rsidRPr="00855E19">
        <w:rPr>
          <w:lang w:val="hu-HU"/>
        </w:rPr>
        <w:t>k Alapjába kellett befizetni, amelynek kezelése a hitelez</w:t>
      </w:r>
      <w:r>
        <w:rPr>
          <w:lang w:val="hu-HU"/>
        </w:rPr>
        <w:t>ő</w:t>
      </w:r>
      <w:r w:rsidRPr="00855E19">
        <w:rPr>
          <w:lang w:val="hu-HU"/>
        </w:rPr>
        <w:t>k képvisel</w:t>
      </w:r>
      <w:r>
        <w:rPr>
          <w:lang w:val="hu-HU"/>
        </w:rPr>
        <w:t>ő</w:t>
      </w:r>
      <w:r w:rsidRPr="00855E19">
        <w:rPr>
          <w:lang w:val="hu-HU"/>
        </w:rPr>
        <w:t>inek bevonásával történt. Kezdetben csak a t</w:t>
      </w:r>
      <w:r>
        <w:rPr>
          <w:lang w:val="hu-HU"/>
        </w:rPr>
        <w:t>ő</w:t>
      </w:r>
      <w:r w:rsidRPr="00855E19">
        <w:rPr>
          <w:lang w:val="hu-HU"/>
        </w:rPr>
        <w:t xml:space="preserve">ketörlesztések elhalasztásáról volt szó, </w:t>
      </w:r>
      <w:r w:rsidR="007A4B23">
        <w:rPr>
          <w:lang w:val="hu-HU"/>
        </w:rPr>
        <w:t xml:space="preserve">de </w:t>
      </w:r>
      <w:r w:rsidRPr="00855E19">
        <w:rPr>
          <w:lang w:val="hu-HU"/>
        </w:rPr>
        <w:t>a magyar devizahelyzet olyan gyorsan romlott, hogy a kamatok fizetésére sem állt rendelkezésre elegend</w:t>
      </w:r>
      <w:r>
        <w:rPr>
          <w:lang w:val="hu-HU"/>
        </w:rPr>
        <w:t>ő</w:t>
      </w:r>
      <w:r w:rsidRPr="00855E19">
        <w:rPr>
          <w:lang w:val="hu-HU"/>
        </w:rPr>
        <w:t xml:space="preserve"> külföldi fizet</w:t>
      </w:r>
      <w:r>
        <w:rPr>
          <w:lang w:val="hu-HU"/>
        </w:rPr>
        <w:t>ő</w:t>
      </w:r>
      <w:r w:rsidRPr="00855E19">
        <w:rPr>
          <w:lang w:val="hu-HU"/>
        </w:rPr>
        <w:t xml:space="preserve">eszköz. Ezért 1932-ben megállapodás született az angol és </w:t>
      </w:r>
      <w:r w:rsidR="009531FF">
        <w:rPr>
          <w:lang w:val="hu-HU"/>
        </w:rPr>
        <w:t xml:space="preserve">az </w:t>
      </w:r>
      <w:r w:rsidRPr="00855E19">
        <w:rPr>
          <w:lang w:val="hu-HU"/>
        </w:rPr>
        <w:t>amerikai hitelez</w:t>
      </w:r>
      <w:r>
        <w:rPr>
          <w:lang w:val="hu-HU"/>
        </w:rPr>
        <w:t>ő</w:t>
      </w:r>
      <w:r w:rsidRPr="00855E19">
        <w:rPr>
          <w:lang w:val="hu-HU"/>
        </w:rPr>
        <w:t>kkel a t</w:t>
      </w:r>
      <w:r>
        <w:rPr>
          <w:lang w:val="hu-HU"/>
        </w:rPr>
        <w:t>ő</w:t>
      </w:r>
      <w:r w:rsidRPr="00855E19">
        <w:rPr>
          <w:lang w:val="hu-HU"/>
        </w:rPr>
        <w:t>ketörlesztés</w:t>
      </w:r>
      <w:r w:rsidR="009531FF">
        <w:rPr>
          <w:lang w:val="hu-HU"/>
        </w:rPr>
        <w:t>ek</w:t>
      </w:r>
      <w:r w:rsidRPr="00855E19">
        <w:rPr>
          <w:lang w:val="hu-HU"/>
        </w:rPr>
        <w:t xml:space="preserve"> elhalasztásáról, a kamatok ellenértékét pedig a hitelez</w:t>
      </w:r>
      <w:r>
        <w:rPr>
          <w:lang w:val="hu-HU"/>
        </w:rPr>
        <w:t>ő</w:t>
      </w:r>
      <w:r w:rsidRPr="00855E19">
        <w:rPr>
          <w:lang w:val="hu-HU"/>
        </w:rPr>
        <w:t>k peng</w:t>
      </w:r>
      <w:r>
        <w:rPr>
          <w:lang w:val="hu-HU"/>
        </w:rPr>
        <w:t>ő</w:t>
      </w:r>
      <w:r w:rsidRPr="00855E19">
        <w:rPr>
          <w:lang w:val="hu-HU"/>
        </w:rPr>
        <w:t>ben – pl. áruvásárlásra – használták fel. Az ilyen exportot felárral támogatták, amely lehet</w:t>
      </w:r>
      <w:r>
        <w:rPr>
          <w:lang w:val="hu-HU"/>
        </w:rPr>
        <w:t>ő</w:t>
      </w:r>
      <w:r w:rsidRPr="00855E19">
        <w:rPr>
          <w:lang w:val="hu-HU"/>
        </w:rPr>
        <w:t>vé tette az adósság jelent</w:t>
      </w:r>
      <w:r>
        <w:rPr>
          <w:lang w:val="hu-HU"/>
        </w:rPr>
        <w:t>ő</w:t>
      </w:r>
      <w:r w:rsidRPr="00855E19">
        <w:rPr>
          <w:lang w:val="hu-HU"/>
        </w:rPr>
        <w:t>s csökkentését, s az egyébként eladhatatlan termékek kivitelét is ösztönözte. Ezzel el</w:t>
      </w:r>
      <w:r>
        <w:rPr>
          <w:lang w:val="hu-HU"/>
        </w:rPr>
        <w:t>ő</w:t>
      </w:r>
      <w:r w:rsidRPr="00855E19">
        <w:rPr>
          <w:lang w:val="hu-HU"/>
        </w:rPr>
        <w:t>ször alkalmazták tudatosan a valutapolitikát a konjunktúra- és a kereskedelempolitika eszközeként Magyarországon.</w:t>
      </w:r>
      <w:r w:rsidR="0008165B">
        <w:rPr>
          <w:rStyle w:val="Lbjegyzet-hivatkozs"/>
          <w:lang w:val="hu-HU"/>
        </w:rPr>
        <w:footnoteReference w:id="47"/>
      </w:r>
    </w:p>
    <w:p w14:paraId="70DFCA1E" w14:textId="52E0B576" w:rsidR="00855E19" w:rsidRPr="00855E19" w:rsidRDefault="00855E19" w:rsidP="00855E19">
      <w:pPr>
        <w:spacing w:line="360" w:lineRule="auto"/>
        <w:jc w:val="both"/>
        <w:rPr>
          <w:lang w:val="hu-HU"/>
        </w:rPr>
      </w:pPr>
      <w:r w:rsidRPr="00855E19">
        <w:rPr>
          <w:lang w:val="hu-HU"/>
        </w:rPr>
        <w:tab/>
        <w:t>Összességében a magyar bankok nemzetközi összehasonlításában viszonylag kis áldozatokkal jutottak túl a válságon. Hozzájárulhattak ehhez a már régóta m</w:t>
      </w:r>
      <w:r>
        <w:rPr>
          <w:lang w:val="hu-HU"/>
        </w:rPr>
        <w:t>ű</w:t>
      </w:r>
      <w:r w:rsidRPr="00855E19">
        <w:rPr>
          <w:lang w:val="hu-HU"/>
        </w:rPr>
        <w:t>köd</w:t>
      </w:r>
      <w:r>
        <w:rPr>
          <w:lang w:val="hu-HU"/>
        </w:rPr>
        <w:t>ő</w:t>
      </w:r>
      <w:r w:rsidRPr="00855E19">
        <w:rPr>
          <w:lang w:val="hu-HU"/>
        </w:rPr>
        <w:t xml:space="preserve"> </w:t>
      </w:r>
      <w:r w:rsidRPr="00855E19">
        <w:rPr>
          <w:lang w:val="hu-HU"/>
        </w:rPr>
        <w:lastRenderedPageBreak/>
        <w:t>bankfelügyelet, s a kormány, illetve a jegybank intézkedései, de a magyar hitelszervezet viszonylagos szilárdságának okai között meg kell említeni a vezet</w:t>
      </w:r>
      <w:r>
        <w:rPr>
          <w:lang w:val="hu-HU"/>
        </w:rPr>
        <w:t>ő</w:t>
      </w:r>
      <w:r w:rsidRPr="00855E19">
        <w:rPr>
          <w:lang w:val="hu-HU"/>
        </w:rPr>
        <w:t xml:space="preserve"> intézetek szolid üzletpolitikáját, amely els</w:t>
      </w:r>
      <w:r>
        <w:rPr>
          <w:lang w:val="hu-HU"/>
        </w:rPr>
        <w:t>ő</w:t>
      </w:r>
      <w:r w:rsidRPr="00855E19">
        <w:rPr>
          <w:lang w:val="hu-HU"/>
        </w:rPr>
        <w:t>sorban a likviditási szempontok figyelembevételét jelentette. Így az állam – pl. Ausztriától vagy Németországtól eltér</w:t>
      </w:r>
      <w:r>
        <w:rPr>
          <w:lang w:val="hu-HU"/>
        </w:rPr>
        <w:t>ő</w:t>
      </w:r>
      <w:r w:rsidRPr="00855E19">
        <w:rPr>
          <w:lang w:val="hu-HU"/>
        </w:rPr>
        <w:t>en – nem kényszerült mélyen a zsebébe nyúlni, de nem került sor átmeneti bankállamosításokra sem. A törvény</w:t>
      </w:r>
      <w:r w:rsidR="004D2DC3">
        <w:rPr>
          <w:lang w:val="hu-HU"/>
        </w:rPr>
        <w:t>hozási</w:t>
      </w:r>
      <w:r w:rsidRPr="00855E19">
        <w:rPr>
          <w:lang w:val="hu-HU"/>
        </w:rPr>
        <w:t xml:space="preserve"> intézkedések elegend</w:t>
      </w:r>
      <w:r>
        <w:rPr>
          <w:lang w:val="hu-HU"/>
        </w:rPr>
        <w:t>ő</w:t>
      </w:r>
      <w:r w:rsidRPr="00855E19">
        <w:rPr>
          <w:lang w:val="hu-HU"/>
        </w:rPr>
        <w:t>nek bizonyultak a hitelválság súlyos következményeinek elkerülésére.</w:t>
      </w:r>
      <w:r w:rsidR="001E7280">
        <w:rPr>
          <w:rStyle w:val="Lbjegyzet-hivatkozs"/>
          <w:lang w:val="hu-HU"/>
        </w:rPr>
        <w:footnoteReference w:id="48"/>
      </w:r>
      <w:r w:rsidRPr="00855E19">
        <w:rPr>
          <w:lang w:val="hu-HU"/>
        </w:rPr>
        <w:t xml:space="preserve"> </w:t>
      </w:r>
    </w:p>
    <w:p w14:paraId="604B4EF3" w14:textId="2023FB4E" w:rsidR="009531FF" w:rsidRDefault="00855E19" w:rsidP="009531FF">
      <w:pPr>
        <w:spacing w:line="360" w:lineRule="auto"/>
        <w:jc w:val="both"/>
        <w:rPr>
          <w:lang w:val="hu-HU"/>
        </w:rPr>
      </w:pPr>
      <w:r w:rsidRPr="00855E19">
        <w:rPr>
          <w:lang w:val="hu-HU"/>
        </w:rPr>
        <w:tab/>
        <w:t xml:space="preserve">Annak ellenére, hogy a pénzügyi válság </w:t>
      </w:r>
      <w:r w:rsidR="007A4B23" w:rsidRPr="007A4B23">
        <w:rPr>
          <w:lang w:val="hu-HU"/>
        </w:rPr>
        <w:t>Magyarország</w:t>
      </w:r>
      <w:r w:rsidR="007A4B23">
        <w:rPr>
          <w:lang w:val="hu-HU"/>
        </w:rPr>
        <w:t>on</w:t>
      </w:r>
      <w:r w:rsidRPr="00855E19">
        <w:rPr>
          <w:lang w:val="hu-HU"/>
        </w:rPr>
        <w:t xml:space="preserve"> nem hozott látványos </w:t>
      </w:r>
      <w:r w:rsidR="007A4B23">
        <w:rPr>
          <w:lang w:val="hu-HU"/>
        </w:rPr>
        <w:t>bank</w:t>
      </w:r>
      <w:r w:rsidRPr="00855E19">
        <w:rPr>
          <w:lang w:val="hu-HU"/>
        </w:rPr>
        <w:t>összeomlásokat, az 1931. július 14-16-i bankzárlat és az azt követ</w:t>
      </w:r>
      <w:r>
        <w:rPr>
          <w:lang w:val="hu-HU"/>
        </w:rPr>
        <w:t>ő</w:t>
      </w:r>
      <w:r w:rsidRPr="00855E19">
        <w:rPr>
          <w:lang w:val="hu-HU"/>
        </w:rPr>
        <w:t xml:space="preserve"> rendelkezések választóvonalat jelentenek a magyar hitelügy történetében is, els</w:t>
      </w:r>
      <w:r>
        <w:rPr>
          <w:lang w:val="hu-HU"/>
        </w:rPr>
        <w:t>ő</w:t>
      </w:r>
      <w:r w:rsidRPr="00855E19">
        <w:rPr>
          <w:lang w:val="hu-HU"/>
        </w:rPr>
        <w:t>sorban azért, mert ezekhez hasonló közvetlen állami beavatkozás azel</w:t>
      </w:r>
      <w:r>
        <w:rPr>
          <w:lang w:val="hu-HU"/>
        </w:rPr>
        <w:t>ő</w:t>
      </w:r>
      <w:r w:rsidRPr="00855E19">
        <w:rPr>
          <w:lang w:val="hu-HU"/>
        </w:rPr>
        <w:t>tt nem fordult el</w:t>
      </w:r>
      <w:r>
        <w:rPr>
          <w:lang w:val="hu-HU"/>
        </w:rPr>
        <w:t>ő</w:t>
      </w:r>
      <w:r w:rsidRPr="00855E19">
        <w:rPr>
          <w:lang w:val="hu-HU"/>
        </w:rPr>
        <w:t>.</w:t>
      </w:r>
      <w:r w:rsidR="009531FF">
        <w:rPr>
          <w:lang w:val="hu-HU"/>
        </w:rPr>
        <w:t xml:space="preserve"> Az állami beavatkozás dinamikáját mutatja, hogy m</w:t>
      </w:r>
      <w:r w:rsidRPr="00855E19">
        <w:rPr>
          <w:lang w:val="hu-HU"/>
        </w:rPr>
        <w:t xml:space="preserve">iként a válság </w:t>
      </w:r>
      <w:r w:rsidR="009531FF">
        <w:rPr>
          <w:lang w:val="hu-HU"/>
        </w:rPr>
        <w:t>időszaka</w:t>
      </w:r>
      <w:r w:rsidRPr="00855E19">
        <w:rPr>
          <w:lang w:val="hu-HU"/>
        </w:rPr>
        <w:t xml:space="preserve"> Németországban, az Egyesült Államokban vagy Angliában a bankfelügyelet bevezetésé</w:t>
      </w:r>
      <w:r w:rsidR="009531FF">
        <w:rPr>
          <w:lang w:val="hu-HU"/>
        </w:rPr>
        <w:t>t hozta</w:t>
      </w:r>
      <w:r w:rsidRPr="00855E19">
        <w:rPr>
          <w:lang w:val="hu-HU"/>
        </w:rPr>
        <w:t xml:space="preserve">, az e téren </w:t>
      </w:r>
      <w:r w:rsidR="009531FF">
        <w:rPr>
          <w:lang w:val="hu-HU"/>
        </w:rPr>
        <w:t xml:space="preserve">már jelentős előzményekkel rendelkező </w:t>
      </w:r>
      <w:r w:rsidRPr="00855E19">
        <w:rPr>
          <w:lang w:val="hu-HU"/>
        </w:rPr>
        <w:t xml:space="preserve">Magyarországon is tovább haladt a pénzintézetek egyre szigorúbb </w:t>
      </w:r>
      <w:r w:rsidRPr="00950536">
        <w:rPr>
          <w:u w:val="single"/>
          <w:lang w:val="hu-HU"/>
        </w:rPr>
        <w:t>állami ellenőrzésének kiépítése</w:t>
      </w:r>
      <w:r w:rsidRPr="00855E19">
        <w:rPr>
          <w:lang w:val="hu-HU"/>
        </w:rPr>
        <w:t>. Ezen az úton fontos lépés volt az Országos Hitelügyi Tanács felállítása, amely még 1931 októberében megtörtént.</w:t>
      </w:r>
      <w:r w:rsidR="0008165B">
        <w:rPr>
          <w:rStyle w:val="Lbjegyzet-hivatkozs"/>
          <w:lang w:val="hu-HU"/>
        </w:rPr>
        <w:footnoteReference w:id="49"/>
      </w:r>
      <w:r w:rsidR="004D2DC3">
        <w:rPr>
          <w:lang w:val="hu-HU"/>
        </w:rPr>
        <w:t xml:space="preserve"> </w:t>
      </w:r>
      <w:r w:rsidRPr="00855E19">
        <w:rPr>
          <w:lang w:val="hu-HU"/>
        </w:rPr>
        <w:t>A Tanács kiterjedt jogköre nyilvánvalóan csökkentette a</w:t>
      </w:r>
      <w:r w:rsidR="009531FF">
        <w:rPr>
          <w:lang w:val="hu-HU"/>
        </w:rPr>
        <w:t xml:space="preserve"> pénzintézetek </w:t>
      </w:r>
      <w:r w:rsidRPr="00855E19">
        <w:rPr>
          <w:lang w:val="hu-HU"/>
        </w:rPr>
        <w:t>üzleti szabadságát. Megszabhatta pl. a kamat</w:t>
      </w:r>
      <w:r w:rsidR="007A4B23">
        <w:rPr>
          <w:lang w:val="hu-HU"/>
        </w:rPr>
        <w:t>ok</w:t>
      </w:r>
      <w:r w:rsidRPr="00855E19">
        <w:rPr>
          <w:lang w:val="hu-HU"/>
        </w:rPr>
        <w:t xml:space="preserve"> fels</w:t>
      </w:r>
      <w:r>
        <w:rPr>
          <w:lang w:val="hu-HU"/>
        </w:rPr>
        <w:t>ő</w:t>
      </w:r>
      <w:r w:rsidRPr="00855E19">
        <w:rPr>
          <w:lang w:val="hu-HU"/>
        </w:rPr>
        <w:t xml:space="preserve"> határát, revízióra utasíthatta a Pénzintézeti Központot, végs</w:t>
      </w:r>
      <w:r>
        <w:rPr>
          <w:lang w:val="hu-HU"/>
        </w:rPr>
        <w:t>ő</w:t>
      </w:r>
      <w:r w:rsidRPr="00855E19">
        <w:rPr>
          <w:lang w:val="hu-HU"/>
        </w:rPr>
        <w:t xml:space="preserve"> esetben pedig elrendelhette egy pénzintézet kényszerfelszámolását is. </w:t>
      </w:r>
      <w:r w:rsidR="009531FF" w:rsidRPr="00855E19">
        <w:rPr>
          <w:lang w:val="hu-HU"/>
        </w:rPr>
        <w:t xml:space="preserve">A jegybank </w:t>
      </w:r>
      <w:r w:rsidR="009531FF">
        <w:rPr>
          <w:lang w:val="hu-HU"/>
        </w:rPr>
        <w:t>tehát</w:t>
      </w:r>
      <w:r w:rsidR="009531FF" w:rsidRPr="00855E19">
        <w:rPr>
          <w:lang w:val="hu-HU"/>
        </w:rPr>
        <w:t xml:space="preserve"> egyre több hatósági feladatot látott el. Engedélye nélkül nem lehetett külföldr</w:t>
      </w:r>
      <w:r w:rsidR="009531FF">
        <w:rPr>
          <w:lang w:val="hu-HU"/>
        </w:rPr>
        <w:t>ő</w:t>
      </w:r>
      <w:r w:rsidR="009531FF" w:rsidRPr="00855E19">
        <w:rPr>
          <w:lang w:val="hu-HU"/>
        </w:rPr>
        <w:t>l értékpapírt vásárolni és külföldre eladni, majd be kellett jelenteni hozzá az aranykészleteket. Alapszabályai is jelent</w:t>
      </w:r>
      <w:r w:rsidR="009531FF">
        <w:rPr>
          <w:lang w:val="hu-HU"/>
        </w:rPr>
        <w:t>ő</w:t>
      </w:r>
      <w:r w:rsidR="009531FF" w:rsidRPr="00855E19">
        <w:rPr>
          <w:lang w:val="hu-HU"/>
        </w:rPr>
        <w:t>sen megváltoztak. 1933-ban lehet</w:t>
      </w:r>
      <w:r w:rsidR="009531FF">
        <w:rPr>
          <w:lang w:val="hu-HU"/>
        </w:rPr>
        <w:t>ő</w:t>
      </w:r>
      <w:r w:rsidR="009531FF" w:rsidRPr="00855E19">
        <w:rPr>
          <w:lang w:val="hu-HU"/>
        </w:rPr>
        <w:t xml:space="preserve">vé tették, hogy a kormány 100 millió </w:t>
      </w:r>
      <w:r w:rsidR="009531FF">
        <w:rPr>
          <w:lang w:val="hu-HU"/>
        </w:rPr>
        <w:t>pengő</w:t>
      </w:r>
      <w:r w:rsidR="009531FF" w:rsidRPr="00855E19">
        <w:rPr>
          <w:lang w:val="hu-HU"/>
        </w:rPr>
        <w:t xml:space="preserve"> értékben kölcsönt vegyen fel a Magyar Nemzeti Banktól a mez</w:t>
      </w:r>
      <w:r w:rsidR="009531FF">
        <w:rPr>
          <w:lang w:val="hu-HU"/>
        </w:rPr>
        <w:t>ő</w:t>
      </w:r>
      <w:r w:rsidR="009531FF" w:rsidRPr="00855E19">
        <w:rPr>
          <w:lang w:val="hu-HU"/>
        </w:rPr>
        <w:t>gazdasági tartozások rendezésére. Ugyanakkor a kötelez</w:t>
      </w:r>
      <w:r w:rsidR="009531FF">
        <w:rPr>
          <w:lang w:val="hu-HU"/>
        </w:rPr>
        <w:t>ő</w:t>
      </w:r>
      <w:r w:rsidR="009531FF" w:rsidRPr="00855E19">
        <w:rPr>
          <w:lang w:val="hu-HU"/>
        </w:rPr>
        <w:t xml:space="preserve"> fedezeti arányt 24%-ra csökkentették. Még jelent</w:t>
      </w:r>
      <w:r w:rsidR="009531FF">
        <w:rPr>
          <w:lang w:val="hu-HU"/>
        </w:rPr>
        <w:t>ő</w:t>
      </w:r>
      <w:r w:rsidR="009531FF" w:rsidRPr="00855E19">
        <w:rPr>
          <w:lang w:val="hu-HU"/>
        </w:rPr>
        <w:t>sebb alapszabály-módosításokra került sor 1938-ban, amikor teljesen eltörölték a bankjegyek ércfedezetét el</w:t>
      </w:r>
      <w:r w:rsidR="009531FF">
        <w:rPr>
          <w:lang w:val="hu-HU"/>
        </w:rPr>
        <w:t>ő</w:t>
      </w:r>
      <w:r w:rsidR="009531FF" w:rsidRPr="00855E19">
        <w:rPr>
          <w:lang w:val="hu-HU"/>
        </w:rPr>
        <w:t>író szabályokat, s felhatalmazták a jegybankot nyílt piaci m</w:t>
      </w:r>
      <w:r w:rsidR="009531FF">
        <w:rPr>
          <w:lang w:val="hu-HU"/>
        </w:rPr>
        <w:t>ű</w:t>
      </w:r>
      <w:r w:rsidR="009531FF" w:rsidRPr="00855E19">
        <w:rPr>
          <w:lang w:val="hu-HU"/>
        </w:rPr>
        <w:t>veletek végrehajtására is. A bank államigazgatási szerv jellegét fokozta az a rendelkezés, hogy a pénzintézetek vezet</w:t>
      </w:r>
      <w:r w:rsidR="009531FF">
        <w:rPr>
          <w:lang w:val="hu-HU"/>
        </w:rPr>
        <w:t>ő</w:t>
      </w:r>
      <w:r w:rsidR="009531FF" w:rsidRPr="00855E19">
        <w:rPr>
          <w:lang w:val="hu-HU"/>
        </w:rPr>
        <w:t>i ezentúl nem kerültek a f</w:t>
      </w:r>
      <w:r w:rsidR="009531FF">
        <w:rPr>
          <w:lang w:val="hu-HU"/>
        </w:rPr>
        <w:t>ő</w:t>
      </w:r>
      <w:r w:rsidR="009531FF" w:rsidRPr="00855E19">
        <w:rPr>
          <w:lang w:val="hu-HU"/>
        </w:rPr>
        <w:t>tanácsba.</w:t>
      </w:r>
      <w:r w:rsidR="009531FF">
        <w:rPr>
          <w:rStyle w:val="Lbjegyzet-hivatkozs"/>
          <w:lang w:val="hu-HU"/>
        </w:rPr>
        <w:footnoteReference w:id="50"/>
      </w:r>
    </w:p>
    <w:p w14:paraId="6AD15673" w14:textId="4794C484" w:rsidR="00855E19" w:rsidRPr="00855E19" w:rsidRDefault="00855E19" w:rsidP="009531FF">
      <w:pPr>
        <w:spacing w:line="360" w:lineRule="auto"/>
        <w:ind w:firstLine="708"/>
        <w:jc w:val="both"/>
        <w:rPr>
          <w:lang w:val="hu-HU"/>
        </w:rPr>
      </w:pPr>
      <w:r w:rsidRPr="00855E19">
        <w:rPr>
          <w:lang w:val="hu-HU"/>
        </w:rPr>
        <w:t xml:space="preserve">A Magyar Nemzeti Bank és a Pénzintézeti Központ felügyeleti hatásköre </w:t>
      </w:r>
      <w:r w:rsidR="007A4B23">
        <w:rPr>
          <w:lang w:val="hu-HU"/>
        </w:rPr>
        <w:t xml:space="preserve">az 1930-as évek végén </w:t>
      </w:r>
      <w:r w:rsidRPr="00855E19">
        <w:rPr>
          <w:lang w:val="hu-HU"/>
        </w:rPr>
        <w:t xml:space="preserve">még a bankok személyzeti politikáját sem hagyta érintetlenül: csak e két intézmény engedélyével alkalmazhatták igazgatóikat. Ez a rendelet a zsidóüldözésekkel állt összefüggésben és nem azzal a hivatalos indoklással, hogy egyébként fennállt a veszélye a legképzettebb államigazgatási szakemberek elcsábításának. Ez a példa mutatja, hogy a </w:t>
      </w:r>
      <w:r w:rsidRPr="00855E19">
        <w:rPr>
          <w:lang w:val="hu-HU"/>
        </w:rPr>
        <w:lastRenderedPageBreak/>
        <w:t>korszakban az állam jóval nagyobb szerepet töltött be a pénzügyi életben, mint amennyire a válság, illetve utóhatásainak leküzdése érdekében feltétlenül szükség lett volna. Az állami beavatkozás fokozódása korántsem magyarázható egyedül gazdasági tényez</w:t>
      </w:r>
      <w:r>
        <w:rPr>
          <w:lang w:val="hu-HU"/>
        </w:rPr>
        <w:t>ő</w:t>
      </w:r>
      <w:r w:rsidRPr="00855E19">
        <w:rPr>
          <w:lang w:val="hu-HU"/>
        </w:rPr>
        <w:t>kkel.</w:t>
      </w:r>
      <w:r w:rsidR="00FC5356">
        <w:rPr>
          <w:rStyle w:val="Lbjegyzet-hivatkozs"/>
          <w:lang w:val="hu-HU"/>
        </w:rPr>
        <w:footnoteReference w:id="51"/>
      </w:r>
    </w:p>
    <w:p w14:paraId="4476923C" w14:textId="2AFA8B5B" w:rsidR="00C64DF1" w:rsidRDefault="00C64DF1" w:rsidP="00C64DF1">
      <w:pPr>
        <w:spacing w:line="360" w:lineRule="auto"/>
        <w:jc w:val="both"/>
        <w:rPr>
          <w:lang w:val="hu-HU"/>
        </w:rPr>
      </w:pPr>
      <w:r w:rsidRPr="00855E19">
        <w:rPr>
          <w:lang w:val="hu-HU"/>
        </w:rPr>
        <w:tab/>
      </w:r>
      <w:r>
        <w:rPr>
          <w:lang w:val="hu-HU"/>
        </w:rPr>
        <w:t xml:space="preserve">Az állam gazdasági szerepvállalása </w:t>
      </w:r>
      <w:r w:rsidR="009531FF">
        <w:rPr>
          <w:lang w:val="hu-HU"/>
        </w:rPr>
        <w:t xml:space="preserve">hamarosan </w:t>
      </w:r>
      <w:r>
        <w:rPr>
          <w:lang w:val="hu-HU"/>
        </w:rPr>
        <w:t xml:space="preserve">túllépett a hitelügy, a </w:t>
      </w:r>
      <w:r w:rsidRPr="00CB54B4">
        <w:rPr>
          <w:lang w:val="hu-HU" w:eastAsia="x-none"/>
        </w:rPr>
        <w:t>mezőgazdaság</w:t>
      </w:r>
      <w:r>
        <w:rPr>
          <w:lang w:val="hu-HU"/>
        </w:rPr>
        <w:t xml:space="preserve">i áruk kereskedelme és a külkereskedelem szabályozásán és monopóliumok bevezetésén ezeken a területeken. </w:t>
      </w:r>
      <w:r w:rsidRPr="00855E19">
        <w:rPr>
          <w:lang w:val="hu-HU"/>
        </w:rPr>
        <w:t xml:space="preserve">A </w:t>
      </w:r>
      <w:r w:rsidRPr="00FB2028">
        <w:rPr>
          <w:u w:val="single"/>
          <w:lang w:val="hu-HU"/>
        </w:rPr>
        <w:t>győri programként</w:t>
      </w:r>
      <w:r w:rsidRPr="00855E19">
        <w:rPr>
          <w:lang w:val="hu-HU"/>
        </w:rPr>
        <w:t xml:space="preserve"> ismeretes 1938-as nagy állami beruházási terv meghirdetése után az állami túlsúly tovább növekedett a pénzügyek terén, hiszen a – jelent</w:t>
      </w:r>
      <w:r>
        <w:rPr>
          <w:lang w:val="hu-HU"/>
        </w:rPr>
        <w:t>ő</w:t>
      </w:r>
      <w:r w:rsidRPr="00855E19">
        <w:rPr>
          <w:lang w:val="hu-HU"/>
        </w:rPr>
        <w:t>s részben fegyverkezési – elképzelések megvalósítása f</w:t>
      </w:r>
      <w:r>
        <w:rPr>
          <w:lang w:val="hu-HU"/>
        </w:rPr>
        <w:t>ő</w:t>
      </w:r>
      <w:r w:rsidRPr="00855E19">
        <w:rPr>
          <w:lang w:val="hu-HU"/>
        </w:rPr>
        <w:t>ként hitelekb</w:t>
      </w:r>
      <w:r>
        <w:rPr>
          <w:lang w:val="hu-HU"/>
        </w:rPr>
        <w:t>ő</w:t>
      </w:r>
      <w:r w:rsidRPr="00855E19">
        <w:rPr>
          <w:lang w:val="hu-HU"/>
        </w:rPr>
        <w:t>l történt.</w:t>
      </w:r>
      <w:r>
        <w:rPr>
          <w:rStyle w:val="Lbjegyzet-hivatkozs"/>
          <w:lang w:val="hu-HU"/>
        </w:rPr>
        <w:footnoteReference w:id="52"/>
      </w:r>
      <w:r w:rsidRPr="00855E19">
        <w:rPr>
          <w:lang w:val="hu-HU"/>
        </w:rPr>
        <w:t xml:space="preserve">  Az 1939. évi II. tc. felhatalmazta a kormányt, hogy honvédelmi célokból szabályozza a pénzforgalmat, a jegybank és a Pénzintézeti Központ m</w:t>
      </w:r>
      <w:r>
        <w:rPr>
          <w:lang w:val="hu-HU"/>
        </w:rPr>
        <w:t>ű</w:t>
      </w:r>
      <w:r w:rsidRPr="00855E19">
        <w:rPr>
          <w:lang w:val="hu-HU"/>
        </w:rPr>
        <w:t>ködését, s immár tág lehet</w:t>
      </w:r>
      <w:r>
        <w:rPr>
          <w:lang w:val="hu-HU"/>
        </w:rPr>
        <w:t>ő</w:t>
      </w:r>
      <w:r w:rsidRPr="00855E19">
        <w:rPr>
          <w:lang w:val="hu-HU"/>
        </w:rPr>
        <w:t>ségeket nyújtott állami hitelek felvételeihez is. Még a magánbankoktól felvett hitelek végs</w:t>
      </w:r>
      <w:r>
        <w:rPr>
          <w:lang w:val="hu-HU"/>
        </w:rPr>
        <w:t>ő</w:t>
      </w:r>
      <w:r w:rsidRPr="00855E19">
        <w:rPr>
          <w:lang w:val="hu-HU"/>
        </w:rPr>
        <w:t xml:space="preserve"> forrása is többnyire a jegybank volt, mert ezeket olyan kincstári váltókra folyósították, amelyeket aztán a központi banknál visszleszámítoltattak.</w:t>
      </w:r>
    </w:p>
    <w:p w14:paraId="68C0FAC6" w14:textId="4E615A2A" w:rsidR="009531FF" w:rsidRDefault="009531FF" w:rsidP="00C64DF1">
      <w:pPr>
        <w:spacing w:line="360" w:lineRule="auto"/>
        <w:jc w:val="both"/>
        <w:rPr>
          <w:lang w:val="hu-HU"/>
        </w:rPr>
      </w:pPr>
    </w:p>
    <w:p w14:paraId="1494DA8D" w14:textId="17A82726" w:rsidR="0041668F" w:rsidRDefault="0041668F">
      <w:pPr>
        <w:widowControl/>
        <w:autoSpaceDE/>
        <w:autoSpaceDN/>
        <w:adjustRightInd/>
        <w:spacing w:line="360" w:lineRule="auto"/>
        <w:rPr>
          <w:b/>
          <w:bCs/>
          <w:lang w:val="hu-HU"/>
        </w:rPr>
      </w:pPr>
    </w:p>
    <w:p w14:paraId="4BE240D1" w14:textId="356591BD" w:rsidR="00FB2028" w:rsidRPr="00FB2028" w:rsidRDefault="00D914C4" w:rsidP="00855E19">
      <w:pPr>
        <w:spacing w:line="360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4. S</w:t>
      </w:r>
      <w:r w:rsidR="00FB2028" w:rsidRPr="00FB2028">
        <w:rPr>
          <w:b/>
          <w:bCs/>
          <w:lang w:val="hu-HU"/>
        </w:rPr>
        <w:t>zerkezetváltás és külkereskedelmi reorientáció</w:t>
      </w:r>
    </w:p>
    <w:p w14:paraId="670BC968" w14:textId="7D43C3D4" w:rsidR="00FB2028" w:rsidRDefault="00FB2028" w:rsidP="00855E19">
      <w:pPr>
        <w:spacing w:line="360" w:lineRule="auto"/>
        <w:jc w:val="both"/>
        <w:rPr>
          <w:lang w:val="hu-HU"/>
        </w:rPr>
      </w:pPr>
    </w:p>
    <w:p w14:paraId="2BBC89DD" w14:textId="354CF8E3" w:rsidR="009531FF" w:rsidRDefault="009531FF" w:rsidP="00855E19">
      <w:pPr>
        <w:spacing w:line="360" w:lineRule="auto"/>
        <w:jc w:val="both"/>
        <w:rPr>
          <w:lang w:val="hu-HU"/>
        </w:rPr>
      </w:pPr>
      <w:r>
        <w:rPr>
          <w:lang w:val="hu-HU"/>
        </w:rPr>
        <w:t>A válságból való kilábalás nyilvánvaló útjait a hatékonys</w:t>
      </w:r>
      <w:r w:rsidR="00BC6466">
        <w:rPr>
          <w:lang w:val="hu-HU"/>
        </w:rPr>
        <w:t>á</w:t>
      </w:r>
      <w:r>
        <w:rPr>
          <w:lang w:val="hu-HU"/>
        </w:rPr>
        <w:t>g növelése és a termelők piaci probl</w:t>
      </w:r>
      <w:r w:rsidR="00BC6466">
        <w:rPr>
          <w:lang w:val="hu-HU"/>
        </w:rPr>
        <w:t>é</w:t>
      </w:r>
      <w:r>
        <w:rPr>
          <w:lang w:val="hu-HU"/>
        </w:rPr>
        <w:t>máinak megoldása jelentette. A hatékonyság jav</w:t>
      </w:r>
      <w:r w:rsidR="00BC6466">
        <w:rPr>
          <w:lang w:val="hu-HU"/>
        </w:rPr>
        <w:t>ulás</w:t>
      </w:r>
      <w:r>
        <w:rPr>
          <w:lang w:val="hu-HU"/>
        </w:rPr>
        <w:t xml:space="preserve">a egyrészt származhatott az egyes szektorokon belüli hatékonyságjavulásból, másrészt </w:t>
      </w:r>
      <w:r w:rsidR="001301BF">
        <w:rPr>
          <w:lang w:val="hu-HU"/>
        </w:rPr>
        <w:t xml:space="preserve">a szektorok közötti eltolódásokból – a nagyobb hozzáadott értéket előállító szektorok és tevékenységek javára. </w:t>
      </w:r>
    </w:p>
    <w:p w14:paraId="7D0EBFEB" w14:textId="615639D7" w:rsidR="00850A4C" w:rsidRDefault="001301BF" w:rsidP="001301BF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 mezőgazdaságban a hatékonyság javítása kevéssé haladt előre az 1930-as évek során.</w:t>
      </w:r>
      <w:r w:rsidR="00BC6466">
        <w:rPr>
          <w:lang w:val="hu-HU"/>
        </w:rPr>
        <w:t xml:space="preserve"> </w:t>
      </w:r>
      <w:r w:rsidR="00850A4C">
        <w:rPr>
          <w:lang w:val="hu-HU"/>
        </w:rPr>
        <w:t xml:space="preserve">Ez jelentős beruházásokat igényelt, amelyre a válság évei alatt kevés lehetőség nyílott. A bevételek visszaesése ugyanis éppen hogy akadályozta az ehhez szükséges korszerű gépek és eszközök, a műtrágya és a növényvédőszerek, s általában a modernizációhoz szükséges ipari termékek beszerzését. Az agrárolló maga is megnehezítette a </w:t>
      </w:r>
      <w:r w:rsidR="00850A4C" w:rsidRPr="00D0710C">
        <w:rPr>
          <w:lang w:val="hu-HU" w:eastAsia="x-none"/>
        </w:rPr>
        <w:t>mezőgazdaság</w:t>
      </w:r>
      <w:r w:rsidR="00850A4C">
        <w:rPr>
          <w:lang w:val="hu-HU"/>
        </w:rPr>
        <w:t xml:space="preserve"> átalakítását. </w:t>
      </w:r>
    </w:p>
    <w:p w14:paraId="39E597F4" w14:textId="378383D5" w:rsidR="00850A4C" w:rsidRDefault="001301BF" w:rsidP="00850A4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Jól jelzi mindezt, hogy a</w:t>
      </w:r>
      <w:r w:rsidR="00850A4C">
        <w:rPr>
          <w:lang w:val="hu-HU"/>
        </w:rPr>
        <w:t xml:space="preserve"> traktorok </w:t>
      </w:r>
      <w:r>
        <w:rPr>
          <w:lang w:val="hu-HU"/>
        </w:rPr>
        <w:t xml:space="preserve">gyorsan terjedtek </w:t>
      </w:r>
      <w:r w:rsidR="00850A4C">
        <w:rPr>
          <w:lang w:val="hu-HU"/>
        </w:rPr>
        <w:t>az 1920-as években, de 1929 és 1938 között alig nőtt a számuk: 1929-ben 6800 traktor működött az országban, míg 1934-35-</w:t>
      </w:r>
      <w:r w:rsidR="00850A4C">
        <w:rPr>
          <w:lang w:val="hu-HU"/>
        </w:rPr>
        <w:lastRenderedPageBreak/>
        <w:t xml:space="preserve">ben már 3600-ra csökkent a számuk, hogy aztán 1938-ra ismét elérje a válság előtti szintet. Ugyanígy leállt a motoros cséplőgépek terjedése is. A tömeges munkanélküliség miatt az élőmunka alkalmazása – a gépek helyett – szociális célokat is szolgálhatott, jóllehet ez </w:t>
      </w:r>
      <w:r w:rsidR="00850A4C" w:rsidRPr="00D0710C">
        <w:rPr>
          <w:lang w:val="hu-HU"/>
        </w:rPr>
        <w:t>Magyarország</w:t>
      </w:r>
      <w:r w:rsidR="00850A4C">
        <w:rPr>
          <w:lang w:val="hu-HU"/>
        </w:rPr>
        <w:t>on nem vált kormányzati politikává, mint például Jugoszláviában, ahol egy időre rendeletileg tiltották meg a traktorok használatát. A műtrágyafelhasználás az 1920-as években erőteljesen nőtt, de aztán visszaesett a válság éveiben a</w:t>
      </w:r>
      <w:r w:rsidR="00B14C2D">
        <w:rPr>
          <w:lang w:val="hu-HU"/>
        </w:rPr>
        <w:t>z 1929-es</w:t>
      </w:r>
      <w:r w:rsidR="00850A4C">
        <w:rPr>
          <w:lang w:val="hu-HU"/>
        </w:rPr>
        <w:t xml:space="preserve"> hektáronkénti 2</w:t>
      </w:r>
      <w:r w:rsidR="00B14C2D">
        <w:rPr>
          <w:lang w:val="hu-HU"/>
        </w:rPr>
        <w:t>6</w:t>
      </w:r>
      <w:r w:rsidR="00850A4C">
        <w:rPr>
          <w:lang w:val="hu-HU"/>
        </w:rPr>
        <w:t xml:space="preserve"> kg-os – hatóanyagban számított – szintről 1933-ra </w:t>
      </w:r>
      <w:r w:rsidR="00B14C2D">
        <w:rPr>
          <w:lang w:val="hu-HU"/>
        </w:rPr>
        <w:t>3</w:t>
      </w:r>
      <w:r w:rsidR="00850A4C">
        <w:rPr>
          <w:lang w:val="hu-HU"/>
        </w:rPr>
        <w:t xml:space="preserve"> kg-ra, de még 1938-ban is csak </w:t>
      </w:r>
      <w:r w:rsidR="00B14C2D">
        <w:rPr>
          <w:lang w:val="hu-HU"/>
        </w:rPr>
        <w:t>10</w:t>
      </w:r>
      <w:r w:rsidR="00850A4C">
        <w:rPr>
          <w:lang w:val="hu-HU"/>
        </w:rPr>
        <w:t xml:space="preserve"> kg-ot ért el. Mindezek ellenére a terméshozamokban kedvező tendenciák is láthatók: a rozs és a burgonya hozama ugyan kissé csökkent </w:t>
      </w:r>
      <w:r w:rsidR="00850A4C" w:rsidRPr="006023D7">
        <w:rPr>
          <w:lang w:val="hu-HU"/>
        </w:rPr>
        <w:t>Magyarország</w:t>
      </w:r>
      <w:r w:rsidR="00850A4C">
        <w:rPr>
          <w:lang w:val="hu-HU"/>
        </w:rPr>
        <w:t xml:space="preserve">on, ugyanakkor a búza hozama </w:t>
      </w:r>
      <w:r>
        <w:rPr>
          <w:lang w:val="hu-HU"/>
        </w:rPr>
        <w:t xml:space="preserve">átlagosan </w:t>
      </w:r>
      <w:r w:rsidR="00850A4C">
        <w:rPr>
          <w:lang w:val="hu-HU"/>
        </w:rPr>
        <w:t>1</w:t>
      </w:r>
      <w:r>
        <w:rPr>
          <w:lang w:val="hu-HU"/>
        </w:rPr>
        <w:t>0</w:t>
      </w:r>
      <w:r w:rsidR="00850A4C">
        <w:rPr>
          <w:lang w:val="hu-HU"/>
        </w:rPr>
        <w:t xml:space="preserve">%-kal, a kukoricáé </w:t>
      </w:r>
      <w:r>
        <w:rPr>
          <w:lang w:val="hu-HU"/>
        </w:rPr>
        <w:t>15</w:t>
      </w:r>
      <w:r w:rsidR="00850A4C">
        <w:rPr>
          <w:lang w:val="hu-HU"/>
        </w:rPr>
        <w:t>%-kal nőtt</w:t>
      </w:r>
      <w:r>
        <w:rPr>
          <w:lang w:val="hu-HU"/>
        </w:rPr>
        <w:t xml:space="preserve"> az 1924-29 és az 1933-38-as évek között</w:t>
      </w:r>
      <w:r w:rsidR="00850A4C">
        <w:rPr>
          <w:lang w:val="hu-HU"/>
        </w:rPr>
        <w:t>.</w:t>
      </w:r>
      <w:r w:rsidR="00850A4C">
        <w:rPr>
          <w:rStyle w:val="Lbjegyzet-hivatkozs"/>
          <w:lang w:val="hu-HU"/>
        </w:rPr>
        <w:footnoteReference w:id="53"/>
      </w:r>
      <w:r w:rsidR="00850A4C">
        <w:rPr>
          <w:lang w:val="hu-HU"/>
        </w:rPr>
        <w:t xml:space="preserve">  </w:t>
      </w:r>
    </w:p>
    <w:p w14:paraId="38032F9A" w14:textId="1DFA72FE" w:rsidR="00850A4C" w:rsidRDefault="00850A4C" w:rsidP="00850A4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Mindazonáltal a </w:t>
      </w:r>
      <w:r w:rsidRPr="003C6BCA">
        <w:rPr>
          <w:lang w:val="hu-HU" w:eastAsia="x-none"/>
        </w:rPr>
        <w:t>mezőgazdaság</w:t>
      </w:r>
      <w:r>
        <w:rPr>
          <w:lang w:val="hu-HU"/>
        </w:rPr>
        <w:t xml:space="preserve"> </w:t>
      </w:r>
      <w:r w:rsidRPr="00B15DCE">
        <w:rPr>
          <w:u w:val="single"/>
          <w:lang w:val="hu-HU"/>
        </w:rPr>
        <w:t>lassú szerkezeti átalakulása</w:t>
      </w:r>
      <w:r>
        <w:rPr>
          <w:lang w:val="hu-HU"/>
        </w:rPr>
        <w:t xml:space="preserve"> megfigyelhető a válság éveiben.</w:t>
      </w:r>
      <w:r w:rsidRPr="006023D7">
        <w:rPr>
          <w:lang w:val="hu-HU"/>
        </w:rPr>
        <w:t xml:space="preserve"> 1</w:t>
      </w:r>
      <w:r>
        <w:rPr>
          <w:lang w:val="hu-HU"/>
        </w:rPr>
        <w:t xml:space="preserve">930-1934 között a zöldségfélék vetésterülete 37%-kal nőtt, miközben a gabonaféléket 3 százalékponttal kisebb területen termesztették 1920-24 és 1935-38 között. A szőlő-, bor- és gyümölcstermelés szintén növekedett. Az állattenyésztés egyes ágait </w:t>
      </w:r>
      <w:r w:rsidR="001301BF">
        <w:rPr>
          <w:lang w:val="hu-HU"/>
        </w:rPr>
        <w:t xml:space="preserve">viszont </w:t>
      </w:r>
      <w:r>
        <w:rPr>
          <w:lang w:val="hu-HU"/>
        </w:rPr>
        <w:t>különösen súlyosan érintette a válság. 1929-hez képest 1934-ben a szarvasmarhaállomány 8%-kal, a sertések száma 3%-kal, a juhállomány 31%-kal csökkent.</w:t>
      </w:r>
      <w:r w:rsidR="001301BF">
        <w:rPr>
          <w:rStyle w:val="Lbjegyzet-hivatkozs"/>
          <w:lang w:val="hu-HU"/>
        </w:rPr>
        <w:footnoteReference w:id="54"/>
      </w:r>
      <w:r>
        <w:rPr>
          <w:lang w:val="hu-HU"/>
        </w:rPr>
        <w:t xml:space="preserve"> </w:t>
      </w:r>
      <w:r w:rsidRPr="005E6F78">
        <w:rPr>
          <w:lang w:val="hu-HU"/>
        </w:rPr>
        <w:t xml:space="preserve">Ugyanakkor </w:t>
      </w:r>
      <w:r>
        <w:rPr>
          <w:lang w:val="hu-HU"/>
        </w:rPr>
        <w:t xml:space="preserve">kedvező tendencia volt a baromfitenyésztés gyors fejlődése, ami abban is megnyilvánult, hogy a baromfikivitel az 1920-as évek közepe utáni évtizedben kétszeresére emelkedett. </w:t>
      </w:r>
      <w:r w:rsidR="001301BF">
        <w:rPr>
          <w:lang w:val="hu-HU"/>
        </w:rPr>
        <w:t>A válság alatt a</w:t>
      </w:r>
      <w:r>
        <w:rPr>
          <w:lang w:val="hu-HU"/>
        </w:rPr>
        <w:t xml:space="preserve">z </w:t>
      </w:r>
      <w:r w:rsidR="001301BF">
        <w:rPr>
          <w:lang w:val="hu-HU"/>
        </w:rPr>
        <w:t>élő</w:t>
      </w:r>
      <w:r>
        <w:rPr>
          <w:lang w:val="hu-HU"/>
        </w:rPr>
        <w:t>állat</w:t>
      </w:r>
      <w:r w:rsidR="001301BF">
        <w:rPr>
          <w:lang w:val="hu-HU"/>
        </w:rPr>
        <w:t xml:space="preserve">ok és </w:t>
      </w:r>
      <w:r>
        <w:rPr>
          <w:lang w:val="hu-HU"/>
        </w:rPr>
        <w:t>állati termékek kivitel</w:t>
      </w:r>
      <w:r w:rsidR="001301BF">
        <w:rPr>
          <w:lang w:val="hu-HU"/>
        </w:rPr>
        <w:t xml:space="preserve">ének </w:t>
      </w:r>
      <w:r>
        <w:rPr>
          <w:lang w:val="hu-HU"/>
        </w:rPr>
        <w:t>értéke az összes élelmiszerexport</w:t>
      </w:r>
      <w:r w:rsidR="001301BF">
        <w:rPr>
          <w:lang w:val="hu-HU"/>
        </w:rPr>
        <w:t>on belül jelentősen nőtt, s ezen belül is valamelyest emelkedett a feldolgozott termékek aránya</w:t>
      </w:r>
      <w:r>
        <w:rPr>
          <w:lang w:val="hu-HU"/>
        </w:rPr>
        <w:t>.</w:t>
      </w:r>
      <w:r>
        <w:rPr>
          <w:rStyle w:val="Lbjegyzet-hivatkozs"/>
          <w:lang w:val="hu-HU"/>
        </w:rPr>
        <w:footnoteReference w:id="55"/>
      </w:r>
    </w:p>
    <w:p w14:paraId="2055412F" w14:textId="66136B48" w:rsidR="007520E0" w:rsidRDefault="004D43D7" w:rsidP="007520E0">
      <w:pPr>
        <w:spacing w:line="360" w:lineRule="auto"/>
        <w:jc w:val="both"/>
        <w:rPr>
          <w:lang w:val="hu-HU"/>
        </w:rPr>
      </w:pPr>
      <w:r>
        <w:rPr>
          <w:lang w:val="hu-HU" w:eastAsia="x-none"/>
        </w:rPr>
        <w:tab/>
        <w:t xml:space="preserve">Ami az egyes ágazatok közötti eltolódásokat illet, ebben a tekintetben már jelentősebb változásokat láthatunk. </w:t>
      </w:r>
      <w:r w:rsidR="007520E0">
        <w:rPr>
          <w:lang w:val="hu-HU"/>
        </w:rPr>
        <w:t xml:space="preserve">A gazdasági szerkezetváltás viszonylag gyorsan haladt a válság időszakában: a </w:t>
      </w:r>
      <w:r w:rsidR="007520E0" w:rsidRPr="00797835">
        <w:rPr>
          <w:lang w:val="hu-HU" w:eastAsia="x-none"/>
        </w:rPr>
        <w:t>mezőgazdaság</w:t>
      </w:r>
      <w:r w:rsidR="007520E0">
        <w:rPr>
          <w:lang w:val="hu-HU"/>
        </w:rPr>
        <w:t xml:space="preserve"> súlya cs</w:t>
      </w:r>
      <w:r w:rsidR="00BC6466">
        <w:rPr>
          <w:lang w:val="hu-HU"/>
        </w:rPr>
        <w:t>ö</w:t>
      </w:r>
      <w:r w:rsidR="007520E0">
        <w:rPr>
          <w:lang w:val="hu-HU"/>
        </w:rPr>
        <w:t xml:space="preserve">kkent a nagyobb hozzáadott értéket produkáló ipari és szolgáltató ágazatokkal szemben. Míg 1928-ban a </w:t>
      </w:r>
      <w:r w:rsidR="007520E0" w:rsidRPr="00797835">
        <w:rPr>
          <w:lang w:val="hu-HU" w:eastAsia="x-none"/>
        </w:rPr>
        <w:t>mezőgazdaság</w:t>
      </w:r>
      <w:r w:rsidR="007520E0">
        <w:rPr>
          <w:lang w:val="hu-HU"/>
        </w:rPr>
        <w:t xml:space="preserve"> az output 38,8%-át adta, addig 1937-ben már csak 32,2%-át. Ezzel szemben az ipar részaránya 29,9%-ról 31,8%-ra, a szolgáltatásoké 31,9%-ról 36%-ra nőtt.</w:t>
      </w:r>
      <w:r w:rsidR="007520E0">
        <w:rPr>
          <w:rStyle w:val="Lbjegyzet-hivatkozs"/>
          <w:lang w:val="hu-HU"/>
        </w:rPr>
        <w:footnoteReference w:id="56"/>
      </w:r>
      <w:r w:rsidR="007520E0">
        <w:rPr>
          <w:lang w:val="hu-HU"/>
        </w:rPr>
        <w:t xml:space="preserve"> Ez a szerkezeti eltolódás jóval erősebb volt, mint ami pl. Csehszlovákiában vagy Bulgáriában lezajlott ebben az időszakban.</w:t>
      </w:r>
      <w:r w:rsidR="007520E0">
        <w:rPr>
          <w:rStyle w:val="Lbjegyzet-hivatkozs"/>
          <w:lang w:val="hu-HU"/>
        </w:rPr>
        <w:footnoteReference w:id="57"/>
      </w:r>
      <w:r w:rsidR="007520E0">
        <w:rPr>
          <w:lang w:val="hu-HU"/>
        </w:rPr>
        <w:t xml:space="preserve"> </w:t>
      </w:r>
    </w:p>
    <w:p w14:paraId="4CCE096C" w14:textId="1F18FD9A" w:rsidR="00955195" w:rsidRDefault="004D43D7" w:rsidP="00955195">
      <w:pPr>
        <w:spacing w:line="360" w:lineRule="auto"/>
        <w:jc w:val="both"/>
        <w:rPr>
          <w:lang w:val="hu-HU" w:eastAsia="x-none"/>
        </w:rPr>
      </w:pPr>
      <w:r>
        <w:rPr>
          <w:lang w:val="hu-HU" w:eastAsia="x-none"/>
        </w:rPr>
        <w:tab/>
        <w:t>A magyar gazdasági szereplőket sújtó kereslethiány mérséklésének két legfontosabb módja a kormány részéről a belső piac védelme és a küls</w:t>
      </w:r>
      <w:r w:rsidR="00BC6466">
        <w:rPr>
          <w:lang w:val="hu-HU" w:eastAsia="x-none"/>
        </w:rPr>
        <w:t>ő</w:t>
      </w:r>
      <w:r>
        <w:rPr>
          <w:lang w:val="hu-HU" w:eastAsia="x-none"/>
        </w:rPr>
        <w:t xml:space="preserve"> piacok bővítése volt. Míg az előbbi leginkább az ipart érintette, addig az exportpi</w:t>
      </w:r>
      <w:r w:rsidR="00BC6466">
        <w:rPr>
          <w:lang w:val="hu-HU" w:eastAsia="x-none"/>
        </w:rPr>
        <w:t>a</w:t>
      </w:r>
      <w:r>
        <w:rPr>
          <w:lang w:val="hu-HU" w:eastAsia="x-none"/>
        </w:rPr>
        <w:t xml:space="preserve">cok bővítése a mezőgazdaság esetében jött szóba. </w:t>
      </w:r>
      <w:r>
        <w:rPr>
          <w:lang w:val="hu-HU" w:eastAsia="x-none"/>
        </w:rPr>
        <w:lastRenderedPageBreak/>
        <w:t>Az ipart védő intézkedéseket korábban már bemutattuk.</w:t>
      </w:r>
      <w:r w:rsidR="00BC6466">
        <w:rPr>
          <w:lang w:val="hu-HU" w:eastAsia="x-none"/>
        </w:rPr>
        <w:t xml:space="preserve"> Az import értéke 1929 és 1933 között kevesebb mint harmadára esett.</w:t>
      </w:r>
      <w:r>
        <w:rPr>
          <w:lang w:val="hu-HU" w:eastAsia="x-none"/>
        </w:rPr>
        <w:t xml:space="preserve"> </w:t>
      </w:r>
      <w:r w:rsidR="00955195">
        <w:rPr>
          <w:lang w:val="hu-HU" w:eastAsia="x-none"/>
        </w:rPr>
        <w:t xml:space="preserve">Az </w:t>
      </w:r>
      <w:r w:rsidR="00955195" w:rsidRPr="00955195">
        <w:rPr>
          <w:u w:val="single"/>
          <w:lang w:val="hu-HU" w:eastAsia="x-none"/>
        </w:rPr>
        <w:t>importpótlás</w:t>
      </w:r>
      <w:r w:rsidR="00797835">
        <w:rPr>
          <w:u w:val="single"/>
          <w:lang w:val="hu-HU" w:eastAsia="x-none"/>
        </w:rPr>
        <w:t>t</w:t>
      </w:r>
      <w:r w:rsidR="00797835" w:rsidRPr="00BC6466">
        <w:rPr>
          <w:lang w:val="hu-HU" w:eastAsia="x-none"/>
        </w:rPr>
        <w:t xml:space="preserve"> előtérbe helyező gazdaságpolitika</w:t>
      </w:r>
      <w:r w:rsidR="00955195">
        <w:rPr>
          <w:lang w:val="hu-HU" w:eastAsia="x-none"/>
        </w:rPr>
        <w:t xml:space="preserve"> </w:t>
      </w:r>
      <w:r>
        <w:rPr>
          <w:lang w:val="hu-HU" w:eastAsia="x-none"/>
        </w:rPr>
        <w:t>nyomán</w:t>
      </w:r>
      <w:r w:rsidRPr="004D43D7">
        <w:rPr>
          <w:lang w:val="hu-HU" w:eastAsia="x-none"/>
        </w:rPr>
        <w:t xml:space="preserve"> </w:t>
      </w:r>
      <w:r>
        <w:rPr>
          <w:lang w:val="hu-HU" w:eastAsia="x-none"/>
        </w:rPr>
        <w:t>a fogyasztási cikkek aránya az összes behozatalban 1913-ban még 62% volt, 192</w:t>
      </w:r>
      <w:r w:rsidR="00BC6466">
        <w:rPr>
          <w:lang w:val="hu-HU" w:eastAsia="x-none"/>
        </w:rPr>
        <w:t>5</w:t>
      </w:r>
      <w:r>
        <w:rPr>
          <w:lang w:val="hu-HU" w:eastAsia="x-none"/>
        </w:rPr>
        <w:t>-re ez már 4</w:t>
      </w:r>
      <w:r w:rsidR="00BC6466">
        <w:rPr>
          <w:lang w:val="hu-HU" w:eastAsia="x-none"/>
        </w:rPr>
        <w:t>9</w:t>
      </w:r>
      <w:r>
        <w:rPr>
          <w:lang w:val="hu-HU" w:eastAsia="x-none"/>
        </w:rPr>
        <w:t>%-ra, 1937-re pedig 27%-ra csökkent.</w:t>
      </w:r>
      <w:r>
        <w:rPr>
          <w:rStyle w:val="Lbjegyzet-hivatkozs"/>
          <w:lang w:val="hu-HU" w:eastAsia="x-none"/>
        </w:rPr>
        <w:footnoteReference w:id="58"/>
      </w:r>
      <w:r>
        <w:rPr>
          <w:lang w:val="hu-HU" w:eastAsia="x-none"/>
        </w:rPr>
        <w:t xml:space="preserve"> A fogyasztási cikkek ilyen visszaszorulása segítette a hazai ipar megfelelő ágazatait – így különösen a textilipart. Az import kiszorítása miatt ezek termelése az 1930-as években is dinamikusan nőtt, jóllehet a belföldi kereslet csökkent. Ez </w:t>
      </w:r>
      <w:r w:rsidR="00797835">
        <w:rPr>
          <w:lang w:val="hu-HU" w:eastAsia="x-none"/>
        </w:rPr>
        <w:t>hozzájárult a kereskedelmi nyitottság mérséklődéséhez</w:t>
      </w:r>
      <w:r>
        <w:rPr>
          <w:lang w:val="hu-HU" w:eastAsia="x-none"/>
        </w:rPr>
        <w:t xml:space="preserve"> is</w:t>
      </w:r>
      <w:r w:rsidR="00797835">
        <w:rPr>
          <w:lang w:val="hu-HU" w:eastAsia="x-none"/>
        </w:rPr>
        <w:t xml:space="preserve">. Míg 1929-ben az export és az import együttes aránya (trade openness) a GDP 32,7%-át tette ki, addig ez 1937-ben </w:t>
      </w:r>
      <w:r>
        <w:rPr>
          <w:lang w:val="hu-HU" w:eastAsia="x-none"/>
        </w:rPr>
        <w:t xml:space="preserve">már </w:t>
      </w:r>
      <w:r w:rsidR="00797835">
        <w:rPr>
          <w:lang w:val="hu-HU" w:eastAsia="x-none"/>
        </w:rPr>
        <w:t>csak 20% volt.</w:t>
      </w:r>
      <w:r w:rsidR="00797835">
        <w:rPr>
          <w:rStyle w:val="Lbjegyzet-hivatkozs"/>
          <w:lang w:val="hu-HU" w:eastAsia="x-none"/>
        </w:rPr>
        <w:footnoteReference w:id="59"/>
      </w:r>
      <w:r w:rsidR="00797835">
        <w:rPr>
          <w:lang w:val="hu-HU" w:eastAsia="x-none"/>
        </w:rPr>
        <w:t xml:space="preserve"> </w:t>
      </w:r>
      <w:r>
        <w:rPr>
          <w:lang w:val="hu-HU" w:eastAsia="x-none"/>
        </w:rPr>
        <w:t xml:space="preserve">Ugyanakkor az importpótlás </w:t>
      </w:r>
      <w:r w:rsidR="00955195">
        <w:rPr>
          <w:lang w:val="hu-HU" w:eastAsia="x-none"/>
        </w:rPr>
        <w:t>előnyös</w:t>
      </w:r>
      <w:r>
        <w:rPr>
          <w:lang w:val="hu-HU" w:eastAsia="x-none"/>
        </w:rPr>
        <w:t xml:space="preserve">en hatott </w:t>
      </w:r>
      <w:r w:rsidR="00955195">
        <w:rPr>
          <w:lang w:val="hu-HU" w:eastAsia="x-none"/>
        </w:rPr>
        <w:t>a kereskedelmi és fizetési mérleg</w:t>
      </w:r>
      <w:r w:rsidR="007520E0">
        <w:rPr>
          <w:lang w:val="hu-HU" w:eastAsia="x-none"/>
        </w:rPr>
        <w:t>re</w:t>
      </w:r>
      <w:r w:rsidR="00955195">
        <w:rPr>
          <w:lang w:val="hu-HU" w:eastAsia="x-none"/>
        </w:rPr>
        <w:t xml:space="preserve">, sőt, a </w:t>
      </w:r>
      <w:r w:rsidR="00955195" w:rsidRPr="00955195">
        <w:rPr>
          <w:u w:val="single"/>
          <w:lang w:val="hu-HU" w:eastAsia="x-none"/>
        </w:rPr>
        <w:t>cserearányok</w:t>
      </w:r>
      <w:r w:rsidR="007520E0">
        <w:rPr>
          <w:u w:val="single"/>
          <w:lang w:val="hu-HU" w:eastAsia="x-none"/>
        </w:rPr>
        <w:t>ra</w:t>
      </w:r>
      <w:r w:rsidR="00955195">
        <w:rPr>
          <w:lang w:val="hu-HU" w:eastAsia="x-none"/>
        </w:rPr>
        <w:t xml:space="preserve"> is. A fogyasztási cikkek behozatalának drasztikus korlátozása ugyanis éppen azokat az árucsoportokat érintette, amelyeknek a világpiaci ára a legkevésbé csökkent. A fogyasztási cikkek gyártásának felfutása ellenben azoknak a nyersanyagoknak és félkésztermékeknek – például gyapot és fonalak – a behozatalát növelte meg, melyek ára a világpiacon a leginkább esett a válság időszakában.</w:t>
      </w:r>
      <w:r w:rsidR="00B14C2D">
        <w:rPr>
          <w:rStyle w:val="Lbjegyzet-hivatkozs"/>
          <w:lang w:val="hu-HU" w:eastAsia="x-none"/>
        </w:rPr>
        <w:footnoteReference w:id="60"/>
      </w:r>
      <w:r w:rsidR="00955195">
        <w:rPr>
          <w:lang w:val="hu-HU" w:eastAsia="x-none"/>
        </w:rPr>
        <w:t xml:space="preserve"> Utóbbiak aránya a magyar importban 1913-ban még csak 38%-ot tett ki, ez 1929-re már 60%-ra, 1937-re pedig 73%-ra nőtt. Ennek – és a világpiaci ármozgásoknak – következtében a válság első éveiben nagyban romló cserearányok az 1930-as évek közepétől javulni kezdtek, és megközelítőleg helyreálltak a válság előtti viszonyok.</w:t>
      </w:r>
      <w:r w:rsidR="00955195">
        <w:rPr>
          <w:rStyle w:val="Lbjegyzet-hivatkozs"/>
          <w:lang w:val="hu-HU" w:eastAsia="x-none"/>
        </w:rPr>
        <w:footnoteReference w:id="61"/>
      </w:r>
      <w:r w:rsidR="00955195">
        <w:rPr>
          <w:lang w:val="hu-HU" w:eastAsia="x-none"/>
        </w:rPr>
        <w:t xml:space="preserve"> </w:t>
      </w:r>
    </w:p>
    <w:p w14:paraId="12BD9B39" w14:textId="0477F42D" w:rsidR="00950536" w:rsidRDefault="007520E0" w:rsidP="007520E0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>A válság alatt az ország hagyományos exportpiacai a korábbinál is inkább bezárkóztak</w:t>
      </w:r>
      <w:r w:rsidR="00BC6466">
        <w:rPr>
          <w:lang w:val="hu-HU"/>
        </w:rPr>
        <w:t xml:space="preserve"> </w:t>
      </w:r>
      <w:r w:rsidR="002C6069">
        <w:rPr>
          <w:lang w:val="hu-HU"/>
        </w:rPr>
        <w:t>és az export jelentősen visszaesett. Az 1929-es 1038 millió pengős kivitel 1933-ban már csak 391 millió pengőt tett ki, s még 1937-ben is csak 588 millió pengőre nőtt ez az érték.</w:t>
      </w:r>
      <w:r w:rsidR="002C6069">
        <w:rPr>
          <w:rStyle w:val="Lbjegyzet-hivatkozs"/>
          <w:lang w:val="hu-HU"/>
        </w:rPr>
        <w:footnoteReference w:id="62"/>
      </w:r>
      <w:r w:rsidR="002C6069">
        <w:rPr>
          <w:lang w:val="hu-HU"/>
        </w:rPr>
        <w:t xml:space="preserve"> Í</w:t>
      </w:r>
      <w:r>
        <w:rPr>
          <w:lang w:val="hu-HU"/>
        </w:rPr>
        <w:t xml:space="preserve">gy az import visszaszorítása mellett a magyar kormányok fontos törekvése volt az export ösztönzése is. Bővítette a kormány lehetőségeit – és egyben feladatait --, hogy a </w:t>
      </w:r>
      <w:r w:rsidR="00950536">
        <w:rPr>
          <w:lang w:val="hu-HU"/>
        </w:rPr>
        <w:t xml:space="preserve">nemzetközi fizetési forgalom állami ellenőrzésével együtt a külkereskedelmi forgalom is állami felügyelet alá került. Az export- és importügyletekhez hatósági engedélyre volt szükség. 1932/33-ban az exportban német mintára bevezették a </w:t>
      </w:r>
      <w:r w:rsidR="00950536" w:rsidRPr="007A4B23">
        <w:rPr>
          <w:u w:val="single"/>
          <w:lang w:val="hu-HU"/>
        </w:rPr>
        <w:t>felárrendszert</w:t>
      </w:r>
      <w:r w:rsidR="00950536">
        <w:rPr>
          <w:lang w:val="hu-HU"/>
        </w:rPr>
        <w:t>. Ennek hátterében az állt, hogy a kivitelt ösztönözni kívánták, de nem akarták leértékelni a pengőt, mivel az a külföldi adósságok -- pengőben számított – törlesztőrészleteit is megnövelte volna. A bevezetett exportprémiumok a külföldi valutákkal szemben 20-50%-os de facto leértékelésnek feleltek meg.</w:t>
      </w:r>
    </w:p>
    <w:p w14:paraId="61DAEA89" w14:textId="77777777" w:rsidR="004371FE" w:rsidRDefault="004371FE" w:rsidP="004371FE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lastRenderedPageBreak/>
        <w:t xml:space="preserve">Az ipar egy része alkalmazkodni tudott a külpiaci igényekhez és néhány ágazat kimondottan jó exporteredményeket ért el. Ilyen volt a zöldség- és gyümölcskonzervgyártás. A Globus márkanév alatt értékesített konzervek exportja felfutott: ezen belül is kiemelkedett a paradicsomsűrítmény kivitele, mely hússzorosára nőtt. Az ipar többi ágában inkább szigetszerűen alakultak ki fejlett technológiát alkalmazó és exportképes területek. A válság idején kezdték feltárni a </w:t>
      </w:r>
      <w:r w:rsidRPr="009A00C9">
        <w:rPr>
          <w:lang w:val="hu-HU"/>
        </w:rPr>
        <w:t>magyarországi</w:t>
      </w:r>
      <w:r>
        <w:rPr>
          <w:lang w:val="hu-HU"/>
        </w:rPr>
        <w:t xml:space="preserve"> bauxitlelőhelyeket, melynek nyomán 1937-re már évi félmillió tonna bauxitot bányásztak. Ennek jó része német exportra került. Az izzólámpagyártásban már korábban is nemzetközileg jelentős Egyesült Izzó Rt. a kriptonlámpa kifejlesztésével világméretekben is élenjárt, de új területeken – mint pl. a rádiócsövek gyártása – is megjelent.</w:t>
      </w:r>
      <w:r>
        <w:rPr>
          <w:rStyle w:val="Lbjegyzet-hivatkozs"/>
          <w:lang w:val="hu-HU"/>
        </w:rPr>
        <w:footnoteReference w:id="63"/>
      </w:r>
      <w:r>
        <w:rPr>
          <w:lang w:val="hu-HU"/>
        </w:rPr>
        <w:t xml:space="preserve"> A gépipar új és sikeres exportcikkei közé tartozott a Ganz vállalat által kifejlesztett villamos motorvonat. A magyar elektortechnikai cégek világpiaci részesedése a válság alatt érte el csúcspontját: súlyuk 1929-ben 0,7%, 1933-ban 2,2%, 1937-ben 1,7% volt ebben a technológiailag élenjáró gazdasági szegmensben.</w:t>
      </w:r>
      <w:r>
        <w:rPr>
          <w:rStyle w:val="Lbjegyzet-hivatkozs"/>
          <w:lang w:val="hu-HU"/>
        </w:rPr>
        <w:footnoteReference w:id="64"/>
      </w:r>
      <w:r>
        <w:rPr>
          <w:lang w:val="hu-HU"/>
        </w:rPr>
        <w:t xml:space="preserve"> A Ganz &amp; Co. további fontos exportcikke volt a Jendrassik-féle dízelmozdony, melyből a háború kitöréséig több mint ötszáz darabot exportáltak. 1939-ben például Argentína vasúti mozdonyainak kétharmada magyar gyártmányú volt.</w:t>
      </w:r>
      <w:r>
        <w:rPr>
          <w:rStyle w:val="Lbjegyzet-hivatkozs"/>
          <w:lang w:val="hu-HU"/>
        </w:rPr>
        <w:footnoteReference w:id="65"/>
      </w:r>
      <w:r>
        <w:rPr>
          <w:lang w:val="hu-HU"/>
        </w:rPr>
        <w:t xml:space="preserve"> Fontos innovációk születtek a gyógyszergyártásban is.</w:t>
      </w:r>
    </w:p>
    <w:p w14:paraId="26647691" w14:textId="77777777" w:rsidR="004371FE" w:rsidRDefault="004371FE" w:rsidP="004371FE">
      <w:pPr>
        <w:spacing w:line="360" w:lineRule="auto"/>
        <w:jc w:val="both"/>
        <w:rPr>
          <w:lang w:val="hu-HU" w:eastAsia="x-none"/>
        </w:rPr>
      </w:pPr>
      <w:r>
        <w:rPr>
          <w:lang w:val="hu-HU"/>
        </w:rPr>
        <w:tab/>
        <w:t xml:space="preserve">Természetesen ezek a példák nem jelentik azt, hogy a magyar ipar nagy része ilyen színvonalon állt, s azt sem, hogy az exportot ezek az ágazatok uralták. Ellenkezőleg: az 1930-as évek </w:t>
      </w:r>
      <w:r w:rsidRPr="002C4990">
        <w:rPr>
          <w:lang w:val="hu-HU"/>
        </w:rPr>
        <w:t>magyarországi</w:t>
      </w:r>
      <w:r>
        <w:rPr>
          <w:lang w:val="hu-HU"/>
        </w:rPr>
        <w:t xml:space="preserve"> ipari fejlődése nem annyira a technológiai innovációkon alapuló export, mint inkább a válság alatt újabb lendületet kapott importpótló iparosítás eredménye volt. Az exportban sem az ipari, hanem továbbra is a </w:t>
      </w:r>
      <w:r w:rsidRPr="00AF0AAC">
        <w:rPr>
          <w:lang w:val="hu-HU" w:eastAsia="x-none"/>
        </w:rPr>
        <w:t>mezőgazdasá</w:t>
      </w:r>
      <w:r>
        <w:rPr>
          <w:lang w:val="hu-HU" w:eastAsia="x-none"/>
        </w:rPr>
        <w:t>gi termékek domináltak.</w:t>
      </w:r>
    </w:p>
    <w:p w14:paraId="075333BF" w14:textId="42D71F72" w:rsidR="00950536" w:rsidRPr="00855E19" w:rsidRDefault="00950536" w:rsidP="00855E19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 xml:space="preserve">A többi térségbeli országhoz hasonlóan a külkereskedelemben </w:t>
      </w:r>
      <w:r w:rsidR="007520E0">
        <w:rPr>
          <w:lang w:val="hu-HU"/>
        </w:rPr>
        <w:t>megnőtt</w:t>
      </w:r>
      <w:r>
        <w:rPr>
          <w:lang w:val="hu-HU"/>
        </w:rPr>
        <w:t xml:space="preserve"> a </w:t>
      </w:r>
      <w:r w:rsidRPr="00950536">
        <w:rPr>
          <w:u w:val="single"/>
          <w:lang w:val="hu-HU"/>
        </w:rPr>
        <w:t>klíringelszámolás</w:t>
      </w:r>
      <w:r w:rsidR="007520E0">
        <w:rPr>
          <w:u w:val="single"/>
          <w:lang w:val="hu-HU"/>
        </w:rPr>
        <w:t xml:space="preserve"> jelentősége</w:t>
      </w:r>
      <w:r>
        <w:rPr>
          <w:lang w:val="hu-HU"/>
        </w:rPr>
        <w:t>, amely</w:t>
      </w:r>
      <w:r w:rsidR="007520E0">
        <w:rPr>
          <w:lang w:val="hu-HU"/>
        </w:rPr>
        <w:t xml:space="preserve"> néhány éve alatt teljesen</w:t>
      </w:r>
      <w:r>
        <w:rPr>
          <w:lang w:val="hu-HU"/>
        </w:rPr>
        <w:t xml:space="preserve"> háttérbe szorította a devizaforgalmat. </w:t>
      </w:r>
      <w:r w:rsidR="007520E0">
        <w:rPr>
          <w:lang w:val="hu-HU"/>
        </w:rPr>
        <w:t>Magyarország 1935-ben már külkereskedelmének kétharmadát, 1938-ban pedig 85%-át ilyen módon bonyolította.</w:t>
      </w:r>
      <w:r w:rsidR="007520E0">
        <w:rPr>
          <w:rStyle w:val="Lbjegyzet-hivatkozs"/>
          <w:lang w:val="hu-HU"/>
        </w:rPr>
        <w:footnoteReference w:id="66"/>
      </w:r>
      <w:r w:rsidR="007520E0">
        <w:rPr>
          <w:lang w:val="hu-HU"/>
        </w:rPr>
        <w:t xml:space="preserve"> </w:t>
      </w:r>
      <w:r>
        <w:rPr>
          <w:lang w:val="hu-HU"/>
        </w:rPr>
        <w:t xml:space="preserve">A klíring lényege az volt, hogy az egyes országok a kölcsönös szállítások értékét nem egyenlítették ki folyamatosan, hanem csak az éves egyenleg különbségét utalták át. </w:t>
      </w:r>
    </w:p>
    <w:p w14:paraId="3EA7A624" w14:textId="68C80163" w:rsidR="001E7280" w:rsidRDefault="00CB54B4" w:rsidP="00CB54B4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Az állam közvetlen gazdasági szerepvállalása különösen erősen jelentkezett a </w:t>
      </w:r>
      <w:r w:rsidRPr="00FB2028">
        <w:rPr>
          <w:u w:val="single"/>
          <w:lang w:val="hu-HU" w:eastAsia="x-none"/>
        </w:rPr>
        <w:t>Németország</w:t>
      </w:r>
      <w:r w:rsidRPr="00FB2028">
        <w:rPr>
          <w:u w:val="single"/>
          <w:lang w:val="hu-HU"/>
        </w:rPr>
        <w:t>gal</w:t>
      </w:r>
      <w:r>
        <w:rPr>
          <w:lang w:val="hu-HU"/>
        </w:rPr>
        <w:t xml:space="preserve"> mind szorosabbá váló gazdasági kapcsolatok terén.</w:t>
      </w:r>
      <w:r w:rsidR="00946EC4">
        <w:rPr>
          <w:lang w:val="hu-HU"/>
        </w:rPr>
        <w:t xml:space="preserve"> </w:t>
      </w:r>
      <w:r w:rsidR="007520E0">
        <w:rPr>
          <w:lang w:val="hu-HU"/>
        </w:rPr>
        <w:t>Ennek hátterében az állt, hogy a</w:t>
      </w:r>
      <w:r w:rsidR="00946EC4" w:rsidRPr="002804B1">
        <w:rPr>
          <w:lang w:val="hu-HU"/>
        </w:rPr>
        <w:t xml:space="preserve">z 1930-as évek közepétől Magyarország erőteljesen megváltozott nemzetközi politikai </w:t>
      </w:r>
      <w:r w:rsidR="00946EC4" w:rsidRPr="002804B1">
        <w:rPr>
          <w:lang w:val="hu-HU"/>
        </w:rPr>
        <w:lastRenderedPageBreak/>
        <w:t>és gazdasági erőtérbe került, amiben Németország súlya jelentősen felértékelődött.</w:t>
      </w:r>
      <w:r w:rsidR="007520E0">
        <w:rPr>
          <w:lang w:val="hu-HU"/>
        </w:rPr>
        <w:t xml:space="preserve"> </w:t>
      </w:r>
      <w:r>
        <w:rPr>
          <w:lang w:val="hu-HU"/>
        </w:rPr>
        <w:t xml:space="preserve">Míg a válság kezdeti időszakában </w:t>
      </w:r>
      <w:r w:rsidRPr="00CB54B4">
        <w:rPr>
          <w:lang w:val="hu-HU" w:eastAsia="x-none"/>
        </w:rPr>
        <w:t>Németország</w:t>
      </w:r>
      <w:r>
        <w:rPr>
          <w:lang w:val="hu-HU"/>
        </w:rPr>
        <w:t xml:space="preserve"> igyekezett korlátozni a </w:t>
      </w:r>
      <w:r w:rsidRPr="00CB54B4">
        <w:rPr>
          <w:lang w:val="hu-HU" w:eastAsia="x-none"/>
        </w:rPr>
        <w:t>mezőgazdaság</w:t>
      </w:r>
      <w:r>
        <w:rPr>
          <w:lang w:val="hu-HU"/>
        </w:rPr>
        <w:t xml:space="preserve">i termékek importját </w:t>
      </w:r>
      <w:r w:rsidR="007A4B23" w:rsidRPr="007A4B23">
        <w:rPr>
          <w:lang w:val="hu-HU" w:eastAsia="x-none"/>
        </w:rPr>
        <w:t>Kelet-Közép-</w:t>
      </w:r>
      <w:r w:rsidR="007A4B23">
        <w:rPr>
          <w:lang w:val="hu-HU" w:eastAsia="x-none"/>
        </w:rPr>
        <w:t xml:space="preserve"> és Délkelet-</w:t>
      </w:r>
      <w:r w:rsidR="007A4B23" w:rsidRPr="007A4B23">
        <w:rPr>
          <w:lang w:val="hu-HU" w:eastAsia="x-none"/>
        </w:rPr>
        <w:t>Európ</w:t>
      </w:r>
      <w:r w:rsidR="007A4B23">
        <w:rPr>
          <w:lang w:val="hu-HU" w:eastAsia="x-none"/>
        </w:rPr>
        <w:t>ából</w:t>
      </w:r>
      <w:r>
        <w:rPr>
          <w:lang w:val="hu-HU"/>
        </w:rPr>
        <w:t>, addig Hitler hatalomra jutása után -- a javuló gazdasági helyzetnek és a fegyverkezési törekvéseknek megfelelően – nyitottnak mutatkozott ezen a téren.</w:t>
      </w:r>
      <w:r w:rsidR="001E7280">
        <w:rPr>
          <w:lang w:val="hu-HU"/>
        </w:rPr>
        <w:t xml:space="preserve"> </w:t>
      </w:r>
      <w:r w:rsidR="00241FC2">
        <w:rPr>
          <w:lang w:val="hu-HU"/>
        </w:rPr>
        <w:t xml:space="preserve">A </w:t>
      </w:r>
      <w:r w:rsidR="00241FC2" w:rsidRPr="00241FC2">
        <w:rPr>
          <w:lang w:val="hu-HU" w:eastAsia="x-none"/>
        </w:rPr>
        <w:t>Németország</w:t>
      </w:r>
      <w:r w:rsidR="00241FC2">
        <w:rPr>
          <w:lang w:val="hu-HU"/>
        </w:rPr>
        <w:t xml:space="preserve">ban 1934-ben meghirdetett </w:t>
      </w:r>
      <w:r w:rsidR="00241FC2" w:rsidRPr="00241FC2">
        <w:rPr>
          <w:i/>
          <w:iCs/>
          <w:lang w:val="hu-HU"/>
        </w:rPr>
        <w:t>Neuer Plan</w:t>
      </w:r>
      <w:r w:rsidR="00241FC2">
        <w:rPr>
          <w:lang w:val="hu-HU"/>
        </w:rPr>
        <w:t xml:space="preserve"> új alapokra helyezte a német külgazdaságot, ugyanis annak keretében az import központi szabályozását valósították meg. Ez lehetővé tette azt, hogy a </w:t>
      </w:r>
      <w:r w:rsidR="00241FC2" w:rsidRPr="00241FC2">
        <w:rPr>
          <w:lang w:val="hu-HU"/>
        </w:rPr>
        <w:t>délkelet-európai</w:t>
      </w:r>
      <w:r w:rsidR="00241FC2">
        <w:rPr>
          <w:lang w:val="hu-HU"/>
        </w:rPr>
        <w:t xml:space="preserve"> országokkal </w:t>
      </w:r>
      <w:r w:rsidR="0067175E">
        <w:rPr>
          <w:lang w:val="hu-HU"/>
        </w:rPr>
        <w:t xml:space="preserve">átfogó </w:t>
      </w:r>
      <w:r w:rsidR="00241FC2">
        <w:rPr>
          <w:lang w:val="hu-HU"/>
        </w:rPr>
        <w:t xml:space="preserve">kétoldalú megállapodásokat kössenek klíringelszámolást alkalmazva. </w:t>
      </w:r>
      <w:r w:rsidR="0067175E">
        <w:rPr>
          <w:lang w:val="hu-HU"/>
        </w:rPr>
        <w:t xml:space="preserve">Ezeket </w:t>
      </w:r>
      <w:r w:rsidR="00241FC2" w:rsidRPr="00241FC2">
        <w:rPr>
          <w:lang w:val="hu-HU" w:eastAsia="x-none"/>
        </w:rPr>
        <w:t>Németország</w:t>
      </w:r>
      <w:r w:rsidR="00241FC2">
        <w:rPr>
          <w:lang w:val="hu-HU"/>
        </w:rPr>
        <w:t xml:space="preserve"> </w:t>
      </w:r>
      <w:r w:rsidR="0067175E">
        <w:rPr>
          <w:lang w:val="hu-HU"/>
        </w:rPr>
        <w:t>külpol</w:t>
      </w:r>
      <w:r w:rsidR="00241FC2">
        <w:rPr>
          <w:lang w:val="hu-HU"/>
        </w:rPr>
        <w:t>itikai céljai elérésére is használta. A nagytérgazdaság (</w:t>
      </w:r>
      <w:r w:rsidR="00241FC2" w:rsidRPr="00241FC2">
        <w:rPr>
          <w:i/>
          <w:iCs/>
          <w:lang w:val="hu-HU"/>
        </w:rPr>
        <w:t>Großraumwirtschaft</w:t>
      </w:r>
      <w:r w:rsidR="00241FC2">
        <w:rPr>
          <w:lang w:val="hu-HU"/>
        </w:rPr>
        <w:t xml:space="preserve">) koncepciójában a </w:t>
      </w:r>
      <w:r w:rsidR="00241FC2" w:rsidRPr="00241FC2">
        <w:rPr>
          <w:i/>
          <w:iCs/>
          <w:lang w:val="hu-HU"/>
        </w:rPr>
        <w:t>Südostraum</w:t>
      </w:r>
      <w:r w:rsidR="00241FC2">
        <w:rPr>
          <w:lang w:val="hu-HU"/>
        </w:rPr>
        <w:t xml:space="preserve"> fontos helyet foglalt el, s ebbe beletartozott </w:t>
      </w:r>
      <w:r w:rsidR="00241FC2" w:rsidRPr="00241FC2">
        <w:rPr>
          <w:lang w:val="hu-HU"/>
        </w:rPr>
        <w:t>Magyarország</w:t>
      </w:r>
      <w:r w:rsidR="00241FC2">
        <w:rPr>
          <w:lang w:val="hu-HU"/>
        </w:rPr>
        <w:t xml:space="preserve"> is. Ennek megfelelően kötötték meg 1934 elején a német-magyar kereskedelmi megállapodást, amely az első </w:t>
      </w:r>
      <w:r w:rsidR="0067175E">
        <w:rPr>
          <w:lang w:val="hu-HU"/>
        </w:rPr>
        <w:t xml:space="preserve">(?) </w:t>
      </w:r>
      <w:r w:rsidR="00241FC2">
        <w:rPr>
          <w:lang w:val="hu-HU"/>
        </w:rPr>
        <w:t xml:space="preserve">volt </w:t>
      </w:r>
      <w:r w:rsidR="00241FC2" w:rsidRPr="00241FC2">
        <w:rPr>
          <w:lang w:val="hu-HU" w:eastAsia="x-none"/>
        </w:rPr>
        <w:t>Németország</w:t>
      </w:r>
      <w:r w:rsidR="00241FC2">
        <w:rPr>
          <w:lang w:val="hu-HU"/>
        </w:rPr>
        <w:t xml:space="preserve"> klíringegyezményei között és később mintát adott a más </w:t>
      </w:r>
      <w:r w:rsidR="00241FC2" w:rsidRPr="00241FC2">
        <w:rPr>
          <w:lang w:val="hu-HU"/>
        </w:rPr>
        <w:t>délkelet-európai</w:t>
      </w:r>
      <w:r w:rsidR="00241FC2">
        <w:rPr>
          <w:lang w:val="hu-HU"/>
        </w:rPr>
        <w:t xml:space="preserve"> országokkal kialakított hasonló megállapodásokhoz.</w:t>
      </w:r>
      <w:r w:rsidR="00FB2028">
        <w:rPr>
          <w:rStyle w:val="Lbjegyzet-hivatkozs"/>
          <w:lang w:val="hu-HU"/>
        </w:rPr>
        <w:footnoteReference w:id="67"/>
      </w:r>
    </w:p>
    <w:p w14:paraId="78237BE7" w14:textId="02F26BC9" w:rsidR="00CB54B4" w:rsidRDefault="00241FC2" w:rsidP="00CB54B4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</w:t>
      </w:r>
      <w:r w:rsidR="00CB54B4">
        <w:rPr>
          <w:lang w:val="hu-HU"/>
        </w:rPr>
        <w:t xml:space="preserve"> megállapodás </w:t>
      </w:r>
      <w:r>
        <w:rPr>
          <w:lang w:val="hu-HU"/>
        </w:rPr>
        <w:t>alapján a német kormány – bonyolult visszatérítési rendszer alkalmazásával – vám- és m</w:t>
      </w:r>
      <w:r w:rsidR="00CB54B4">
        <w:rPr>
          <w:lang w:val="hu-HU"/>
        </w:rPr>
        <w:t>ás kedvezményeket biztosított a magyar agrártermékek németországi értékesítéséhez</w:t>
      </w:r>
      <w:r>
        <w:rPr>
          <w:lang w:val="hu-HU"/>
        </w:rPr>
        <w:t>, s ezzel együtt kötelezettséget is vállalt jel</w:t>
      </w:r>
      <w:r w:rsidR="0067175E">
        <w:rPr>
          <w:lang w:val="hu-HU"/>
        </w:rPr>
        <w:t>e</w:t>
      </w:r>
      <w:r>
        <w:rPr>
          <w:lang w:val="hu-HU"/>
        </w:rPr>
        <w:t>ntős mennyiségű gabona, élő állat, hús és zsír megvásárlására</w:t>
      </w:r>
      <w:r w:rsidR="0067175E">
        <w:rPr>
          <w:lang w:val="hu-HU"/>
        </w:rPr>
        <w:t xml:space="preserve"> </w:t>
      </w:r>
      <w:r>
        <w:rPr>
          <w:lang w:val="hu-HU"/>
        </w:rPr>
        <w:t>a világpiac</w:t>
      </w:r>
      <w:r w:rsidR="0067175E">
        <w:rPr>
          <w:lang w:val="hu-HU"/>
        </w:rPr>
        <w:t>i</w:t>
      </w:r>
      <w:r>
        <w:rPr>
          <w:lang w:val="hu-HU"/>
        </w:rPr>
        <w:t xml:space="preserve"> árak</w:t>
      </w:r>
      <w:r w:rsidR="0067175E">
        <w:rPr>
          <w:lang w:val="hu-HU"/>
        </w:rPr>
        <w:t xml:space="preserve"> felett átvéve azokat</w:t>
      </w:r>
      <w:r>
        <w:rPr>
          <w:lang w:val="hu-HU"/>
        </w:rPr>
        <w:t xml:space="preserve">. </w:t>
      </w:r>
      <w:r w:rsidR="00CB54B4">
        <w:rPr>
          <w:lang w:val="hu-HU"/>
        </w:rPr>
        <w:t xml:space="preserve">Cserében a német fél ipari termékek </w:t>
      </w:r>
      <w:r w:rsidR="00CB54B4" w:rsidRPr="00CB54B4">
        <w:rPr>
          <w:lang w:val="hu-HU"/>
        </w:rPr>
        <w:t>magyarországi</w:t>
      </w:r>
      <w:r w:rsidR="00CB54B4">
        <w:rPr>
          <w:lang w:val="hu-HU"/>
        </w:rPr>
        <w:t xml:space="preserve"> exportjához kapott jelentős vámkedvezményeket</w:t>
      </w:r>
      <w:r w:rsidR="0067175E">
        <w:rPr>
          <w:lang w:val="hu-HU"/>
        </w:rPr>
        <w:t xml:space="preserve"> a </w:t>
      </w:r>
      <w:r w:rsidR="00CB54B4">
        <w:rPr>
          <w:lang w:val="hu-HU"/>
        </w:rPr>
        <w:t xml:space="preserve">klíringrendszer </w:t>
      </w:r>
      <w:r w:rsidR="0067175E">
        <w:rPr>
          <w:lang w:val="hu-HU"/>
        </w:rPr>
        <w:t xml:space="preserve">keretében. </w:t>
      </w:r>
      <w:r w:rsidR="00CB54B4">
        <w:rPr>
          <w:lang w:val="hu-HU"/>
        </w:rPr>
        <w:t xml:space="preserve">A német-magyar kereskedelem gyorsan bővült: 1929-ben a magyar kivitelben </w:t>
      </w:r>
      <w:r w:rsidR="00CB54B4" w:rsidRPr="00CB54B4">
        <w:rPr>
          <w:lang w:val="hu-HU" w:eastAsia="x-none"/>
        </w:rPr>
        <w:t>Németország</w:t>
      </w:r>
      <w:r w:rsidR="00CB54B4">
        <w:rPr>
          <w:lang w:val="hu-HU"/>
        </w:rPr>
        <w:t xml:space="preserve"> részesedése 11,7% volt, ami 1937-re 24,1%-ra, 193</w:t>
      </w:r>
      <w:r w:rsidR="00B14C2D">
        <w:rPr>
          <w:lang w:val="hu-HU"/>
        </w:rPr>
        <w:t>8</w:t>
      </w:r>
      <w:r w:rsidR="00CB54B4">
        <w:rPr>
          <w:lang w:val="hu-HU"/>
        </w:rPr>
        <w:t>-r</w:t>
      </w:r>
      <w:r w:rsidR="00B14C2D">
        <w:rPr>
          <w:lang w:val="hu-HU"/>
        </w:rPr>
        <w:t>a</w:t>
      </w:r>
      <w:r w:rsidR="00CB54B4">
        <w:rPr>
          <w:lang w:val="hu-HU"/>
        </w:rPr>
        <w:t xml:space="preserve"> pedig </w:t>
      </w:r>
      <w:r w:rsidR="00B14C2D">
        <w:rPr>
          <w:lang w:val="hu-HU"/>
        </w:rPr>
        <w:t>40</w:t>
      </w:r>
      <w:r w:rsidR="00CB54B4">
        <w:rPr>
          <w:lang w:val="hu-HU"/>
        </w:rPr>
        <w:t xml:space="preserve">%-ra nőtt. Mindezt kiegészítették a német tőkebefektetések is, amelyek </w:t>
      </w:r>
      <w:r w:rsidR="00CB54B4" w:rsidRPr="00CB54B4">
        <w:rPr>
          <w:lang w:val="hu-HU"/>
        </w:rPr>
        <w:t>Magyarország</w:t>
      </w:r>
      <w:r w:rsidR="00CB54B4">
        <w:rPr>
          <w:lang w:val="hu-HU"/>
        </w:rPr>
        <w:t xml:space="preserve">on a </w:t>
      </w:r>
      <w:r w:rsidR="00CB54B4" w:rsidRPr="00CB54B4">
        <w:rPr>
          <w:lang w:val="hu-HU"/>
        </w:rPr>
        <w:t>második világháború</w:t>
      </w:r>
      <w:r w:rsidR="00CB54B4">
        <w:rPr>
          <w:lang w:val="hu-HU"/>
        </w:rPr>
        <w:t xml:space="preserve"> előtt már az összes külföldi tőkebefektetés felét tették ki. </w:t>
      </w:r>
      <w:r w:rsidR="009A00C9">
        <w:rPr>
          <w:lang w:val="hu-HU"/>
        </w:rPr>
        <w:t xml:space="preserve">Számos kortárs számára mindez úgy jelent meg, mint </w:t>
      </w:r>
      <w:r w:rsidR="009A00C9" w:rsidRPr="009A00C9">
        <w:rPr>
          <w:lang w:val="hu-HU" w:eastAsia="x-none"/>
        </w:rPr>
        <w:t>Németország</w:t>
      </w:r>
      <w:r w:rsidR="009A00C9">
        <w:rPr>
          <w:lang w:val="hu-HU" w:eastAsia="x-none"/>
        </w:rPr>
        <w:t xml:space="preserve"> „áldozatvállalása” a régió megsegítése céljából.</w:t>
      </w:r>
      <w:r w:rsidR="004371FE">
        <w:rPr>
          <w:rStyle w:val="Lbjegyzet-hivatkozs"/>
          <w:lang w:val="hu-HU"/>
        </w:rPr>
        <w:footnoteReference w:id="68"/>
      </w:r>
      <w:r w:rsidR="004371FE">
        <w:rPr>
          <w:lang w:val="hu-HU"/>
        </w:rPr>
        <w:t xml:space="preserve"> </w:t>
      </w:r>
      <w:r w:rsidR="009A00C9">
        <w:rPr>
          <w:lang w:val="hu-HU" w:eastAsia="x-none"/>
        </w:rPr>
        <w:t xml:space="preserve">Ez már önmagában is jelzi, hogy e folyamatok egyértelműen megerősítették </w:t>
      </w:r>
      <w:r w:rsidR="009A00C9" w:rsidRPr="009A00C9">
        <w:rPr>
          <w:lang w:val="hu-HU" w:eastAsia="x-none"/>
        </w:rPr>
        <w:t>Németország</w:t>
      </w:r>
      <w:r w:rsidR="009A00C9">
        <w:rPr>
          <w:lang w:val="hu-HU" w:eastAsia="x-none"/>
        </w:rPr>
        <w:t xml:space="preserve"> gazdasági és politikai befolyását </w:t>
      </w:r>
      <w:r w:rsidR="009A00C9" w:rsidRPr="009A00C9">
        <w:rPr>
          <w:lang w:val="hu-HU" w:eastAsia="x-none"/>
        </w:rPr>
        <w:t>Magyarország</w:t>
      </w:r>
      <w:r w:rsidR="009A00C9">
        <w:rPr>
          <w:lang w:val="hu-HU" w:eastAsia="x-none"/>
        </w:rPr>
        <w:t xml:space="preserve">on és a tágabb </w:t>
      </w:r>
      <w:r w:rsidR="009A00C9" w:rsidRPr="009A00C9">
        <w:rPr>
          <w:lang w:val="hu-HU" w:eastAsia="x-none"/>
        </w:rPr>
        <w:t>délkelet-európai</w:t>
      </w:r>
      <w:r w:rsidR="009A00C9">
        <w:rPr>
          <w:lang w:val="hu-HU" w:eastAsia="x-none"/>
        </w:rPr>
        <w:t xml:space="preserve"> térségben.</w:t>
      </w:r>
      <w:r w:rsidR="009A00C9">
        <w:rPr>
          <w:lang w:val="hu-HU"/>
        </w:rPr>
        <w:t xml:space="preserve"> </w:t>
      </w:r>
    </w:p>
    <w:p w14:paraId="04F0A386" w14:textId="77777777" w:rsidR="00655FED" w:rsidRDefault="00655FED" w:rsidP="00574FA6">
      <w:pPr>
        <w:spacing w:line="360" w:lineRule="auto"/>
        <w:jc w:val="both"/>
        <w:rPr>
          <w:lang w:val="hu-HU"/>
        </w:rPr>
      </w:pPr>
    </w:p>
    <w:p w14:paraId="2A8A2886" w14:textId="77777777" w:rsidR="001004DC" w:rsidRDefault="001004DC" w:rsidP="00574FA6">
      <w:pPr>
        <w:spacing w:line="360" w:lineRule="auto"/>
        <w:jc w:val="both"/>
        <w:rPr>
          <w:lang w:val="hu-HU"/>
        </w:rPr>
      </w:pPr>
    </w:p>
    <w:p w14:paraId="7E8E57F3" w14:textId="77777777" w:rsidR="0067175E" w:rsidRDefault="0067175E">
      <w:pPr>
        <w:widowControl/>
        <w:autoSpaceDE/>
        <w:autoSpaceDN/>
        <w:adjustRightInd/>
        <w:spacing w:line="360" w:lineRule="auto"/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14:paraId="5331433E" w14:textId="3ACA50E6" w:rsidR="00D913BE" w:rsidRPr="00850A4C" w:rsidRDefault="00D913BE" w:rsidP="00D913BE">
      <w:pPr>
        <w:spacing w:line="360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 xml:space="preserve">5. </w:t>
      </w:r>
      <w:r w:rsidRPr="00850A4C">
        <w:rPr>
          <w:b/>
          <w:bCs/>
          <w:lang w:val="hu-HU"/>
        </w:rPr>
        <w:t>Növekedési pály</w:t>
      </w:r>
      <w:r w:rsidR="0067175E">
        <w:rPr>
          <w:b/>
          <w:bCs/>
          <w:lang w:val="hu-HU"/>
        </w:rPr>
        <w:t>a</w:t>
      </w:r>
      <w:r w:rsidRPr="00850A4C">
        <w:rPr>
          <w:b/>
          <w:bCs/>
          <w:lang w:val="hu-HU"/>
        </w:rPr>
        <w:t xml:space="preserve"> nemzetközi összehasonlításban</w:t>
      </w:r>
    </w:p>
    <w:p w14:paraId="23ED70BA" w14:textId="77777777" w:rsidR="00D913BE" w:rsidRDefault="00D913BE" w:rsidP="00D913BE">
      <w:pPr>
        <w:spacing w:line="360" w:lineRule="auto"/>
        <w:jc w:val="both"/>
        <w:rPr>
          <w:lang w:val="hu-HU"/>
        </w:rPr>
      </w:pPr>
    </w:p>
    <w:p w14:paraId="4783CFA0" w14:textId="7B656D63" w:rsidR="00D913BE" w:rsidRPr="002804B1" w:rsidRDefault="00D913BE" w:rsidP="007424EF">
      <w:pPr>
        <w:spacing w:line="360" w:lineRule="auto"/>
        <w:jc w:val="both"/>
        <w:rPr>
          <w:lang w:val="hu-HU"/>
        </w:rPr>
      </w:pPr>
      <w:r w:rsidRPr="002804B1">
        <w:rPr>
          <w:lang w:val="hu-HU"/>
        </w:rPr>
        <w:t>1929-ben még 2,5%-kal nőtt az egy főre jutó GDP</w:t>
      </w:r>
      <w:r w:rsidR="00A6499D" w:rsidRPr="00A6499D">
        <w:rPr>
          <w:lang w:val="hu-HU"/>
        </w:rPr>
        <w:t xml:space="preserve"> </w:t>
      </w:r>
      <w:r w:rsidR="00A6499D">
        <w:rPr>
          <w:lang w:val="hu-HU"/>
        </w:rPr>
        <w:t>Magyarországon</w:t>
      </w:r>
      <w:r w:rsidRPr="002804B1">
        <w:rPr>
          <w:lang w:val="hu-HU"/>
        </w:rPr>
        <w:t xml:space="preserve">, majd 1930-ban </w:t>
      </w:r>
      <w:r w:rsidR="00A6499D">
        <w:rPr>
          <w:lang w:val="hu-HU"/>
        </w:rPr>
        <w:t>2,2%-kal, 1931-ben pedig további 4,8%-kal</w:t>
      </w:r>
      <w:r w:rsidR="007424EF">
        <w:rPr>
          <w:lang w:val="hu-HU"/>
        </w:rPr>
        <w:t xml:space="preserve"> csükkent</w:t>
      </w:r>
      <w:r w:rsidRPr="002804B1">
        <w:rPr>
          <w:lang w:val="hu-HU"/>
        </w:rPr>
        <w:t xml:space="preserve">. </w:t>
      </w:r>
      <w:r w:rsidR="00A6499D">
        <w:rPr>
          <w:lang w:val="hu-HU"/>
        </w:rPr>
        <w:t>A váls</w:t>
      </w:r>
      <w:r w:rsidR="007424EF">
        <w:rPr>
          <w:lang w:val="hu-HU"/>
        </w:rPr>
        <w:t>á</w:t>
      </w:r>
      <w:r w:rsidR="00A6499D">
        <w:rPr>
          <w:lang w:val="hu-HU"/>
        </w:rPr>
        <w:t xml:space="preserve">g </w:t>
      </w:r>
      <w:r w:rsidRPr="002804B1">
        <w:rPr>
          <w:lang w:val="hu-HU"/>
        </w:rPr>
        <w:t>1932-es mélypontján a négy évvel korábbihoz képest a zsugorodás 11,5%-os volt.</w:t>
      </w:r>
      <w:r>
        <w:rPr>
          <w:lang w:val="hu-HU"/>
        </w:rPr>
        <w:t xml:space="preserve"> </w:t>
      </w:r>
      <w:r w:rsidR="00A776A2">
        <w:rPr>
          <w:lang w:val="hu-HU"/>
        </w:rPr>
        <w:t xml:space="preserve">Ezt követően </w:t>
      </w:r>
      <w:r w:rsidRPr="002804B1">
        <w:rPr>
          <w:lang w:val="hu-HU"/>
        </w:rPr>
        <w:t xml:space="preserve">azonban </w:t>
      </w:r>
      <w:r w:rsidR="00A6499D">
        <w:rPr>
          <w:lang w:val="hu-HU"/>
        </w:rPr>
        <w:t xml:space="preserve">viszonylag </w:t>
      </w:r>
      <w:r w:rsidRPr="002804B1">
        <w:rPr>
          <w:lang w:val="hu-HU"/>
        </w:rPr>
        <w:t xml:space="preserve">gyors volt a gazdaság </w:t>
      </w:r>
      <w:r w:rsidR="007424EF">
        <w:rPr>
          <w:lang w:val="hu-HU"/>
        </w:rPr>
        <w:t>rekonstrukciója</w:t>
      </w:r>
      <w:r w:rsidRPr="002804B1">
        <w:rPr>
          <w:lang w:val="hu-HU"/>
        </w:rPr>
        <w:t xml:space="preserve">. 1935-re az egy főre jutó GDP elérte az 1929-es korábbi csúcsértéket, s a kisebb 1937-es visszaesés után </w:t>
      </w:r>
      <w:r w:rsidR="007424EF">
        <w:rPr>
          <w:lang w:val="hu-HU"/>
        </w:rPr>
        <w:t xml:space="preserve">1938-ban 7,2%-kal, </w:t>
      </w:r>
      <w:r w:rsidRPr="002804B1">
        <w:rPr>
          <w:lang w:val="hu-HU"/>
        </w:rPr>
        <w:t>1939-ben már lényegesen, 14,6%-kal meg is haladta az</w:t>
      </w:r>
      <w:r w:rsidR="00A776A2">
        <w:rPr>
          <w:lang w:val="hu-HU"/>
        </w:rPr>
        <w:t>t</w:t>
      </w:r>
      <w:r w:rsidRPr="002804B1">
        <w:rPr>
          <w:lang w:val="hu-HU"/>
        </w:rPr>
        <w:t>.</w:t>
      </w:r>
      <w:r w:rsidR="00A776A2" w:rsidRPr="002804B1">
        <w:rPr>
          <w:rStyle w:val="Lbjegyzet-hivatkozs"/>
          <w:lang w:val="hu-HU"/>
        </w:rPr>
        <w:footnoteReference w:id="69"/>
      </w:r>
      <w:r w:rsidR="00A776A2" w:rsidRPr="002804B1">
        <w:rPr>
          <w:lang w:val="hu-HU"/>
        </w:rPr>
        <w:t xml:space="preserve"> </w:t>
      </w:r>
      <w:r w:rsidR="007424EF">
        <w:rPr>
          <w:lang w:val="hu-HU"/>
        </w:rPr>
        <w:t>Amennyiben a szűkebb régió országaival vetjük össze ezt a növekedési pályát, azt látjuk, hogy a</w:t>
      </w:r>
      <w:r w:rsidRPr="002804B1">
        <w:rPr>
          <w:lang w:val="hu-HU"/>
        </w:rPr>
        <w:t xml:space="preserve"> depresszióból való kilábalás Magyarországon volt a</w:t>
      </w:r>
      <w:r w:rsidR="007424EF">
        <w:rPr>
          <w:lang w:val="hu-HU"/>
        </w:rPr>
        <w:t>z egyik</w:t>
      </w:r>
      <w:r w:rsidRPr="002804B1">
        <w:rPr>
          <w:lang w:val="hu-HU"/>
        </w:rPr>
        <w:t xml:space="preserve"> legsikeresebb</w:t>
      </w:r>
      <w:r w:rsidR="007424EF">
        <w:rPr>
          <w:lang w:val="hu-HU"/>
        </w:rPr>
        <w:t>:</w:t>
      </w:r>
      <w:r w:rsidRPr="002804B1">
        <w:rPr>
          <w:lang w:val="hu-HU"/>
        </w:rPr>
        <w:t xml:space="preserve"> az 1930-as évek végére Magyarország gazdasági teljesítménye </w:t>
      </w:r>
      <w:r>
        <w:rPr>
          <w:lang w:val="hu-HU"/>
        </w:rPr>
        <w:t xml:space="preserve">– az egy főre jutó output alapján -- </w:t>
      </w:r>
      <w:r w:rsidRPr="002804B1">
        <w:rPr>
          <w:lang w:val="hu-HU"/>
        </w:rPr>
        <w:t>közel</w:t>
      </w:r>
      <w:r w:rsidR="007424EF">
        <w:rPr>
          <w:lang w:val="hu-HU"/>
        </w:rPr>
        <w:t>ebb</w:t>
      </w:r>
      <w:r w:rsidRPr="002804B1">
        <w:rPr>
          <w:lang w:val="hu-HU"/>
        </w:rPr>
        <w:t xml:space="preserve"> került Csehszlovákiáéhoz, s messze maga mögött hagyta Lengyelországot</w:t>
      </w:r>
      <w:r w:rsidR="00A6499D">
        <w:rPr>
          <w:lang w:val="hu-HU"/>
        </w:rPr>
        <w:t xml:space="preserve"> (2</w:t>
      </w:r>
      <w:r>
        <w:rPr>
          <w:lang w:val="hu-HU"/>
        </w:rPr>
        <w:t>. táblázat</w:t>
      </w:r>
      <w:r w:rsidR="00A6499D">
        <w:rPr>
          <w:lang w:val="hu-HU"/>
        </w:rPr>
        <w:t>).</w:t>
      </w:r>
      <w:r w:rsidR="00A6499D">
        <w:rPr>
          <w:rStyle w:val="Lbjegyzet-hivatkozs"/>
          <w:lang w:val="hu-HU"/>
        </w:rPr>
        <w:footnoteReference w:id="70"/>
      </w:r>
    </w:p>
    <w:p w14:paraId="09495AA0" w14:textId="74E45621" w:rsidR="00D913BE" w:rsidRPr="002804B1" w:rsidRDefault="002972E8" w:rsidP="00565904">
      <w:pPr>
        <w:pStyle w:val="llb"/>
        <w:tabs>
          <w:tab w:val="left" w:pos="709"/>
        </w:tabs>
        <w:spacing w:line="360" w:lineRule="auto"/>
        <w:jc w:val="both"/>
        <w:rPr>
          <w:lang w:val="hu-HU"/>
        </w:rPr>
      </w:pPr>
      <w:r>
        <w:rPr>
          <w:lang w:val="hu-HU"/>
        </w:rPr>
        <w:tab/>
      </w:r>
      <w:r w:rsidR="007424EF" w:rsidRPr="002804B1">
        <w:rPr>
          <w:lang w:val="hu-HU"/>
        </w:rPr>
        <w:t>Magyarország növekedési pályá</w:t>
      </w:r>
      <w:r w:rsidR="007424EF">
        <w:rPr>
          <w:lang w:val="hu-HU"/>
        </w:rPr>
        <w:t>jának</w:t>
      </w:r>
      <w:r w:rsidR="007424EF" w:rsidRPr="002804B1">
        <w:rPr>
          <w:lang w:val="hu-HU"/>
        </w:rPr>
        <w:t xml:space="preserve"> </w:t>
      </w:r>
      <w:r w:rsidR="007424EF">
        <w:rPr>
          <w:lang w:val="hu-HU"/>
        </w:rPr>
        <w:t xml:space="preserve">hosszabb távú nemzetközi összehasonlítása további </w:t>
      </w:r>
      <w:r w:rsidR="007424EF" w:rsidRPr="002804B1">
        <w:rPr>
          <w:lang w:val="hu-HU"/>
        </w:rPr>
        <w:t>lehetőséget ad arra, hogy</w:t>
      </w:r>
      <w:r w:rsidR="007424EF">
        <w:rPr>
          <w:lang w:val="hu-HU"/>
        </w:rPr>
        <w:t xml:space="preserve"> átfogóan</w:t>
      </w:r>
      <w:r w:rsidR="007424EF" w:rsidRPr="002804B1">
        <w:rPr>
          <w:lang w:val="hu-HU"/>
        </w:rPr>
        <w:t xml:space="preserve"> jellemezzük</w:t>
      </w:r>
      <w:r w:rsidR="007424EF">
        <w:rPr>
          <w:lang w:val="hu-HU"/>
        </w:rPr>
        <w:t xml:space="preserve"> a válság hatását. </w:t>
      </w:r>
      <w:r w:rsidR="00A776A2">
        <w:rPr>
          <w:lang w:val="hu-HU"/>
        </w:rPr>
        <w:t xml:space="preserve">Ebből a célból tanulságos a Magyarország </w:t>
      </w:r>
      <w:r w:rsidR="00D913BE" w:rsidRPr="002804B1">
        <w:rPr>
          <w:lang w:val="hu-HU"/>
        </w:rPr>
        <w:t>és a nyugat-európai országok közötti gazdasági konvergenciák és divergenciák alakulás</w:t>
      </w:r>
      <w:r w:rsidR="00A776A2">
        <w:rPr>
          <w:lang w:val="hu-HU"/>
        </w:rPr>
        <w:t>ának vizsgálata</w:t>
      </w:r>
      <w:r w:rsidR="00D913BE" w:rsidRPr="002804B1">
        <w:rPr>
          <w:lang w:val="hu-HU"/>
        </w:rPr>
        <w:t>. Az előzményekről itt annyit állapíthatunk meg, hogy a 19. század vég</w:t>
      </w:r>
      <w:r w:rsidR="00A776A2">
        <w:rPr>
          <w:lang w:val="hu-HU"/>
        </w:rPr>
        <w:t xml:space="preserve">én </w:t>
      </w:r>
      <w:r w:rsidR="00D913BE" w:rsidRPr="002804B1">
        <w:rPr>
          <w:lang w:val="hu-HU"/>
        </w:rPr>
        <w:t xml:space="preserve">az egy főre jutó GDP Magyarországon – a mai területet alapul véve – </w:t>
      </w:r>
      <w:r w:rsidR="00A776A2">
        <w:rPr>
          <w:lang w:val="hu-HU"/>
        </w:rPr>
        <w:t xml:space="preserve">13 </w:t>
      </w:r>
      <w:r w:rsidR="00D913BE" w:rsidRPr="002804B1">
        <w:rPr>
          <w:lang w:val="hu-HU"/>
        </w:rPr>
        <w:t xml:space="preserve">nyugat-európai </w:t>
      </w:r>
      <w:r w:rsidR="00A776A2">
        <w:rPr>
          <w:lang w:val="hu-HU"/>
        </w:rPr>
        <w:t xml:space="preserve">ország </w:t>
      </w:r>
      <w:r w:rsidR="00D913BE" w:rsidRPr="002804B1">
        <w:rPr>
          <w:lang w:val="hu-HU"/>
        </w:rPr>
        <w:t>átlag</w:t>
      </w:r>
      <w:r w:rsidR="00A776A2">
        <w:rPr>
          <w:lang w:val="hu-HU"/>
        </w:rPr>
        <w:t>á</w:t>
      </w:r>
      <w:r w:rsidR="00D913BE" w:rsidRPr="002804B1">
        <w:rPr>
          <w:lang w:val="hu-HU"/>
        </w:rPr>
        <w:t>nak csak alig több mint a felét tette ki, s minden nyugat-európai ország mögött elmaradt. A 20. század elején Magyarország enyhén konvergált Nyugat-Európához, s ez a folyamat az első világháború előtti években érte el csúcsát. Az első világháború és annak gazdasági következményei súlyosabb visszaesést eredményeztek Magyarországon mint a legtöbb nyugat-európai országban, s ez megjelent a gazdasági kibocsátás arányainak alakulásában is. A fellendülés azonban viszonylag gyorsan bekövetkezett Magyarországon, s így az egy főre jutó GDP 1929-re elérte a nyugat-európai átlag 57,1%-át.</w:t>
      </w:r>
      <w:r w:rsidR="00A776A2">
        <w:rPr>
          <w:lang w:val="hu-HU"/>
        </w:rPr>
        <w:t xml:space="preserve"> A válság nem </w:t>
      </w:r>
      <w:r w:rsidR="007424EF">
        <w:rPr>
          <w:lang w:val="hu-HU"/>
        </w:rPr>
        <w:t>okozott törést, mivel e</w:t>
      </w:r>
      <w:r w:rsidR="00D913BE" w:rsidRPr="002804B1">
        <w:rPr>
          <w:lang w:val="hu-HU"/>
        </w:rPr>
        <w:t>zt a szintet a második világháború előestéjén kissé még meg is haladta Magyarország: az 1939-es 58,3%-os értékkel majdnem visszaállította az első világháború előtti relatív gazdasági fejlettség szintjét (2. táblázat).</w:t>
      </w:r>
      <w:r w:rsidR="007424EF" w:rsidRPr="007424EF">
        <w:rPr>
          <w:lang w:val="hu-HU"/>
        </w:rPr>
        <w:t xml:space="preserve"> </w:t>
      </w:r>
      <w:r w:rsidR="007424EF">
        <w:rPr>
          <w:lang w:val="hu-HU"/>
        </w:rPr>
        <w:tab/>
      </w:r>
      <w:r w:rsidR="007424EF" w:rsidRPr="002804B1">
        <w:rPr>
          <w:lang w:val="hu-HU"/>
        </w:rPr>
        <w:t xml:space="preserve">Ha figyelembe vesszük Nyugat-Európa belső eltéréseinek alakulását is, s ebből a célból a standardizált magyar adattal dolgozunk, a dinamika kissé másként alakult, mint azt az előbbiekben ábrázoltuk: Magyarország leginkább 1890 körül közelítette meg Nyugat-Európát, </w:t>
      </w:r>
      <w:r w:rsidR="007424EF" w:rsidRPr="002804B1">
        <w:rPr>
          <w:lang w:val="hu-HU"/>
        </w:rPr>
        <w:lastRenderedPageBreak/>
        <w:t>de ezt követően a folyamat megfordult és 1913-ban Magyarország már jobban elmaradt Nyugat-Európa mögött, mint 1890-ben.</w:t>
      </w:r>
      <w:r w:rsidR="00565904">
        <w:rPr>
          <w:lang w:val="hu-HU"/>
        </w:rPr>
        <w:t xml:space="preserve"> </w:t>
      </w:r>
      <w:r w:rsidR="00D913BE" w:rsidRPr="002804B1">
        <w:rPr>
          <w:lang w:val="hu-HU"/>
        </w:rPr>
        <w:t>A standardizált magyar adat 1920 és 1938 között kezdetben inkább közeledés</w:t>
      </w:r>
      <w:r w:rsidR="00565904">
        <w:rPr>
          <w:lang w:val="hu-HU"/>
        </w:rPr>
        <w:t>t mutat</w:t>
      </w:r>
      <w:r w:rsidR="00D913BE" w:rsidRPr="002804B1">
        <w:rPr>
          <w:lang w:val="hu-HU"/>
        </w:rPr>
        <w:t xml:space="preserve">, majd a Nyugat-Európán belüli fokozódó egységesülés eredményeként ez távolodásba fordult. Így a </w:t>
      </w:r>
      <w:r w:rsidR="00565904">
        <w:rPr>
          <w:lang w:val="hu-HU"/>
        </w:rPr>
        <w:t>két világháború között</w:t>
      </w:r>
      <w:r w:rsidR="00D913BE" w:rsidRPr="002804B1">
        <w:rPr>
          <w:lang w:val="hu-HU"/>
        </w:rPr>
        <w:t xml:space="preserve"> ebben a tekintetben lényeges elmozdulás nem történt.</w:t>
      </w:r>
      <w:r w:rsidR="00A776A2">
        <w:rPr>
          <w:rStyle w:val="Lbjegyzet-hivatkozs"/>
          <w:lang w:val="hu-HU"/>
        </w:rPr>
        <w:footnoteReference w:id="71"/>
      </w:r>
      <w:r w:rsidR="00D913BE" w:rsidRPr="002804B1">
        <w:rPr>
          <w:lang w:val="hu-HU"/>
        </w:rPr>
        <w:t xml:space="preserve"> </w:t>
      </w:r>
    </w:p>
    <w:p w14:paraId="5E265D93" w14:textId="0445FD48" w:rsidR="00D913BE" w:rsidRPr="002804B1" w:rsidRDefault="00D913BE" w:rsidP="00D913BE">
      <w:pPr>
        <w:spacing w:line="360" w:lineRule="auto"/>
        <w:ind w:firstLine="720"/>
        <w:jc w:val="both"/>
        <w:rPr>
          <w:lang w:val="hu-HU"/>
        </w:rPr>
      </w:pPr>
      <w:r w:rsidRPr="002804B1">
        <w:rPr>
          <w:lang w:val="hu-HU"/>
        </w:rPr>
        <w:t xml:space="preserve">Jelentősen eltérő konvergencia- és divergencia-pályákat látunk, ha Magyarországot Ausztriához viszonyítjuk. Egy ilyen összehasonlítást indokolhat az, hogy Magyarország és Ausztria történelmileg hosszú időszakon keresztül – változó formában és mértékben – gazdasági egységet képezett. Másrészt, amikor ez a szoros összefonódás megszűnt, a két világháború között hasonló politikai és gazdasági örökséggel és adottságokkal rendelkezett a két ország. Ráadásul ezt a két államot földrajzi helyzetük és nagyságuk is rokonítja. 1870 után a magyarországi gazdasági kibocsátás enyhén közeledett az osztrákhoz és 1890-re egy főre vetítve elérte annak 60,3%-át. Ezt követően nagyjából ezen a relatív szinten maradt az első világháborúig. A két szomszédos ország közötti különbség azonban jelentősen tovább csökkent a két világháború között, </w:t>
      </w:r>
      <w:r w:rsidR="00565904">
        <w:rPr>
          <w:lang w:val="hu-HU"/>
        </w:rPr>
        <w:t xml:space="preserve">s különösen a válság időszakában és azt követően. Ennek </w:t>
      </w:r>
      <w:r w:rsidRPr="002804B1">
        <w:rPr>
          <w:lang w:val="hu-HU"/>
        </w:rPr>
        <w:t>eredményeként a második világháború előtt Magyarország egy főre jutó gazdasági kibocsátása az osztrák szint 74,6%-ára emelkedett</w:t>
      </w:r>
      <w:r w:rsidR="00565904">
        <w:rPr>
          <w:lang w:val="hu-HU"/>
        </w:rPr>
        <w:t xml:space="preserve"> (3. táblázat)</w:t>
      </w:r>
      <w:r w:rsidRPr="002804B1">
        <w:rPr>
          <w:lang w:val="hu-HU"/>
        </w:rPr>
        <w:t>.</w:t>
      </w:r>
      <w:r w:rsidR="00565904">
        <w:rPr>
          <w:lang w:val="hu-HU"/>
        </w:rPr>
        <w:t xml:space="preserve"> Ez minden korábbinál nagyobb felzárkózést jelentett, sőt, a</w:t>
      </w:r>
      <w:r w:rsidRPr="002804B1">
        <w:rPr>
          <w:lang w:val="hu-HU"/>
        </w:rPr>
        <w:t>z egész 20. század során ekkor volt Magyarország legközelebb Ausztriához ezen a téren.</w:t>
      </w:r>
      <w:r w:rsidR="001F176B">
        <w:rPr>
          <w:lang w:val="hu-HU"/>
        </w:rPr>
        <w:t xml:space="preserve"> Ez az eredmény szintén azt mutatja, hogy Magyarország viszonylag kedvező pozícióban került ki a nagy válságból.</w:t>
      </w:r>
    </w:p>
    <w:p w14:paraId="4B0323BD" w14:textId="77777777" w:rsidR="00D913BE" w:rsidRDefault="00D913BE" w:rsidP="00D913BE">
      <w:pPr>
        <w:spacing w:line="360" w:lineRule="auto"/>
        <w:jc w:val="both"/>
        <w:rPr>
          <w:lang w:val="hu-HU"/>
        </w:rPr>
      </w:pPr>
    </w:p>
    <w:p w14:paraId="3D8B24D5" w14:textId="291DB4B8" w:rsidR="00A776A2" w:rsidRDefault="00A776A2">
      <w:pPr>
        <w:widowControl/>
        <w:autoSpaceDE/>
        <w:autoSpaceDN/>
        <w:adjustRightInd/>
        <w:spacing w:line="360" w:lineRule="auto"/>
        <w:rPr>
          <w:b/>
          <w:bCs/>
          <w:lang w:val="hu-HU"/>
        </w:rPr>
      </w:pPr>
    </w:p>
    <w:p w14:paraId="5C062924" w14:textId="24431BB8" w:rsidR="00175C4F" w:rsidRPr="00175C4F" w:rsidRDefault="00D913BE" w:rsidP="00175C4F">
      <w:pPr>
        <w:spacing w:line="360" w:lineRule="auto"/>
        <w:rPr>
          <w:b/>
          <w:bCs/>
          <w:lang w:val="hu-HU"/>
        </w:rPr>
      </w:pPr>
      <w:r>
        <w:rPr>
          <w:b/>
          <w:bCs/>
          <w:lang w:val="hu-HU"/>
        </w:rPr>
        <w:t>6</w:t>
      </w:r>
      <w:r w:rsidR="00175C4F" w:rsidRPr="00175C4F">
        <w:rPr>
          <w:b/>
          <w:bCs/>
          <w:lang w:val="hu-HU"/>
        </w:rPr>
        <w:t>. A válság társadalmi és politikai hatásai</w:t>
      </w:r>
    </w:p>
    <w:p w14:paraId="1FC68E66" w14:textId="0ADF3B9B" w:rsidR="00855E19" w:rsidRDefault="00855E19" w:rsidP="00175C4F">
      <w:pPr>
        <w:spacing w:line="360" w:lineRule="auto"/>
        <w:rPr>
          <w:lang w:val="hu-HU"/>
        </w:rPr>
      </w:pPr>
    </w:p>
    <w:p w14:paraId="6F9FED73" w14:textId="5CC764CA" w:rsidR="00AE1720" w:rsidRDefault="00522750" w:rsidP="00AE1720">
      <w:pPr>
        <w:spacing w:line="360" w:lineRule="auto"/>
        <w:jc w:val="both"/>
        <w:rPr>
          <w:lang w:val="hu-HU"/>
        </w:rPr>
      </w:pPr>
      <w:r>
        <w:rPr>
          <w:lang w:val="hu-HU"/>
        </w:rPr>
        <w:t xml:space="preserve">A </w:t>
      </w:r>
      <w:r w:rsidR="004371FE">
        <w:rPr>
          <w:lang w:val="hu-HU"/>
        </w:rPr>
        <w:t xml:space="preserve">válság legközvetlenebb társadalmi hatása a lakosság életviszonyainak romlása volt. A legnagyobb társadalmi csoportot alkotó </w:t>
      </w:r>
      <w:r w:rsidR="00AE1720">
        <w:rPr>
          <w:lang w:val="hu-HU"/>
        </w:rPr>
        <w:t>agrárnépesség jövedelmi helyzetére</w:t>
      </w:r>
      <w:r w:rsidR="00565904">
        <w:rPr>
          <w:lang w:val="hu-HU"/>
        </w:rPr>
        <w:t xml:space="preserve"> vonatkozóan átfogó adatokkal nem rendelkezünk, de a folyamatot jól érzékelteti a mezőgazdasági napszámbérek reálértékének alakulása. Az 1929-es szinthez képest ez a mélypontot jelentő 1934-es évben 37,1%-kal csökkent, s 1939-re érte el </w:t>
      </w:r>
      <w:r w:rsidR="004371FE">
        <w:rPr>
          <w:lang w:val="hu-HU"/>
        </w:rPr>
        <w:t>ismét a korábbi szintet</w:t>
      </w:r>
      <w:r w:rsidR="00565904">
        <w:rPr>
          <w:lang w:val="hu-HU"/>
        </w:rPr>
        <w:t>.</w:t>
      </w:r>
      <w:r w:rsidR="00565904">
        <w:rPr>
          <w:rStyle w:val="Lbjegyzet-hivatkozs"/>
          <w:lang w:val="hu-HU"/>
        </w:rPr>
        <w:footnoteReference w:id="72"/>
      </w:r>
      <w:r w:rsidR="00565904">
        <w:rPr>
          <w:lang w:val="hu-HU"/>
        </w:rPr>
        <w:t xml:space="preserve"> Ugyanakkor a reálbércsökkenés társadalmi hatását súlyosbította a munkaalkalmak csökkenése a válság alatt. A mezőgazdasági munkanélküliek és alulfoglalkoztatottak </w:t>
      </w:r>
      <w:r w:rsidR="00611972">
        <w:rPr>
          <w:lang w:val="hu-HU"/>
        </w:rPr>
        <w:t>hivatalosan nyilvántartott aránya</w:t>
      </w:r>
      <w:r w:rsidR="00565904">
        <w:rPr>
          <w:lang w:val="hu-HU"/>
        </w:rPr>
        <w:t xml:space="preserve"> </w:t>
      </w:r>
      <w:r w:rsidR="00565904">
        <w:rPr>
          <w:lang w:val="hu-HU"/>
        </w:rPr>
        <w:lastRenderedPageBreak/>
        <w:t xml:space="preserve">1935-ben a szektorban dolgozók 10,3, illetve 20,1%-át tette ki, de </w:t>
      </w:r>
      <w:r w:rsidR="00611972">
        <w:rPr>
          <w:lang w:val="hu-HU"/>
        </w:rPr>
        <w:t>ez a számbavétel erősen részleges volt.</w:t>
      </w:r>
      <w:r w:rsidR="00611972">
        <w:rPr>
          <w:rStyle w:val="Lbjegyzet-hivatkozs"/>
          <w:lang w:val="hu-HU"/>
        </w:rPr>
        <w:footnoteReference w:id="73"/>
      </w:r>
      <w:r w:rsidR="00565904">
        <w:rPr>
          <w:lang w:val="hu-HU"/>
        </w:rPr>
        <w:t xml:space="preserve"> </w:t>
      </w:r>
      <w:r w:rsidR="00AE1720">
        <w:rPr>
          <w:lang w:val="hu-HU"/>
        </w:rPr>
        <w:t>Gyakran a munkát találók is csak rövidebb ideig dolgozhattak.</w:t>
      </w:r>
    </w:p>
    <w:p w14:paraId="586FFA47" w14:textId="7E90FA95" w:rsidR="009F108E" w:rsidRDefault="00AE1720" w:rsidP="00AE1720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 xml:space="preserve">A válság időszakában különösen </w:t>
      </w:r>
      <w:r w:rsidR="0029755C">
        <w:rPr>
          <w:lang w:val="hu-HU"/>
        </w:rPr>
        <w:t>nagy méreteket öltött</w:t>
      </w:r>
      <w:r w:rsidR="0029755C" w:rsidRPr="0029755C">
        <w:rPr>
          <w:lang w:val="hu-HU"/>
        </w:rPr>
        <w:t xml:space="preserve"> </w:t>
      </w:r>
      <w:r w:rsidR="0029755C">
        <w:rPr>
          <w:lang w:val="hu-HU"/>
        </w:rPr>
        <w:t xml:space="preserve">az ipari munkásság </w:t>
      </w:r>
      <w:r>
        <w:rPr>
          <w:lang w:val="hu-HU"/>
        </w:rPr>
        <w:t>munkanélküliség</w:t>
      </w:r>
      <w:r w:rsidR="0029755C">
        <w:rPr>
          <w:lang w:val="hu-HU"/>
        </w:rPr>
        <w:t>e</w:t>
      </w:r>
      <w:r>
        <w:rPr>
          <w:lang w:val="hu-HU"/>
        </w:rPr>
        <w:t>. 1929-ben 75.600 fő ipari munkanélkülit tartottak nyilván, míg 1933-ban ez 241.900 főre emelkedett. Ez a válság előtti munkáslétszám 3</w:t>
      </w:r>
      <w:r w:rsidR="00BA4705">
        <w:rPr>
          <w:lang w:val="hu-HU"/>
        </w:rPr>
        <w:t>6</w:t>
      </w:r>
      <w:r>
        <w:rPr>
          <w:lang w:val="hu-HU"/>
        </w:rPr>
        <w:t>%-át tette ki.</w:t>
      </w:r>
      <w:r w:rsidR="00BA4705">
        <w:rPr>
          <w:rStyle w:val="Lbjegyzet-hivatkozs"/>
          <w:lang w:val="hu-HU"/>
        </w:rPr>
        <w:footnoteReference w:id="74"/>
      </w:r>
      <w:r>
        <w:rPr>
          <w:lang w:val="hu-HU"/>
        </w:rPr>
        <w:t xml:space="preserve"> A munkások átlagos keresete 1929 és 1933 között 2</w:t>
      </w:r>
      <w:r w:rsidR="00BA4705">
        <w:rPr>
          <w:lang w:val="hu-HU"/>
        </w:rPr>
        <w:t>3</w:t>
      </w:r>
      <w:r>
        <w:rPr>
          <w:lang w:val="hu-HU"/>
        </w:rPr>
        <w:t>%-kal csökkent.</w:t>
      </w:r>
      <w:r w:rsidR="00BA4705">
        <w:rPr>
          <w:rStyle w:val="Lbjegyzet-hivatkozs"/>
          <w:lang w:val="hu-HU"/>
        </w:rPr>
        <w:footnoteReference w:id="75"/>
      </w:r>
      <w:r>
        <w:rPr>
          <w:lang w:val="hu-HU"/>
        </w:rPr>
        <w:t xml:space="preserve"> Ez nem jelentette a reálbérek ilyen mértékű csökkenését: egyrészt ebben a csökkenésben megjelent a munkásság szerkezeti változása is, vagyis a nem szakképzett és a női munkaerő növekvő aránya, melyek a válság által kevésbé érintett</w:t>
      </w:r>
      <w:r w:rsidR="009F108E">
        <w:rPr>
          <w:lang w:val="hu-HU"/>
        </w:rPr>
        <w:t xml:space="preserve"> könnyűipari ágazatokban felül voltak reprezentálva</w:t>
      </w:r>
      <w:r>
        <w:rPr>
          <w:lang w:val="hu-HU"/>
        </w:rPr>
        <w:t>; emellett</w:t>
      </w:r>
      <w:r w:rsidR="009F108E">
        <w:rPr>
          <w:lang w:val="hu-HU"/>
        </w:rPr>
        <w:t xml:space="preserve"> az élelmiszerek árának mérséklődése kompenzálta a bérszínvonal csökkenésének egy részét. </w:t>
      </w:r>
      <w:r w:rsidR="00BA4705">
        <w:rPr>
          <w:lang w:val="hu-HU"/>
        </w:rPr>
        <w:t>Szakszervezeti számítások szerint az ipari munkások megélhetési költségei a válság mélypontján 20-24%-kal voltak kisebbek az 1929-es szintnél.</w:t>
      </w:r>
      <w:r w:rsidR="00BA4705">
        <w:rPr>
          <w:rStyle w:val="Lbjegyzet-hivatkozs"/>
          <w:lang w:val="hu-HU"/>
        </w:rPr>
        <w:footnoteReference w:id="76"/>
      </w:r>
      <w:r w:rsidR="0063041A">
        <w:rPr>
          <w:lang w:val="hu-HU"/>
        </w:rPr>
        <w:t xml:space="preserve"> </w:t>
      </w:r>
      <w:r w:rsidR="00611972">
        <w:rPr>
          <w:lang w:val="hu-HU"/>
        </w:rPr>
        <w:t>Mindezt figyelembe véve a</w:t>
      </w:r>
      <w:r w:rsidR="004371FE">
        <w:rPr>
          <w:lang w:val="hu-HU"/>
        </w:rPr>
        <w:t>z ipari</w:t>
      </w:r>
      <w:r w:rsidR="0063041A">
        <w:rPr>
          <w:lang w:val="hu-HU"/>
        </w:rPr>
        <w:t xml:space="preserve"> reálbérek 1929-1933 között 5,4%-kal estek.</w:t>
      </w:r>
      <w:r w:rsidR="0063041A">
        <w:rPr>
          <w:rStyle w:val="Lbjegyzet-hivatkozs"/>
          <w:lang w:val="hu-HU"/>
        </w:rPr>
        <w:footnoteReference w:id="77"/>
      </w:r>
      <w:r w:rsidR="0063041A">
        <w:rPr>
          <w:lang w:val="hu-HU"/>
        </w:rPr>
        <w:t xml:space="preserve"> Ez a teljes munkaidőben foglalkoztatottakra érvényes</w:t>
      </w:r>
      <w:r w:rsidR="004371FE">
        <w:rPr>
          <w:lang w:val="hu-HU"/>
        </w:rPr>
        <w:t xml:space="preserve">, miközben a </w:t>
      </w:r>
      <w:r w:rsidR="0063041A">
        <w:rPr>
          <w:lang w:val="hu-HU"/>
        </w:rPr>
        <w:t xml:space="preserve">munkanélküliség és a részleges foglalkoztatás miatt a háztartások </w:t>
      </w:r>
      <w:r w:rsidR="004371FE">
        <w:rPr>
          <w:lang w:val="hu-HU"/>
        </w:rPr>
        <w:t xml:space="preserve">átlagos </w:t>
      </w:r>
      <w:r w:rsidR="0063041A">
        <w:rPr>
          <w:lang w:val="hu-HU"/>
        </w:rPr>
        <w:t>jövedelme</w:t>
      </w:r>
      <w:r w:rsidR="00611972">
        <w:rPr>
          <w:lang w:val="hu-HU"/>
        </w:rPr>
        <w:t xml:space="preserve"> ennél</w:t>
      </w:r>
      <w:r w:rsidR="0063041A">
        <w:rPr>
          <w:lang w:val="hu-HU"/>
        </w:rPr>
        <w:t xml:space="preserve"> nagyobb mértékben </w:t>
      </w:r>
      <w:r w:rsidR="00611972">
        <w:rPr>
          <w:lang w:val="hu-HU"/>
        </w:rPr>
        <w:t>csökkent</w:t>
      </w:r>
      <w:r w:rsidR="0063041A">
        <w:rPr>
          <w:lang w:val="hu-HU"/>
        </w:rPr>
        <w:t>.</w:t>
      </w:r>
    </w:p>
    <w:p w14:paraId="20B20763" w14:textId="6CFA8995" w:rsidR="009F108E" w:rsidRDefault="009F108E" w:rsidP="009F108E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 válság a középrétegek életszínvonalá</w:t>
      </w:r>
      <w:r w:rsidR="004371FE">
        <w:rPr>
          <w:lang w:val="hu-HU"/>
        </w:rPr>
        <w:t xml:space="preserve">t is visszavetette. </w:t>
      </w:r>
      <w:r>
        <w:rPr>
          <w:lang w:val="hu-HU"/>
        </w:rPr>
        <w:t>A kisiparosok és a kiskereskedők jövedelmének vásárlóértéke csökkent, a tisztviselők körében pedig ehhez járult a munkanélküliség növekedése. Az állami alkalmazottak egy részének fizetését központi intézkedések szállították le</w:t>
      </w:r>
      <w:r w:rsidR="004371FE">
        <w:rPr>
          <w:lang w:val="hu-HU"/>
        </w:rPr>
        <w:t>, melyek révén azonban a csökkenés foka csak a legfelsőbb jövedelmi kategóriákban haladta meg ényegesen a megélhetési költségek csökkenésének mértékét.</w:t>
      </w:r>
      <w:r w:rsidR="004371FE">
        <w:rPr>
          <w:rStyle w:val="Lbjegyzet-hivatkozs"/>
          <w:lang w:val="hu-HU"/>
        </w:rPr>
        <w:footnoteReference w:id="78"/>
      </w:r>
      <w:r w:rsidR="00F66AAE">
        <w:rPr>
          <w:lang w:val="hu-HU"/>
        </w:rPr>
        <w:t xml:space="preserve"> A szellemi foglalkozású munkanélküliek aránya 1931 végén a megfelelő csoport mintegy 10-12%-át tette ki.</w:t>
      </w:r>
      <w:r w:rsidR="00F66AAE">
        <w:rPr>
          <w:rStyle w:val="Lbjegyzet-hivatkozs"/>
          <w:lang w:val="hu-HU"/>
        </w:rPr>
        <w:footnoteReference w:id="79"/>
      </w:r>
      <w:r w:rsidR="00F66AAE">
        <w:rPr>
          <w:lang w:val="hu-HU"/>
        </w:rPr>
        <w:t xml:space="preserve"> </w:t>
      </w:r>
    </w:p>
    <w:p w14:paraId="1EF44B00" w14:textId="10CF0385" w:rsidR="00611972" w:rsidRDefault="0063041A" w:rsidP="009F108E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A válság </w:t>
      </w:r>
      <w:r w:rsidR="00F66AAE">
        <w:rPr>
          <w:lang w:val="hu-HU"/>
        </w:rPr>
        <w:t>nyomán</w:t>
      </w:r>
      <w:r>
        <w:rPr>
          <w:lang w:val="hu-HU"/>
        </w:rPr>
        <w:t xml:space="preserve"> megélénkültek </w:t>
      </w:r>
      <w:r w:rsidR="009F108E">
        <w:rPr>
          <w:lang w:val="hu-HU"/>
        </w:rPr>
        <w:t xml:space="preserve">a politikai tömegmozgalmak. </w:t>
      </w:r>
      <w:r w:rsidR="006B33F8">
        <w:rPr>
          <w:lang w:val="hu-HU"/>
        </w:rPr>
        <w:t>A változás</w:t>
      </w:r>
      <w:r>
        <w:rPr>
          <w:lang w:val="hu-HU"/>
        </w:rPr>
        <w:t>t</w:t>
      </w:r>
      <w:r w:rsidR="006B33F8">
        <w:rPr>
          <w:lang w:val="hu-HU"/>
        </w:rPr>
        <w:t xml:space="preserve"> nem is annyira a politikai megmozdulások, vagy a résztvevők száma, mint inkább az mutatta, hogy a </w:t>
      </w:r>
      <w:r>
        <w:rPr>
          <w:lang w:val="hu-HU"/>
        </w:rPr>
        <w:lastRenderedPageBreak/>
        <w:t xml:space="preserve">sztrájkok és tüntetések során a </w:t>
      </w:r>
      <w:r w:rsidR="006B33F8">
        <w:rPr>
          <w:lang w:val="hu-HU"/>
        </w:rPr>
        <w:t>résztvevők</w:t>
      </w:r>
      <w:r>
        <w:rPr>
          <w:lang w:val="hu-HU"/>
        </w:rPr>
        <w:t xml:space="preserve"> a korábbinál </w:t>
      </w:r>
      <w:r w:rsidR="006B33F8">
        <w:rPr>
          <w:lang w:val="hu-HU"/>
        </w:rPr>
        <w:t xml:space="preserve">jóval radikálisabban léptek fel, s gyakoribbá vált az állami erőszakszervezetekkel való összeütközés. </w:t>
      </w:r>
      <w:r w:rsidR="009F108E">
        <w:rPr>
          <w:lang w:val="hu-HU"/>
        </w:rPr>
        <w:t xml:space="preserve">1929 őszén Salgótarjában és Pécsett 5000 bányász sztrájkolt 4 héten keresztül. </w:t>
      </w:r>
      <w:r>
        <w:rPr>
          <w:lang w:val="hu-HU"/>
        </w:rPr>
        <w:t xml:space="preserve">Tíz évre visszamenőleg ez volt az első alkalom, hogy az illegális kommunista párt jelentős számú munkást tudott mozgósítani. </w:t>
      </w:r>
      <w:r w:rsidR="00611972">
        <w:rPr>
          <w:lang w:val="hu-HU"/>
        </w:rPr>
        <w:t>(</w:t>
      </w:r>
      <w:r>
        <w:rPr>
          <w:lang w:val="hu-HU"/>
        </w:rPr>
        <w:t>1</w:t>
      </w:r>
      <w:r w:rsidR="009F108E">
        <w:rPr>
          <w:lang w:val="hu-HU"/>
        </w:rPr>
        <w:t>930 első felében először Budapesten, majd vidéken is számos településen munkanélküliek demonstráltak segélyt és munkaalkalmat követelve.</w:t>
      </w:r>
      <w:r w:rsidR="00611972">
        <w:rPr>
          <w:lang w:val="hu-HU"/>
        </w:rPr>
        <w:t>)</w:t>
      </w:r>
      <w:r w:rsidR="006B33F8">
        <w:rPr>
          <w:lang w:val="hu-HU"/>
        </w:rPr>
        <w:t xml:space="preserve"> 1930-ban a szociáldemokrata párt 1921 óta először május elsejei felvonulást rendezett Budapesten 10-15.000 résztvevővel, majd a következő hónapokban több hasonló demonstráció zajlott. A válság nyomán kibontakozó politikai mobilizáció érintette a szegényparaszti és a birtokos paraszti rétegeket is, amelyek főként tiltakozó gyűlésekben és politikai csoportok megalakulásában manifesztálódtak. </w:t>
      </w:r>
      <w:r>
        <w:rPr>
          <w:lang w:val="hu-HU"/>
        </w:rPr>
        <w:t>Bár forradalmi helyzetről semmiképpen nem beszélhetünk, ezeket a folyamatokat aggodalommal szemlélte az uralkodó elit és a középosztály jelentős része, hiszen bő egy évtizeddel korábban már átéltek egy nagy társadalmi megrázkódtatást, mely az egzisztenciájukban veszélyeztette ezeket a rétegeket.</w:t>
      </w:r>
      <w:r w:rsidR="00F66AAE">
        <w:rPr>
          <w:rStyle w:val="Lbjegyzet-hivatkozs"/>
          <w:lang w:val="hu-HU"/>
        </w:rPr>
        <w:footnoteReference w:id="80"/>
      </w:r>
      <w:r>
        <w:rPr>
          <w:lang w:val="hu-HU"/>
        </w:rPr>
        <w:t xml:space="preserve"> </w:t>
      </w:r>
    </w:p>
    <w:p w14:paraId="72151272" w14:textId="19ECF1C9" w:rsidR="0029755C" w:rsidRDefault="0029755C" w:rsidP="0029755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A válság egy sor más országhoz hasonlóan </w:t>
      </w:r>
      <w:r w:rsidRPr="007A696C">
        <w:rPr>
          <w:lang w:val="hu-HU"/>
        </w:rPr>
        <w:t>Magyarország</w:t>
      </w:r>
      <w:r>
        <w:rPr>
          <w:lang w:val="hu-HU"/>
        </w:rPr>
        <w:t>on is a társadalom és az állam viszonyának átalakulását hozta. A politikai gondolkodásban és a szélesebb közvéleményben mindinkább elterjedt az a felfogás, mely szerint a gazdasági és társadalmi problémák az állam fokozott szerepvállalásával és ezzel együtt a kormányzat jogkörének kiterjesztésével oldhatók meg. A változásokat jelentős mértékben ösztönözte a nemzetközi környezet: a környező államokban létrejövő autoriter rezsimek, majd az olasz, illetve később a német diktatúrák kisugárzó hatása.</w:t>
      </w:r>
      <w:r w:rsidR="001327E8">
        <w:rPr>
          <w:rStyle w:val="Lbjegyzet-hivatkozs"/>
          <w:lang w:val="hu-HU"/>
        </w:rPr>
        <w:footnoteReference w:id="81"/>
      </w:r>
    </w:p>
    <w:p w14:paraId="388C9ACD" w14:textId="336CC2A9" w:rsidR="007A696C" w:rsidRDefault="007A696C" w:rsidP="00522750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Az elmélyülő gazdasági válság és a nyomában fokozódó politikai mobilizáció</w:t>
      </w:r>
      <w:r w:rsidR="0029755C">
        <w:rPr>
          <w:lang w:val="hu-HU"/>
        </w:rPr>
        <w:t xml:space="preserve"> a jelzett átfogó ideológiai változásokkal párosulva</w:t>
      </w:r>
      <w:r>
        <w:rPr>
          <w:lang w:val="hu-HU"/>
        </w:rPr>
        <w:t xml:space="preserve"> kihívást jelentett az 1920-as években politikai konszolidációt végrehajtó Bethlen István miniszterelnök és rendszere számára. Bethlen egy autoriter elemeket tartalmazó parlamentáris rendszert alakított ki és működtetett </w:t>
      </w:r>
      <w:r w:rsidR="0029755C">
        <w:rPr>
          <w:lang w:val="hu-HU"/>
        </w:rPr>
        <w:t xml:space="preserve">1921 után </w:t>
      </w:r>
      <w:r>
        <w:rPr>
          <w:lang w:val="hu-HU"/>
        </w:rPr>
        <w:t>egy évtizeden keresztül. Ez a rendszer jelentős mértékben a politikai participáció és a politikai mobilizáció korlátozásán nyugodott, mely</w:t>
      </w:r>
      <w:r w:rsidR="0029755C">
        <w:rPr>
          <w:lang w:val="hu-HU"/>
        </w:rPr>
        <w:t>ek</w:t>
      </w:r>
      <w:r>
        <w:rPr>
          <w:lang w:val="hu-HU"/>
        </w:rPr>
        <w:t>nek kiemelkedő eszközei a szűk választójog és a nagyvár</w:t>
      </w:r>
      <w:r w:rsidR="0029755C">
        <w:rPr>
          <w:lang w:val="hu-HU"/>
        </w:rPr>
        <w:t>o</w:t>
      </w:r>
      <w:r>
        <w:rPr>
          <w:lang w:val="hu-HU"/>
        </w:rPr>
        <w:t>sokon kívüli nyílt választások voltak.</w:t>
      </w:r>
      <w:r w:rsidR="0029755C">
        <w:rPr>
          <w:rStyle w:val="Lbjegyzet-hivatkozs"/>
          <w:lang w:val="hu-HU"/>
        </w:rPr>
        <w:footnoteReference w:id="82"/>
      </w:r>
    </w:p>
    <w:p w14:paraId="004065BD" w14:textId="5B8EEEC5" w:rsidR="0029755C" w:rsidRDefault="007A696C" w:rsidP="007A696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Bethlen</w:t>
      </w:r>
      <w:r w:rsidR="0029755C">
        <w:rPr>
          <w:lang w:val="hu-HU"/>
        </w:rPr>
        <w:t xml:space="preserve"> </w:t>
      </w:r>
      <w:r w:rsidR="001327E8">
        <w:rPr>
          <w:lang w:val="hu-HU"/>
        </w:rPr>
        <w:t>miniszterelnöksége</w:t>
      </w:r>
      <w:r w:rsidR="0029755C">
        <w:rPr>
          <w:lang w:val="hu-HU"/>
        </w:rPr>
        <w:t xml:space="preserve"> során</w:t>
      </w:r>
      <w:r>
        <w:rPr>
          <w:lang w:val="hu-HU"/>
        </w:rPr>
        <w:t xml:space="preserve"> a kormánypárt – az Egységes Párt – feletti, gyakran informális eszközök alkalmazása révén kialakított dominanciájára támaszkodott. Bethlen a </w:t>
      </w:r>
      <w:r>
        <w:rPr>
          <w:lang w:val="hu-HU"/>
        </w:rPr>
        <w:lastRenderedPageBreak/>
        <w:t xml:space="preserve">válság alatt egy ideig képes </w:t>
      </w:r>
      <w:r w:rsidR="0029755C">
        <w:rPr>
          <w:lang w:val="hu-HU"/>
        </w:rPr>
        <w:t>volt</w:t>
      </w:r>
      <w:r>
        <w:rPr>
          <w:lang w:val="hu-HU"/>
        </w:rPr>
        <w:t xml:space="preserve"> </w:t>
      </w:r>
      <w:r w:rsidR="0029755C">
        <w:rPr>
          <w:lang w:val="hu-HU"/>
        </w:rPr>
        <w:t xml:space="preserve">tovább működtetni </w:t>
      </w:r>
      <w:r>
        <w:rPr>
          <w:lang w:val="hu-HU"/>
        </w:rPr>
        <w:t xml:space="preserve">kormányzati rendszerét, </w:t>
      </w:r>
      <w:r w:rsidR="001327E8">
        <w:rPr>
          <w:lang w:val="hu-HU"/>
        </w:rPr>
        <w:t xml:space="preserve">de </w:t>
      </w:r>
      <w:r w:rsidR="00611972">
        <w:rPr>
          <w:lang w:val="hu-HU"/>
        </w:rPr>
        <w:t>a politikai eliten belül mind többen hajlottak arra, hogy a Bethlen István miniszterelnök által kialakított és egy évtizeden keresztül működtetett rendszer nem képes kezelni a gazdasági és társadalmi válság következményeit. A</w:t>
      </w:r>
      <w:r>
        <w:rPr>
          <w:lang w:val="hu-HU"/>
        </w:rPr>
        <w:t xml:space="preserve">z Egységes Párton belül hamarosan olyan törések alakultak ki, melyeket </w:t>
      </w:r>
      <w:r w:rsidR="00611972">
        <w:rPr>
          <w:lang w:val="hu-HU"/>
        </w:rPr>
        <w:t xml:space="preserve">Bethlen </w:t>
      </w:r>
      <w:r>
        <w:rPr>
          <w:lang w:val="hu-HU"/>
        </w:rPr>
        <w:t>már nem tudott áthidalni.</w:t>
      </w:r>
      <w:r w:rsidR="001327E8">
        <w:rPr>
          <w:rStyle w:val="Lbjegyzet-hivatkozs"/>
          <w:lang w:val="hu-HU"/>
        </w:rPr>
        <w:footnoteReference w:id="83"/>
      </w:r>
    </w:p>
    <w:p w14:paraId="497AB1D2" w14:textId="3F9BAF37" w:rsidR="0063041A" w:rsidRDefault="00522750" w:rsidP="007A696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Bethlen 1931 augusztusi lemondását követően Károlyi Gyula lett a miniszterelnök, akinek egy éves kormányzása </w:t>
      </w:r>
      <w:r w:rsidR="0029755C">
        <w:rPr>
          <w:lang w:val="hu-HU"/>
        </w:rPr>
        <w:t xml:space="preserve">még </w:t>
      </w:r>
      <w:r>
        <w:rPr>
          <w:lang w:val="hu-HU"/>
        </w:rPr>
        <w:t>nem hozott jelentős változásokat a politikai rendszer</w:t>
      </w:r>
      <w:r w:rsidR="0029755C">
        <w:rPr>
          <w:lang w:val="hu-HU"/>
        </w:rPr>
        <w:t>b</w:t>
      </w:r>
      <w:r>
        <w:rPr>
          <w:lang w:val="hu-HU"/>
        </w:rPr>
        <w:t>en. Fordulópontnak 1932 ősze tekinthető, amikor Gömbös Gyula került kormányra</w:t>
      </w:r>
      <w:r w:rsidR="0063041A">
        <w:rPr>
          <w:lang w:val="hu-HU"/>
        </w:rPr>
        <w:t>, aki az 1919 utáni ellenforradalom egyik fontos alakja volt, és egy szélsőjobboldali katonai szervezet, a MOVE (Magyar Országos Véderő</w:t>
      </w:r>
      <w:r w:rsidR="00AA7AF6">
        <w:rPr>
          <w:lang w:val="hu-HU"/>
        </w:rPr>
        <w:t xml:space="preserve"> Egyesület)</w:t>
      </w:r>
      <w:r w:rsidR="0029755C">
        <w:rPr>
          <w:lang w:val="hu-HU"/>
        </w:rPr>
        <w:t xml:space="preserve"> élén állt</w:t>
      </w:r>
      <w:r w:rsidR="00AA7AF6">
        <w:rPr>
          <w:lang w:val="hu-HU"/>
        </w:rPr>
        <w:t>, 1923 és 1928 között pedig az ellenzéki Fajvédő Pártnak volt a vezetője, hogy aztán átigazoljon a kormánypártba. Gömbös miniszterelnökségével a korábban inkább marginális helyzetű szélsőjobboldali politikusok egész sora jutott jelentős pozícióba.</w:t>
      </w:r>
      <w:r w:rsidR="00AA7AF6">
        <w:rPr>
          <w:rStyle w:val="Lbjegyzet-hivatkozs"/>
          <w:lang w:val="hu-HU"/>
        </w:rPr>
        <w:footnoteReference w:id="84"/>
      </w:r>
      <w:r w:rsidR="00AA7AF6">
        <w:rPr>
          <w:lang w:val="hu-HU"/>
        </w:rPr>
        <w:t xml:space="preserve"> </w:t>
      </w:r>
    </w:p>
    <w:p w14:paraId="347537C2" w14:textId="5586F3FE" w:rsidR="00065284" w:rsidRDefault="00911009" w:rsidP="007A696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Gömbös</w:t>
      </w:r>
      <w:r w:rsidR="0029755C">
        <w:rPr>
          <w:lang w:val="hu-HU"/>
        </w:rPr>
        <w:t>nek</w:t>
      </w:r>
      <w:r>
        <w:rPr>
          <w:lang w:val="hu-HU"/>
        </w:rPr>
        <w:t xml:space="preserve"> nyíltan fajvédő nézetei voltak és a társadalom olasz mintájú, korporatív átszervezését tartotta céljának a politikai és szabadságjogok erőteljes korlátozásával. Kezdetben jelentős kompromisszumokra kényszerült, mivel az immár Nemzeti Egység Pártjára átnevezett kormánypárt irányítása továbbra is Bethlen kezében maradt. A </w:t>
      </w:r>
      <w:r w:rsidR="00065284">
        <w:rPr>
          <w:lang w:val="hu-HU"/>
        </w:rPr>
        <w:t xml:space="preserve">következő években folyamatos küzdelmet folytatott pártján belül tervei megvalósításáért. 1935-ben sikerült elérnie a parlament feloszlatását és idő előtti választások kiírását, melynek nyomán a </w:t>
      </w:r>
      <w:r w:rsidR="00611972">
        <w:rPr>
          <w:lang w:val="hu-HU"/>
        </w:rPr>
        <w:t xml:space="preserve">Nemzeti Egység Pártja </w:t>
      </w:r>
      <w:r w:rsidR="00065284">
        <w:rPr>
          <w:lang w:val="hu-HU"/>
        </w:rPr>
        <w:t>parlamenti frakciójának összetétele megváltozott</w:t>
      </w:r>
      <w:r w:rsidR="00611972">
        <w:rPr>
          <w:lang w:val="hu-HU"/>
        </w:rPr>
        <w:t>:</w:t>
      </w:r>
      <w:r w:rsidR="00065284">
        <w:rPr>
          <w:lang w:val="hu-HU"/>
        </w:rPr>
        <w:t xml:space="preserve"> a szélsőjobboldal nagyban megerősödött és Gömbös irányítása alá került. A politikai rendszer radikális átalakítását akadályozó hatalmi dualizmus megszűnt: Bethlen távozott a pártból és hívei ezután már csak a parlamenti frakció kisebb részét tették ki.</w:t>
      </w:r>
      <w:r w:rsidR="00065284">
        <w:rPr>
          <w:rStyle w:val="Lbjegyzet-hivatkozs"/>
          <w:lang w:val="hu-HU"/>
        </w:rPr>
        <w:footnoteReference w:id="85"/>
      </w:r>
      <w:r w:rsidR="00065284">
        <w:rPr>
          <w:lang w:val="hu-HU"/>
        </w:rPr>
        <w:t xml:space="preserve"> </w:t>
      </w:r>
    </w:p>
    <w:p w14:paraId="471354F0" w14:textId="3B4E21B9" w:rsidR="0051260E" w:rsidRDefault="00065284" w:rsidP="007A696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Gömbös ezt követően nagy lendülettel igyekezett megvalósítani elképzeléseit, különösen egy tömegpárt és egy azt kísérő tömegmozgalom kialakítását, mely nem csak a politikai életet, hanem a társadalmi, gazdasági és kulturális területeket is átfogja.</w:t>
      </w:r>
      <w:r w:rsidR="0051260E">
        <w:rPr>
          <w:lang w:val="hu-HU"/>
        </w:rPr>
        <w:t xml:space="preserve"> Programjában nagy hangsúlyt kapott az „egységes magyar világnézet” alapján a „nemzeti közösség” létrehozása. Hangsúlyozta, a magántulajdon védelmét, de a kapitalizmus káros jelenségeinek megszüntetését ígérte. Eközben célja volt a munkásság „nemzeti társadalomba” való beillesztése is.</w:t>
      </w:r>
      <w:r>
        <w:rPr>
          <w:lang w:val="hu-HU"/>
        </w:rPr>
        <w:t xml:space="preserve"> Eközben Gömbös magát vezérként prezentálta és hívei is a „vezéri elvet” </w:t>
      </w:r>
      <w:r>
        <w:rPr>
          <w:lang w:val="hu-HU"/>
        </w:rPr>
        <w:lastRenderedPageBreak/>
        <w:t xml:space="preserve">kívánták átültetni a gyakorlatba. </w:t>
      </w:r>
      <w:r w:rsidR="0051260E">
        <w:rPr>
          <w:lang w:val="hu-HU"/>
        </w:rPr>
        <w:t xml:space="preserve">Mindezzel együtt a parlament jogkörének </w:t>
      </w:r>
      <w:r w:rsidR="0029755C">
        <w:rPr>
          <w:lang w:val="hu-HU"/>
        </w:rPr>
        <w:t>korlátozásával</w:t>
      </w:r>
      <w:r w:rsidR="0051260E">
        <w:rPr>
          <w:lang w:val="hu-HU"/>
        </w:rPr>
        <w:t xml:space="preserve"> </w:t>
      </w:r>
      <w:r w:rsidR="0029755C">
        <w:rPr>
          <w:lang w:val="hu-HU"/>
        </w:rPr>
        <w:t xml:space="preserve">a rendeleti úton történő kormányzást akarta </w:t>
      </w:r>
      <w:r w:rsidR="0051260E">
        <w:rPr>
          <w:lang w:val="hu-HU"/>
        </w:rPr>
        <w:t>megvalósítani, vagyis lényegében diktatúr</w:t>
      </w:r>
      <w:r w:rsidR="0029755C">
        <w:rPr>
          <w:lang w:val="hu-HU"/>
        </w:rPr>
        <w:t>a kiépítés</w:t>
      </w:r>
      <w:r w:rsidR="00611972">
        <w:rPr>
          <w:lang w:val="hu-HU"/>
        </w:rPr>
        <w:t>e</w:t>
      </w:r>
      <w:r w:rsidR="0029755C">
        <w:rPr>
          <w:lang w:val="hu-HU"/>
        </w:rPr>
        <w:t xml:space="preserve"> volt a célja</w:t>
      </w:r>
      <w:r w:rsidR="0051260E">
        <w:rPr>
          <w:lang w:val="hu-HU"/>
        </w:rPr>
        <w:t xml:space="preserve">. </w:t>
      </w:r>
    </w:p>
    <w:p w14:paraId="4663C4EF" w14:textId="2165AEAC" w:rsidR="00CB0165" w:rsidRDefault="00065284" w:rsidP="007A696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 kormányzó, Horthy Miklós gyanakvással szemlélte Gömbös vezéri ambícióit és számos belpolitikai kezdeményezését, mint például a nagybirtokrendszer visszaszorítására tett kísérleteit</w:t>
      </w:r>
      <w:r w:rsidR="00CB0165">
        <w:rPr>
          <w:lang w:val="hu-HU"/>
        </w:rPr>
        <w:t>. Gömbös törekvései 1936 tavaszára megfeneklettek, s betegsége, majd halála lezárta az alkotmányos rendszer átalakítására tett kísérletét. Így Gömbös miniszterelnöksége idején</w:t>
      </w:r>
      <w:r w:rsidR="0029755C">
        <w:rPr>
          <w:lang w:val="hu-HU"/>
        </w:rPr>
        <w:t xml:space="preserve"> ugyan</w:t>
      </w:r>
      <w:r w:rsidR="00CB0165">
        <w:rPr>
          <w:lang w:val="hu-HU"/>
        </w:rPr>
        <w:t xml:space="preserve"> jelentős eltolódás ment végbe a politikai viszonyokban a szélsőjobboldal javára, de nem került sor diktatórikus fordulatra.</w:t>
      </w:r>
    </w:p>
    <w:p w14:paraId="3983848F" w14:textId="089EAB8D" w:rsidR="0029755C" w:rsidRDefault="00CB0165" w:rsidP="0062503B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 politikai viszonyok átrendeződése azonban ezt követően is tovább zajlott.</w:t>
      </w:r>
      <w:r w:rsidR="0062503B">
        <w:rPr>
          <w:lang w:val="hu-HU"/>
        </w:rPr>
        <w:t xml:space="preserve"> Legnagyobb hatású változásnak a pártszerkezet átalakulása bizonyult.</w:t>
      </w:r>
      <w:r w:rsidR="0062503B">
        <w:rPr>
          <w:rStyle w:val="Lbjegyzet-hivatkozs"/>
          <w:lang w:val="hu-HU"/>
        </w:rPr>
        <w:footnoteReference w:id="86"/>
      </w:r>
      <w:r w:rsidR="0062503B">
        <w:rPr>
          <w:lang w:val="hu-HU"/>
        </w:rPr>
        <w:t xml:space="preserve"> </w:t>
      </w:r>
      <w:r w:rsidR="0029755C">
        <w:rPr>
          <w:lang w:val="hu-HU"/>
        </w:rPr>
        <w:t xml:space="preserve">Az említett politikai mobilizáció nyomán új pártok és politikai szervezetek alakultak, de a kormánypártban is komoly belső mozgások következtek be. Az 1930-as évek közepére egyértelműen megerősödtek a szélsőjobboldali irányzatok, melyek a politikai és társadalmi rendszer radikális átalakítását kívánták elérni. Ezek a politikai pluralizmus felszámolását, s ezzel a polgári- és szabadságjogok szűkítését, a parlament szerepének erőteljes korlátozását, s </w:t>
      </w:r>
      <w:r w:rsidR="00611972">
        <w:rPr>
          <w:lang w:val="hu-HU"/>
        </w:rPr>
        <w:t xml:space="preserve">Gömbös korábbi terveihez hasonlóan </w:t>
      </w:r>
      <w:r w:rsidR="0029755C">
        <w:rPr>
          <w:lang w:val="hu-HU"/>
        </w:rPr>
        <w:t>egy korporatista rendszert kívántak megvalósítani.</w:t>
      </w:r>
      <w:r w:rsidR="0029755C">
        <w:rPr>
          <w:rStyle w:val="Lbjegyzet-hivatkozs"/>
          <w:lang w:val="hu-HU"/>
        </w:rPr>
        <w:footnoteReference w:id="87"/>
      </w:r>
      <w:r w:rsidR="0029755C">
        <w:rPr>
          <w:lang w:val="hu-HU"/>
        </w:rPr>
        <w:t xml:space="preserve"> </w:t>
      </w:r>
    </w:p>
    <w:p w14:paraId="65FD0923" w14:textId="6E185D28" w:rsidR="0051260E" w:rsidRDefault="0029755C" w:rsidP="007A696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Ennek jeleként a</w:t>
      </w:r>
      <w:r w:rsidR="0051260E">
        <w:rPr>
          <w:lang w:val="hu-HU"/>
        </w:rPr>
        <w:t xml:space="preserve">z 1930-as évek közepén létrejött </w:t>
      </w:r>
      <w:r w:rsidR="0051260E" w:rsidRPr="0051260E">
        <w:rPr>
          <w:lang w:val="hu-HU"/>
        </w:rPr>
        <w:t>Magyarország</w:t>
      </w:r>
      <w:r w:rsidR="0051260E">
        <w:rPr>
          <w:lang w:val="hu-HU"/>
        </w:rPr>
        <w:t>on Szálasi Ferenc vezetésével egy fasiszta tömegpárt Nemzet Akarat</w:t>
      </w:r>
      <w:r w:rsidR="0062503B">
        <w:rPr>
          <w:lang w:val="hu-HU"/>
        </w:rPr>
        <w:t>ának</w:t>
      </w:r>
      <w:r w:rsidR="0051260E">
        <w:rPr>
          <w:lang w:val="hu-HU"/>
        </w:rPr>
        <w:t xml:space="preserve"> Pártja néven, de ezen túl is több szélsőjobboldali párt működött és növelte befolyását, mint a Nemzetiszocialista Magyar Munkáspárt vagy a Fajvédő Szocialista Párt.</w:t>
      </w:r>
      <w:r w:rsidR="0062503B">
        <w:rPr>
          <w:rStyle w:val="Lbjegyzet-hivatkozs"/>
          <w:lang w:val="hu-HU"/>
        </w:rPr>
        <w:footnoteReference w:id="88"/>
      </w:r>
      <w:r w:rsidR="0062503B">
        <w:rPr>
          <w:lang w:val="hu-HU"/>
        </w:rPr>
        <w:t xml:space="preserve"> </w:t>
      </w:r>
      <w:r w:rsidR="0051260E">
        <w:rPr>
          <w:lang w:val="hu-HU"/>
        </w:rPr>
        <w:t>1937 végén több párt összeolvadásából megalakult a Magyar Nemzeti Szocialista Párt, amely – nevének megfelelően – szinte teljes egészében átvette az NSDAP programját.</w:t>
      </w:r>
      <w:r w:rsidR="007B1A0B">
        <w:rPr>
          <w:lang w:val="hu-HU"/>
        </w:rPr>
        <w:t xml:space="preserve"> Az 1930-as évek második felében működő kormányok e mozgalmakat és pártokat egy ideig betiltással és vezetőik bebörtönzésével igyekeztek hátérbe szorítani: maga Szálasi is börtönbe került.</w:t>
      </w:r>
      <w:r w:rsidR="0062503B">
        <w:rPr>
          <w:rStyle w:val="Lbjegyzet-hivatkozs"/>
          <w:lang w:val="hu-HU"/>
        </w:rPr>
        <w:footnoteReference w:id="89"/>
      </w:r>
      <w:r w:rsidR="007B1A0B">
        <w:rPr>
          <w:lang w:val="hu-HU"/>
        </w:rPr>
        <w:t xml:space="preserve"> A jobbratolódás azonban a kormánypolitikában is szinte folyamatos volt. Ennek számtalan jele közül az 1930-as évek végén kiadott zsidótörvényeket </w:t>
      </w:r>
      <w:r w:rsidR="00611972">
        <w:rPr>
          <w:lang w:val="hu-HU"/>
        </w:rPr>
        <w:t>szükséges</w:t>
      </w:r>
      <w:r w:rsidR="007B1A0B">
        <w:rPr>
          <w:lang w:val="hu-HU"/>
        </w:rPr>
        <w:t xml:space="preserve"> kiemelni.</w:t>
      </w:r>
      <w:r w:rsidR="007B1A0B">
        <w:rPr>
          <w:rStyle w:val="Lbjegyzet-hivatkozs"/>
          <w:lang w:val="hu-HU"/>
        </w:rPr>
        <w:footnoteReference w:id="90"/>
      </w:r>
      <w:r w:rsidR="007B1A0B">
        <w:rPr>
          <w:lang w:val="hu-HU"/>
        </w:rPr>
        <w:t xml:space="preserve"> </w:t>
      </w:r>
      <w:r w:rsidR="0051260E">
        <w:rPr>
          <w:lang w:val="hu-HU"/>
        </w:rPr>
        <w:t xml:space="preserve">  </w:t>
      </w:r>
    </w:p>
    <w:p w14:paraId="74171688" w14:textId="6E2B9D39" w:rsidR="00CB0165" w:rsidRDefault="00CB0165" w:rsidP="007A696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 A konzervatív erőknek ugyan 1937-38-ban az alkotmányvédelem jelszavával sikerült </w:t>
      </w:r>
      <w:r>
        <w:rPr>
          <w:lang w:val="hu-HU"/>
        </w:rPr>
        <w:lastRenderedPageBreak/>
        <w:t>megerősíteniük a kormányzó jogkörét, de a választójog teljes titkossá tételét már nem lehetett elkerülni, ami az adott politikai kontextusban a szélsőjobboldalnak kedvezett. Az 1939 májusi választásokon az ismét nevet változtatott kormány</w:t>
      </w:r>
      <w:r w:rsidR="00611972">
        <w:rPr>
          <w:lang w:val="hu-HU"/>
        </w:rPr>
        <w:t>párt</w:t>
      </w:r>
      <w:r>
        <w:rPr>
          <w:lang w:val="hu-HU"/>
        </w:rPr>
        <w:t>ból (Magyar Élet Pártja) kiszorultak a mérsékelt konzervatívok, sőt, Gömbös korábbi támogatói is. Helyettük a szélsőjobboldal különböző csoportjai vették át a vezető szerepet. Eközben az ellenzéket a nemzetiszocialista pártok dominálták.</w:t>
      </w:r>
      <w:r w:rsidR="00CA38F5">
        <w:rPr>
          <w:rStyle w:val="Lbjegyzet-hivatkozs"/>
          <w:lang w:val="hu-HU"/>
        </w:rPr>
        <w:footnoteReference w:id="91"/>
      </w:r>
      <w:r>
        <w:rPr>
          <w:lang w:val="hu-HU"/>
        </w:rPr>
        <w:t xml:space="preserve"> </w:t>
      </w:r>
    </w:p>
    <w:p w14:paraId="76603435" w14:textId="26A4991C" w:rsidR="00CB0165" w:rsidRDefault="00CB0165" w:rsidP="007A696C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Az 1930-as évek végén</w:t>
      </w:r>
      <w:r w:rsidR="002867E1">
        <w:rPr>
          <w:lang w:val="hu-HU"/>
        </w:rPr>
        <w:t xml:space="preserve"> további</w:t>
      </w:r>
      <w:r>
        <w:rPr>
          <w:lang w:val="hu-HU"/>
        </w:rPr>
        <w:t xml:space="preserve"> jelentős szerkezeti és intézményi változások mentek végbe a </w:t>
      </w:r>
      <w:r w:rsidRPr="00CB0165">
        <w:rPr>
          <w:lang w:val="hu-HU"/>
        </w:rPr>
        <w:t>magyarországi</w:t>
      </w:r>
      <w:r>
        <w:rPr>
          <w:lang w:val="hu-HU"/>
        </w:rPr>
        <w:t xml:space="preserve"> politikai rendszerben</w:t>
      </w:r>
      <w:r w:rsidR="00CA38F5">
        <w:rPr>
          <w:lang w:val="hu-HU"/>
        </w:rPr>
        <w:t>, mint Horthy kormányzó jogköreinek kiterjesztése</w:t>
      </w:r>
      <w:r>
        <w:rPr>
          <w:lang w:val="hu-HU"/>
        </w:rPr>
        <w:t xml:space="preserve">. Ezek </w:t>
      </w:r>
      <w:r w:rsidR="002867E1">
        <w:rPr>
          <w:lang w:val="hu-HU"/>
        </w:rPr>
        <w:t xml:space="preserve">ugyan </w:t>
      </w:r>
      <w:r>
        <w:rPr>
          <w:lang w:val="hu-HU"/>
        </w:rPr>
        <w:t xml:space="preserve">részben a szélsőséges pártok visszaszorítását szolgálták, de összességében a parlament ellenőrző szerepének szinte teljes felszámolásához vezettek. Míg a válság időszakában a </w:t>
      </w:r>
      <w:r w:rsidRPr="00CB0165">
        <w:rPr>
          <w:lang w:val="hu-HU"/>
        </w:rPr>
        <w:t>magyarországi</w:t>
      </w:r>
      <w:r>
        <w:rPr>
          <w:lang w:val="hu-HU"/>
        </w:rPr>
        <w:t xml:space="preserve"> állam- és kormányrendszer autoriter elemeket felmutató parlamentarizmusnak – más értékelések szerint hegemo</w:t>
      </w:r>
      <w:r w:rsidR="00FD5174">
        <w:rPr>
          <w:lang w:val="hu-HU"/>
        </w:rPr>
        <w:t>n</w:t>
      </w:r>
      <w:r>
        <w:rPr>
          <w:lang w:val="hu-HU"/>
        </w:rPr>
        <w:t>isztikus pártrendszerű autoritarianizmusnak – tekinthető, addig 1939 után a politikai rendszer már teljes mértékben autoriternek számít.</w:t>
      </w:r>
      <w:r>
        <w:rPr>
          <w:rStyle w:val="Lbjegyzet-hivatkozs"/>
          <w:lang w:val="hu-HU"/>
        </w:rPr>
        <w:footnoteReference w:id="92"/>
      </w:r>
    </w:p>
    <w:p w14:paraId="09053BF7" w14:textId="339680DC" w:rsidR="003E397A" w:rsidRDefault="002867E1" w:rsidP="00CA38F5">
      <w:pPr>
        <w:pStyle w:val="Szvegtrzs"/>
        <w:widowControl/>
        <w:spacing w:after="0" w:line="360" w:lineRule="auto"/>
        <w:ind w:firstLine="708"/>
        <w:jc w:val="both"/>
        <w:rPr>
          <w:lang w:val="hu-HU"/>
        </w:rPr>
      </w:pPr>
      <w:r>
        <w:rPr>
          <w:lang w:val="hu-HU"/>
        </w:rPr>
        <w:t>Az állam</w:t>
      </w:r>
      <w:r w:rsidR="00611972">
        <w:rPr>
          <w:lang w:val="hu-HU"/>
        </w:rPr>
        <w:t xml:space="preserve"> és társadalom viszonyának megváltozása, az állam jogköreinek és </w:t>
      </w:r>
      <w:r>
        <w:rPr>
          <w:lang w:val="hu-HU"/>
        </w:rPr>
        <w:t>funkció</w:t>
      </w:r>
      <w:r w:rsidR="00611972">
        <w:rPr>
          <w:lang w:val="hu-HU"/>
        </w:rPr>
        <w:t>ina</w:t>
      </w:r>
      <w:r>
        <w:rPr>
          <w:lang w:val="hu-HU"/>
        </w:rPr>
        <w:t xml:space="preserve">k bővülése jelentkezett </w:t>
      </w:r>
      <w:r w:rsidR="00CA38F5">
        <w:rPr>
          <w:lang w:val="hu-HU"/>
        </w:rPr>
        <w:t xml:space="preserve">a gazdaság és a politika metszéspontjában lévő szociálpolitika terén is. Az első világháború után a magyarországi jóléti rendszert erős dualizmus jellemezte. </w:t>
      </w:r>
      <w:r>
        <w:rPr>
          <w:lang w:val="hu-HU"/>
        </w:rPr>
        <w:t>Bár az</w:t>
      </w:r>
      <w:r w:rsidRPr="00832B24">
        <w:rPr>
          <w:lang w:val="hu-HU"/>
        </w:rPr>
        <w:t xml:space="preserve"> első társadalombiztosítási törvények nemzetközi összehasonlításban viszonylag korán, már a 19. század végén és a 20. század első éveiben megjelentek Magyarországon</w:t>
      </w:r>
      <w:r>
        <w:rPr>
          <w:lang w:val="hu-HU"/>
        </w:rPr>
        <w:t>, de e</w:t>
      </w:r>
      <w:r w:rsidRPr="003A33DC">
        <w:rPr>
          <w:lang w:val="hu-HU"/>
        </w:rPr>
        <w:t>zek</w:t>
      </w:r>
      <w:r w:rsidR="00CA38F5">
        <w:rPr>
          <w:lang w:val="hu-HU"/>
        </w:rPr>
        <w:t xml:space="preserve"> --</w:t>
      </w:r>
      <w:r w:rsidRPr="003A33DC">
        <w:rPr>
          <w:lang w:val="hu-HU"/>
        </w:rPr>
        <w:t xml:space="preserve"> a legtöbb európai ország megfelelő </w:t>
      </w:r>
      <w:r>
        <w:rPr>
          <w:lang w:val="hu-HU"/>
        </w:rPr>
        <w:t>intézkedéseihez</w:t>
      </w:r>
      <w:r w:rsidRPr="003A33DC">
        <w:rPr>
          <w:lang w:val="hu-HU"/>
        </w:rPr>
        <w:t xml:space="preserve"> hasonlóan</w:t>
      </w:r>
      <w:r w:rsidR="00CA38F5">
        <w:rPr>
          <w:lang w:val="hu-HU"/>
        </w:rPr>
        <w:t xml:space="preserve"> --</w:t>
      </w:r>
      <w:r w:rsidRPr="003A33DC">
        <w:rPr>
          <w:lang w:val="hu-HU"/>
        </w:rPr>
        <w:t xml:space="preserve"> csak a</w:t>
      </w:r>
      <w:r w:rsidR="00CA38F5">
        <w:rPr>
          <w:lang w:val="hu-HU"/>
        </w:rPr>
        <w:t xml:space="preserve"> nagy</w:t>
      </w:r>
      <w:r w:rsidRPr="003A33DC">
        <w:rPr>
          <w:lang w:val="hu-HU"/>
        </w:rPr>
        <w:t>ipari munkásság számára biztosítottak szociális jogokat</w:t>
      </w:r>
      <w:r w:rsidR="00611972">
        <w:rPr>
          <w:lang w:val="hu-HU"/>
        </w:rPr>
        <w:t>,</w:t>
      </w:r>
      <w:r>
        <w:rPr>
          <w:lang w:val="hu-HU"/>
        </w:rPr>
        <w:t xml:space="preserve"> </w:t>
      </w:r>
      <w:r w:rsidR="00611972">
        <w:rPr>
          <w:lang w:val="hu-HU"/>
        </w:rPr>
        <w:t>a</w:t>
      </w:r>
      <w:r>
        <w:rPr>
          <w:lang w:val="hu-HU"/>
        </w:rPr>
        <w:t xml:space="preserve">z állami alkalmazottak </w:t>
      </w:r>
      <w:r w:rsidR="00611972">
        <w:rPr>
          <w:lang w:val="hu-HU"/>
        </w:rPr>
        <w:t xml:space="preserve">pedig </w:t>
      </w:r>
      <w:r>
        <w:rPr>
          <w:lang w:val="hu-HU"/>
        </w:rPr>
        <w:t>külön programok révén jutottak nyugdíjhoz és más szociális ellátásokhoz.</w:t>
      </w:r>
      <w:r w:rsidR="0048035E">
        <w:rPr>
          <w:rStyle w:val="Lbjegyzet-hivatkozs"/>
          <w:lang w:val="hu-HU"/>
        </w:rPr>
        <w:footnoteReference w:id="93"/>
      </w:r>
      <w:r w:rsidR="0048035E">
        <w:rPr>
          <w:lang w:val="hu-HU"/>
        </w:rPr>
        <w:t xml:space="preserve"> </w:t>
      </w:r>
      <w:r w:rsidR="00CA38F5">
        <w:rPr>
          <w:lang w:val="hu-HU"/>
        </w:rPr>
        <w:t xml:space="preserve">Ezek a csoportok </w:t>
      </w:r>
      <w:r w:rsidR="00855E19" w:rsidRPr="008F449C">
        <w:rPr>
          <w:lang w:val="hu-HU"/>
        </w:rPr>
        <w:t xml:space="preserve">viszonylag </w:t>
      </w:r>
      <w:r w:rsidR="00CA38F5">
        <w:rPr>
          <w:lang w:val="hu-HU"/>
        </w:rPr>
        <w:t>magas szintű</w:t>
      </w:r>
      <w:r w:rsidR="00855E19" w:rsidRPr="008F449C">
        <w:rPr>
          <w:lang w:val="hu-HU"/>
        </w:rPr>
        <w:t xml:space="preserve"> szociális ellátás</w:t>
      </w:r>
      <w:r w:rsidR="00855E19">
        <w:rPr>
          <w:lang w:val="hu-HU"/>
        </w:rPr>
        <w:t>okhoz jutottak</w:t>
      </w:r>
      <w:r w:rsidR="00855E19" w:rsidRPr="008F449C">
        <w:rPr>
          <w:lang w:val="hu-HU"/>
        </w:rPr>
        <w:t>. Ezzel szemben a lakosság nagyobbik hányadát kitevő mezőgazdasági népesség szociális jogai alacsony színvonal</w:t>
      </w:r>
      <w:r w:rsidR="00855E19">
        <w:rPr>
          <w:lang w:val="hu-HU"/>
        </w:rPr>
        <w:t>on</w:t>
      </w:r>
      <w:r w:rsidR="00855E19" w:rsidRPr="008F449C">
        <w:rPr>
          <w:lang w:val="hu-HU"/>
        </w:rPr>
        <w:t xml:space="preserve"> </w:t>
      </w:r>
      <w:r w:rsidR="00855E19">
        <w:rPr>
          <w:lang w:val="hu-HU"/>
        </w:rPr>
        <w:t>maradtak</w:t>
      </w:r>
      <w:r w:rsidR="009606D6">
        <w:rPr>
          <w:lang w:val="hu-HU"/>
        </w:rPr>
        <w:t xml:space="preserve">. </w:t>
      </w:r>
      <w:r w:rsidR="003E397A">
        <w:rPr>
          <w:lang w:val="hu-HU"/>
        </w:rPr>
        <w:t>Valamelyest eltért ettől a közegészségügy fejlődése, mely a falvakban is jelentős eredményekhez vezetett már az 1920-as évektől: utóbbiak közül különösen a halandóság nagy mértékű csökkenése említendő.</w:t>
      </w:r>
    </w:p>
    <w:p w14:paraId="1F944670" w14:textId="1AC28940" w:rsidR="002867E1" w:rsidRDefault="009606D6" w:rsidP="00D914C4">
      <w:pPr>
        <w:pStyle w:val="Szvegtrzs"/>
        <w:widowControl/>
        <w:spacing w:after="0" w:line="360" w:lineRule="auto"/>
        <w:ind w:firstLine="708"/>
        <w:jc w:val="both"/>
        <w:rPr>
          <w:lang w:val="hu-HU"/>
        </w:rPr>
      </w:pPr>
      <w:r>
        <w:rPr>
          <w:lang w:val="hu-HU"/>
        </w:rPr>
        <w:t>A</w:t>
      </w:r>
      <w:r w:rsidR="00D914C4">
        <w:rPr>
          <w:lang w:val="hu-HU"/>
        </w:rPr>
        <w:t>z 1930-as évek közepé</w:t>
      </w:r>
      <w:r>
        <w:rPr>
          <w:lang w:val="hu-HU"/>
        </w:rPr>
        <w:t>től ismételt változásokat következtek be ebben a rendszerben</w:t>
      </w:r>
      <w:r w:rsidR="00D914C4">
        <w:rPr>
          <w:lang w:val="hu-HU"/>
        </w:rPr>
        <w:t xml:space="preserve">. Egyrészt ekkortól az ipari munkásság szociális jogai tovább gyarapodtak, </w:t>
      </w:r>
      <w:r w:rsidR="00CA38F5">
        <w:rPr>
          <w:lang w:val="hu-HU"/>
        </w:rPr>
        <w:t>másrészt</w:t>
      </w:r>
      <w:r w:rsidR="00D914C4">
        <w:rPr>
          <w:lang w:val="hu-HU"/>
        </w:rPr>
        <w:t xml:space="preserve"> a jóléti rendszerek </w:t>
      </w:r>
      <w:r>
        <w:rPr>
          <w:lang w:val="hu-HU"/>
        </w:rPr>
        <w:t xml:space="preserve">lassan </w:t>
      </w:r>
      <w:r w:rsidR="00D914C4">
        <w:rPr>
          <w:lang w:val="hu-HU"/>
        </w:rPr>
        <w:t xml:space="preserve">kezdtek kinyílni az agrárlakosság előtt. </w:t>
      </w:r>
      <w:r w:rsidR="002867E1">
        <w:rPr>
          <w:lang w:val="hu-HU"/>
        </w:rPr>
        <w:t xml:space="preserve">1937-ben az iparban bevezették a 8 órás munkanapot és – szakmánként differenciálva – a minimálbért. Szintén ekkor került sor az </w:t>
      </w:r>
      <w:r w:rsidR="002867E1">
        <w:rPr>
          <w:lang w:val="hu-HU"/>
        </w:rPr>
        <w:lastRenderedPageBreak/>
        <w:t>iparban a fizetett szabadság meghonosítására. Az évi 6 napos fizetett szabadság azoknak az ipari munkásoknak járt, akik egy évet megszakítás nélkül azonos munkahelyen dolgoztak. A további évek után a fizetett távollét ideje tovább nőtt. A gyakorlatban azonban ez a rendelkezés az ipari munkavállalók szűk körét – egyes becslések szerint nagyjából tizedét, vagyis 60.000 főt – érintette, mert csak ennyien dolgoztak egy évig folyamatosan ugyanannál a vállalatnál.</w:t>
      </w:r>
      <w:r w:rsidR="002867E1">
        <w:rPr>
          <w:rStyle w:val="Lbjegyzet-hivatkozs"/>
          <w:lang w:val="hu-HU"/>
        </w:rPr>
        <w:footnoteReference w:id="94"/>
      </w:r>
      <w:r w:rsidR="002867E1">
        <w:rPr>
          <w:lang w:val="hu-HU"/>
        </w:rPr>
        <w:t xml:space="preserve"> További jóléti intézkedésként 1938-ban bevezették az ún. családi munkabért, amely az ipari munkások számára gyermekenként havi 5 pengő nevelési pótlékot jelentett, mely nagyjából az átlagfizetés 55%-ának felelt meg. </w:t>
      </w:r>
      <w:r w:rsidR="003E397A">
        <w:rPr>
          <w:lang w:val="hu-HU"/>
        </w:rPr>
        <w:t>Ezeknek a</w:t>
      </w:r>
      <w:r w:rsidR="002867E1">
        <w:rPr>
          <w:lang w:val="hu-HU"/>
        </w:rPr>
        <w:t xml:space="preserve"> jóléti intézkedések</w:t>
      </w:r>
      <w:r w:rsidR="003E397A">
        <w:rPr>
          <w:lang w:val="hu-HU"/>
        </w:rPr>
        <w:t>nek</w:t>
      </w:r>
      <w:r w:rsidR="002867E1">
        <w:rPr>
          <w:lang w:val="hu-HU"/>
        </w:rPr>
        <w:t xml:space="preserve"> egy része azonban csupán rövid ideig maradt érvényben, mert 1939 őszén – az </w:t>
      </w:r>
      <w:r w:rsidR="002867E1" w:rsidRPr="006B33F8">
        <w:rPr>
          <w:lang w:val="hu-HU" w:eastAsia="x-none"/>
        </w:rPr>
        <w:t>világháború</w:t>
      </w:r>
      <w:r w:rsidR="002867E1">
        <w:rPr>
          <w:lang w:val="hu-HU"/>
        </w:rPr>
        <w:t xml:space="preserve"> kitörésekor – felfüggesztették a 8 órás munkaidőre és a fizetett szabadságra vonatkozó rendelkezéseket. </w:t>
      </w:r>
      <w:r>
        <w:rPr>
          <w:lang w:val="hu-HU"/>
        </w:rPr>
        <w:t xml:space="preserve">Mindazonáltal jelezték a várható fejlődés irányát. </w:t>
      </w:r>
    </w:p>
    <w:p w14:paraId="2D20666A" w14:textId="3D7AB2DC" w:rsidR="003E397A" w:rsidRDefault="005F669B" w:rsidP="005F669B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>A</w:t>
      </w:r>
      <w:r w:rsidRPr="009606D6">
        <w:rPr>
          <w:lang w:val="hu-HU"/>
        </w:rPr>
        <w:t xml:space="preserve"> gazdasági cselédek és egyes mezőgazdasági munkások </w:t>
      </w:r>
      <w:r>
        <w:rPr>
          <w:lang w:val="hu-HU"/>
        </w:rPr>
        <w:t xml:space="preserve">számára </w:t>
      </w:r>
      <w:r w:rsidRPr="009606D6">
        <w:rPr>
          <w:lang w:val="hu-HU"/>
        </w:rPr>
        <w:t xml:space="preserve">már </w:t>
      </w:r>
      <w:r>
        <w:rPr>
          <w:lang w:val="hu-HU"/>
        </w:rPr>
        <w:t>korábban</w:t>
      </w:r>
      <w:r w:rsidRPr="009606D6">
        <w:rPr>
          <w:lang w:val="hu-HU"/>
        </w:rPr>
        <w:t xml:space="preserve"> törvény garan</w:t>
      </w:r>
      <w:r>
        <w:rPr>
          <w:lang w:val="hu-HU"/>
        </w:rPr>
        <w:t>a</w:t>
      </w:r>
      <w:r w:rsidRPr="009606D6">
        <w:rPr>
          <w:lang w:val="hu-HU"/>
        </w:rPr>
        <w:t>tálta a baleseti biztosítást, s 1939</w:t>
      </w:r>
      <w:r>
        <w:rPr>
          <w:lang w:val="hu-HU"/>
        </w:rPr>
        <w:t>-ben</w:t>
      </w:r>
      <w:r w:rsidRPr="009606D6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9606D6">
        <w:rPr>
          <w:lang w:val="hu-HU"/>
        </w:rPr>
        <w:t xml:space="preserve">mezőgazdasági munkavállalók </w:t>
      </w:r>
      <w:r>
        <w:rPr>
          <w:lang w:val="hu-HU"/>
        </w:rPr>
        <w:t xml:space="preserve">teljes körére </w:t>
      </w:r>
      <w:r w:rsidRPr="009606D6">
        <w:rPr>
          <w:lang w:val="hu-HU"/>
        </w:rPr>
        <w:t>kiterjesztették</w:t>
      </w:r>
      <w:r>
        <w:rPr>
          <w:lang w:val="hu-HU"/>
        </w:rPr>
        <w:t xml:space="preserve"> </w:t>
      </w:r>
      <w:r w:rsidRPr="009606D6">
        <w:rPr>
          <w:lang w:val="hu-HU"/>
        </w:rPr>
        <w:t>ezt.</w:t>
      </w:r>
      <w:r>
        <w:rPr>
          <w:lang w:val="hu-HU"/>
        </w:rPr>
        <w:t xml:space="preserve"> </w:t>
      </w:r>
      <w:r w:rsidRPr="009606D6">
        <w:rPr>
          <w:lang w:val="hu-HU"/>
        </w:rPr>
        <w:t>A mezőgazdasági munkavállalók öregségi- és özvegyinyugdíj-biztosításának bevezetése</w:t>
      </w:r>
      <w:r>
        <w:rPr>
          <w:lang w:val="hu-HU"/>
        </w:rPr>
        <w:t xml:space="preserve"> </w:t>
      </w:r>
      <w:r w:rsidRPr="009606D6">
        <w:rPr>
          <w:lang w:val="hu-HU"/>
        </w:rPr>
        <w:t xml:space="preserve">1938-ban és 1939-ben került sor. A bevezetett és juttatásaiban az ipari munkások nyugdíjbiztosításához hasonló öregségi nyugdíjra a hatvanöt év feletti mezőgazdasági </w:t>
      </w:r>
      <w:r>
        <w:rPr>
          <w:lang w:val="hu-HU"/>
        </w:rPr>
        <w:t>m</w:t>
      </w:r>
      <w:r w:rsidRPr="009606D6">
        <w:rPr>
          <w:lang w:val="hu-HU"/>
        </w:rPr>
        <w:t>unkások voltak jogosultak, tizenöt év várakozási idő után.  A nyugdíj összege szintén az ipari és kereskedelmi foglalkoztatottak biztosításában előírthoz igazodott</w:t>
      </w:r>
      <w:r>
        <w:rPr>
          <w:lang w:val="hu-HU"/>
        </w:rPr>
        <w:t>.</w:t>
      </w:r>
      <w:r w:rsidR="0048035E">
        <w:rPr>
          <w:rStyle w:val="Lbjegyzet-hivatkozs"/>
          <w:lang w:val="hu-HU"/>
        </w:rPr>
        <w:footnoteReference w:id="95"/>
      </w:r>
      <w:r>
        <w:rPr>
          <w:lang w:val="hu-HU"/>
        </w:rPr>
        <w:t xml:space="preserve"> </w:t>
      </w:r>
      <w:r w:rsidR="003E397A">
        <w:rPr>
          <w:lang w:val="hu-HU"/>
        </w:rPr>
        <w:t>Ugyanakkor az 1930-as évek végétől a szociálpolitikában is jelentkeztek az etnicizálódási tendenciák, a zsidó lakosság diszkriminációja.</w:t>
      </w:r>
      <w:r w:rsidR="00CA38F5">
        <w:rPr>
          <w:rStyle w:val="Lbjegyzet-hivatkozs"/>
          <w:lang w:val="hu-HU"/>
        </w:rPr>
        <w:footnoteReference w:id="96"/>
      </w:r>
    </w:p>
    <w:p w14:paraId="6EB28A7A" w14:textId="2F43C85B" w:rsidR="005F669B" w:rsidRDefault="005F669B">
      <w:pPr>
        <w:widowControl/>
        <w:autoSpaceDE/>
        <w:autoSpaceDN/>
        <w:adjustRightInd/>
        <w:spacing w:line="360" w:lineRule="auto"/>
        <w:rPr>
          <w:b/>
          <w:bCs/>
          <w:lang w:val="hu-HU"/>
        </w:rPr>
      </w:pPr>
    </w:p>
    <w:p w14:paraId="566A2472" w14:textId="77777777" w:rsidR="00C92C5C" w:rsidRDefault="00C92C5C">
      <w:pPr>
        <w:widowControl/>
        <w:autoSpaceDE/>
        <w:autoSpaceDN/>
        <w:adjustRightInd/>
        <w:spacing w:line="360" w:lineRule="auto"/>
        <w:rPr>
          <w:b/>
          <w:bCs/>
          <w:lang w:val="hu-HU"/>
        </w:rPr>
      </w:pPr>
    </w:p>
    <w:p w14:paraId="061FC493" w14:textId="5B4098B4" w:rsidR="00175C4F" w:rsidRDefault="00946EC4" w:rsidP="00175C4F">
      <w:pPr>
        <w:spacing w:line="360" w:lineRule="auto"/>
        <w:rPr>
          <w:b/>
          <w:bCs/>
          <w:lang w:val="hu-HU"/>
        </w:rPr>
      </w:pPr>
      <w:r>
        <w:rPr>
          <w:b/>
          <w:bCs/>
          <w:lang w:val="hu-HU"/>
        </w:rPr>
        <w:t>6</w:t>
      </w:r>
      <w:r w:rsidR="00175C4F" w:rsidRPr="00175C4F">
        <w:rPr>
          <w:b/>
          <w:bCs/>
          <w:lang w:val="hu-HU"/>
        </w:rPr>
        <w:t xml:space="preserve">. </w:t>
      </w:r>
      <w:r w:rsidR="001F176B">
        <w:rPr>
          <w:b/>
          <w:bCs/>
          <w:lang w:val="hu-HU"/>
        </w:rPr>
        <w:t>Összefoglalás</w:t>
      </w:r>
    </w:p>
    <w:p w14:paraId="23F962AB" w14:textId="77777777" w:rsidR="00922CD4" w:rsidRDefault="00922CD4" w:rsidP="00922CD4">
      <w:pPr>
        <w:spacing w:line="360" w:lineRule="auto"/>
        <w:jc w:val="both"/>
        <w:rPr>
          <w:lang w:val="hu-HU"/>
        </w:rPr>
      </w:pPr>
    </w:p>
    <w:p w14:paraId="4D11AF0B" w14:textId="0A10EF39" w:rsidR="00AC261D" w:rsidRDefault="00104D36" w:rsidP="00AC261D">
      <w:pPr>
        <w:spacing w:line="360" w:lineRule="auto"/>
        <w:jc w:val="both"/>
        <w:rPr>
          <w:lang w:val="hu-HU"/>
        </w:rPr>
      </w:pPr>
      <w:r>
        <w:rPr>
          <w:lang w:val="hu-HU"/>
        </w:rPr>
        <w:t>A gazdasági válság egy viszonylag sikeres elős világháború utáni növekedési szakaszt szakított meg Magyarországon. Az 1920-as évek növekedése jelentős mértékben a külföldi tőke behozatalán nyugodott, valamint fontos jellemzője volt az importpótló iparosítás. A válság elsőként a mezőgazdaságot érintette, ahol nem a termelés visszaesésében, hanem az agárártermékek árának, s így a termelők jövedelmének csökkenésében</w:t>
      </w:r>
      <w:r w:rsidRPr="00104D36">
        <w:rPr>
          <w:lang w:val="hu-HU"/>
        </w:rPr>
        <w:t xml:space="preserve"> </w:t>
      </w:r>
      <w:r>
        <w:rPr>
          <w:lang w:val="hu-HU"/>
        </w:rPr>
        <w:t xml:space="preserve">jelentkezett. Súlyosbította a mezpgazdaság helyzetét az agrárolló kinyílása az 1930-as évek első felében, s </w:t>
      </w:r>
      <w:r>
        <w:rPr>
          <w:lang w:val="hu-HU"/>
        </w:rPr>
        <w:lastRenderedPageBreak/>
        <w:t>az exportlehetőségek erőteljes beszűkülése.</w:t>
      </w:r>
      <w:r w:rsidR="00AC261D">
        <w:rPr>
          <w:lang w:val="hu-HU"/>
        </w:rPr>
        <w:t xml:space="preserve"> Ezzel szemben a válság az iparban már a termelés nagyarányú hanyatlását hozta magával: az 1932-es mélyponton az ipar kibocsátása mintegy negyedével csökkent az 1929-es szinthez képest. Az 1931-ben kibontakozó pénzügyi válság után lényegében leállt a tőkeimport.  A tercier szektor lényegében stagnált ebben a periódusban.</w:t>
      </w:r>
    </w:p>
    <w:p w14:paraId="1BFF6BDD" w14:textId="77777777" w:rsidR="00361131" w:rsidRDefault="00AC261D" w:rsidP="00AC261D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>A válságot a kormányzatok erőteljes állami beavatkozással igyekeztek csillapítani</w:t>
      </w:r>
      <w:r w:rsidR="00842BC6">
        <w:rPr>
          <w:lang w:val="hu-HU"/>
        </w:rPr>
        <w:t>. A</w:t>
      </w:r>
      <w:r>
        <w:rPr>
          <w:lang w:val="hu-HU"/>
        </w:rPr>
        <w:t xml:space="preserve"> mezőgazdaság</w:t>
      </w:r>
      <w:r w:rsidR="00842BC6">
        <w:rPr>
          <w:lang w:val="hu-HU"/>
        </w:rPr>
        <w:t>i termelőknek nyújott segítség számos formában történt és magában foglalta mindenekelőtt a közvetlen pénzügyi támogatást, az árszabályozást, az adósságok átütemezését, az</w:t>
      </w:r>
      <w:r>
        <w:rPr>
          <w:lang w:val="hu-HU"/>
        </w:rPr>
        <w:t xml:space="preserve"> </w:t>
      </w:r>
      <w:r w:rsidR="00842BC6">
        <w:rPr>
          <w:lang w:val="hu-HU"/>
        </w:rPr>
        <w:t xml:space="preserve">értékesítés monopolizálását állami tulajdonban álló vagy állami részvétellel működtetett szervezetek léterhozásával, az agárexport ösztönzését pénzügyi támogatások révén. Az ipar támogatása </w:t>
      </w:r>
      <w:r w:rsidR="00C70FCF">
        <w:rPr>
          <w:lang w:val="hu-HU"/>
        </w:rPr>
        <w:t xml:space="preserve">mindenekelőtt </w:t>
      </w:r>
      <w:r w:rsidR="00842BC6">
        <w:rPr>
          <w:lang w:val="hu-HU"/>
        </w:rPr>
        <w:t>a</w:t>
      </w:r>
      <w:r w:rsidR="00C70FCF">
        <w:rPr>
          <w:lang w:val="hu-HU"/>
        </w:rPr>
        <w:t xml:space="preserve"> gazdasági nacionalizmus jegyében történt: a </w:t>
      </w:r>
      <w:r w:rsidR="00842BC6">
        <w:rPr>
          <w:lang w:val="hu-HU"/>
        </w:rPr>
        <w:t>piac</w:t>
      </w:r>
      <w:r w:rsidR="00C70FCF">
        <w:rPr>
          <w:lang w:val="hu-HU"/>
        </w:rPr>
        <w:t xml:space="preserve"> </w:t>
      </w:r>
      <w:r w:rsidR="00842BC6">
        <w:rPr>
          <w:lang w:val="hu-HU"/>
        </w:rPr>
        <w:t>védel</w:t>
      </w:r>
      <w:r w:rsidR="00C70FCF">
        <w:rPr>
          <w:lang w:val="hu-HU"/>
        </w:rPr>
        <w:t xml:space="preserve">mében tovább emelték a már korábban sem alacsony </w:t>
      </w:r>
      <w:r w:rsidR="00842BC6">
        <w:rPr>
          <w:lang w:val="hu-HU"/>
        </w:rPr>
        <w:t>vámokat</w:t>
      </w:r>
      <w:r w:rsidR="00C70FCF">
        <w:rPr>
          <w:lang w:val="hu-HU"/>
        </w:rPr>
        <w:t>, s</w:t>
      </w:r>
      <w:r w:rsidR="00842BC6">
        <w:rPr>
          <w:lang w:val="hu-HU"/>
        </w:rPr>
        <w:t xml:space="preserve"> kontingeseket vezettek be a külföldi feldolgozott termékek importjának visszaszorítására.</w:t>
      </w:r>
      <w:r w:rsidR="00C70FCF">
        <w:rPr>
          <w:lang w:val="hu-HU"/>
        </w:rPr>
        <w:t xml:space="preserve"> Ezzel a már az 1920-as években is jellemző importpótló iparosítás újabb lendületet vett. </w:t>
      </w:r>
    </w:p>
    <w:p w14:paraId="2B4CF5E9" w14:textId="6C605E8F" w:rsidR="00361131" w:rsidRDefault="00C70FCF" w:rsidP="00361131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A pénzügyi válság leküzdésére 1931-től különösen drasztikus intézkedések születtek, melyek aztán kihatottak az állam teljes gazdaságpolitikai arzenáljára az évtized hátralévő részében. A pénzügyi összeomlás megakadályozására transzfermoratóriumot hirdettek, s rövid idő alatt a kötött devizagazdálkodás teljes rendszerét építettk ki. Ezzel a nemzetközi pénzügyi kapcsolatok és a külkereskedelem teljes mértékben állami ellenőrzés alá kerültek. </w:t>
      </w:r>
      <w:r w:rsidR="00361131">
        <w:rPr>
          <w:lang w:val="hu-HU"/>
        </w:rPr>
        <w:t xml:space="preserve">Ez segített végrehajtani a teljes külkereskedelmi reorientációt az 1930-as évek közepétől, melynek nyomán a magyar külgazdasági kapcsolatokban domináns helyzetbe került Németország. Ez a váltás egyrészt gazdasági kényszerek eredménye volt, mert Németország volt leginkább nyitott a magyar mezőgazdasági termékek felvételére. Egyszersmind azonban megfelelt a magyar revizionista külpolitikai törekvéseknek is, melyek a szintén a nemzetközi </w:t>
      </w:r>
      <w:r w:rsidR="00361131" w:rsidRPr="00361131">
        <w:rPr>
          <w:i/>
          <w:iCs/>
          <w:lang w:val="hu-HU"/>
        </w:rPr>
        <w:t>status quo</w:t>
      </w:r>
      <w:r w:rsidR="00361131">
        <w:rPr>
          <w:lang w:val="hu-HU"/>
        </w:rPr>
        <w:t xml:space="preserve"> megváltoztatására törekvő Németországgal való együttműködésre ösztönözték Magyarországot.</w:t>
      </w:r>
    </w:p>
    <w:p w14:paraId="380E705D" w14:textId="02E283A4" w:rsidR="00361131" w:rsidRDefault="00361131" w:rsidP="00361131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>A válság alatt – részben a kormányzati beavatkozások eredményeként, részben azoktól függetlenül --</w:t>
      </w:r>
      <w:r w:rsidR="00AC261D">
        <w:rPr>
          <w:lang w:val="hu-HU"/>
        </w:rPr>
        <w:tab/>
      </w:r>
      <w:r>
        <w:rPr>
          <w:lang w:val="hu-HU"/>
        </w:rPr>
        <w:t xml:space="preserve">a magyar gazdaságban előnyös </w:t>
      </w:r>
      <w:r w:rsidR="00183303">
        <w:rPr>
          <w:lang w:val="hu-HU"/>
        </w:rPr>
        <w:t xml:space="preserve">alkalmazkodási folyamatok is lejtászódtak. Ezek közül a </w:t>
      </w:r>
      <w:r>
        <w:rPr>
          <w:lang w:val="hu-HU"/>
        </w:rPr>
        <w:t>szerkezet</w:t>
      </w:r>
      <w:r w:rsidR="00183303">
        <w:rPr>
          <w:lang w:val="hu-HU"/>
        </w:rPr>
        <w:t xml:space="preserve">i </w:t>
      </w:r>
      <w:r>
        <w:rPr>
          <w:lang w:val="hu-HU"/>
        </w:rPr>
        <w:t>változások</w:t>
      </w:r>
      <w:r w:rsidR="00183303">
        <w:rPr>
          <w:lang w:val="hu-HU"/>
        </w:rPr>
        <w:t>at szükséges kiemelni, melyek</w:t>
      </w:r>
      <w:r>
        <w:rPr>
          <w:lang w:val="hu-HU"/>
        </w:rPr>
        <w:t xml:space="preserve"> </w:t>
      </w:r>
      <w:r w:rsidR="00183303">
        <w:rPr>
          <w:lang w:val="hu-HU"/>
        </w:rPr>
        <w:t xml:space="preserve">nemzetközi összehasonlításban is jelentősek voltak, s </w:t>
      </w:r>
      <w:r>
        <w:rPr>
          <w:lang w:val="hu-HU"/>
        </w:rPr>
        <w:t xml:space="preserve">különösen a </w:t>
      </w:r>
      <w:r w:rsidR="00183303">
        <w:rPr>
          <w:lang w:val="hu-HU"/>
        </w:rPr>
        <w:t xml:space="preserve">nagyobb hozzáadott értéket előállító gazdasági ágak és az egyes ágazatokon belül a jövedelmezőbb tevékenységek arányának növekedését jelentették. A mezőgazdaság alacsony fokú innovációs készséget mutatott, de visszaszorult az iparral és a szolgáltatásokkal szemben, melyekben az innovációk is jóval erőteljesebben megjelentek.  </w:t>
      </w:r>
    </w:p>
    <w:p w14:paraId="23D25EAA" w14:textId="499F0DEC" w:rsidR="004668B0" w:rsidRDefault="004668B0" w:rsidP="004668B0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Összességében a gazdasági </w:t>
      </w:r>
      <w:r w:rsidR="00361131">
        <w:rPr>
          <w:lang w:val="hu-HU"/>
        </w:rPr>
        <w:t xml:space="preserve">válság </w:t>
      </w:r>
      <w:r w:rsidRPr="002804B1">
        <w:rPr>
          <w:lang w:val="hu-HU"/>
        </w:rPr>
        <w:t xml:space="preserve">magyarországi </w:t>
      </w:r>
      <w:r w:rsidR="00361131">
        <w:rPr>
          <w:lang w:val="hu-HU"/>
        </w:rPr>
        <w:t>mélységé</w:t>
      </w:r>
      <w:r>
        <w:rPr>
          <w:lang w:val="hu-HU"/>
        </w:rPr>
        <w:t xml:space="preserve">re vonatkozó eredményeink </w:t>
      </w:r>
      <w:r w:rsidR="001F176B" w:rsidRPr="002804B1">
        <w:rPr>
          <w:lang w:val="hu-HU"/>
        </w:rPr>
        <w:t xml:space="preserve">több </w:t>
      </w:r>
      <w:r w:rsidR="00361131">
        <w:rPr>
          <w:lang w:val="hu-HU"/>
        </w:rPr>
        <w:t>tekintetben</w:t>
      </w:r>
      <w:r w:rsidR="001F176B" w:rsidRPr="002804B1">
        <w:rPr>
          <w:lang w:val="hu-HU"/>
        </w:rPr>
        <w:t xml:space="preserve"> különböznek a</w:t>
      </w:r>
      <w:r>
        <w:rPr>
          <w:lang w:val="hu-HU"/>
        </w:rPr>
        <w:t xml:space="preserve">z </w:t>
      </w:r>
      <w:r w:rsidR="001F176B" w:rsidRPr="002804B1">
        <w:rPr>
          <w:lang w:val="hu-HU"/>
        </w:rPr>
        <w:t>irodalom</w:t>
      </w:r>
      <w:r>
        <w:rPr>
          <w:lang w:val="hu-HU"/>
        </w:rPr>
        <w:t xml:space="preserve">ban eddig domináns nézetektől. </w:t>
      </w:r>
      <w:r w:rsidR="00361131" w:rsidRPr="002804B1">
        <w:rPr>
          <w:lang w:val="hu-HU"/>
        </w:rPr>
        <w:t xml:space="preserve">Az </w:t>
      </w:r>
      <w:r w:rsidR="00361131" w:rsidRPr="002804B1">
        <w:rPr>
          <w:lang w:val="hu-HU"/>
        </w:rPr>
        <w:lastRenderedPageBreak/>
        <w:t xml:space="preserve">összehasonlítások több válfaját, illetve módszerét alkalmazva azt láttuk, hogy a </w:t>
      </w:r>
      <w:r w:rsidR="00361131">
        <w:rPr>
          <w:lang w:val="hu-HU"/>
        </w:rPr>
        <w:t>válság időszakának</w:t>
      </w:r>
      <w:r w:rsidR="00361131" w:rsidRPr="002804B1">
        <w:rPr>
          <w:lang w:val="hu-HU"/>
        </w:rPr>
        <w:t xml:space="preserve"> magyarországi gazdasági teljesítménye nemzetközi mércével mérve </w:t>
      </w:r>
      <w:r w:rsidR="00361131">
        <w:rPr>
          <w:lang w:val="hu-HU"/>
        </w:rPr>
        <w:t>a kedvezőbbek közé tartozott</w:t>
      </w:r>
      <w:r w:rsidR="00361131" w:rsidRPr="002804B1">
        <w:rPr>
          <w:lang w:val="hu-HU"/>
        </w:rPr>
        <w:t>.</w:t>
      </w:r>
    </w:p>
    <w:p w14:paraId="367D8FD4" w14:textId="66385BE2" w:rsidR="00E07971" w:rsidRDefault="004668B0" w:rsidP="004668B0">
      <w:pPr>
        <w:spacing w:line="360" w:lineRule="auto"/>
        <w:ind w:firstLine="708"/>
        <w:jc w:val="both"/>
        <w:rPr>
          <w:lang w:val="hu-HU"/>
        </w:rPr>
      </w:pPr>
      <w:r>
        <w:rPr>
          <w:lang w:val="hu-HU"/>
        </w:rPr>
        <w:t xml:space="preserve">Mindazonáltal a válság jelentős társadalmi hatással járt és átfogó politikai változásokat katalizált. Mindenekelőtt hozzájárult a politikai mobilizációhoz, mely több szakaszban, de folyamatosan a szélsőjobboldal megerősödését hozta magával. Ennek fő közvetítője a pártrendszer átalakulása volt. </w:t>
      </w:r>
      <w:r w:rsidR="00E07971">
        <w:rPr>
          <w:lang w:val="hu-HU"/>
        </w:rPr>
        <w:t xml:space="preserve">A válság ilyen hatása </w:t>
      </w:r>
      <w:r>
        <w:rPr>
          <w:lang w:val="hu-HU"/>
        </w:rPr>
        <w:t xml:space="preserve">összefüggött a </w:t>
      </w:r>
      <w:r w:rsidR="005D68D6">
        <w:rPr>
          <w:lang w:val="hu-HU"/>
        </w:rPr>
        <w:t xml:space="preserve">két világháború közötti </w:t>
      </w:r>
      <w:r>
        <w:rPr>
          <w:lang w:val="hu-HU"/>
        </w:rPr>
        <w:t>magyarországi politikai kultúra</w:t>
      </w:r>
      <w:r w:rsidR="005D68D6">
        <w:rPr>
          <w:lang w:val="hu-HU"/>
        </w:rPr>
        <w:t xml:space="preserve"> jellemzőivel. Az első világháború utáni forradalmak diszkreditálták a liberalizmust és a politikai baloldalt, s az ország háborúban vesztes pozíciója a revízós törekvéseket erősítette. Ehhez járult a szélsőségesen antiliberális, vagy egyenesen fasiszta-nemzetiszocialista politikai áramlatok közép-európai régióban megfigyelhető előretörése az 1930-as évek közepétől, mely erőteljes demonstrációs hatást fejtett ki. </w:t>
      </w:r>
      <w:r w:rsidR="00E07971">
        <w:rPr>
          <w:lang w:val="hu-HU"/>
        </w:rPr>
        <w:t xml:space="preserve">Mindennek eredményeként a Magyarországon az 1920-as évek elején kialakult korlátozott parlamentarizmus fokozatosan erodálódott, s 1939-től kezdődően a politikai rendszer már autokráciának tekinthető.  </w:t>
      </w:r>
    </w:p>
    <w:p w14:paraId="7ACB7D5D" w14:textId="6C1E366F" w:rsidR="00E07971" w:rsidRDefault="00E17A1D" w:rsidP="00E17A1D">
      <w:pPr>
        <w:spacing w:line="360" w:lineRule="auto"/>
        <w:ind w:firstLine="708"/>
        <w:jc w:val="both"/>
        <w:rPr>
          <w:lang w:val="hu-HU"/>
        </w:rPr>
      </w:pPr>
      <w:r w:rsidRPr="00056091">
        <w:rPr>
          <w:lang w:val="hu-HU"/>
        </w:rPr>
        <w:t>Magyarország</w:t>
      </w:r>
      <w:r>
        <w:rPr>
          <w:lang w:val="hu-HU"/>
        </w:rPr>
        <w:t xml:space="preserve">on </w:t>
      </w:r>
      <w:r w:rsidR="00E07971">
        <w:rPr>
          <w:lang w:val="hu-HU"/>
        </w:rPr>
        <w:t xml:space="preserve">tehát </w:t>
      </w:r>
      <w:r w:rsidR="00D914C4">
        <w:rPr>
          <w:lang w:val="hu-HU"/>
        </w:rPr>
        <w:t>a válság</w:t>
      </w:r>
      <w:r>
        <w:rPr>
          <w:lang w:val="hu-HU"/>
        </w:rPr>
        <w:t xml:space="preserve"> némileg enyhébben zajlott le és a kilábalás is gyorsabb volt</w:t>
      </w:r>
      <w:r w:rsidR="00D914C4">
        <w:rPr>
          <w:lang w:val="hu-HU"/>
        </w:rPr>
        <w:t xml:space="preserve">, mint a legtöbb </w:t>
      </w:r>
      <w:r w:rsidR="00D914C4" w:rsidRPr="00D914C4">
        <w:rPr>
          <w:lang w:val="hu-HU"/>
        </w:rPr>
        <w:t xml:space="preserve">európai </w:t>
      </w:r>
      <w:r w:rsidR="00D914C4">
        <w:rPr>
          <w:lang w:val="hu-HU"/>
        </w:rPr>
        <w:t>országban</w:t>
      </w:r>
      <w:r>
        <w:rPr>
          <w:lang w:val="hu-HU"/>
        </w:rPr>
        <w:t>. Ennek ellenére</w:t>
      </w:r>
      <w:r w:rsidR="00E07971">
        <w:rPr>
          <w:lang w:val="hu-HU"/>
        </w:rPr>
        <w:t xml:space="preserve"> – az általános közép-európai tendenciáknak megfelelően – a válság hozzájárult a demokrácia hanyatlásához, de közel sem annak egyedüli, vagy akár csak legfontosabb tényezője volt. </w:t>
      </w:r>
      <w:r>
        <w:rPr>
          <w:lang w:val="hu-HU"/>
        </w:rPr>
        <w:t xml:space="preserve"> </w:t>
      </w:r>
    </w:p>
    <w:p w14:paraId="4A432F02" w14:textId="77777777" w:rsidR="00E17A1D" w:rsidRDefault="00E17A1D" w:rsidP="00175C4F">
      <w:pPr>
        <w:spacing w:line="360" w:lineRule="auto"/>
        <w:rPr>
          <w:b/>
          <w:bCs/>
          <w:lang w:val="hu-HU"/>
        </w:rPr>
      </w:pPr>
    </w:p>
    <w:p w14:paraId="1D30EDDD" w14:textId="77777777" w:rsidR="0075544A" w:rsidRDefault="0075544A" w:rsidP="00175C4F">
      <w:pPr>
        <w:spacing w:line="360" w:lineRule="auto"/>
        <w:rPr>
          <w:b/>
          <w:bCs/>
          <w:lang w:val="hu-HU"/>
        </w:rPr>
      </w:pPr>
    </w:p>
    <w:p w14:paraId="54306380" w14:textId="5F660BED" w:rsidR="00A776A2" w:rsidRDefault="00A776A2" w:rsidP="007520E0">
      <w:pPr>
        <w:spacing w:line="360" w:lineRule="auto"/>
        <w:ind w:firstLine="708"/>
        <w:rPr>
          <w:lang w:val="hu-HU"/>
        </w:rPr>
      </w:pPr>
    </w:p>
    <w:p w14:paraId="7F3D1E19" w14:textId="77777777" w:rsidR="003E397A" w:rsidRPr="00104D36" w:rsidRDefault="003E397A">
      <w:pPr>
        <w:widowControl/>
        <w:autoSpaceDE/>
        <w:autoSpaceDN/>
        <w:adjustRightInd/>
        <w:spacing w:line="360" w:lineRule="auto"/>
        <w:rPr>
          <w:i/>
          <w:iCs/>
          <w:lang w:val="hu-HU"/>
        </w:rPr>
      </w:pPr>
      <w:r w:rsidRPr="00104D36">
        <w:rPr>
          <w:i/>
          <w:iCs/>
          <w:lang w:val="hu-HU"/>
        </w:rPr>
        <w:br w:type="page"/>
      </w:r>
    </w:p>
    <w:p w14:paraId="5C302155" w14:textId="50379432" w:rsidR="003E397A" w:rsidRPr="00104D36" w:rsidRDefault="003E397A" w:rsidP="003E397A">
      <w:pPr>
        <w:pStyle w:val="Szvegtrzs"/>
        <w:tabs>
          <w:tab w:val="left" w:pos="284"/>
        </w:tabs>
        <w:spacing w:before="120" w:after="0"/>
        <w:ind w:left="900" w:right="505"/>
        <w:jc w:val="center"/>
        <w:rPr>
          <w:lang w:val="hu-HU"/>
        </w:rPr>
      </w:pPr>
      <w:r w:rsidRPr="00104D36">
        <w:rPr>
          <w:i/>
          <w:iCs/>
          <w:lang w:val="hu-HU"/>
        </w:rPr>
        <w:lastRenderedPageBreak/>
        <w:t>1. táblázat</w:t>
      </w:r>
      <w:r w:rsidRPr="00104D36">
        <w:rPr>
          <w:lang w:val="hu-HU"/>
        </w:rPr>
        <w:t xml:space="preserve">. Feldolgozott ipari áruk vámtarifái európai országokban, 1913-1931 </w:t>
      </w:r>
    </w:p>
    <w:p w14:paraId="3D7BB37D" w14:textId="77777777" w:rsidR="003E397A" w:rsidRDefault="003E397A" w:rsidP="003E397A">
      <w:pPr>
        <w:pStyle w:val="Szvegtrzs"/>
        <w:tabs>
          <w:tab w:val="left" w:pos="284"/>
        </w:tabs>
        <w:spacing w:before="120" w:after="0"/>
        <w:ind w:left="900" w:right="505"/>
        <w:jc w:val="center"/>
      </w:pPr>
      <w:r>
        <w:t>(az érték százalékában)</w:t>
      </w:r>
    </w:p>
    <w:p w14:paraId="4DA194AE" w14:textId="77777777" w:rsidR="003E397A" w:rsidRDefault="003E397A" w:rsidP="003E397A">
      <w:pPr>
        <w:spacing w:line="360" w:lineRule="auto"/>
        <w:jc w:val="center"/>
      </w:pPr>
    </w:p>
    <w:tbl>
      <w:tblPr>
        <w:tblW w:w="4202" w:type="dxa"/>
        <w:tblInd w:w="215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2"/>
        <w:gridCol w:w="680"/>
        <w:gridCol w:w="680"/>
        <w:gridCol w:w="680"/>
      </w:tblGrid>
      <w:tr w:rsidR="003E397A" w14:paraId="4DE31693" w14:textId="77777777" w:rsidTr="00C6348C">
        <w:trPr>
          <w:trHeight w:val="254"/>
        </w:trPr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D1C1FC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0BB42A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1913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0BA460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1925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ADA6C2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1931</w:t>
            </w:r>
          </w:p>
        </w:tc>
      </w:tr>
      <w:tr w:rsidR="003E397A" w14:paraId="250FC39F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BE5E4CA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Magyarország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D86D5A0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BE3677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3C36D1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3E397A" w14:paraId="7B9C4120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8D0807A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Lengyelország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1DDC0BB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379BCD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760E775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E397A" w14:paraId="69E1A5AA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347B6FB9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Csehszlovákia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E79D2DC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29B4D24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AEB2470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</w:tr>
      <w:tr w:rsidR="003E397A" w14:paraId="5A3E5189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09D67D1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Bulgária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A4767A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61C69E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0D59E4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E397A" w14:paraId="64219CA6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3CAE4DD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Románia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BAC1EF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CAECAE2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8AA30DE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3E397A" w14:paraId="1B12E3D4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8836AA3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Németország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9EE35A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E84E284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AF2AE3C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3E397A" w14:paraId="44E77330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3EBB000D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Egyesült Királyság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6FDC9DE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13606A3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0A995DF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3E397A" w14:paraId="6FEE4736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E3AD6D8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Franciaország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511794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C024D06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51CB3A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3E397A" w14:paraId="38D2B57C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32EC5F9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Hollandia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6DB5E6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FE82D99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929EF6B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3E397A" w14:paraId="14610DC8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689392E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Belgium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9635919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5E078C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9545C2D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E397A" w14:paraId="36018978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A5A668E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Ausztria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1D3891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0FEA7D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AA3B91E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3E397A" w14:paraId="35941350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40384B3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Svájc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606CB80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DB9CCBD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F01CF8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E397A" w14:paraId="059A0316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CB5A6E7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Svédország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D0A04B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1A235CF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F73ADC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3E397A" w14:paraId="20F456E8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0750B88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Dánia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5481E26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AB9650E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566B9D8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3E397A" w14:paraId="2B2FE5FD" w14:textId="77777777" w:rsidTr="00C6348C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B6C80A" w14:textId="77777777" w:rsidR="003E397A" w:rsidRDefault="003E397A" w:rsidP="00C634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Olaszország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250597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546984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60C9F0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41,8</w:t>
            </w:r>
          </w:p>
        </w:tc>
      </w:tr>
    </w:tbl>
    <w:p w14:paraId="6796E0AB" w14:textId="77777777" w:rsidR="003E397A" w:rsidRDefault="003E397A" w:rsidP="003E397A">
      <w:pPr>
        <w:jc w:val="both"/>
      </w:pPr>
    </w:p>
    <w:p w14:paraId="2235DE15" w14:textId="77777777" w:rsidR="003E397A" w:rsidRDefault="003E397A" w:rsidP="003E397A">
      <w:pPr>
        <w:ind w:left="-142" w:right="-192"/>
        <w:jc w:val="both"/>
        <w:rPr>
          <w:i/>
          <w:iCs/>
        </w:rPr>
      </w:pPr>
    </w:p>
    <w:p w14:paraId="07959CEE" w14:textId="77777777" w:rsidR="003E397A" w:rsidRDefault="003E397A" w:rsidP="003E397A">
      <w:pPr>
        <w:ind w:left="900" w:right="685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Megjegyzések</w:t>
      </w:r>
      <w:r>
        <w:rPr>
          <w:sz w:val="20"/>
          <w:szCs w:val="20"/>
        </w:rPr>
        <w:t>: Az adatok egyszerű súlyozatlan átlagok, kivéve a zárójelben lévő 1902-es számokat, melyek az Egyesült Királyság exportösszetételének megfelelően súlyozottak.</w:t>
      </w:r>
    </w:p>
    <w:p w14:paraId="11B20D03" w14:textId="77777777" w:rsidR="003E397A" w:rsidRDefault="003E397A" w:rsidP="003E397A">
      <w:pPr>
        <w:ind w:left="900" w:right="685" w:firstLine="180"/>
        <w:jc w:val="both"/>
        <w:rPr>
          <w:sz w:val="20"/>
          <w:szCs w:val="20"/>
        </w:rPr>
      </w:pPr>
    </w:p>
    <w:p w14:paraId="76A9E88E" w14:textId="438196A1" w:rsidR="003E397A" w:rsidRPr="00CA38F5" w:rsidRDefault="003E397A" w:rsidP="003E397A">
      <w:pPr>
        <w:tabs>
          <w:tab w:val="left" w:pos="5103"/>
        </w:tabs>
        <w:ind w:left="900" w:right="685"/>
        <w:jc w:val="both"/>
        <w:rPr>
          <w:sz w:val="20"/>
          <w:szCs w:val="20"/>
          <w:lang w:val="en-US"/>
        </w:rPr>
      </w:pPr>
      <w:r w:rsidRPr="003E397A">
        <w:rPr>
          <w:i/>
          <w:iCs/>
          <w:sz w:val="20"/>
          <w:szCs w:val="20"/>
          <w:lang w:val="en-US"/>
        </w:rPr>
        <w:t>Források</w:t>
      </w:r>
      <w:r w:rsidRPr="003E397A">
        <w:rPr>
          <w:sz w:val="20"/>
          <w:szCs w:val="20"/>
          <w:lang w:val="en-US"/>
        </w:rPr>
        <w:t xml:space="preserve">: Ronald Findlay – Kevin H. O’Rourke: </w:t>
      </w:r>
      <w:r w:rsidRPr="003E397A">
        <w:rPr>
          <w:i/>
          <w:iCs/>
          <w:sz w:val="20"/>
          <w:szCs w:val="20"/>
          <w:lang w:val="en-US"/>
        </w:rPr>
        <w:t>Power and Plenty: Trade, War, and the World Economy in the Second Millenium</w:t>
      </w:r>
      <w:r w:rsidRPr="003E397A">
        <w:rPr>
          <w:sz w:val="20"/>
          <w:szCs w:val="20"/>
          <w:lang w:val="en-US"/>
        </w:rPr>
        <w:t xml:space="preserve">. Princeton: Princeton University Press, 2007. 494. (Europe 1913, 1925); Heinrich Liepmann: </w:t>
      </w:r>
      <w:r w:rsidRPr="003E397A">
        <w:rPr>
          <w:i/>
          <w:iCs/>
          <w:sz w:val="20"/>
          <w:szCs w:val="20"/>
          <w:lang w:val="en-US"/>
        </w:rPr>
        <w:t>Tariff levels and the economic unity of Europe: An examination of tariff policy, export movements and the economic integration of Europe, 1913-1931</w:t>
      </w:r>
      <w:r w:rsidRPr="003E397A">
        <w:rPr>
          <w:sz w:val="20"/>
          <w:szCs w:val="20"/>
          <w:lang w:val="en-US"/>
        </w:rPr>
        <w:t xml:space="preserve">. London: Allen &amp; Unwin, 1938. 413. (Europe 1931); League of Nations: </w:t>
      </w:r>
      <w:r w:rsidRPr="003E397A">
        <w:rPr>
          <w:i/>
          <w:iCs/>
          <w:sz w:val="20"/>
          <w:szCs w:val="20"/>
          <w:lang w:val="en-US"/>
        </w:rPr>
        <w:t>Tariff Level Indices. Economic and Financial Section, 1927.II.34. Documentation for the International Economic Conference</w:t>
      </w:r>
      <w:r w:rsidRPr="003E397A">
        <w:rPr>
          <w:sz w:val="20"/>
          <w:szCs w:val="20"/>
          <w:lang w:val="en-US"/>
        </w:rPr>
        <w:t xml:space="preserve">. </w:t>
      </w:r>
      <w:r w:rsidRPr="00CA38F5">
        <w:rPr>
          <w:sz w:val="20"/>
          <w:szCs w:val="20"/>
          <w:lang w:val="en-US"/>
        </w:rPr>
        <w:t>Geneva: League of Nations, 1927.</w:t>
      </w:r>
    </w:p>
    <w:p w14:paraId="6F4B7FD3" w14:textId="77777777" w:rsidR="003E397A" w:rsidRPr="00CA38F5" w:rsidRDefault="003E397A" w:rsidP="003E397A">
      <w:pPr>
        <w:pStyle w:val="Szvegtrzs"/>
        <w:spacing w:after="0" w:line="360" w:lineRule="auto"/>
        <w:ind w:left="1170" w:right="1170"/>
        <w:jc w:val="center"/>
        <w:rPr>
          <w:lang w:val="en-US"/>
        </w:rPr>
      </w:pPr>
      <w:r w:rsidRPr="00CA38F5">
        <w:rPr>
          <w:u w:val="single"/>
          <w:lang w:val="en-US"/>
        </w:rPr>
        <w:br w:type="page"/>
      </w:r>
      <w:r w:rsidRPr="00CA38F5">
        <w:rPr>
          <w:i/>
          <w:lang w:val="en-US"/>
        </w:rPr>
        <w:lastRenderedPageBreak/>
        <w:t>2. táblázat.</w:t>
      </w:r>
      <w:r w:rsidRPr="00CA38F5">
        <w:rPr>
          <w:sz w:val="20"/>
          <w:lang w:val="en-US"/>
        </w:rPr>
        <w:t xml:space="preserve"> </w:t>
      </w:r>
      <w:r w:rsidRPr="00CA38F5">
        <w:rPr>
          <w:lang w:val="en-US"/>
        </w:rPr>
        <w:t>Az egy főre jutó bruttó hazai termék alakulása Magyarországon és kelet-közép-európai országokban, 1913-1938</w:t>
      </w:r>
    </w:p>
    <w:p w14:paraId="3E73C5C0" w14:textId="77777777" w:rsidR="003E397A" w:rsidRDefault="003E397A" w:rsidP="003E397A">
      <w:pPr>
        <w:pStyle w:val="Szvegtrzs"/>
        <w:spacing w:after="0" w:line="360" w:lineRule="auto"/>
        <w:ind w:left="-144" w:right="213"/>
        <w:jc w:val="center"/>
      </w:pPr>
      <w:r>
        <w:t>(1990-es Geary–Khamis nemzetközi dollár)</w:t>
      </w:r>
    </w:p>
    <w:p w14:paraId="7A763994" w14:textId="77777777" w:rsidR="003E397A" w:rsidRDefault="003E397A" w:rsidP="003E397A">
      <w:pPr>
        <w:spacing w:line="360" w:lineRule="auto"/>
        <w:jc w:val="center"/>
        <w:rPr>
          <w:sz w:val="20"/>
        </w:rPr>
      </w:pPr>
    </w:p>
    <w:tbl>
      <w:tblPr>
        <w:tblW w:w="6300" w:type="dxa"/>
        <w:tblInd w:w="117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2"/>
        <w:gridCol w:w="680"/>
        <w:gridCol w:w="680"/>
        <w:gridCol w:w="680"/>
        <w:gridCol w:w="680"/>
        <w:gridCol w:w="1418"/>
      </w:tblGrid>
      <w:tr w:rsidR="003E397A" w14:paraId="3A92F397" w14:textId="77777777" w:rsidTr="003E397A">
        <w:trPr>
          <w:trHeight w:val="254"/>
        </w:trPr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8BD303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2AD177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B27EA0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B0830A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9FD1F9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473843" w14:textId="4571BF2B" w:rsidR="003E397A" w:rsidRDefault="00DC7F77" w:rsidP="00C6348C">
            <w:pPr>
              <w:spacing w:before="12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</w:t>
            </w:r>
            <w:r w:rsidR="003E397A">
              <w:rPr>
                <w:color w:val="000000"/>
                <w:sz w:val="20"/>
              </w:rPr>
              <w:t xml:space="preserve">övekedés </w:t>
            </w:r>
          </w:p>
          <w:p w14:paraId="19465761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1929-1938 (%)</w:t>
            </w:r>
          </w:p>
        </w:tc>
      </w:tr>
      <w:tr w:rsidR="003E397A" w14:paraId="35D49FD0" w14:textId="77777777" w:rsidTr="003E397A">
        <w:trPr>
          <w:trHeight w:val="254"/>
        </w:trPr>
        <w:tc>
          <w:tcPr>
            <w:tcW w:w="2162" w:type="dxa"/>
            <w:tcBorders>
              <w:top w:val="single" w:sz="6" w:space="0" w:color="auto"/>
              <w:left w:val="nil"/>
              <w:right w:val="nil"/>
            </w:tcBorders>
          </w:tcPr>
          <w:p w14:paraId="3297A90B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Magyarország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nil"/>
            </w:tcBorders>
          </w:tcPr>
          <w:p w14:paraId="7F3CE5E1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nil"/>
            </w:tcBorders>
          </w:tcPr>
          <w:p w14:paraId="5E4BF59A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nil"/>
            </w:tcBorders>
          </w:tcPr>
          <w:p w14:paraId="231A015E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2476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nil"/>
            </w:tcBorders>
          </w:tcPr>
          <w:p w14:paraId="37B3469F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nil"/>
            </w:tcBorders>
          </w:tcPr>
          <w:p w14:paraId="73A90292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</w:t>
            </w:r>
          </w:p>
        </w:tc>
      </w:tr>
      <w:tr w:rsidR="003E397A" w14:paraId="50053FCD" w14:textId="77777777" w:rsidTr="003E397A">
        <w:trPr>
          <w:trHeight w:val="254"/>
        </w:trPr>
        <w:tc>
          <w:tcPr>
            <w:tcW w:w="2162" w:type="dxa"/>
            <w:tcBorders>
              <w:left w:val="nil"/>
              <w:right w:val="nil"/>
            </w:tcBorders>
          </w:tcPr>
          <w:p w14:paraId="3903C34F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Csehszlovákia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06871E2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1E5D02F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8704FD4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3042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7B326B2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2882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EE05ABA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–5,3</w:t>
            </w:r>
          </w:p>
        </w:tc>
      </w:tr>
      <w:tr w:rsidR="003E397A" w14:paraId="7D051A23" w14:textId="77777777" w:rsidTr="003E397A">
        <w:trPr>
          <w:trHeight w:val="254"/>
        </w:trPr>
        <w:tc>
          <w:tcPr>
            <w:tcW w:w="2162" w:type="dxa"/>
            <w:tcBorders>
              <w:left w:val="nil"/>
              <w:bottom w:val="nil"/>
              <w:right w:val="nil"/>
            </w:tcBorders>
          </w:tcPr>
          <w:p w14:paraId="746D7815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Lengyelország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6A4AAF3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63F06B8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n.a.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AF17D8A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D69CF8D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F4C4BD0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3E397A" w14:paraId="26DC8030" w14:textId="77777777" w:rsidTr="003E397A">
        <w:trPr>
          <w:trHeight w:val="254"/>
        </w:trPr>
        <w:tc>
          <w:tcPr>
            <w:tcW w:w="2162" w:type="dxa"/>
            <w:tcBorders>
              <w:left w:val="nil"/>
              <w:right w:val="nil"/>
            </w:tcBorders>
          </w:tcPr>
          <w:p w14:paraId="47C8BE08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Bulgária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B2F028F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58216FE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AB8EF9A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3CCE547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68491DD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16,6</w:t>
            </w:r>
          </w:p>
        </w:tc>
      </w:tr>
      <w:tr w:rsidR="003E397A" w14:paraId="43CE95F1" w14:textId="77777777" w:rsidTr="003E397A">
        <w:trPr>
          <w:trHeight w:val="254"/>
        </w:trPr>
        <w:tc>
          <w:tcPr>
            <w:tcW w:w="2162" w:type="dxa"/>
            <w:tcBorders>
              <w:left w:val="nil"/>
              <w:bottom w:val="single" w:sz="4" w:space="0" w:color="auto"/>
              <w:right w:val="nil"/>
            </w:tcBorders>
          </w:tcPr>
          <w:p w14:paraId="742E6E0D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Jugoszlávia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3440E6E7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38E70143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11283CE9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4FB57AC1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0331C3A" w14:textId="77777777" w:rsidR="003E397A" w:rsidRDefault="003E397A" w:rsidP="00C6348C">
            <w:pPr>
              <w:spacing w:before="12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–0,6</w:t>
            </w:r>
          </w:p>
        </w:tc>
      </w:tr>
    </w:tbl>
    <w:p w14:paraId="675B1338" w14:textId="77777777" w:rsidR="003E397A" w:rsidRPr="000A356D" w:rsidRDefault="003E397A" w:rsidP="003E397A">
      <w:pPr>
        <w:spacing w:before="120" w:after="120"/>
        <w:ind w:left="-86" w:right="216" w:firstLine="1256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Megjegyzés: </w:t>
      </w:r>
      <w:r w:rsidRPr="000A356D">
        <w:rPr>
          <w:sz w:val="20"/>
          <w:szCs w:val="20"/>
        </w:rPr>
        <w:t>eltérő időpontok: Csehszlovákia 1937</w:t>
      </w:r>
      <w:r>
        <w:rPr>
          <w:sz w:val="20"/>
          <w:szCs w:val="20"/>
        </w:rPr>
        <w:t>; Magyarország 1920.</w:t>
      </w:r>
    </w:p>
    <w:p w14:paraId="2BFD3D50" w14:textId="3194408E" w:rsidR="003E397A" w:rsidRPr="00CA38F5" w:rsidRDefault="003E397A" w:rsidP="003E397A">
      <w:pPr>
        <w:spacing w:after="120"/>
        <w:ind w:left="1170" w:right="1242" w:hanging="4"/>
        <w:jc w:val="both"/>
        <w:rPr>
          <w:sz w:val="20"/>
          <w:szCs w:val="20"/>
          <w:lang w:val="en-US"/>
        </w:rPr>
      </w:pPr>
      <w:r w:rsidRPr="003E397A">
        <w:rPr>
          <w:i/>
          <w:iCs/>
          <w:sz w:val="20"/>
          <w:szCs w:val="20"/>
          <w:lang w:val="en-US"/>
        </w:rPr>
        <w:t>Források</w:t>
      </w:r>
      <w:r w:rsidRPr="003E397A">
        <w:rPr>
          <w:sz w:val="20"/>
          <w:szCs w:val="20"/>
          <w:lang w:val="en-US"/>
        </w:rPr>
        <w:t xml:space="preserve">: Saját számítások a következő források alapján: Angus Maddison: </w:t>
      </w:r>
      <w:r w:rsidRPr="003E397A">
        <w:rPr>
          <w:i/>
          <w:iCs/>
          <w:sz w:val="20"/>
          <w:szCs w:val="20"/>
          <w:lang w:val="en-US"/>
        </w:rPr>
        <w:t>The World Economy: Historical Statistics</w:t>
      </w:r>
      <w:r w:rsidRPr="003E397A">
        <w:rPr>
          <w:sz w:val="20"/>
          <w:szCs w:val="20"/>
          <w:lang w:val="en-US"/>
        </w:rPr>
        <w:t xml:space="preserve">. Paris: OECD, 2003. 100–101. (Csehszlovákia, Magyarország, Lengyelország 1913–1939); </w:t>
      </w:r>
      <w:r w:rsidRPr="000A356D">
        <w:rPr>
          <w:sz w:val="20"/>
          <w:szCs w:val="20"/>
          <w:lang w:val="en-US"/>
        </w:rPr>
        <w:t>Matthias Morys: Economic Growth and Structural Change in Central, East and South-East Europe, 1918–1939. In: Matthias Morys (ed.):</w:t>
      </w:r>
      <w:r w:rsidRPr="000A356D">
        <w:rPr>
          <w:i/>
          <w:iCs/>
          <w:sz w:val="20"/>
          <w:szCs w:val="20"/>
          <w:lang w:val="en-US"/>
        </w:rPr>
        <w:t xml:space="preserve"> The Economic History of Central, East and South-East Europe: 1800 to the Present.</w:t>
      </w:r>
      <w:r w:rsidRPr="000A356D">
        <w:rPr>
          <w:sz w:val="20"/>
          <w:szCs w:val="20"/>
          <w:lang w:val="en-US"/>
        </w:rPr>
        <w:t xml:space="preserve"> London – New York: Routledge, 2021. </w:t>
      </w:r>
      <w:r w:rsidRPr="003E397A">
        <w:rPr>
          <w:sz w:val="20"/>
          <w:szCs w:val="20"/>
          <w:lang w:val="en-US"/>
        </w:rPr>
        <w:t>169. (</w:t>
      </w:r>
      <w:r w:rsidR="00DC7F77">
        <w:rPr>
          <w:sz w:val="20"/>
          <w:szCs w:val="20"/>
          <w:lang w:val="en-US"/>
        </w:rPr>
        <w:t xml:space="preserve">Bulgária, </w:t>
      </w:r>
      <w:r w:rsidRPr="003E397A">
        <w:rPr>
          <w:sz w:val="20"/>
          <w:szCs w:val="20"/>
          <w:lang w:val="en-US"/>
        </w:rPr>
        <w:t>Jugoszlávia 1913-1938)</w:t>
      </w:r>
      <w:r w:rsidR="00DC7F77">
        <w:rPr>
          <w:sz w:val="20"/>
          <w:szCs w:val="20"/>
          <w:lang w:val="en-US"/>
        </w:rPr>
        <w:t>.</w:t>
      </w:r>
    </w:p>
    <w:p w14:paraId="2D25E41B" w14:textId="77777777" w:rsidR="003E397A" w:rsidRPr="00CA38F5" w:rsidRDefault="003E397A" w:rsidP="003E397A">
      <w:pPr>
        <w:pStyle w:val="Szvegtrzs"/>
        <w:spacing w:before="120" w:after="0" w:line="360" w:lineRule="auto"/>
        <w:ind w:left="720" w:right="-192"/>
        <w:rPr>
          <w:sz w:val="20"/>
          <w:szCs w:val="20"/>
          <w:lang w:val="en-US"/>
        </w:rPr>
      </w:pPr>
    </w:p>
    <w:p w14:paraId="21ACA292" w14:textId="77777777" w:rsidR="003E397A" w:rsidRPr="00CA38F5" w:rsidRDefault="003E397A" w:rsidP="003E397A">
      <w:pPr>
        <w:pStyle w:val="Szvegtrzs"/>
        <w:spacing w:after="0" w:line="360" w:lineRule="auto"/>
        <w:ind w:left="-144" w:right="213"/>
        <w:jc w:val="center"/>
        <w:rPr>
          <w:lang w:val="en-US"/>
        </w:rPr>
      </w:pPr>
      <w:r w:rsidRPr="00CA38F5">
        <w:rPr>
          <w:u w:val="single"/>
          <w:lang w:val="en-US"/>
        </w:rPr>
        <w:br w:type="page"/>
      </w:r>
      <w:r w:rsidRPr="00CA38F5">
        <w:rPr>
          <w:i/>
          <w:iCs/>
          <w:lang w:val="en-US"/>
        </w:rPr>
        <w:lastRenderedPageBreak/>
        <w:t>3.</w:t>
      </w:r>
      <w:r w:rsidRPr="00CA38F5">
        <w:rPr>
          <w:i/>
          <w:lang w:val="en-US"/>
        </w:rPr>
        <w:t xml:space="preserve"> táblázat.</w:t>
      </w:r>
      <w:r w:rsidRPr="00CA38F5">
        <w:rPr>
          <w:sz w:val="20"/>
          <w:lang w:val="en-US"/>
        </w:rPr>
        <w:t xml:space="preserve"> </w:t>
      </w:r>
      <w:r w:rsidRPr="00CA38F5">
        <w:rPr>
          <w:lang w:val="en-US"/>
        </w:rPr>
        <w:t>Az egy főre jutó bruttó hazai termék alakulása Magyarországon nemzetközi összehasonlításban, 1890-2005</w:t>
      </w:r>
    </w:p>
    <w:p w14:paraId="76E58ECE" w14:textId="77777777" w:rsidR="003E397A" w:rsidRDefault="003E397A" w:rsidP="003E397A">
      <w:pPr>
        <w:pStyle w:val="Szvegtrzs"/>
        <w:spacing w:after="0" w:line="360" w:lineRule="auto"/>
        <w:ind w:left="-144" w:right="213"/>
        <w:jc w:val="center"/>
      </w:pPr>
      <w:r>
        <w:t>(1990-es Geary–Khamis nemzetközi dollár)</w:t>
      </w:r>
    </w:p>
    <w:p w14:paraId="5FA477E2" w14:textId="77777777" w:rsidR="003E397A" w:rsidRDefault="003E397A" w:rsidP="003E397A">
      <w:pPr>
        <w:spacing w:line="360" w:lineRule="auto"/>
        <w:jc w:val="center"/>
        <w:rPr>
          <w:sz w:val="20"/>
        </w:rPr>
      </w:pPr>
    </w:p>
    <w:tbl>
      <w:tblPr>
        <w:tblW w:w="8276" w:type="dxa"/>
        <w:tblInd w:w="27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2"/>
        <w:gridCol w:w="674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E397A" w14:paraId="551009D7" w14:textId="77777777" w:rsidTr="003E397A">
        <w:trPr>
          <w:trHeight w:val="254"/>
        </w:trPr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980D77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496B71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ABA665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1B2A15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2A6D14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A75F12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F72855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D302D9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20FA9F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3BA404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1939</w:t>
            </w:r>
          </w:p>
        </w:tc>
      </w:tr>
      <w:tr w:rsidR="003E397A" w14:paraId="1FF9E850" w14:textId="77777777" w:rsidTr="003E397A">
        <w:trPr>
          <w:trHeight w:val="254"/>
        </w:trPr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5585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Magyarország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BB60C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39EF5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60A79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CC344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BAC31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9BF40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ACE3F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7121D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ECA76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2838</w:t>
            </w:r>
          </w:p>
        </w:tc>
      </w:tr>
      <w:tr w:rsidR="003E397A" w14:paraId="47228BBA" w14:textId="77777777" w:rsidTr="003E397A">
        <w:trPr>
          <w:trHeight w:val="254"/>
        </w:trPr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1F790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Nyugat-Európa átlaga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3397C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132A6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0D3A9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4CD90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EFEFB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8ABCB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33E98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541BC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78E16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4867</w:t>
            </w:r>
          </w:p>
        </w:tc>
      </w:tr>
      <w:tr w:rsidR="003E397A" w14:paraId="4AC56AAC" w14:textId="77777777" w:rsidTr="003E397A">
        <w:trPr>
          <w:trHeight w:val="254"/>
        </w:trPr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73F15" w14:textId="77777777" w:rsidR="003E397A" w:rsidRDefault="003E397A" w:rsidP="00C6348C">
            <w:pPr>
              <w:spacing w:before="12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Mo./Ny-Eu. átlag  x100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BBA4F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72C95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63FB2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67B42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38CE2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0A83F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35352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07A34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D2230" w14:textId="77777777" w:rsidR="003E397A" w:rsidRDefault="003E397A" w:rsidP="00C6348C">
            <w:pPr>
              <w:spacing w:before="120"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58,3</w:t>
            </w:r>
          </w:p>
        </w:tc>
      </w:tr>
      <w:tr w:rsidR="003E397A" w14:paraId="71E12A74" w14:textId="77777777" w:rsidTr="003E397A">
        <w:trPr>
          <w:trHeight w:val="254"/>
        </w:trPr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9A1D28" w14:textId="77777777" w:rsidR="003E397A" w:rsidRDefault="003E397A" w:rsidP="00C6348C">
            <w:pPr>
              <w:spacing w:line="360" w:lineRule="auto"/>
              <w:jc w:val="both"/>
              <w:rPr>
                <w:cap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Mo./Ausztria  x 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5D44C0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233C96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D8213A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7FAD00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1CA74D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4B07B3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72FF86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C17293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554266" w14:textId="77777777" w:rsidR="003E397A" w:rsidRDefault="003E397A" w:rsidP="00C6348C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69,3</w:t>
            </w:r>
          </w:p>
        </w:tc>
      </w:tr>
    </w:tbl>
    <w:p w14:paraId="66269774" w14:textId="77777777" w:rsidR="003E397A" w:rsidRDefault="003E397A" w:rsidP="003E397A">
      <w:pPr>
        <w:ind w:right="30"/>
        <w:jc w:val="both"/>
        <w:rPr>
          <w:sz w:val="20"/>
        </w:rPr>
      </w:pPr>
    </w:p>
    <w:p w14:paraId="718D2BF5" w14:textId="77777777" w:rsidR="003E397A" w:rsidRDefault="003E397A" w:rsidP="003E397A">
      <w:pPr>
        <w:ind w:left="270" w:right="432"/>
        <w:jc w:val="both"/>
        <w:rPr>
          <w:sz w:val="20"/>
        </w:rPr>
      </w:pPr>
      <w:r>
        <w:rPr>
          <w:i/>
          <w:iCs/>
          <w:sz w:val="20"/>
        </w:rPr>
        <w:t>Megjegyzések</w:t>
      </w:r>
      <w:r>
        <w:rPr>
          <w:sz w:val="20"/>
        </w:rPr>
        <w:t>: Nyugat-Európa: Egyesült Királyság, Franciaország, Hollandia, Belgium, Írország, Németország, Ausztria, Svájc, Svédország, Dánia, Norvégia, Finnország, Olaszország.; Eltérő időpontok: Írország 1910 helyett 1913, 1921.</w:t>
      </w:r>
    </w:p>
    <w:p w14:paraId="4FDC48A5" w14:textId="77777777" w:rsidR="003E397A" w:rsidRDefault="003E397A" w:rsidP="003E397A">
      <w:pPr>
        <w:ind w:left="270" w:right="432"/>
        <w:jc w:val="both"/>
        <w:rPr>
          <w:sz w:val="20"/>
          <w:u w:val="single"/>
        </w:rPr>
      </w:pPr>
    </w:p>
    <w:p w14:paraId="50DBB87C" w14:textId="77777777" w:rsidR="003E397A" w:rsidRDefault="003E397A" w:rsidP="003E397A">
      <w:pPr>
        <w:spacing w:after="120"/>
        <w:ind w:left="270" w:right="432"/>
        <w:jc w:val="both"/>
        <w:rPr>
          <w:sz w:val="20"/>
        </w:rPr>
      </w:pPr>
      <w:r w:rsidRPr="003E397A">
        <w:rPr>
          <w:i/>
          <w:iCs/>
          <w:sz w:val="20"/>
          <w:lang w:val="en-US"/>
        </w:rPr>
        <w:t>Források</w:t>
      </w:r>
      <w:r w:rsidRPr="003E397A">
        <w:rPr>
          <w:sz w:val="20"/>
          <w:lang w:val="en-US"/>
        </w:rPr>
        <w:t xml:space="preserve">: Saját számítások a következő források alapján: </w:t>
      </w:r>
      <w:r w:rsidRPr="003E397A">
        <w:rPr>
          <w:i/>
          <w:iCs/>
          <w:sz w:val="20"/>
          <w:lang w:val="en-US"/>
        </w:rPr>
        <w:t>Angus Maddison:</w:t>
      </w:r>
      <w:r w:rsidRPr="003E397A">
        <w:rPr>
          <w:sz w:val="20"/>
          <w:lang w:val="en-US"/>
        </w:rPr>
        <w:t xml:space="preserve"> Monitoring the World Economy, 1820–1992. Paris: OECD, 1995. 194–195. (Németország 1890–1939), 198. (Írország 1890–1900).; </w:t>
      </w:r>
      <w:r w:rsidRPr="003E397A">
        <w:rPr>
          <w:i/>
          <w:iCs/>
          <w:sz w:val="20"/>
          <w:lang w:val="en-US"/>
        </w:rPr>
        <w:t>Angus Maddison:</w:t>
      </w:r>
      <w:r w:rsidRPr="003E397A">
        <w:rPr>
          <w:sz w:val="20"/>
          <w:lang w:val="en-US"/>
        </w:rPr>
        <w:t xml:space="preserve"> The World Economy. Historical Statistics. Paris: OECD, 2003. 60–61. (Ausztria, Belgium, Dánia, Finnország, Franciaország, Olaszország, Hollandia, Norvégia, Svédország, Svájc, Egyesült Királyság 1890–1913), 62–63. (Ausztria, Belgium, Dánia, Finnország, Franciaország, Olaszország, Hollandia, Norvégia, Svédország, Svájc, Egyesült Királyság 1920–1939), 67–69. </w:t>
      </w:r>
      <w:r>
        <w:rPr>
          <w:sz w:val="20"/>
        </w:rPr>
        <w:t>(Írország 1913–1939), 100–101. (Magyarország 1890–1939).</w:t>
      </w:r>
    </w:p>
    <w:p w14:paraId="18413F05" w14:textId="77777777" w:rsidR="003E397A" w:rsidRDefault="003E397A" w:rsidP="003E397A">
      <w:pPr>
        <w:spacing w:after="120"/>
        <w:ind w:left="270" w:right="432"/>
        <w:jc w:val="both"/>
        <w:rPr>
          <w:sz w:val="20"/>
        </w:rPr>
      </w:pPr>
    </w:p>
    <w:p w14:paraId="1A1B71B8" w14:textId="77777777" w:rsidR="003E397A" w:rsidRDefault="003E397A" w:rsidP="003E397A">
      <w:pPr>
        <w:pStyle w:val="Szvegtrzs"/>
        <w:tabs>
          <w:tab w:val="left" w:pos="284"/>
        </w:tabs>
        <w:spacing w:before="120"/>
        <w:ind w:right="505"/>
      </w:pPr>
    </w:p>
    <w:p w14:paraId="4CE2CC2F" w14:textId="64DAE9F9" w:rsidR="003E397A" w:rsidRDefault="003E397A">
      <w:pPr>
        <w:widowControl/>
        <w:autoSpaceDE/>
        <w:autoSpaceDN/>
        <w:adjustRightInd/>
        <w:spacing w:line="360" w:lineRule="auto"/>
        <w:rPr>
          <w:b/>
          <w:bCs/>
          <w:lang w:val="hu-HU"/>
        </w:rPr>
      </w:pPr>
    </w:p>
    <w:p w14:paraId="6677539F" w14:textId="77777777" w:rsidR="003E397A" w:rsidRDefault="003E397A" w:rsidP="003E397A">
      <w:pPr>
        <w:spacing w:line="360" w:lineRule="auto"/>
        <w:rPr>
          <w:b/>
          <w:bCs/>
          <w:lang w:val="hu-HU"/>
        </w:rPr>
      </w:pPr>
    </w:p>
    <w:sectPr w:rsidR="003E397A" w:rsidSect="00FC69F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9214" w14:textId="77777777" w:rsidR="00AA595E" w:rsidRDefault="00AA595E" w:rsidP="00574FA6">
      <w:r>
        <w:separator/>
      </w:r>
    </w:p>
  </w:endnote>
  <w:endnote w:type="continuationSeparator" w:id="0">
    <w:p w14:paraId="1D8DF207" w14:textId="77777777" w:rsidR="00AA595E" w:rsidRDefault="00AA595E" w:rsidP="0057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mbo MT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555392"/>
      <w:docPartObj>
        <w:docPartGallery w:val="Page Numbers (Bottom of Page)"/>
        <w:docPartUnique/>
      </w:docPartObj>
    </w:sdtPr>
    <w:sdtContent>
      <w:p w14:paraId="2255261D" w14:textId="2795ACBC" w:rsidR="00574FA6" w:rsidRDefault="00574F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0C52C22" w14:textId="77777777" w:rsidR="00574FA6" w:rsidRDefault="00574F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E8EB" w14:textId="77777777" w:rsidR="00AA595E" w:rsidRDefault="00AA595E" w:rsidP="00574FA6">
      <w:r>
        <w:separator/>
      </w:r>
    </w:p>
  </w:footnote>
  <w:footnote w:type="continuationSeparator" w:id="0">
    <w:p w14:paraId="68FE8BF0" w14:textId="77777777" w:rsidR="00AA595E" w:rsidRDefault="00AA595E" w:rsidP="00574FA6">
      <w:r>
        <w:continuationSeparator/>
      </w:r>
    </w:p>
  </w:footnote>
  <w:footnote w:id="1">
    <w:p w14:paraId="67ECBCE1" w14:textId="09204976" w:rsidR="00DB6FE0" w:rsidRPr="00907042" w:rsidRDefault="00DB6FE0" w:rsidP="00BC6466">
      <w:pPr>
        <w:pStyle w:val="Lbjegyzetszveg"/>
        <w:jc w:val="both"/>
        <w:rPr>
          <w:lang w:val="en-US"/>
        </w:rPr>
      </w:pPr>
      <w:r w:rsidRPr="00907042">
        <w:rPr>
          <w:rStyle w:val="Lbjegyzet-hivatkozs"/>
        </w:rPr>
        <w:footnoteRef/>
      </w:r>
      <w:r w:rsidRPr="00907042">
        <w:rPr>
          <w:lang w:val="en-US"/>
        </w:rPr>
        <w:t xml:space="preserve"> </w:t>
      </w:r>
      <w:r w:rsidR="00676FCD">
        <w:rPr>
          <w:lang w:val="en-US"/>
        </w:rPr>
        <w:t xml:space="preserve">Michael C. </w:t>
      </w:r>
      <w:r w:rsidRPr="00907042">
        <w:rPr>
          <w:color w:val="000000"/>
          <w:lang w:val="en-US"/>
        </w:rPr>
        <w:t xml:space="preserve">Kaser </w:t>
      </w:r>
      <w:r w:rsidR="00676FCD">
        <w:rPr>
          <w:color w:val="000000"/>
          <w:lang w:val="en-US"/>
        </w:rPr>
        <w:t>–</w:t>
      </w:r>
      <w:r w:rsidRPr="00907042">
        <w:rPr>
          <w:color w:val="000000"/>
          <w:lang w:val="en-US"/>
        </w:rPr>
        <w:t xml:space="preserve"> </w:t>
      </w:r>
      <w:r w:rsidR="00676FCD">
        <w:rPr>
          <w:color w:val="000000"/>
          <w:lang w:val="en-US"/>
        </w:rPr>
        <w:t xml:space="preserve">Edward A. </w:t>
      </w:r>
      <w:r w:rsidRPr="00907042">
        <w:rPr>
          <w:color w:val="000000"/>
          <w:lang w:val="en-US"/>
        </w:rPr>
        <w:t xml:space="preserve">Radice </w:t>
      </w:r>
      <w:r w:rsidR="00676FCD">
        <w:rPr>
          <w:color w:val="000000"/>
          <w:lang w:val="en-US"/>
        </w:rPr>
        <w:t>(</w:t>
      </w:r>
      <w:r w:rsidRPr="00907042">
        <w:rPr>
          <w:color w:val="000000"/>
          <w:lang w:val="en-US"/>
        </w:rPr>
        <w:t>eds.</w:t>
      </w:r>
      <w:r w:rsidR="00676FCD">
        <w:rPr>
          <w:color w:val="000000"/>
          <w:lang w:val="en-US"/>
        </w:rPr>
        <w:t>)</w:t>
      </w:r>
      <w:r w:rsidRPr="00907042">
        <w:rPr>
          <w:color w:val="000000"/>
          <w:lang w:val="en-US"/>
        </w:rPr>
        <w:t xml:space="preserve">: </w:t>
      </w:r>
      <w:r w:rsidRPr="00676FCD">
        <w:rPr>
          <w:i/>
          <w:iCs/>
          <w:color w:val="000000"/>
          <w:lang w:val="en-US"/>
        </w:rPr>
        <w:t>The Economic History of Eastern Europe, 1919–1975. Vol. I. Economic Structure and Performance between the Two World Wars.</w:t>
      </w:r>
      <w:r w:rsidRPr="00907042">
        <w:rPr>
          <w:color w:val="000000"/>
          <w:lang w:val="en-US"/>
        </w:rPr>
        <w:t xml:space="preserve"> Oxford: Clarendon Press, 1985.; </w:t>
      </w:r>
      <w:r w:rsidR="00676FCD">
        <w:rPr>
          <w:lang w:val="en-US"/>
        </w:rPr>
        <w:t xml:space="preserve">Michael C. </w:t>
      </w:r>
      <w:r w:rsidR="00676FCD" w:rsidRPr="00907042">
        <w:rPr>
          <w:color w:val="000000"/>
          <w:lang w:val="en-US"/>
        </w:rPr>
        <w:t xml:space="preserve">Kaser </w:t>
      </w:r>
      <w:r w:rsidR="00676FCD">
        <w:rPr>
          <w:color w:val="000000"/>
          <w:lang w:val="en-US"/>
        </w:rPr>
        <w:t>–</w:t>
      </w:r>
      <w:r w:rsidR="00676FCD" w:rsidRPr="00907042">
        <w:rPr>
          <w:color w:val="000000"/>
          <w:lang w:val="en-US"/>
        </w:rPr>
        <w:t xml:space="preserve"> </w:t>
      </w:r>
      <w:r w:rsidR="00676FCD">
        <w:rPr>
          <w:color w:val="000000"/>
          <w:lang w:val="en-US"/>
        </w:rPr>
        <w:t xml:space="preserve">Edward A. </w:t>
      </w:r>
      <w:r w:rsidR="00676FCD" w:rsidRPr="00907042">
        <w:rPr>
          <w:color w:val="000000"/>
          <w:lang w:val="en-US"/>
        </w:rPr>
        <w:t>Radice</w:t>
      </w:r>
      <w:r w:rsidR="00676FCD">
        <w:rPr>
          <w:color w:val="000000"/>
          <w:lang w:val="en-US"/>
        </w:rPr>
        <w:t xml:space="preserve"> (</w:t>
      </w:r>
      <w:r w:rsidRPr="00907042">
        <w:rPr>
          <w:color w:val="000000"/>
          <w:lang w:val="en-US"/>
        </w:rPr>
        <w:t>eds.</w:t>
      </w:r>
      <w:r w:rsidR="00676FCD">
        <w:rPr>
          <w:color w:val="000000"/>
          <w:lang w:val="en-US"/>
        </w:rPr>
        <w:t>)</w:t>
      </w:r>
      <w:r w:rsidRPr="00907042">
        <w:rPr>
          <w:color w:val="000000"/>
          <w:lang w:val="en-US"/>
        </w:rPr>
        <w:t xml:space="preserve">: </w:t>
      </w:r>
      <w:r w:rsidRPr="00676FCD">
        <w:rPr>
          <w:i/>
          <w:iCs/>
          <w:color w:val="000000"/>
          <w:lang w:val="en-US"/>
        </w:rPr>
        <w:t>The Economic History of Eastern Europe, 1919–1975. Vol. II. Interwar Policy, the War and Reconstruction.</w:t>
      </w:r>
      <w:r w:rsidRPr="00907042">
        <w:rPr>
          <w:color w:val="000000"/>
          <w:lang w:val="en-US"/>
        </w:rPr>
        <w:t xml:space="preserve"> Oxford: Clarendon Press, 1986.</w:t>
      </w:r>
      <w:r w:rsidRPr="00907042">
        <w:rPr>
          <w:lang w:val="en-US"/>
        </w:rPr>
        <w:t xml:space="preserve">; </w:t>
      </w:r>
      <w:r w:rsidR="00863164" w:rsidRPr="00676FCD">
        <w:rPr>
          <w:lang w:val="hu-HU"/>
        </w:rPr>
        <w:t xml:space="preserve">Derek H. Aldcroft – Steven Morewood: </w:t>
      </w:r>
      <w:r w:rsidR="00863164" w:rsidRPr="00676FCD">
        <w:rPr>
          <w:i/>
          <w:iCs/>
          <w:lang w:val="hu-HU"/>
        </w:rPr>
        <w:t>Economic Change in Eastern Europe since 1918.</w:t>
      </w:r>
      <w:r w:rsidR="00863164" w:rsidRPr="00907042">
        <w:rPr>
          <w:lang w:val="hu-HU"/>
        </w:rPr>
        <w:t xml:space="preserve"> Aldershot: Edward Elgar, 1995. 1</w:t>
      </w:r>
      <w:r w:rsidR="00676FCD">
        <w:rPr>
          <w:lang w:val="hu-HU"/>
        </w:rPr>
        <w:t>–</w:t>
      </w:r>
      <w:r w:rsidR="00863164" w:rsidRPr="00907042">
        <w:rPr>
          <w:lang w:val="hu-HU"/>
        </w:rPr>
        <w:t xml:space="preserve">85.; </w:t>
      </w:r>
      <w:r w:rsidRPr="00907042">
        <w:rPr>
          <w:lang w:val="en-US"/>
        </w:rPr>
        <w:t xml:space="preserve">Ivan T. Berend: </w:t>
      </w:r>
      <w:r w:rsidRPr="00676FCD">
        <w:rPr>
          <w:i/>
          <w:iCs/>
          <w:lang w:val="en-US"/>
        </w:rPr>
        <w:t xml:space="preserve">Decades of Crisis: Central Eastern Europe before World War II. </w:t>
      </w:r>
      <w:r w:rsidRPr="00907042">
        <w:rPr>
          <w:lang w:val="en-US"/>
        </w:rPr>
        <w:t>Los Angeles: University of California Press, 1998.</w:t>
      </w:r>
    </w:p>
  </w:footnote>
  <w:footnote w:id="2">
    <w:p w14:paraId="0678CC53" w14:textId="71B1773C" w:rsidR="00B55784" w:rsidRPr="00907042" w:rsidRDefault="00344DB5" w:rsidP="00BC6466">
      <w:pPr>
        <w:pStyle w:val="Lbjegyzetszveg"/>
        <w:jc w:val="both"/>
        <w:rPr>
          <w:lang w:val="en-US"/>
        </w:rPr>
      </w:pPr>
      <w:r w:rsidRPr="00907042">
        <w:rPr>
          <w:rStyle w:val="Lbjegyzet-hivatkozs"/>
        </w:rPr>
        <w:footnoteRef/>
      </w:r>
      <w:r w:rsidRPr="00907042">
        <w:rPr>
          <w:lang w:val="en-US"/>
        </w:rPr>
        <w:t xml:space="preserve"> </w:t>
      </w:r>
      <w:r w:rsidR="006A68F0">
        <w:rPr>
          <w:lang w:val="en-US"/>
        </w:rPr>
        <w:t xml:space="preserve">Charles </w:t>
      </w:r>
      <w:r w:rsidR="00FD5174" w:rsidRPr="00907042">
        <w:rPr>
          <w:lang w:val="hu-HU"/>
        </w:rPr>
        <w:t xml:space="preserve">Kindleberger: </w:t>
      </w:r>
      <w:r w:rsidR="00FD5174" w:rsidRPr="00676FCD">
        <w:rPr>
          <w:i/>
          <w:iCs/>
          <w:lang w:val="hu-HU"/>
        </w:rPr>
        <w:t>The World in Depression</w:t>
      </w:r>
      <w:r w:rsidR="00E17A1D" w:rsidRPr="00676FCD">
        <w:rPr>
          <w:i/>
          <w:iCs/>
          <w:lang w:val="hu-HU"/>
        </w:rPr>
        <w:t>,</w:t>
      </w:r>
      <w:r w:rsidR="00FD5174" w:rsidRPr="00676FCD">
        <w:rPr>
          <w:i/>
          <w:iCs/>
          <w:lang w:val="hu-HU"/>
        </w:rPr>
        <w:t xml:space="preserve"> 1929–1939.</w:t>
      </w:r>
      <w:r w:rsidR="00FD5174" w:rsidRPr="00907042">
        <w:rPr>
          <w:lang w:val="hu-HU"/>
        </w:rPr>
        <w:t xml:space="preserve"> Harmondsworth: Penguin Books, 1987.; Barry </w:t>
      </w:r>
      <w:r w:rsidR="00FD5174" w:rsidRPr="00907042">
        <w:rPr>
          <w:color w:val="000000"/>
          <w:lang w:val="en-US"/>
        </w:rPr>
        <w:t xml:space="preserve">Eichengreen: </w:t>
      </w:r>
      <w:r w:rsidR="00FD5174" w:rsidRPr="00907042">
        <w:rPr>
          <w:i/>
          <w:iCs/>
          <w:color w:val="000000"/>
          <w:lang w:val="en-US"/>
        </w:rPr>
        <w:t>Golden Fetters. The Gold Standard and the Great Depression, 1919–1939</w:t>
      </w:r>
      <w:r w:rsidR="00FD5174" w:rsidRPr="00907042">
        <w:rPr>
          <w:color w:val="000000"/>
          <w:lang w:val="en-US"/>
        </w:rPr>
        <w:t xml:space="preserve">. Oxford: Oxford University Press, 1992.; </w:t>
      </w:r>
      <w:r w:rsidR="00E17A1D" w:rsidRPr="00907042">
        <w:rPr>
          <w:color w:val="000000"/>
          <w:lang w:val="en-US"/>
        </w:rPr>
        <w:t>Ronald Findlay – Kevin H. O’Rourke: Commodity Market Integration, 1500</w:t>
      </w:r>
      <w:r w:rsidR="006A68F0">
        <w:rPr>
          <w:color w:val="000000"/>
          <w:lang w:val="en-US"/>
        </w:rPr>
        <w:t>–</w:t>
      </w:r>
      <w:r w:rsidR="00E17A1D" w:rsidRPr="00907042">
        <w:rPr>
          <w:color w:val="000000"/>
          <w:lang w:val="en-US"/>
        </w:rPr>
        <w:t xml:space="preserve">2000. In: Michael O. Bordo – Alan M. Taylor – Jeffrey G. Williamson (eds.): </w:t>
      </w:r>
      <w:r w:rsidR="00E17A1D" w:rsidRPr="00676FCD">
        <w:rPr>
          <w:i/>
          <w:iCs/>
          <w:color w:val="000000"/>
          <w:lang w:val="en-US"/>
        </w:rPr>
        <w:t>Globalization in Historical Perspective.</w:t>
      </w:r>
      <w:r w:rsidR="00E17A1D" w:rsidRPr="00907042">
        <w:rPr>
          <w:color w:val="000000"/>
          <w:lang w:val="en-US"/>
        </w:rPr>
        <w:t xml:space="preserve"> Chicago–London: University of Chicago Press, 2005. 13–62</w:t>
      </w:r>
      <w:r w:rsidR="006A68F0">
        <w:rPr>
          <w:color w:val="000000"/>
          <w:lang w:val="en-US"/>
        </w:rPr>
        <w:t>.</w:t>
      </w:r>
      <w:r w:rsidR="00E17A1D" w:rsidRPr="00907042">
        <w:rPr>
          <w:color w:val="000000"/>
          <w:lang w:val="en-US"/>
        </w:rPr>
        <w:t xml:space="preserve">; </w:t>
      </w:r>
      <w:r w:rsidR="00F16A0F">
        <w:rPr>
          <w:color w:val="000000"/>
          <w:lang w:val="en-US"/>
        </w:rPr>
        <w:t xml:space="preserve">Derek H. Aldcroft: </w:t>
      </w:r>
      <w:r w:rsidR="00F16A0F" w:rsidRPr="00676FCD">
        <w:rPr>
          <w:i/>
          <w:iCs/>
          <w:color w:val="000000"/>
          <w:lang w:val="en-US"/>
        </w:rPr>
        <w:t>Europe’s Third World: The European Periphery in the Interwar Years.</w:t>
      </w:r>
      <w:r w:rsidR="00F16A0F">
        <w:rPr>
          <w:color w:val="000000"/>
          <w:lang w:val="en-US"/>
        </w:rPr>
        <w:t xml:space="preserve"> </w:t>
      </w:r>
      <w:r w:rsidR="00F16A0F" w:rsidRPr="00F16A0F">
        <w:rPr>
          <w:color w:val="000000"/>
          <w:lang w:val="en-US"/>
        </w:rPr>
        <w:t>Aldershot</w:t>
      </w:r>
      <w:r w:rsidR="00F16A0F">
        <w:rPr>
          <w:color w:val="000000"/>
          <w:lang w:val="en-US"/>
        </w:rPr>
        <w:t xml:space="preserve">: Ashgate, 2006. 126.; </w:t>
      </w:r>
      <w:r w:rsidR="00676FCD">
        <w:rPr>
          <w:color w:val="000000"/>
          <w:lang w:val="en-US"/>
        </w:rPr>
        <w:t xml:space="preserve">Charles H. </w:t>
      </w:r>
      <w:r w:rsidR="00FD5174" w:rsidRPr="00907042">
        <w:rPr>
          <w:color w:val="000000"/>
          <w:lang w:val="en-US"/>
        </w:rPr>
        <w:t>Feinstein</w:t>
      </w:r>
      <w:r w:rsidR="00E17A1D" w:rsidRPr="00907042">
        <w:rPr>
          <w:color w:val="000000"/>
          <w:lang w:val="en-US"/>
        </w:rPr>
        <w:t xml:space="preserve"> </w:t>
      </w:r>
      <w:r w:rsidR="00676FCD">
        <w:rPr>
          <w:color w:val="000000"/>
          <w:lang w:val="en-US"/>
        </w:rPr>
        <w:t>–</w:t>
      </w:r>
      <w:r w:rsidR="00FD5174" w:rsidRPr="00907042">
        <w:rPr>
          <w:color w:val="000000"/>
          <w:lang w:val="en-US"/>
        </w:rPr>
        <w:t xml:space="preserve"> </w:t>
      </w:r>
      <w:r w:rsidR="00676FCD">
        <w:rPr>
          <w:color w:val="000000"/>
          <w:lang w:val="en-US"/>
        </w:rPr>
        <w:t xml:space="preserve">Peter </w:t>
      </w:r>
      <w:r w:rsidR="00FD5174" w:rsidRPr="00907042">
        <w:rPr>
          <w:color w:val="000000"/>
          <w:lang w:val="en-US"/>
        </w:rPr>
        <w:t xml:space="preserve">Temin </w:t>
      </w:r>
      <w:r w:rsidR="00676FCD">
        <w:rPr>
          <w:color w:val="000000"/>
          <w:lang w:val="en-US"/>
        </w:rPr>
        <w:t>–</w:t>
      </w:r>
      <w:r w:rsidR="00FD5174" w:rsidRPr="00907042">
        <w:rPr>
          <w:color w:val="000000"/>
          <w:lang w:val="en-US"/>
        </w:rPr>
        <w:t xml:space="preserve"> </w:t>
      </w:r>
      <w:r w:rsidR="00676FCD">
        <w:rPr>
          <w:color w:val="000000"/>
          <w:lang w:val="en-US"/>
        </w:rPr>
        <w:t xml:space="preserve">Gianni </w:t>
      </w:r>
      <w:r w:rsidR="00FD5174" w:rsidRPr="00907042">
        <w:rPr>
          <w:color w:val="000000"/>
          <w:lang w:val="en-US"/>
        </w:rPr>
        <w:t xml:space="preserve">Toniolo: </w:t>
      </w:r>
      <w:r w:rsidR="00FD5174" w:rsidRPr="00907042">
        <w:rPr>
          <w:i/>
          <w:iCs/>
          <w:color w:val="000000"/>
          <w:lang w:val="en-US"/>
        </w:rPr>
        <w:t>The World Economy between the World Wars</w:t>
      </w:r>
      <w:r w:rsidR="00FD5174" w:rsidRPr="00907042">
        <w:rPr>
          <w:color w:val="000000"/>
          <w:lang w:val="en-US"/>
        </w:rPr>
        <w:t>. Oxford: Oxford University Press, 2008</w:t>
      </w:r>
      <w:r w:rsidR="00E17A1D" w:rsidRPr="00907042">
        <w:rPr>
          <w:color w:val="000000"/>
          <w:lang w:val="en-US"/>
        </w:rPr>
        <w:t>.</w:t>
      </w:r>
    </w:p>
  </w:footnote>
  <w:footnote w:id="3">
    <w:p w14:paraId="6161817D" w14:textId="3DAC5A8F" w:rsidR="00863164" w:rsidRPr="00907042" w:rsidRDefault="00863164" w:rsidP="00BC6466">
      <w:pPr>
        <w:pStyle w:val="Lbjegyzetszveg"/>
        <w:jc w:val="both"/>
        <w:rPr>
          <w:lang w:val="en-US"/>
        </w:rPr>
      </w:pPr>
      <w:r w:rsidRPr="00907042">
        <w:rPr>
          <w:rStyle w:val="Lbjegyzet-hivatkozs"/>
        </w:rPr>
        <w:footnoteRef/>
      </w:r>
      <w:r w:rsidRPr="00907042">
        <w:rPr>
          <w:lang w:val="en-US"/>
        </w:rPr>
        <w:t xml:space="preserve"> </w:t>
      </w:r>
      <w:r w:rsidR="008B34DB" w:rsidRPr="00907042">
        <w:rPr>
          <w:lang w:val="hu-HU"/>
        </w:rPr>
        <w:t xml:space="preserve">Derek H. Aldcroft: </w:t>
      </w:r>
      <w:r w:rsidR="008B34DB" w:rsidRPr="00676FCD">
        <w:rPr>
          <w:i/>
          <w:iCs/>
          <w:lang w:val="hu-HU"/>
        </w:rPr>
        <w:t>From Versailles to Wall Street, 1919–1929.</w:t>
      </w:r>
      <w:r w:rsidR="008B34DB" w:rsidRPr="00907042">
        <w:rPr>
          <w:lang w:val="hu-HU"/>
        </w:rPr>
        <w:t xml:space="preserve"> Berkeley: University of California Press, 1981. 11–77.; Charles Kindleberger: Commercial </w:t>
      </w:r>
      <w:r w:rsidR="006A68F0">
        <w:rPr>
          <w:lang w:val="hu-HU"/>
        </w:rPr>
        <w:t>P</w:t>
      </w:r>
      <w:r w:rsidR="008B34DB" w:rsidRPr="00907042">
        <w:rPr>
          <w:lang w:val="hu-HU"/>
        </w:rPr>
        <w:t xml:space="preserve">olicy between the </w:t>
      </w:r>
      <w:r w:rsidR="006A68F0">
        <w:rPr>
          <w:lang w:val="hu-HU"/>
        </w:rPr>
        <w:t>W</w:t>
      </w:r>
      <w:r w:rsidR="008B34DB" w:rsidRPr="00907042">
        <w:rPr>
          <w:lang w:val="hu-HU"/>
        </w:rPr>
        <w:t xml:space="preserve">ars. In: Peter Mathias – Sidney Pollard (eds.): </w:t>
      </w:r>
      <w:r w:rsidR="008B34DB" w:rsidRPr="00931A42">
        <w:rPr>
          <w:i/>
          <w:iCs/>
          <w:lang w:val="hu-HU"/>
        </w:rPr>
        <w:t>The Cambridge Economic History of Europe. Vol. VIII. The Industrial Economies.</w:t>
      </w:r>
      <w:r w:rsidR="008B34DB" w:rsidRPr="00907042">
        <w:rPr>
          <w:lang w:val="hu-HU"/>
        </w:rPr>
        <w:t xml:space="preserve"> Cambridge: Cambridge University Press, 1989. 170–172.; </w:t>
      </w:r>
      <w:r w:rsidRPr="00907042">
        <w:rPr>
          <w:lang w:val="hu-HU"/>
        </w:rPr>
        <w:t xml:space="preserve">Feinstein–Temin–Toniolo (eds.): </w:t>
      </w:r>
      <w:r w:rsidRPr="00931A42">
        <w:rPr>
          <w:i/>
          <w:iCs/>
          <w:lang w:val="hu-HU"/>
        </w:rPr>
        <w:t>The World Economy between the World Wars</w:t>
      </w:r>
      <w:r w:rsidR="00931A42">
        <w:rPr>
          <w:i/>
          <w:iCs/>
          <w:lang w:val="hu-HU"/>
        </w:rPr>
        <w:t>,</w:t>
      </w:r>
      <w:r w:rsidRPr="00907042">
        <w:rPr>
          <w:lang w:val="hu-HU"/>
        </w:rPr>
        <w:t xml:space="preserve"> 39–92.</w:t>
      </w:r>
      <w:r w:rsidR="008B34DB" w:rsidRPr="00907042">
        <w:rPr>
          <w:lang w:val="hu-HU"/>
        </w:rPr>
        <w:t xml:space="preserve"> </w:t>
      </w:r>
    </w:p>
  </w:footnote>
  <w:footnote w:id="4">
    <w:p w14:paraId="279C34A2" w14:textId="50D8D20C" w:rsidR="008B34DB" w:rsidRPr="00907042" w:rsidRDefault="008B34DB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en-US"/>
        </w:rPr>
        <w:t xml:space="preserve"> Angus </w:t>
      </w:r>
      <w:r w:rsidRPr="00907042">
        <w:rPr>
          <w:lang w:val="en-GB"/>
        </w:rPr>
        <w:t xml:space="preserve">Maddison: </w:t>
      </w:r>
      <w:r w:rsidRPr="00BE5AEE">
        <w:rPr>
          <w:i/>
          <w:iCs/>
          <w:lang w:val="en-GB"/>
        </w:rPr>
        <w:t>The World Economy in the 20th Century.</w:t>
      </w:r>
      <w:r w:rsidRPr="00907042">
        <w:rPr>
          <w:lang w:val="en-GB"/>
        </w:rPr>
        <w:t xml:space="preserve"> </w:t>
      </w:r>
      <w:r w:rsidR="0077718F">
        <w:rPr>
          <w:lang w:val="en-GB"/>
        </w:rPr>
        <w:t xml:space="preserve">Paris: </w:t>
      </w:r>
      <w:r w:rsidR="00BE5AEE">
        <w:rPr>
          <w:lang w:val="en-GB"/>
        </w:rPr>
        <w:t xml:space="preserve">OECD, 1989. </w:t>
      </w:r>
      <w:r w:rsidRPr="00907042">
        <w:rPr>
          <w:lang w:val="en-GB"/>
        </w:rPr>
        <w:t>55.; W</w:t>
      </w:r>
      <w:r w:rsidR="006D5324">
        <w:rPr>
          <w:lang w:val="en-GB"/>
        </w:rPr>
        <w:t>illiam</w:t>
      </w:r>
      <w:r w:rsidRPr="00907042">
        <w:rPr>
          <w:lang w:val="en-GB"/>
        </w:rPr>
        <w:t xml:space="preserve"> R. Garside: The Great Depression, 1929–33. In: </w:t>
      </w:r>
      <w:r w:rsidR="00931A42">
        <w:rPr>
          <w:lang w:val="en-GB"/>
        </w:rPr>
        <w:t xml:space="preserve">Michael J. </w:t>
      </w:r>
      <w:r w:rsidRPr="00907042">
        <w:rPr>
          <w:lang w:val="en-GB"/>
        </w:rPr>
        <w:t xml:space="preserve">Oliver – </w:t>
      </w:r>
      <w:r w:rsidR="00931A42">
        <w:rPr>
          <w:lang w:val="en-GB"/>
        </w:rPr>
        <w:t xml:space="preserve">Derek H. </w:t>
      </w:r>
      <w:r w:rsidRPr="00907042">
        <w:rPr>
          <w:lang w:val="en-GB"/>
        </w:rPr>
        <w:t xml:space="preserve">Aldcroft (eds.): </w:t>
      </w:r>
      <w:r w:rsidRPr="00931A42">
        <w:rPr>
          <w:i/>
          <w:iCs/>
          <w:lang w:val="en-GB"/>
        </w:rPr>
        <w:t>Economic Disasters of the Twentieth Century.</w:t>
      </w:r>
      <w:r w:rsidRPr="00907042">
        <w:rPr>
          <w:lang w:val="en-GB"/>
        </w:rPr>
        <w:t xml:space="preserve"> </w:t>
      </w:r>
      <w:r w:rsidR="006D5324">
        <w:rPr>
          <w:lang w:val="en-GB"/>
        </w:rPr>
        <w:t xml:space="preserve">Cheltenham: </w:t>
      </w:r>
      <w:r w:rsidR="00931A42">
        <w:rPr>
          <w:lang w:val="en-GB"/>
        </w:rPr>
        <w:t xml:space="preserve">Edward Elgar, 2007. </w:t>
      </w:r>
      <w:r w:rsidRPr="00907042">
        <w:rPr>
          <w:lang w:val="en-GB"/>
        </w:rPr>
        <w:t>51–82.</w:t>
      </w:r>
    </w:p>
  </w:footnote>
  <w:footnote w:id="5">
    <w:p w14:paraId="15538814" w14:textId="5E44B315" w:rsidR="008B34DB" w:rsidRPr="00907042" w:rsidRDefault="008B34DB" w:rsidP="00BC6466">
      <w:pPr>
        <w:pStyle w:val="Lbjegyzetszveg"/>
        <w:jc w:val="both"/>
        <w:rPr>
          <w:lang w:val="en-US"/>
        </w:rPr>
      </w:pPr>
      <w:r w:rsidRPr="00907042">
        <w:rPr>
          <w:rStyle w:val="Lbjegyzet-hivatkozs"/>
        </w:rPr>
        <w:footnoteRef/>
      </w:r>
      <w:r w:rsidRPr="00907042">
        <w:rPr>
          <w:lang w:val="en-US"/>
        </w:rPr>
        <w:t xml:space="preserve"> </w:t>
      </w:r>
      <w:r w:rsidR="0075544A" w:rsidRPr="0075544A">
        <w:rPr>
          <w:lang w:val="en-US"/>
        </w:rPr>
        <w:t>Harold James</w:t>
      </w:r>
      <w:r w:rsidR="0075544A">
        <w:rPr>
          <w:lang w:val="en-US"/>
        </w:rPr>
        <w:t xml:space="preserve">: </w:t>
      </w:r>
      <w:r w:rsidR="0075544A" w:rsidRPr="006D5324">
        <w:rPr>
          <w:i/>
          <w:iCs/>
          <w:lang w:val="en-US"/>
        </w:rPr>
        <w:t>The German Slump: Politics and Economics, 1924</w:t>
      </w:r>
      <w:r w:rsidR="006D5324" w:rsidRPr="006D5324">
        <w:rPr>
          <w:i/>
          <w:iCs/>
          <w:lang w:val="en-US"/>
        </w:rPr>
        <w:t>–</w:t>
      </w:r>
      <w:r w:rsidR="0075544A" w:rsidRPr="006D5324">
        <w:rPr>
          <w:i/>
          <w:iCs/>
          <w:lang w:val="en-US"/>
        </w:rPr>
        <w:t>1936.</w:t>
      </w:r>
      <w:r w:rsidR="0075544A">
        <w:rPr>
          <w:lang w:val="en-US"/>
        </w:rPr>
        <w:t xml:space="preserve"> Oxford: </w:t>
      </w:r>
      <w:r w:rsidR="0075544A" w:rsidRPr="0075544A">
        <w:rPr>
          <w:lang w:val="en-US"/>
        </w:rPr>
        <w:t>Clarendon Press, 1986</w:t>
      </w:r>
      <w:r w:rsidR="0075544A">
        <w:rPr>
          <w:lang w:val="en-US"/>
        </w:rPr>
        <w:t>.</w:t>
      </w:r>
    </w:p>
  </w:footnote>
  <w:footnote w:id="6">
    <w:p w14:paraId="0925F943" w14:textId="6EE25742" w:rsidR="00FB2D48" w:rsidRPr="00907042" w:rsidRDefault="00FB2D48" w:rsidP="00BC6466">
      <w:pPr>
        <w:pStyle w:val="Lbjegyzetszveg"/>
        <w:jc w:val="both"/>
        <w:rPr>
          <w:lang w:val="en-US"/>
        </w:rPr>
      </w:pPr>
      <w:r w:rsidRPr="00907042">
        <w:rPr>
          <w:rStyle w:val="Lbjegyzet-hivatkozs"/>
        </w:rPr>
        <w:footnoteRef/>
      </w:r>
      <w:r w:rsidRPr="00907042">
        <w:rPr>
          <w:lang w:val="en-US"/>
        </w:rPr>
        <w:t xml:space="preserve"> </w:t>
      </w:r>
      <w:r w:rsidR="00E65FD2" w:rsidRPr="00907042">
        <w:rPr>
          <w:color w:val="000000"/>
          <w:lang w:val="en-US"/>
        </w:rPr>
        <w:t xml:space="preserve">Ivan T. Berend </w:t>
      </w:r>
      <w:r w:rsidR="006D5324">
        <w:rPr>
          <w:color w:val="000000"/>
          <w:lang w:val="en-US"/>
        </w:rPr>
        <w:t>–</w:t>
      </w:r>
      <w:r w:rsidR="00E65FD2" w:rsidRPr="00907042">
        <w:rPr>
          <w:color w:val="000000"/>
          <w:lang w:val="en-US"/>
        </w:rPr>
        <w:t xml:space="preserve"> György Ránki: </w:t>
      </w:r>
      <w:r w:rsidR="00E65FD2" w:rsidRPr="006D5324">
        <w:rPr>
          <w:i/>
          <w:iCs/>
          <w:color w:val="000000"/>
          <w:lang w:val="en-US"/>
        </w:rPr>
        <w:t>Economic Development in East-Central Europe in the 19th and 20th Centuries.</w:t>
      </w:r>
      <w:r w:rsidR="00E65FD2" w:rsidRPr="00907042">
        <w:rPr>
          <w:color w:val="000000"/>
          <w:lang w:val="en-US"/>
        </w:rPr>
        <w:t xml:space="preserve"> New York: Columbia University Press, 1974.; </w:t>
      </w:r>
      <w:r w:rsidR="00327281" w:rsidRPr="00907042">
        <w:rPr>
          <w:lang w:val="en-US"/>
        </w:rPr>
        <w:t xml:space="preserve">Berend T. Iván: </w:t>
      </w:r>
      <w:r w:rsidR="00327281" w:rsidRPr="006D5324">
        <w:rPr>
          <w:i/>
          <w:iCs/>
          <w:lang w:val="en-US"/>
        </w:rPr>
        <w:t>Válságos évtizedek. A 20. század első fele közép- és kelet-európai történetének interpretációja.</w:t>
      </w:r>
      <w:r w:rsidR="00327281" w:rsidRPr="00907042">
        <w:rPr>
          <w:lang w:val="en-US"/>
        </w:rPr>
        <w:t xml:space="preserve"> Budapest: Magvető, 1987.</w:t>
      </w:r>
    </w:p>
  </w:footnote>
  <w:footnote w:id="7">
    <w:p w14:paraId="0818D811" w14:textId="222389E3" w:rsidR="00A43F5C" w:rsidRPr="00907042" w:rsidRDefault="00A43F5C" w:rsidP="00BC6466">
      <w:pPr>
        <w:pStyle w:val="Lbjegyzetszveg"/>
        <w:jc w:val="both"/>
        <w:rPr>
          <w:lang w:val="en-GB"/>
        </w:rPr>
      </w:pPr>
      <w:r w:rsidRPr="00907042">
        <w:rPr>
          <w:rStyle w:val="Lbjegyzet-hivatkozs"/>
        </w:rPr>
        <w:footnoteRef/>
      </w:r>
      <w:r w:rsidRPr="00907042">
        <w:rPr>
          <w:lang w:val="en-US"/>
        </w:rPr>
        <w:t xml:space="preserve"> </w:t>
      </w:r>
      <w:r w:rsidR="0030159E">
        <w:rPr>
          <w:lang w:val="en-US"/>
        </w:rPr>
        <w:t xml:space="preserve">A trianoni békeszerződés gazdasági hatásainak ettől eltérő értelmezésére lásd: </w:t>
      </w:r>
      <w:r w:rsidR="0075544A" w:rsidRPr="00907042">
        <w:rPr>
          <w:lang w:val="en-US"/>
        </w:rPr>
        <w:t xml:space="preserve">Tomka </w:t>
      </w:r>
      <w:r w:rsidRPr="00907042">
        <w:rPr>
          <w:lang w:val="en-US"/>
        </w:rPr>
        <w:t>Béla: Az első világháború és a trianoni béke gazdasági hatásai Magyarországon. In</w:t>
      </w:r>
      <w:r w:rsidR="006A68F0">
        <w:rPr>
          <w:lang w:val="en-US"/>
        </w:rPr>
        <w:t>:</w:t>
      </w:r>
      <w:r w:rsidRPr="00907042">
        <w:rPr>
          <w:lang w:val="en-US"/>
        </w:rPr>
        <w:t xml:space="preserve"> Bódy Zsombor (ed.): </w:t>
      </w:r>
      <w:r w:rsidRPr="006D5324">
        <w:rPr>
          <w:i/>
          <w:iCs/>
          <w:lang w:val="en-US"/>
        </w:rPr>
        <w:t>Háborúból békébe: a magyar társadalom 1918 után. Konfliktusok, kihívások, változások a háború és az összeomlás nyomán.</w:t>
      </w:r>
      <w:r w:rsidRPr="00907042">
        <w:rPr>
          <w:lang w:val="en-US"/>
        </w:rPr>
        <w:t xml:space="preserve"> Budapest: MTA Bölcsészettudományi Kutatóközpont Történettudományi Intézet, 2018</w:t>
      </w:r>
      <w:r w:rsidR="006D5324">
        <w:rPr>
          <w:lang w:val="en-US"/>
        </w:rPr>
        <w:t>.</w:t>
      </w:r>
      <w:r w:rsidRPr="00907042">
        <w:rPr>
          <w:lang w:val="en-US"/>
        </w:rPr>
        <w:t xml:space="preserve"> 47</w:t>
      </w:r>
      <w:r w:rsidR="006D5324">
        <w:rPr>
          <w:lang w:val="en-US"/>
        </w:rPr>
        <w:t>–</w:t>
      </w:r>
      <w:r w:rsidRPr="00907042">
        <w:rPr>
          <w:lang w:val="en-US"/>
        </w:rPr>
        <w:t>80.; Béla Tomka: “The economic consequences of World War I and the Treaty of Trianon for Hungary”</w:t>
      </w:r>
      <w:r w:rsidR="006D5324">
        <w:rPr>
          <w:lang w:val="en-US"/>
        </w:rPr>
        <w:t>.</w:t>
      </w:r>
      <w:r w:rsidRPr="00907042">
        <w:rPr>
          <w:lang w:val="en-US"/>
        </w:rPr>
        <w:t xml:space="preserve"> </w:t>
      </w:r>
      <w:r w:rsidRPr="00907042">
        <w:rPr>
          <w:i/>
          <w:iCs/>
          <w:lang w:val="en-US"/>
        </w:rPr>
        <w:t>Regional</w:t>
      </w:r>
      <w:r w:rsidRPr="00907042">
        <w:rPr>
          <w:lang w:val="en-US"/>
        </w:rPr>
        <w:t xml:space="preserve"> </w:t>
      </w:r>
      <w:r w:rsidRPr="00907042">
        <w:rPr>
          <w:i/>
          <w:iCs/>
          <w:lang w:val="en-US"/>
        </w:rPr>
        <w:t>Statistics</w:t>
      </w:r>
      <w:r w:rsidRPr="006D5324">
        <w:rPr>
          <w:i/>
          <w:iCs/>
          <w:lang w:val="en-US"/>
        </w:rPr>
        <w:t>,</w:t>
      </w:r>
      <w:r w:rsidRPr="00907042">
        <w:rPr>
          <w:lang w:val="en-US"/>
        </w:rPr>
        <w:t xml:space="preserve"> vol. 10 (2020), no. 1, 82</w:t>
      </w:r>
      <w:r w:rsidR="006D5324">
        <w:rPr>
          <w:lang w:val="en-US"/>
        </w:rPr>
        <w:t>–</w:t>
      </w:r>
      <w:r w:rsidRPr="00907042">
        <w:rPr>
          <w:lang w:val="en-US"/>
        </w:rPr>
        <w:t>100.</w:t>
      </w:r>
    </w:p>
  </w:footnote>
  <w:footnote w:id="8">
    <w:p w14:paraId="04FCA258" w14:textId="5150BD2F" w:rsidR="00E65FD2" w:rsidRPr="00907042" w:rsidRDefault="00E65FD2" w:rsidP="00BC6466">
      <w:pPr>
        <w:pStyle w:val="Lbjegyzetszveg"/>
        <w:jc w:val="both"/>
        <w:rPr>
          <w:lang w:val="en-US"/>
        </w:rPr>
      </w:pPr>
      <w:r w:rsidRPr="00907042">
        <w:rPr>
          <w:rStyle w:val="Lbjegyzet-hivatkozs"/>
        </w:rPr>
        <w:footnoteRef/>
      </w:r>
      <w:r w:rsidRPr="00907042">
        <w:rPr>
          <w:lang w:val="en-US"/>
        </w:rPr>
        <w:t xml:space="preserve"> </w:t>
      </w:r>
      <w:r w:rsidR="00327281" w:rsidRPr="00907042">
        <w:rPr>
          <w:lang w:val="en-US"/>
        </w:rPr>
        <w:t>Joan Roses – Nikolaus Wolf: Aggregate Growth, 1913</w:t>
      </w:r>
      <w:r w:rsidR="006D5324">
        <w:rPr>
          <w:lang w:val="en-US"/>
        </w:rPr>
        <w:t>–</w:t>
      </w:r>
      <w:r w:rsidR="00327281" w:rsidRPr="00907042">
        <w:rPr>
          <w:lang w:val="en-US"/>
        </w:rPr>
        <w:t>1950. In</w:t>
      </w:r>
      <w:r w:rsidR="006D5324">
        <w:rPr>
          <w:lang w:val="en-US"/>
        </w:rPr>
        <w:t>:</w:t>
      </w:r>
      <w:r w:rsidR="00327281" w:rsidRPr="00907042">
        <w:rPr>
          <w:lang w:val="en-US"/>
        </w:rPr>
        <w:t xml:space="preserve"> Stephen Broadberry – Kevin O’Rourke </w:t>
      </w:r>
      <w:r w:rsidR="006D5324">
        <w:rPr>
          <w:lang w:val="en-US"/>
        </w:rPr>
        <w:t>(</w:t>
      </w:r>
      <w:r w:rsidR="00327281" w:rsidRPr="00907042">
        <w:rPr>
          <w:lang w:val="en-US"/>
        </w:rPr>
        <w:t>eds.</w:t>
      </w:r>
      <w:r w:rsidR="006D5324">
        <w:rPr>
          <w:lang w:val="en-US"/>
        </w:rPr>
        <w:t>):</w:t>
      </w:r>
      <w:r w:rsidR="00327281" w:rsidRPr="00907042">
        <w:rPr>
          <w:lang w:val="en-US"/>
        </w:rPr>
        <w:t xml:space="preserve"> </w:t>
      </w:r>
      <w:r w:rsidR="00327281" w:rsidRPr="0077718F">
        <w:rPr>
          <w:i/>
          <w:iCs/>
          <w:lang w:val="en-US"/>
        </w:rPr>
        <w:t>The Cambridge Economic History of Modern Europe. Vol. 2: 1870to the Present.</w:t>
      </w:r>
      <w:r w:rsidR="00327281" w:rsidRPr="00907042">
        <w:rPr>
          <w:lang w:val="en-US"/>
        </w:rPr>
        <w:t xml:space="preserve"> Cambridge: C</w:t>
      </w:r>
      <w:r w:rsidR="006A68F0">
        <w:rPr>
          <w:lang w:val="en-US"/>
        </w:rPr>
        <w:t xml:space="preserve">ambridge </w:t>
      </w:r>
      <w:r w:rsidR="00327281" w:rsidRPr="00907042">
        <w:rPr>
          <w:lang w:val="en-US"/>
        </w:rPr>
        <w:t>U</w:t>
      </w:r>
      <w:r w:rsidR="006A68F0">
        <w:rPr>
          <w:lang w:val="en-US"/>
        </w:rPr>
        <w:t xml:space="preserve">niversity </w:t>
      </w:r>
      <w:r w:rsidR="00327281" w:rsidRPr="00907042">
        <w:rPr>
          <w:lang w:val="en-US"/>
        </w:rPr>
        <w:t>P</w:t>
      </w:r>
      <w:r w:rsidR="006A68F0">
        <w:rPr>
          <w:lang w:val="en-US"/>
        </w:rPr>
        <w:t>ress</w:t>
      </w:r>
      <w:r w:rsidR="00327281" w:rsidRPr="00907042">
        <w:rPr>
          <w:lang w:val="en-US"/>
        </w:rPr>
        <w:t>, 2010. 181</w:t>
      </w:r>
      <w:r w:rsidR="006D5324">
        <w:rPr>
          <w:lang w:val="en-US"/>
        </w:rPr>
        <w:t>–</w:t>
      </w:r>
      <w:r w:rsidR="00327281" w:rsidRPr="00907042">
        <w:rPr>
          <w:lang w:val="en-US"/>
        </w:rPr>
        <w:t xml:space="preserve">207.; </w:t>
      </w:r>
      <w:bookmarkStart w:id="0" w:name="_Hlk138344086"/>
      <w:bookmarkStart w:id="1" w:name="_Hlk138277002"/>
      <w:r w:rsidRPr="00907042">
        <w:rPr>
          <w:lang w:val="en-US"/>
        </w:rPr>
        <w:t>Matthias Morys: Economic Growth and Structural Change in Central, East and South-East Europe, 1918</w:t>
      </w:r>
      <w:r w:rsidR="0077718F">
        <w:rPr>
          <w:lang w:val="en-US"/>
        </w:rPr>
        <w:t>–</w:t>
      </w:r>
      <w:r w:rsidRPr="00907042">
        <w:rPr>
          <w:lang w:val="en-US"/>
        </w:rPr>
        <w:t>1939. In</w:t>
      </w:r>
      <w:r w:rsidR="0077718F">
        <w:rPr>
          <w:lang w:val="en-US"/>
        </w:rPr>
        <w:t>:</w:t>
      </w:r>
      <w:r w:rsidRPr="00907042">
        <w:rPr>
          <w:lang w:val="en-US"/>
        </w:rPr>
        <w:t xml:space="preserve"> Matthias Morys (ed.):</w:t>
      </w:r>
      <w:r w:rsidRPr="0077718F">
        <w:rPr>
          <w:i/>
          <w:iCs/>
          <w:lang w:val="en-US"/>
        </w:rPr>
        <w:t xml:space="preserve"> The Economic History of Central, East and South-East Europe: 1800 to the Present.</w:t>
      </w:r>
      <w:r w:rsidRPr="00907042">
        <w:rPr>
          <w:lang w:val="en-US"/>
        </w:rPr>
        <w:t xml:space="preserve"> London </w:t>
      </w:r>
      <w:r w:rsidR="0077718F">
        <w:rPr>
          <w:lang w:val="en-US"/>
        </w:rPr>
        <w:t>–</w:t>
      </w:r>
      <w:r w:rsidRPr="00907042">
        <w:rPr>
          <w:lang w:val="en-US"/>
        </w:rPr>
        <w:t xml:space="preserve"> New York: Routledge, 2021. </w:t>
      </w:r>
      <w:bookmarkEnd w:id="0"/>
      <w:r w:rsidRPr="00907042">
        <w:rPr>
          <w:lang w:val="en-US"/>
        </w:rPr>
        <w:t>161</w:t>
      </w:r>
      <w:r w:rsidR="0077718F">
        <w:rPr>
          <w:lang w:val="en-US"/>
        </w:rPr>
        <w:t>–</w:t>
      </w:r>
      <w:r w:rsidRPr="00907042">
        <w:rPr>
          <w:lang w:val="en-US"/>
        </w:rPr>
        <w:t xml:space="preserve">187.; </w:t>
      </w:r>
      <w:bookmarkEnd w:id="1"/>
      <w:r w:rsidRPr="00907042">
        <w:rPr>
          <w:lang w:val="en-US"/>
        </w:rPr>
        <w:t xml:space="preserve">Nathan Marcus – Stefan </w:t>
      </w:r>
      <w:r w:rsidR="004A2B25" w:rsidRPr="004A2B25">
        <w:rPr>
          <w:lang w:val="en-US"/>
        </w:rPr>
        <w:t>Nikoli</w:t>
      </w:r>
      <w:r w:rsidR="004A2B25" w:rsidRPr="004A2B25">
        <w:rPr>
          <w:rFonts w:eastAsiaTheme="minorHAnsi"/>
          <w:lang w:val="hu-HU" w:eastAsia="en-US"/>
          <w14:ligatures w14:val="standardContextual"/>
        </w:rPr>
        <w:t>č</w:t>
      </w:r>
      <w:r w:rsidR="004A2B25" w:rsidRPr="00907042">
        <w:rPr>
          <w:lang w:val="en-US"/>
        </w:rPr>
        <w:t xml:space="preserve"> </w:t>
      </w:r>
      <w:r w:rsidRPr="00907042">
        <w:rPr>
          <w:lang w:val="en-US"/>
        </w:rPr>
        <w:t>– Tobias Straumann: Economic Policy, 1918</w:t>
      </w:r>
      <w:r w:rsidR="0077718F">
        <w:rPr>
          <w:lang w:val="en-US"/>
        </w:rPr>
        <w:t>–</w:t>
      </w:r>
      <w:r w:rsidRPr="00907042">
        <w:rPr>
          <w:lang w:val="en-US"/>
        </w:rPr>
        <w:t>1939. In</w:t>
      </w:r>
      <w:r w:rsidR="0077718F">
        <w:rPr>
          <w:lang w:val="en-US"/>
        </w:rPr>
        <w:t>:</w:t>
      </w:r>
      <w:r w:rsidRPr="00907042">
        <w:rPr>
          <w:lang w:val="en-US"/>
        </w:rPr>
        <w:t xml:space="preserve"> Morys (ed.): </w:t>
      </w:r>
      <w:r w:rsidRPr="0077718F">
        <w:rPr>
          <w:i/>
          <w:iCs/>
          <w:lang w:val="en-US"/>
        </w:rPr>
        <w:t>The Economic History of Central, East and South-East Europe: 1800 to the Present</w:t>
      </w:r>
      <w:r w:rsidR="006A68F0">
        <w:rPr>
          <w:i/>
          <w:iCs/>
          <w:lang w:val="en-US"/>
        </w:rPr>
        <w:t>,</w:t>
      </w:r>
      <w:r w:rsidRPr="00907042">
        <w:rPr>
          <w:lang w:val="en-US"/>
        </w:rPr>
        <w:t xml:space="preserve"> 188</w:t>
      </w:r>
      <w:r w:rsidR="0077718F">
        <w:rPr>
          <w:lang w:val="en-US"/>
        </w:rPr>
        <w:t>–</w:t>
      </w:r>
      <w:r w:rsidRPr="00907042">
        <w:rPr>
          <w:lang w:val="en-US"/>
        </w:rPr>
        <w:t>215.</w:t>
      </w:r>
    </w:p>
  </w:footnote>
  <w:footnote w:id="9">
    <w:p w14:paraId="1DC1CE7B" w14:textId="7BDE2CD1" w:rsidR="00C20E02" w:rsidRPr="00907042" w:rsidRDefault="00C20E02" w:rsidP="00BC6466">
      <w:pPr>
        <w:pStyle w:val="Lbjegyzetszveg"/>
        <w:jc w:val="both"/>
        <w:rPr>
          <w:lang w:val="en-US"/>
        </w:rPr>
      </w:pPr>
      <w:r w:rsidRPr="00907042">
        <w:rPr>
          <w:rStyle w:val="Lbjegyzet-hivatkozs"/>
        </w:rPr>
        <w:footnoteRef/>
      </w:r>
      <w:r w:rsidRPr="00907042">
        <w:rPr>
          <w:lang w:val="en-US"/>
        </w:rPr>
        <w:t xml:space="preserve"> Morys: </w:t>
      </w:r>
      <w:r w:rsidRPr="0077718F">
        <w:rPr>
          <w:lang w:val="en-US"/>
        </w:rPr>
        <w:t>Economic Growth and Structural Change in Central, East and South-East Europe, 1918</w:t>
      </w:r>
      <w:r w:rsidR="0077718F" w:rsidRPr="0077718F">
        <w:rPr>
          <w:lang w:val="en-US"/>
        </w:rPr>
        <w:t>–</w:t>
      </w:r>
      <w:r w:rsidRPr="0077718F">
        <w:rPr>
          <w:lang w:val="en-US"/>
        </w:rPr>
        <w:t>1939</w:t>
      </w:r>
      <w:r w:rsidR="00F9416D">
        <w:rPr>
          <w:lang w:val="en-US"/>
        </w:rPr>
        <w:t>.</w:t>
      </w:r>
      <w:r w:rsidRPr="00907042">
        <w:rPr>
          <w:lang w:val="en-US"/>
        </w:rPr>
        <w:t xml:space="preserve"> 162.</w:t>
      </w:r>
    </w:p>
  </w:footnote>
  <w:footnote w:id="10">
    <w:p w14:paraId="679025F9" w14:textId="5DDB6869" w:rsidR="005843F3" w:rsidRPr="00907042" w:rsidRDefault="005843F3" w:rsidP="00BC6466">
      <w:pPr>
        <w:pStyle w:val="Lbjegyzetszveg"/>
        <w:jc w:val="both"/>
        <w:rPr>
          <w:lang w:val="en-GB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A korszakra ld.: Berend</w:t>
      </w:r>
      <w:r w:rsidR="00CE2A29">
        <w:rPr>
          <w:lang w:val="hu-HU"/>
        </w:rPr>
        <w:t xml:space="preserve"> T. Iván </w:t>
      </w:r>
      <w:r w:rsidRPr="00907042">
        <w:rPr>
          <w:lang w:val="hu-HU"/>
        </w:rPr>
        <w:t>–</w:t>
      </w:r>
      <w:r w:rsidR="00CE2A29">
        <w:rPr>
          <w:lang w:val="hu-HU"/>
        </w:rPr>
        <w:t xml:space="preserve"> </w:t>
      </w:r>
      <w:r w:rsidRPr="00907042">
        <w:rPr>
          <w:lang w:val="hu-HU"/>
        </w:rPr>
        <w:t>Ránki</w:t>
      </w:r>
      <w:r w:rsidR="00CE2A29">
        <w:rPr>
          <w:lang w:val="hu-HU"/>
        </w:rPr>
        <w:t xml:space="preserve"> György</w:t>
      </w:r>
      <w:r w:rsidRPr="00907042">
        <w:rPr>
          <w:lang w:val="hu-HU"/>
        </w:rPr>
        <w:t xml:space="preserve">: </w:t>
      </w:r>
      <w:r w:rsidRPr="00CE2A29">
        <w:rPr>
          <w:i/>
          <w:iCs/>
          <w:lang w:val="hu-HU"/>
        </w:rPr>
        <w:t xml:space="preserve">Magyarország gazdasága az első világháború után. </w:t>
      </w:r>
      <w:r w:rsidR="00CE2A29" w:rsidRPr="00CE2A29">
        <w:rPr>
          <w:i/>
          <w:iCs/>
          <w:lang w:val="hu-HU"/>
        </w:rPr>
        <w:t>1919–1929.</w:t>
      </w:r>
      <w:r w:rsidR="00CE2A29">
        <w:rPr>
          <w:lang w:val="hu-HU"/>
        </w:rPr>
        <w:t xml:space="preserve"> Budapest: Akadémiai Kiadó, 1966. </w:t>
      </w:r>
      <w:r w:rsidRPr="00907042">
        <w:rPr>
          <w:lang w:val="en-GB"/>
        </w:rPr>
        <w:t>7</w:t>
      </w:r>
      <w:r w:rsidRPr="00907042">
        <w:rPr>
          <w:lang w:val="hu-HU"/>
        </w:rPr>
        <w:t>–</w:t>
      </w:r>
      <w:r w:rsidRPr="00907042">
        <w:rPr>
          <w:lang w:val="en-GB"/>
        </w:rPr>
        <w:t>129.; Max-Stephan Schulze: Austria</w:t>
      </w:r>
      <w:r w:rsidRPr="00907042">
        <w:rPr>
          <w:lang w:val="hu-HU"/>
        </w:rPr>
        <w:t>–</w:t>
      </w:r>
      <w:r w:rsidRPr="00907042">
        <w:rPr>
          <w:lang w:val="en-GB"/>
        </w:rPr>
        <w:t xml:space="preserve">Hungary’s </w:t>
      </w:r>
      <w:r w:rsidR="006A68F0">
        <w:rPr>
          <w:lang w:val="en-GB"/>
        </w:rPr>
        <w:t>E</w:t>
      </w:r>
      <w:r w:rsidRPr="00907042">
        <w:rPr>
          <w:lang w:val="en-GB"/>
        </w:rPr>
        <w:t xml:space="preserve">conomy in World War I. In: </w:t>
      </w:r>
      <w:r w:rsidR="00CE2A29">
        <w:rPr>
          <w:lang w:val="en-GB"/>
        </w:rPr>
        <w:t xml:space="preserve">Stephen </w:t>
      </w:r>
      <w:r w:rsidRPr="00907042">
        <w:rPr>
          <w:lang w:val="en-GB"/>
        </w:rPr>
        <w:t>Broadberry</w:t>
      </w:r>
      <w:r w:rsidR="00CE2A29">
        <w:rPr>
          <w:lang w:val="en-GB"/>
        </w:rPr>
        <w:t xml:space="preserve"> </w:t>
      </w:r>
      <w:r w:rsidRPr="00907042">
        <w:rPr>
          <w:lang w:val="en-GB"/>
        </w:rPr>
        <w:t>–</w:t>
      </w:r>
      <w:r w:rsidR="00CE2A29">
        <w:rPr>
          <w:lang w:val="en-GB"/>
        </w:rPr>
        <w:t xml:space="preserve"> Mark </w:t>
      </w:r>
      <w:r w:rsidRPr="00907042">
        <w:rPr>
          <w:lang w:val="en-GB"/>
        </w:rPr>
        <w:t xml:space="preserve">Harrison (eds.): </w:t>
      </w:r>
      <w:r w:rsidRPr="00CE2A29">
        <w:rPr>
          <w:i/>
          <w:iCs/>
          <w:lang w:val="en-GB"/>
        </w:rPr>
        <w:t>The Economics of World War I.</w:t>
      </w:r>
      <w:r w:rsidRPr="00907042">
        <w:rPr>
          <w:lang w:val="en-GB"/>
        </w:rPr>
        <w:t xml:space="preserve"> </w:t>
      </w:r>
      <w:r w:rsidR="00CE2A29">
        <w:rPr>
          <w:lang w:val="en-GB"/>
        </w:rPr>
        <w:t xml:space="preserve">Cambridge: Cambridge University Press, 2005. </w:t>
      </w:r>
      <w:r w:rsidRPr="00907042">
        <w:rPr>
          <w:lang w:val="en-GB"/>
        </w:rPr>
        <w:t>78</w:t>
      </w:r>
      <w:r w:rsidRPr="00907042">
        <w:rPr>
          <w:lang w:val="hu-HU"/>
        </w:rPr>
        <w:t>–</w:t>
      </w:r>
      <w:r w:rsidRPr="00907042">
        <w:rPr>
          <w:lang w:val="en-GB"/>
        </w:rPr>
        <w:t xml:space="preserve">111.; a tágabb régióra: Derek H. Aldcroft – Steven Morewood: </w:t>
      </w:r>
      <w:r w:rsidRPr="00CE2A29">
        <w:rPr>
          <w:i/>
          <w:iCs/>
          <w:lang w:val="en-GB"/>
        </w:rPr>
        <w:t>Economic Change in Eastern Europe since 1918.</w:t>
      </w:r>
      <w:r w:rsidRPr="00907042">
        <w:rPr>
          <w:lang w:val="en-GB"/>
        </w:rPr>
        <w:t xml:space="preserve"> Aldershot: Edward Elgar, 1995. 1</w:t>
      </w:r>
      <w:r w:rsidRPr="00907042">
        <w:rPr>
          <w:lang w:val="hu-HU"/>
        </w:rPr>
        <w:t>–</w:t>
      </w:r>
      <w:r w:rsidRPr="00907042">
        <w:rPr>
          <w:lang w:val="en-GB"/>
        </w:rPr>
        <w:t xml:space="preserve">127. </w:t>
      </w:r>
    </w:p>
  </w:footnote>
  <w:footnote w:id="11">
    <w:p w14:paraId="200DA916" w14:textId="77777777" w:rsidR="005843F3" w:rsidRPr="00907042" w:rsidRDefault="005843F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en-GB"/>
        </w:rPr>
        <w:t xml:space="preserve"> </w:t>
      </w:r>
      <w:r w:rsidRPr="00907042">
        <w:rPr>
          <w:lang w:val="hu-HU"/>
        </w:rPr>
        <w:t xml:space="preserve">Szterényi József – Ladányi Jenő: </w:t>
      </w:r>
      <w:r w:rsidRPr="00CE2A29">
        <w:rPr>
          <w:i/>
          <w:iCs/>
          <w:lang w:val="hu-HU"/>
        </w:rPr>
        <w:t>A magyar ipar a világháborúban.</w:t>
      </w:r>
      <w:r w:rsidRPr="00907042">
        <w:rPr>
          <w:lang w:val="hu-HU"/>
        </w:rPr>
        <w:t xml:space="preserve"> Budapest: Franklin Társulat, 1934.; Berend T. Iván – Ránki György: Ungarns wirtschaftliche Entwicklung, 1849–1919. In: Alois Brusatti (Hrsg.): </w:t>
      </w:r>
      <w:r w:rsidRPr="00CE2A29">
        <w:rPr>
          <w:i/>
          <w:iCs/>
          <w:lang w:val="hu-HU"/>
        </w:rPr>
        <w:t>Die Habsburgermonarchie Bd. I.: Die wirtschaftliche Entwicklung.</w:t>
      </w:r>
      <w:r w:rsidRPr="00907042">
        <w:rPr>
          <w:lang w:val="hu-HU"/>
        </w:rPr>
        <w:t xml:space="preserve"> Wien: Österreichische Akademie der Wissenschaften, 1973. 520–527.</w:t>
      </w:r>
    </w:p>
  </w:footnote>
  <w:footnote w:id="12">
    <w:p w14:paraId="471C6C7C" w14:textId="58B2ADA5" w:rsidR="005843F3" w:rsidRPr="00907042" w:rsidRDefault="005843F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382248">
        <w:rPr>
          <w:lang w:val="hu-HU"/>
        </w:rPr>
        <w:t>Laky Dezső</w:t>
      </w:r>
      <w:r w:rsidR="00382248" w:rsidRPr="00382248">
        <w:rPr>
          <w:i/>
          <w:iCs/>
          <w:lang w:val="hu-HU"/>
        </w:rPr>
        <w:t>: Csonkamagyarország megszállásának közgazdasági kárai</w:t>
      </w:r>
      <w:r w:rsidR="00382248">
        <w:rPr>
          <w:lang w:val="hu-HU"/>
        </w:rPr>
        <w:t>. Budapest: Eggerberger, 1923. 362.</w:t>
      </w:r>
    </w:p>
  </w:footnote>
  <w:footnote w:id="13">
    <w:p w14:paraId="287AB36E" w14:textId="77777777" w:rsidR="005843F3" w:rsidRPr="00907042" w:rsidRDefault="005843F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Teleszky János: </w:t>
      </w:r>
      <w:r w:rsidRPr="00CE2A29">
        <w:rPr>
          <w:i/>
          <w:iCs/>
          <w:lang w:val="hu-HU"/>
        </w:rPr>
        <w:t>A magyar állam pénzügyei a háború alatt.</w:t>
      </w:r>
      <w:r w:rsidRPr="00907042">
        <w:rPr>
          <w:lang w:val="hu-HU"/>
        </w:rPr>
        <w:t xml:space="preserve"> Budapest: Magyar Tudományos Akadémia, 1927.; Rácz Tibor: </w:t>
      </w:r>
      <w:r w:rsidRPr="00CE2A29">
        <w:rPr>
          <w:i/>
          <w:iCs/>
          <w:lang w:val="hu-HU"/>
        </w:rPr>
        <w:t>Valutaügyünk története a Magyar Nemzeti Bank alapításáig.</w:t>
      </w:r>
      <w:r w:rsidRPr="00907042">
        <w:rPr>
          <w:lang w:val="hu-HU"/>
        </w:rPr>
        <w:t xml:space="preserve"> Budapest: Magyar Nemzeti Bank, 1934.</w:t>
      </w:r>
    </w:p>
  </w:footnote>
  <w:footnote w:id="14">
    <w:p w14:paraId="06424966" w14:textId="5B899C10" w:rsidR="005843F3" w:rsidRPr="00907042" w:rsidRDefault="005843F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Varga István: Csonka-Magyarország gazdasági fejlődése. In: Laky Dezső (szerk.): </w:t>
      </w:r>
      <w:r w:rsidRPr="00CE2A29">
        <w:rPr>
          <w:i/>
          <w:iCs/>
          <w:lang w:val="hu-HU"/>
        </w:rPr>
        <w:t>Emlékkönyv Kenéz Béla negyedszázados professzori munkásságának évfordulójára.</w:t>
      </w:r>
      <w:r w:rsidRPr="00907042">
        <w:rPr>
          <w:lang w:val="hu-HU"/>
        </w:rPr>
        <w:t xml:space="preserve"> Budapest: Statisztikai Hivatal, 1932. 179–214.</w:t>
      </w:r>
    </w:p>
  </w:footnote>
  <w:footnote w:id="15">
    <w:p w14:paraId="380677A4" w14:textId="77777777" w:rsidR="005843F3" w:rsidRPr="00907042" w:rsidRDefault="005843F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Buday László: </w:t>
      </w:r>
      <w:r w:rsidRPr="00CE2A29">
        <w:rPr>
          <w:i/>
          <w:iCs/>
          <w:lang w:val="hu-HU"/>
        </w:rPr>
        <w:t>Magyarország küzdelmes évei.</w:t>
      </w:r>
      <w:r w:rsidRPr="00907042">
        <w:rPr>
          <w:lang w:val="hu-HU"/>
        </w:rPr>
        <w:t xml:space="preserve"> Budapest: A szerző kiadása, 1923.;</w:t>
      </w:r>
      <w:r w:rsidRPr="00514A9D">
        <w:rPr>
          <w:lang w:val="hu-HU"/>
        </w:rPr>
        <w:t xml:space="preserve"> Elizabeth Boross: </w:t>
      </w:r>
      <w:r w:rsidRPr="00514A9D">
        <w:rPr>
          <w:i/>
          <w:iCs/>
          <w:lang w:val="hu-HU"/>
        </w:rPr>
        <w:t>Inflation and Industry in Hungary, 1918–1929.</w:t>
      </w:r>
      <w:r w:rsidRPr="00514A9D">
        <w:rPr>
          <w:lang w:val="hu-HU"/>
        </w:rPr>
        <w:t xml:space="preserve"> Berlin: Haude und Spener, 1994. 224.;</w:t>
      </w:r>
      <w:r w:rsidRPr="00907042">
        <w:rPr>
          <w:lang w:val="hu-HU"/>
        </w:rPr>
        <w:t xml:space="preserve"> Varga István: Tőke és infláció. </w:t>
      </w:r>
      <w:r w:rsidRPr="00CE2A29">
        <w:rPr>
          <w:i/>
          <w:iCs/>
          <w:lang w:val="hu-HU"/>
        </w:rPr>
        <w:t>Közgazdasági Szemle,</w:t>
      </w:r>
      <w:r w:rsidRPr="00907042">
        <w:rPr>
          <w:lang w:val="hu-HU"/>
        </w:rPr>
        <w:t xml:space="preserve"> 50. évf. (1926) 586.</w:t>
      </w:r>
    </w:p>
  </w:footnote>
  <w:footnote w:id="16">
    <w:p w14:paraId="51F4E0DA" w14:textId="11BA0BEE" w:rsidR="0041668F" w:rsidRPr="0041668F" w:rsidRDefault="0041668F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41668F">
        <w:rPr>
          <w:lang w:val="hu-HU"/>
        </w:rPr>
        <w:t xml:space="preserve"> </w:t>
      </w:r>
      <w:r>
        <w:rPr>
          <w:lang w:val="hu-HU"/>
        </w:rPr>
        <w:t xml:space="preserve">Tomka: </w:t>
      </w:r>
      <w:r w:rsidRPr="0041668F">
        <w:rPr>
          <w:lang w:val="hu-HU"/>
        </w:rPr>
        <w:t>Tomka Béla: Az első világháború és a trianoni béke gazdasági hatásai Magyarországon.</w:t>
      </w:r>
      <w:r>
        <w:rPr>
          <w:lang w:val="hu-HU"/>
        </w:rPr>
        <w:t xml:space="preserve"> 47–80.</w:t>
      </w:r>
    </w:p>
  </w:footnote>
  <w:footnote w:id="17">
    <w:p w14:paraId="6B28A126" w14:textId="77777777" w:rsidR="005843F3" w:rsidRPr="00907042" w:rsidRDefault="005843F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A népszövetségi kölcsönre: Ormos Mária: </w:t>
      </w:r>
      <w:r w:rsidRPr="00CE2A29">
        <w:rPr>
          <w:i/>
          <w:iCs/>
          <w:lang w:val="hu-HU"/>
        </w:rPr>
        <w:t>Az 1924. évi magyar államkölcsön megszerzése.</w:t>
      </w:r>
      <w:r w:rsidRPr="00907042">
        <w:rPr>
          <w:lang w:val="hu-HU"/>
        </w:rPr>
        <w:t xml:space="preserve"> Budapest: Akadémiai Kiadó, 1963.</w:t>
      </w:r>
    </w:p>
  </w:footnote>
  <w:footnote w:id="18">
    <w:p w14:paraId="10BB0F17" w14:textId="6AE61FB2" w:rsidR="005843F3" w:rsidRPr="00907042" w:rsidRDefault="005843F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A szanálás részleteire: </w:t>
      </w:r>
      <w:r w:rsidRPr="00CE2A29">
        <w:rPr>
          <w:i/>
          <w:iCs/>
          <w:lang w:val="hu-HU"/>
        </w:rPr>
        <w:t>Magyarország pénzügyi újjáépítése. A Nemzetek Szövetsége magyarországi főbiztosának első–huszonharmadik jelentése. 1924. május–1926. március. Budapest, 1924–1926.</w:t>
      </w:r>
      <w:r w:rsidRPr="00907042">
        <w:rPr>
          <w:lang w:val="hu-HU"/>
        </w:rPr>
        <w:t xml:space="preserve">; Pogány Ágnes: A Magyar Nemzeti Bank alapításának nemzetközi és belföldi előzményei. In: Bácskai </w:t>
      </w:r>
      <w:r w:rsidR="008E4340">
        <w:rPr>
          <w:lang w:val="hu-HU"/>
        </w:rPr>
        <w:t xml:space="preserve">Tamás </w:t>
      </w:r>
      <w:r w:rsidRPr="00907042">
        <w:rPr>
          <w:lang w:val="hu-HU"/>
        </w:rPr>
        <w:t xml:space="preserve">(szerk.): </w:t>
      </w:r>
      <w:r w:rsidRPr="008E4340">
        <w:rPr>
          <w:i/>
          <w:iCs/>
          <w:lang w:val="hu-HU"/>
        </w:rPr>
        <w:t>A Magyar Nemzeti Bank története. I.</w:t>
      </w:r>
      <w:r w:rsidRPr="00907042">
        <w:rPr>
          <w:lang w:val="hu-HU"/>
        </w:rPr>
        <w:t xml:space="preserve"> </w:t>
      </w:r>
      <w:r w:rsidR="008E4340">
        <w:rPr>
          <w:lang w:val="hu-HU"/>
        </w:rPr>
        <w:t xml:space="preserve">Budapest: KJK, 1993. </w:t>
      </w:r>
      <w:r w:rsidRPr="00907042">
        <w:rPr>
          <w:lang w:val="hu-HU"/>
        </w:rPr>
        <w:t>501–585.; Péteri György: Montagu Norman és a magyar „szanálási mű</w:t>
      </w:r>
      <w:r w:rsidR="006A68F0">
        <w:rPr>
          <w:lang w:val="hu-HU"/>
        </w:rPr>
        <w:t>”</w:t>
      </w:r>
      <w:r w:rsidRPr="00907042">
        <w:rPr>
          <w:lang w:val="hu-HU"/>
        </w:rPr>
        <w:t xml:space="preserve">. Az 1924-es magyar pénzügyi stabilizációról. </w:t>
      </w:r>
      <w:r w:rsidRPr="008E4340">
        <w:rPr>
          <w:i/>
          <w:iCs/>
          <w:lang w:val="hu-HU"/>
        </w:rPr>
        <w:t>Századok,</w:t>
      </w:r>
      <w:r w:rsidRPr="00907042">
        <w:rPr>
          <w:lang w:val="hu-HU"/>
        </w:rPr>
        <w:t xml:space="preserve"> 119. évf. (1985) 1. sz. 121–152.</w:t>
      </w:r>
    </w:p>
  </w:footnote>
  <w:footnote w:id="19">
    <w:p w14:paraId="733EA890" w14:textId="3F1693BA" w:rsidR="005843F3" w:rsidRPr="00907042" w:rsidRDefault="005843F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FC5356" w:rsidRPr="00907042">
        <w:rPr>
          <w:lang w:val="hu-HU"/>
        </w:rPr>
        <w:t xml:space="preserve">Tomka Béla: </w:t>
      </w:r>
      <w:r w:rsidR="00FC5356" w:rsidRPr="008E4340">
        <w:rPr>
          <w:i/>
          <w:iCs/>
          <w:lang w:val="hu-HU"/>
        </w:rPr>
        <w:t>A magyarországi pénzintézetek rövid története, 1836</w:t>
      </w:r>
      <w:r w:rsidR="008E4340" w:rsidRPr="008E4340">
        <w:rPr>
          <w:i/>
          <w:iCs/>
          <w:lang w:val="hu-HU"/>
        </w:rPr>
        <w:t>–</w:t>
      </w:r>
      <w:r w:rsidR="00FC5356" w:rsidRPr="008E4340">
        <w:rPr>
          <w:i/>
          <w:iCs/>
          <w:lang w:val="hu-HU"/>
        </w:rPr>
        <w:t>1947.</w:t>
      </w:r>
      <w:r w:rsidR="00FC5356" w:rsidRPr="00907042">
        <w:rPr>
          <w:lang w:val="hu-HU"/>
        </w:rPr>
        <w:t xml:space="preserve"> Budapest: Aula, 2000. </w:t>
      </w:r>
      <w:r w:rsidRPr="00907042">
        <w:rPr>
          <w:lang w:val="hu-HU"/>
        </w:rPr>
        <w:t>88–105.</w:t>
      </w:r>
    </w:p>
  </w:footnote>
  <w:footnote w:id="20">
    <w:p w14:paraId="45D599E4" w14:textId="195ADB1D" w:rsidR="005843F3" w:rsidRPr="00907042" w:rsidRDefault="005843F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Buzás József – Nagy András: </w:t>
      </w:r>
      <w:r w:rsidRPr="008E4340">
        <w:rPr>
          <w:i/>
          <w:iCs/>
          <w:lang w:val="hu-HU"/>
        </w:rPr>
        <w:t>Magyarország külkereskedelme, 1919–1945.</w:t>
      </w:r>
      <w:r w:rsidRPr="00907042">
        <w:rPr>
          <w:lang w:val="hu-HU"/>
        </w:rPr>
        <w:t xml:space="preserve"> Budapest: KJK, 1961.; Berend–Ránki: </w:t>
      </w:r>
      <w:r w:rsidRPr="00A155B3">
        <w:rPr>
          <w:i/>
          <w:iCs/>
          <w:lang w:val="hu-HU"/>
        </w:rPr>
        <w:t>Magyarország gazdasága az első világháború után</w:t>
      </w:r>
      <w:r w:rsidR="00A155B3">
        <w:rPr>
          <w:i/>
          <w:iCs/>
          <w:lang w:val="hu-HU"/>
        </w:rPr>
        <w:t>,</w:t>
      </w:r>
      <w:r w:rsidRPr="00907042">
        <w:rPr>
          <w:lang w:val="hu-HU"/>
        </w:rPr>
        <w:t xml:space="preserve"> </w:t>
      </w:r>
      <w:r w:rsidRPr="00A155B3">
        <w:rPr>
          <w:lang w:val="hu-HU"/>
        </w:rPr>
        <w:t>172–184</w:t>
      </w:r>
      <w:r w:rsidR="006A68F0">
        <w:rPr>
          <w:lang w:val="hu-HU"/>
        </w:rPr>
        <w:t>.</w:t>
      </w:r>
    </w:p>
  </w:footnote>
  <w:footnote w:id="21">
    <w:p w14:paraId="2E7DAA27" w14:textId="77777777" w:rsidR="005843F3" w:rsidRPr="00907042" w:rsidRDefault="005843F3" w:rsidP="00BC6466">
      <w:pPr>
        <w:pStyle w:val="Lbjegyzetszveg"/>
        <w:jc w:val="both"/>
        <w:rPr>
          <w:lang w:val="en-GB"/>
        </w:rPr>
      </w:pPr>
      <w:r w:rsidRPr="00907042">
        <w:rPr>
          <w:rStyle w:val="Lbjegyzet-hivatkozs"/>
        </w:rPr>
        <w:footnoteRef/>
      </w:r>
      <w:r w:rsidRPr="00907042">
        <w:rPr>
          <w:lang w:val="en-GB"/>
        </w:rPr>
        <w:t xml:space="preserve"> Angus Maddison: </w:t>
      </w:r>
      <w:r w:rsidRPr="00A155B3">
        <w:rPr>
          <w:i/>
          <w:iCs/>
          <w:lang w:val="en-GB"/>
        </w:rPr>
        <w:t>The World Economy: Historical Statistics.</w:t>
      </w:r>
      <w:r w:rsidRPr="00907042">
        <w:rPr>
          <w:lang w:val="en-GB"/>
        </w:rPr>
        <w:t xml:space="preserve"> Paris: OECD, 2003. 60</w:t>
      </w:r>
      <w:r w:rsidRPr="00907042">
        <w:rPr>
          <w:lang w:val="hu-HU"/>
        </w:rPr>
        <w:t>–</w:t>
      </w:r>
      <w:r w:rsidRPr="00907042">
        <w:rPr>
          <w:lang w:val="en-GB"/>
        </w:rPr>
        <w:t>101.</w:t>
      </w:r>
    </w:p>
  </w:footnote>
  <w:footnote w:id="22">
    <w:p w14:paraId="1BD79037" w14:textId="51B26E1F" w:rsidR="005E6F78" w:rsidRPr="00907042" w:rsidRDefault="005E6F78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7355C1" w:rsidRPr="00F94E4F">
        <w:rPr>
          <w:i/>
          <w:iCs/>
          <w:lang w:val="hu-HU"/>
        </w:rPr>
        <w:t>Magyarország</w:t>
      </w:r>
      <w:r w:rsidRPr="00F94E4F">
        <w:rPr>
          <w:i/>
          <w:iCs/>
          <w:lang w:val="hu-HU"/>
        </w:rPr>
        <w:t xml:space="preserve"> tört</w:t>
      </w:r>
      <w:r w:rsidR="007355C1" w:rsidRPr="00F94E4F">
        <w:rPr>
          <w:i/>
          <w:iCs/>
          <w:lang w:val="hu-HU"/>
        </w:rPr>
        <w:t>énete</w:t>
      </w:r>
      <w:r w:rsidRPr="00F94E4F">
        <w:rPr>
          <w:i/>
          <w:iCs/>
          <w:lang w:val="hu-HU"/>
        </w:rPr>
        <w:t>.</w:t>
      </w:r>
      <w:r w:rsidR="007355C1" w:rsidRPr="00F94E4F">
        <w:rPr>
          <w:i/>
          <w:iCs/>
          <w:lang w:val="hu-HU"/>
        </w:rPr>
        <w:t xml:space="preserve"> 8. kötet. 1918</w:t>
      </w:r>
      <w:r w:rsidR="00F94E4F" w:rsidRPr="00F94E4F">
        <w:rPr>
          <w:i/>
          <w:iCs/>
          <w:lang w:val="hu-HU"/>
        </w:rPr>
        <w:t>–</w:t>
      </w:r>
      <w:r w:rsidR="007355C1" w:rsidRPr="00F94E4F">
        <w:rPr>
          <w:i/>
          <w:iCs/>
          <w:lang w:val="hu-HU"/>
        </w:rPr>
        <w:t>1919</w:t>
      </w:r>
      <w:r w:rsidR="00116DD7">
        <w:rPr>
          <w:i/>
          <w:iCs/>
          <w:lang w:val="hu-HU"/>
        </w:rPr>
        <w:t xml:space="preserve"> /</w:t>
      </w:r>
      <w:r w:rsidR="007355C1" w:rsidRPr="00F94E4F">
        <w:rPr>
          <w:i/>
          <w:iCs/>
          <w:lang w:val="hu-HU"/>
        </w:rPr>
        <w:t xml:space="preserve"> 1919</w:t>
      </w:r>
      <w:r w:rsidR="00F94E4F" w:rsidRPr="00F94E4F">
        <w:rPr>
          <w:i/>
          <w:iCs/>
          <w:lang w:val="hu-HU"/>
        </w:rPr>
        <w:t>–</w:t>
      </w:r>
      <w:r w:rsidR="007355C1" w:rsidRPr="00F94E4F">
        <w:rPr>
          <w:i/>
          <w:iCs/>
          <w:lang w:val="hu-HU"/>
        </w:rPr>
        <w:t xml:space="preserve">1945. </w:t>
      </w:r>
      <w:r w:rsidR="007355C1" w:rsidRPr="00907042">
        <w:rPr>
          <w:lang w:val="hu-HU"/>
        </w:rPr>
        <w:t xml:space="preserve">Szerk.: Hajdu Tibor – Tilkovszky Loránt. Budapest: Akadémiai Kiadó, 1976. </w:t>
      </w:r>
      <w:r w:rsidRPr="00907042">
        <w:rPr>
          <w:lang w:val="hu-HU"/>
        </w:rPr>
        <w:t>601</w:t>
      </w:r>
      <w:r w:rsidR="00F94E4F">
        <w:rPr>
          <w:lang w:val="hu-HU"/>
        </w:rPr>
        <w:t>–</w:t>
      </w:r>
      <w:r w:rsidRPr="00907042">
        <w:rPr>
          <w:lang w:val="hu-HU"/>
        </w:rPr>
        <w:t>602.</w:t>
      </w:r>
      <w:r w:rsidR="00F16A0F">
        <w:rPr>
          <w:lang w:val="hu-HU"/>
        </w:rPr>
        <w:t xml:space="preserve">; </w:t>
      </w:r>
      <w:r w:rsidR="008D4011" w:rsidRPr="008D4011">
        <w:rPr>
          <w:lang w:val="hu-HU"/>
        </w:rPr>
        <w:t>Gunst Péter: A mezőgazdasági termelés története Magyarországon (1920-1938). Budapest: Akadémiai Kiadó, 1970.</w:t>
      </w:r>
      <w:r w:rsidR="008D4011">
        <w:rPr>
          <w:lang w:val="hu-HU"/>
        </w:rPr>
        <w:t xml:space="preserve"> 62.; </w:t>
      </w:r>
      <w:r w:rsidR="00F16A0F">
        <w:rPr>
          <w:lang w:val="hu-HU"/>
        </w:rPr>
        <w:t xml:space="preserve">kissé eltérő adatokra: </w:t>
      </w:r>
      <w:r w:rsidR="00F16A0F" w:rsidRPr="00907042">
        <w:rPr>
          <w:lang w:val="en-GB"/>
        </w:rPr>
        <w:t xml:space="preserve">Mathias Matolcsy – Stephen Varga: </w:t>
      </w:r>
      <w:r w:rsidR="00F16A0F" w:rsidRPr="00F94E4F">
        <w:rPr>
          <w:i/>
          <w:iCs/>
          <w:lang w:val="en-GB"/>
        </w:rPr>
        <w:t>The National Income of Hungary 1924/25</w:t>
      </w:r>
      <w:r w:rsidR="00F16A0F" w:rsidRPr="00F94E4F">
        <w:rPr>
          <w:i/>
          <w:iCs/>
          <w:lang w:val="hu-HU"/>
        </w:rPr>
        <w:t>–</w:t>
      </w:r>
      <w:r w:rsidR="00F16A0F" w:rsidRPr="00F94E4F">
        <w:rPr>
          <w:i/>
          <w:iCs/>
          <w:lang w:val="en-GB"/>
        </w:rPr>
        <w:t>1936/37.</w:t>
      </w:r>
      <w:r w:rsidR="00F16A0F" w:rsidRPr="00907042">
        <w:rPr>
          <w:lang w:val="en-GB"/>
        </w:rPr>
        <w:t xml:space="preserve"> London: P. S. King and Son, 1938. 45.</w:t>
      </w:r>
    </w:p>
  </w:footnote>
  <w:footnote w:id="23">
    <w:p w14:paraId="502EAA05" w14:textId="7DEAEDA5" w:rsidR="00E75DE0" w:rsidRPr="00907042" w:rsidRDefault="00E75DE0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Berend</w:t>
      </w:r>
      <w:r w:rsidR="007355C1" w:rsidRPr="00907042">
        <w:rPr>
          <w:lang w:val="hu-HU"/>
        </w:rPr>
        <w:t xml:space="preserve"> T. Iván</w:t>
      </w:r>
      <w:r w:rsidRPr="00907042">
        <w:rPr>
          <w:lang w:val="hu-HU"/>
        </w:rPr>
        <w:t xml:space="preserve"> – Ránki</w:t>
      </w:r>
      <w:r w:rsidR="007355C1" w:rsidRPr="00907042">
        <w:rPr>
          <w:lang w:val="hu-HU"/>
        </w:rPr>
        <w:t xml:space="preserve"> György</w:t>
      </w:r>
      <w:r w:rsidRPr="00907042">
        <w:rPr>
          <w:lang w:val="hu-HU"/>
        </w:rPr>
        <w:t>:</w:t>
      </w:r>
      <w:r w:rsidR="007355C1" w:rsidRPr="00907042">
        <w:rPr>
          <w:lang w:val="hu-HU"/>
        </w:rPr>
        <w:t xml:space="preserve"> </w:t>
      </w:r>
      <w:r w:rsidR="007355C1" w:rsidRPr="00F94E4F">
        <w:rPr>
          <w:i/>
          <w:iCs/>
          <w:lang w:val="hu-HU"/>
        </w:rPr>
        <w:t>Közép-Kelet-Európa gazdasági fejlődése a 19</w:t>
      </w:r>
      <w:r w:rsidR="00F94E4F" w:rsidRPr="00F94E4F">
        <w:rPr>
          <w:i/>
          <w:iCs/>
          <w:lang w:val="hu-HU"/>
        </w:rPr>
        <w:t>–</w:t>
      </w:r>
      <w:r w:rsidR="007355C1" w:rsidRPr="00F94E4F">
        <w:rPr>
          <w:i/>
          <w:iCs/>
          <w:lang w:val="hu-HU"/>
        </w:rPr>
        <w:t>20. században.</w:t>
      </w:r>
      <w:r w:rsidR="007355C1" w:rsidRPr="00907042">
        <w:rPr>
          <w:lang w:val="hu-HU"/>
        </w:rPr>
        <w:t xml:space="preserve"> Budapest: KJK, 1976.</w:t>
      </w:r>
      <w:r w:rsidRPr="00907042">
        <w:rPr>
          <w:lang w:val="hu-HU"/>
        </w:rPr>
        <w:t xml:space="preserve"> 344.</w:t>
      </w:r>
    </w:p>
  </w:footnote>
  <w:footnote w:id="24">
    <w:p w14:paraId="16B8F8F3" w14:textId="1C114C41" w:rsidR="00056A40" w:rsidRPr="00056A40" w:rsidRDefault="00056A40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056A40">
        <w:rPr>
          <w:lang w:val="hu-HU"/>
        </w:rPr>
        <w:t xml:space="preserve"> </w:t>
      </w:r>
      <w:r>
        <w:rPr>
          <w:lang w:val="hu-HU"/>
        </w:rPr>
        <w:t xml:space="preserve">Gunst: </w:t>
      </w:r>
      <w:r w:rsidRPr="004D43D7">
        <w:rPr>
          <w:i/>
          <w:iCs/>
          <w:lang w:val="hu-HU"/>
        </w:rPr>
        <w:t>A mezőgazdasági termelés története Magyarországon</w:t>
      </w:r>
      <w:r w:rsidR="008D4011">
        <w:rPr>
          <w:i/>
          <w:iCs/>
          <w:lang w:val="hu-HU"/>
        </w:rPr>
        <w:t>,</w:t>
      </w:r>
      <w:r w:rsidRPr="004D43D7">
        <w:rPr>
          <w:i/>
          <w:iCs/>
          <w:lang w:val="hu-HU"/>
        </w:rPr>
        <w:t xml:space="preserve"> </w:t>
      </w:r>
      <w:r>
        <w:rPr>
          <w:lang w:val="hu-HU"/>
        </w:rPr>
        <w:t>73.</w:t>
      </w:r>
    </w:p>
  </w:footnote>
  <w:footnote w:id="25">
    <w:p w14:paraId="072A88AD" w14:textId="4B406AEC" w:rsidR="00056A40" w:rsidRPr="00056A40" w:rsidRDefault="00056A40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056A40">
        <w:rPr>
          <w:lang w:val="hu-HU"/>
        </w:rPr>
        <w:t xml:space="preserve"> </w:t>
      </w:r>
      <w:r>
        <w:rPr>
          <w:lang w:val="hu-HU"/>
        </w:rPr>
        <w:t xml:space="preserve">Gunst: </w:t>
      </w:r>
      <w:r w:rsidRPr="004D43D7">
        <w:rPr>
          <w:i/>
          <w:iCs/>
          <w:lang w:val="hu-HU"/>
        </w:rPr>
        <w:t>A mezőgazdasági termelés története Magyarországon</w:t>
      </w:r>
      <w:r w:rsidR="008D4011">
        <w:rPr>
          <w:lang w:val="hu-HU"/>
        </w:rPr>
        <w:t>,</w:t>
      </w:r>
      <w:r>
        <w:rPr>
          <w:lang w:val="hu-HU"/>
        </w:rPr>
        <w:t xml:space="preserve"> 75.</w:t>
      </w:r>
    </w:p>
  </w:footnote>
  <w:footnote w:id="26">
    <w:p w14:paraId="094BE549" w14:textId="1B06DD47" w:rsidR="002A732D" w:rsidRPr="00907042" w:rsidRDefault="002A732D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A107B1" w:rsidRPr="00907042">
        <w:rPr>
          <w:lang w:val="hu-HU"/>
        </w:rPr>
        <w:t xml:space="preserve">Eltérő adatokat idéz: Csikós-Nagy Béla: </w:t>
      </w:r>
      <w:r w:rsidR="00A107B1" w:rsidRPr="00DA463E">
        <w:rPr>
          <w:i/>
          <w:iCs/>
          <w:lang w:val="hu-HU"/>
        </w:rPr>
        <w:t>A XX. század magyar gazdaságpolitikája. Tanulságok az ezredfordulón.</w:t>
      </w:r>
      <w:r w:rsidR="00A107B1" w:rsidRPr="00907042">
        <w:rPr>
          <w:lang w:val="hu-HU"/>
        </w:rPr>
        <w:t xml:space="preserve"> Budapest: Akadémiai Kiadó, 1996. </w:t>
      </w:r>
    </w:p>
  </w:footnote>
  <w:footnote w:id="27">
    <w:p w14:paraId="1628DDB2" w14:textId="22175B82" w:rsidR="002A732D" w:rsidRPr="00907042" w:rsidRDefault="002A732D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056A40" w:rsidRPr="004D43D7">
        <w:rPr>
          <w:i/>
          <w:iCs/>
          <w:lang w:val="hu-HU"/>
        </w:rPr>
        <w:t>A magyar mezőgazdaság árhelyzete az utolsó évszázadban (1867-1963)</w:t>
      </w:r>
      <w:r w:rsidR="00056A40">
        <w:rPr>
          <w:lang w:val="hu-HU"/>
        </w:rPr>
        <w:t xml:space="preserve">. </w:t>
      </w:r>
      <w:r w:rsidR="0030159E">
        <w:rPr>
          <w:lang w:val="hu-HU"/>
        </w:rPr>
        <w:t>(</w:t>
      </w:r>
      <w:r w:rsidR="0030159E" w:rsidRPr="0030159E">
        <w:rPr>
          <w:lang w:val="hu-HU"/>
        </w:rPr>
        <w:t>Statisztikai Időszaki Közlemények</w:t>
      </w:r>
      <w:r w:rsidR="0030159E">
        <w:rPr>
          <w:lang w:val="hu-HU"/>
        </w:rPr>
        <w:t xml:space="preserve">. </w:t>
      </w:r>
      <w:r w:rsidR="0030159E" w:rsidRPr="0030159E">
        <w:rPr>
          <w:lang w:val="hu-HU"/>
        </w:rPr>
        <w:t xml:space="preserve"> 73.</w:t>
      </w:r>
      <w:r w:rsidR="0030159E">
        <w:rPr>
          <w:lang w:val="hu-HU"/>
        </w:rPr>
        <w:t xml:space="preserve">) </w:t>
      </w:r>
      <w:r w:rsidR="00056A40">
        <w:rPr>
          <w:lang w:val="hu-HU"/>
        </w:rPr>
        <w:t>Budapest: KSH, 1965. 34.</w:t>
      </w:r>
    </w:p>
  </w:footnote>
  <w:footnote w:id="28">
    <w:p w14:paraId="4A7953BB" w14:textId="62D707C6" w:rsidR="000B395A" w:rsidRPr="00907042" w:rsidRDefault="000B395A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514A9D">
        <w:rPr>
          <w:lang w:val="hu-HU"/>
        </w:rPr>
        <w:t xml:space="preserve"> </w:t>
      </w:r>
      <w:r w:rsidR="00E07971" w:rsidRPr="00E07971">
        <w:rPr>
          <w:lang w:val="hu-HU"/>
        </w:rPr>
        <w:t xml:space="preserve">Ivan T. Berend – György Ránki: Polen, Ungarn, Rumänien, Bulgarien und Albanien, 1914–1980. In: </w:t>
      </w:r>
      <w:r w:rsidR="00E07971" w:rsidRPr="00E07971">
        <w:t xml:space="preserve">Wolfram Fischer (Hrsg.): </w:t>
      </w:r>
      <w:r w:rsidR="00E07971" w:rsidRPr="00E07971">
        <w:rPr>
          <w:i/>
          <w:iCs/>
        </w:rPr>
        <w:t>Handbuch der europäischen Wirtschafts- und Sozialgeschichte.</w:t>
      </w:r>
      <w:r w:rsidR="00E07971" w:rsidRPr="00E07971">
        <w:t xml:space="preserve"> Bd. 6. Stuttgart: Klett-Cotta, 1987. </w:t>
      </w:r>
      <w:r w:rsidR="00E07971" w:rsidRPr="00E07971">
        <w:rPr>
          <w:lang w:val="hu-HU"/>
        </w:rPr>
        <w:t>812.</w:t>
      </w:r>
    </w:p>
  </w:footnote>
  <w:footnote w:id="29">
    <w:p w14:paraId="1B25F309" w14:textId="751E5EF8" w:rsidR="00E16A91" w:rsidRPr="00E16A91" w:rsidRDefault="00E16A91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E16A91">
        <w:rPr>
          <w:lang w:val="hu-HU"/>
        </w:rPr>
        <w:t xml:space="preserve"> Gunst: </w:t>
      </w:r>
      <w:r w:rsidRPr="004D43D7">
        <w:rPr>
          <w:i/>
          <w:iCs/>
          <w:lang w:val="hu-HU"/>
        </w:rPr>
        <w:t>A mezőgazdasági termelés története Magyarországon</w:t>
      </w:r>
      <w:r>
        <w:rPr>
          <w:lang w:val="hu-HU"/>
        </w:rPr>
        <w:t>. 82.</w:t>
      </w:r>
      <w:r w:rsidR="002870E9">
        <w:rPr>
          <w:lang w:val="hu-HU"/>
        </w:rPr>
        <w:t>;</w:t>
      </w:r>
      <w:r>
        <w:rPr>
          <w:lang w:val="hu-HU"/>
        </w:rPr>
        <w:t xml:space="preserve"> Vö: Csáki Norbert – Szitó Balázs: </w:t>
      </w:r>
      <w:r w:rsidRPr="004D43D7">
        <w:rPr>
          <w:i/>
          <w:iCs/>
          <w:lang w:val="hu-HU"/>
        </w:rPr>
        <w:t>Magyarország mezőgazdasági kivitele</w:t>
      </w:r>
      <w:r>
        <w:rPr>
          <w:lang w:val="hu-HU"/>
        </w:rPr>
        <w:t>. Budapest: KJK, 1963. 7.</w:t>
      </w:r>
    </w:p>
  </w:footnote>
  <w:footnote w:id="30">
    <w:p w14:paraId="4281CEAE" w14:textId="5EE1E9EC" w:rsidR="00FB2028" w:rsidRPr="00907042" w:rsidRDefault="00FB2028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="00F16A0F">
        <w:rPr>
          <w:lang w:val="hu-HU"/>
        </w:rPr>
        <w:t xml:space="preserve"> Z. Drabek: Foreign Trade Performance and Policy. In: </w:t>
      </w:r>
      <w:r w:rsidR="00F16A0F" w:rsidRPr="00907042">
        <w:rPr>
          <w:color w:val="000000"/>
          <w:lang w:val="en-US"/>
        </w:rPr>
        <w:t>Kaser</w:t>
      </w:r>
      <w:r w:rsidR="00F45596">
        <w:rPr>
          <w:color w:val="000000"/>
          <w:lang w:val="en-US"/>
        </w:rPr>
        <w:t>–</w:t>
      </w:r>
      <w:r w:rsidR="00F16A0F" w:rsidRPr="00907042">
        <w:rPr>
          <w:color w:val="000000"/>
          <w:lang w:val="en-US"/>
        </w:rPr>
        <w:t xml:space="preserve">Radice </w:t>
      </w:r>
      <w:r w:rsidR="00F45596">
        <w:rPr>
          <w:color w:val="000000"/>
          <w:lang w:val="en-US"/>
        </w:rPr>
        <w:t>(</w:t>
      </w:r>
      <w:r w:rsidR="00F16A0F" w:rsidRPr="00907042">
        <w:rPr>
          <w:color w:val="000000"/>
          <w:lang w:val="en-US"/>
        </w:rPr>
        <w:t>eds.</w:t>
      </w:r>
      <w:r w:rsidR="00F45596">
        <w:rPr>
          <w:color w:val="000000"/>
          <w:lang w:val="en-US"/>
        </w:rPr>
        <w:t>)</w:t>
      </w:r>
      <w:r w:rsidR="00F16A0F" w:rsidRPr="00907042">
        <w:rPr>
          <w:color w:val="000000"/>
          <w:lang w:val="en-US"/>
        </w:rPr>
        <w:t xml:space="preserve">: </w:t>
      </w:r>
      <w:r w:rsidR="00F16A0F" w:rsidRPr="00F45596">
        <w:rPr>
          <w:i/>
          <w:iCs/>
          <w:color w:val="000000"/>
          <w:lang w:val="en-US"/>
        </w:rPr>
        <w:t>The Economic History of Eastern Europe, 1919–1975</w:t>
      </w:r>
      <w:r w:rsidR="00564588">
        <w:rPr>
          <w:i/>
          <w:iCs/>
          <w:color w:val="000000"/>
          <w:lang w:val="en-US"/>
        </w:rPr>
        <w:t>,</w:t>
      </w:r>
      <w:r w:rsidR="00F45596">
        <w:rPr>
          <w:color w:val="000000"/>
          <w:lang w:val="en-US"/>
        </w:rPr>
        <w:t xml:space="preserve"> </w:t>
      </w:r>
      <w:r w:rsidR="00F16A0F">
        <w:rPr>
          <w:lang w:val="hu-HU"/>
        </w:rPr>
        <w:t>444</w:t>
      </w:r>
      <w:r w:rsidR="00F45596">
        <w:rPr>
          <w:lang w:val="hu-HU"/>
        </w:rPr>
        <w:t>–</w:t>
      </w:r>
      <w:r w:rsidR="00F16A0F">
        <w:rPr>
          <w:lang w:val="hu-HU"/>
        </w:rPr>
        <w:t>446.</w:t>
      </w:r>
    </w:p>
  </w:footnote>
  <w:footnote w:id="31">
    <w:p w14:paraId="67ADAED7" w14:textId="1BD7F048" w:rsidR="002870E9" w:rsidRPr="00907042" w:rsidRDefault="002870E9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Szuhay Miklós: </w:t>
      </w:r>
      <w:r w:rsidRPr="00B54F06">
        <w:rPr>
          <w:i/>
          <w:iCs/>
          <w:lang w:val="hu-HU"/>
        </w:rPr>
        <w:t>Az állami beavatkozás és a magyar mezőgazdaság az 1930-as években.</w:t>
      </w:r>
      <w:r w:rsidRPr="00907042">
        <w:rPr>
          <w:lang w:val="hu-HU"/>
        </w:rPr>
        <w:t xml:space="preserve"> Budapest: Akadémiai Kiadó, 1962. </w:t>
      </w:r>
      <w:r>
        <w:rPr>
          <w:lang w:val="hu-HU"/>
        </w:rPr>
        <w:t>103–138.</w:t>
      </w:r>
    </w:p>
  </w:footnote>
  <w:footnote w:id="32">
    <w:p w14:paraId="5CE70886" w14:textId="38CC1024" w:rsidR="00F413B0" w:rsidRPr="00907042" w:rsidRDefault="00F413B0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61079E" w:rsidRPr="00907042">
        <w:rPr>
          <w:lang w:val="hu-HU"/>
        </w:rPr>
        <w:t xml:space="preserve">Honvári János: </w:t>
      </w:r>
      <w:r w:rsidR="0061079E" w:rsidRPr="00F45596">
        <w:rPr>
          <w:i/>
          <w:iCs/>
          <w:lang w:val="hu-HU"/>
        </w:rPr>
        <w:t xml:space="preserve">XX. századi magyar gazdaságtörténet: Transzformációk, </w:t>
      </w:r>
      <w:r w:rsidR="005604FD">
        <w:rPr>
          <w:i/>
          <w:iCs/>
          <w:lang w:val="hu-HU"/>
        </w:rPr>
        <w:t xml:space="preserve"> </w:t>
      </w:r>
      <w:r w:rsidR="0061079E" w:rsidRPr="00F45596">
        <w:rPr>
          <w:i/>
          <w:iCs/>
          <w:lang w:val="hu-HU"/>
        </w:rPr>
        <w:t>rendszerek.</w:t>
      </w:r>
      <w:r w:rsidR="0061079E" w:rsidRPr="00907042">
        <w:rPr>
          <w:lang w:val="hu-HU"/>
        </w:rPr>
        <w:t xml:space="preserve"> Budapest: Aula, 2006.</w:t>
      </w:r>
      <w:r w:rsidRPr="00907042">
        <w:rPr>
          <w:lang w:val="hu-HU"/>
        </w:rPr>
        <w:t xml:space="preserve"> 55.</w:t>
      </w:r>
    </w:p>
  </w:footnote>
  <w:footnote w:id="33">
    <w:p w14:paraId="1034E071" w14:textId="60C71F74" w:rsidR="002870E9" w:rsidRDefault="00F413B0" w:rsidP="00BC6466">
      <w:pPr>
        <w:pStyle w:val="Lbjegyzetszveg"/>
        <w:jc w:val="both"/>
        <w:rPr>
          <w:lang w:val="hu-HU"/>
        </w:rPr>
      </w:pPr>
      <w:r w:rsidRPr="002870E9">
        <w:rPr>
          <w:rStyle w:val="Lbjegyzet-hivatkozs"/>
        </w:rPr>
        <w:footnoteRef/>
      </w:r>
      <w:r w:rsidRPr="002870E9">
        <w:rPr>
          <w:lang w:val="hu-HU"/>
        </w:rPr>
        <w:t xml:space="preserve"> </w:t>
      </w:r>
      <w:r w:rsidR="002870E9">
        <w:rPr>
          <w:lang w:val="hu-HU"/>
        </w:rPr>
        <w:t xml:space="preserve">Szuhay: </w:t>
      </w:r>
      <w:r w:rsidR="002870E9" w:rsidRPr="00B54F06">
        <w:rPr>
          <w:i/>
          <w:iCs/>
          <w:lang w:val="hu-HU"/>
        </w:rPr>
        <w:t>Az állami beavatkozás és a magyar mezőgazdaság az 1930-as években.</w:t>
      </w:r>
      <w:r w:rsidR="002870E9">
        <w:rPr>
          <w:lang w:val="hu-HU"/>
        </w:rPr>
        <w:t xml:space="preserve"> 255–262.</w:t>
      </w:r>
    </w:p>
    <w:p w14:paraId="3015E7F3" w14:textId="4CCA83F3" w:rsidR="00F413B0" w:rsidRPr="00907042" w:rsidRDefault="00FC5356" w:rsidP="00BC6466">
      <w:pPr>
        <w:pStyle w:val="Lbjegyzetszveg"/>
        <w:jc w:val="both"/>
        <w:rPr>
          <w:lang w:val="hu-HU"/>
        </w:rPr>
      </w:pPr>
      <w:r w:rsidRPr="002870E9">
        <w:rPr>
          <w:lang w:val="hu-HU"/>
        </w:rPr>
        <w:t xml:space="preserve">Iván T. </w:t>
      </w:r>
      <w:r w:rsidR="007355C1" w:rsidRPr="002870E9">
        <w:rPr>
          <w:lang w:val="hu-HU"/>
        </w:rPr>
        <w:t>Berend</w:t>
      </w:r>
      <w:r w:rsidRPr="002870E9">
        <w:rPr>
          <w:lang w:val="hu-HU"/>
        </w:rPr>
        <w:t xml:space="preserve">: </w:t>
      </w:r>
      <w:r w:rsidRPr="002870E9">
        <w:rPr>
          <w:i/>
          <w:iCs/>
          <w:lang w:val="hu-HU"/>
        </w:rPr>
        <w:t>An Economic History of Twentieth Century Europe: Economic Regimes from Laissez-Faire to Globalization.</w:t>
      </w:r>
      <w:r w:rsidRPr="002870E9">
        <w:rPr>
          <w:lang w:val="hu-HU"/>
        </w:rPr>
        <w:t xml:space="preserve"> Cambridge: Cambridge University Press, 2006. </w:t>
      </w:r>
      <w:r w:rsidRPr="00564588">
        <w:rPr>
          <w:lang w:val="hu-HU"/>
        </w:rPr>
        <w:t>66.</w:t>
      </w:r>
    </w:p>
  </w:footnote>
  <w:footnote w:id="34">
    <w:p w14:paraId="5AE1C3A9" w14:textId="0EB2C142" w:rsidR="000358A3" w:rsidRPr="00907042" w:rsidRDefault="000358A3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50664E" w:rsidRPr="0050664E">
        <w:rPr>
          <w:lang w:val="hu-HU"/>
        </w:rPr>
        <w:t>Az ipari termelés nemzetközi alakulása</w:t>
      </w:r>
      <w:r w:rsidR="0050664E">
        <w:rPr>
          <w:lang w:val="hu-HU"/>
        </w:rPr>
        <w:t xml:space="preserve">. </w:t>
      </w:r>
      <w:r w:rsidRPr="00437278">
        <w:rPr>
          <w:i/>
          <w:iCs/>
          <w:lang w:val="hu-HU"/>
        </w:rPr>
        <w:t>Magyar Statisztikai Szemle,</w:t>
      </w:r>
      <w:r>
        <w:rPr>
          <w:lang w:val="hu-HU"/>
        </w:rPr>
        <w:t xml:space="preserve"> </w:t>
      </w:r>
      <w:r w:rsidR="0048035E">
        <w:rPr>
          <w:lang w:val="hu-HU"/>
        </w:rPr>
        <w:t>1</w:t>
      </w:r>
      <w:r w:rsidR="00564588">
        <w:rPr>
          <w:lang w:val="hu-HU"/>
        </w:rPr>
        <w:t>5</w:t>
      </w:r>
      <w:r w:rsidR="0048035E">
        <w:rPr>
          <w:lang w:val="hu-HU"/>
        </w:rPr>
        <w:t xml:space="preserve"> (</w:t>
      </w:r>
      <w:r>
        <w:rPr>
          <w:lang w:val="hu-HU"/>
        </w:rPr>
        <w:t>193</w:t>
      </w:r>
      <w:r w:rsidR="0050664E">
        <w:rPr>
          <w:lang w:val="hu-HU"/>
        </w:rPr>
        <w:t>7</w:t>
      </w:r>
      <w:r w:rsidR="0048035E">
        <w:rPr>
          <w:lang w:val="hu-HU"/>
        </w:rPr>
        <w:t>)</w:t>
      </w:r>
      <w:r>
        <w:rPr>
          <w:lang w:val="hu-HU"/>
        </w:rPr>
        <w:t xml:space="preserve"> 3.</w:t>
      </w:r>
      <w:r w:rsidR="0048035E">
        <w:rPr>
          <w:lang w:val="hu-HU"/>
        </w:rPr>
        <w:t xml:space="preserve"> sz.</w:t>
      </w:r>
      <w:r>
        <w:rPr>
          <w:lang w:val="hu-HU"/>
        </w:rPr>
        <w:t xml:space="preserve"> </w:t>
      </w:r>
      <w:r w:rsidR="00564588">
        <w:rPr>
          <w:lang w:val="hu-HU"/>
        </w:rPr>
        <w:t>210</w:t>
      </w:r>
      <w:r>
        <w:rPr>
          <w:lang w:val="hu-HU"/>
        </w:rPr>
        <w:t xml:space="preserve">.; </w:t>
      </w:r>
      <w:r w:rsidRPr="00FC5356">
        <w:rPr>
          <w:lang w:val="hu-HU"/>
        </w:rPr>
        <w:t>A</w:t>
      </w:r>
      <w:r w:rsidRPr="00437278">
        <w:rPr>
          <w:i/>
          <w:iCs/>
          <w:lang w:val="hu-HU"/>
        </w:rPr>
        <w:t xml:space="preserve"> M. Kir. Kormány 19</w:t>
      </w:r>
      <w:r w:rsidR="00731EBF">
        <w:rPr>
          <w:i/>
          <w:iCs/>
          <w:lang w:val="hu-HU"/>
        </w:rPr>
        <w:t>29</w:t>
      </w:r>
      <w:r w:rsidRPr="00437278">
        <w:rPr>
          <w:i/>
          <w:iCs/>
          <w:lang w:val="hu-HU"/>
        </w:rPr>
        <w:t>. évi működéséről és az ország közállapotairól szóló jelentés és statisztikai évkönyv.</w:t>
      </w:r>
      <w:r>
        <w:rPr>
          <w:lang w:val="hu-HU"/>
        </w:rPr>
        <w:t xml:space="preserve"> </w:t>
      </w:r>
      <w:r w:rsidRPr="00FC5356">
        <w:rPr>
          <w:lang w:val="hu-HU"/>
        </w:rPr>
        <w:t>Budapest</w:t>
      </w:r>
      <w:r>
        <w:rPr>
          <w:lang w:val="hu-HU"/>
        </w:rPr>
        <w:t xml:space="preserve">: </w:t>
      </w:r>
      <w:r w:rsidRPr="00FC5356">
        <w:rPr>
          <w:lang w:val="hu-HU"/>
        </w:rPr>
        <w:t>Athenaeum</w:t>
      </w:r>
      <w:r>
        <w:rPr>
          <w:lang w:val="hu-HU"/>
        </w:rPr>
        <w:t>, 193</w:t>
      </w:r>
      <w:r w:rsidR="00731EBF">
        <w:rPr>
          <w:lang w:val="hu-HU"/>
        </w:rPr>
        <w:t>1</w:t>
      </w:r>
      <w:r>
        <w:rPr>
          <w:lang w:val="hu-HU"/>
        </w:rPr>
        <w:t>.</w:t>
      </w:r>
      <w:r w:rsidR="00731EBF">
        <w:rPr>
          <w:lang w:val="hu-HU"/>
        </w:rPr>
        <w:t xml:space="preserve"> 105.; </w:t>
      </w:r>
      <w:r w:rsidR="00731EBF" w:rsidRPr="00FC5356">
        <w:rPr>
          <w:lang w:val="hu-HU"/>
        </w:rPr>
        <w:t>A</w:t>
      </w:r>
      <w:r w:rsidR="00731EBF" w:rsidRPr="00437278">
        <w:rPr>
          <w:i/>
          <w:iCs/>
          <w:lang w:val="hu-HU"/>
        </w:rPr>
        <w:t xml:space="preserve"> M. Kir. Kormány 193</w:t>
      </w:r>
      <w:r w:rsidR="00731EBF">
        <w:rPr>
          <w:i/>
          <w:iCs/>
          <w:lang w:val="hu-HU"/>
        </w:rPr>
        <w:t>2</w:t>
      </w:r>
      <w:r w:rsidR="00731EBF" w:rsidRPr="00437278">
        <w:rPr>
          <w:i/>
          <w:iCs/>
          <w:lang w:val="hu-HU"/>
        </w:rPr>
        <w:t>. évi működéséről és az ország közállapotairól szóló jelentés és statisztikai évkönyv.</w:t>
      </w:r>
      <w:r w:rsidR="00731EBF">
        <w:rPr>
          <w:lang w:val="hu-HU"/>
        </w:rPr>
        <w:t xml:space="preserve"> </w:t>
      </w:r>
      <w:r w:rsidR="00731EBF" w:rsidRPr="00FC5356">
        <w:rPr>
          <w:lang w:val="hu-HU"/>
        </w:rPr>
        <w:t>Budapest</w:t>
      </w:r>
      <w:r w:rsidR="00731EBF">
        <w:rPr>
          <w:lang w:val="hu-HU"/>
        </w:rPr>
        <w:t xml:space="preserve">: </w:t>
      </w:r>
      <w:r w:rsidR="00731EBF" w:rsidRPr="00FC5356">
        <w:rPr>
          <w:lang w:val="hu-HU"/>
        </w:rPr>
        <w:t>Athenaeum</w:t>
      </w:r>
      <w:r w:rsidR="00731EBF">
        <w:rPr>
          <w:lang w:val="hu-HU"/>
        </w:rPr>
        <w:t>, 1933. 120.</w:t>
      </w:r>
    </w:p>
  </w:footnote>
  <w:footnote w:id="35">
    <w:p w14:paraId="1A688D3D" w14:textId="19D87534" w:rsidR="00655FED" w:rsidRPr="00907042" w:rsidRDefault="00655FED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7355C1" w:rsidRPr="00437278">
        <w:rPr>
          <w:i/>
          <w:iCs/>
          <w:lang w:val="hu-HU"/>
        </w:rPr>
        <w:t>Magyarország története. 8. kötet</w:t>
      </w:r>
      <w:r w:rsidR="00437278">
        <w:rPr>
          <w:i/>
          <w:iCs/>
          <w:lang w:val="hu-HU"/>
        </w:rPr>
        <w:t>,</w:t>
      </w:r>
      <w:r w:rsidR="007355C1" w:rsidRPr="00907042">
        <w:rPr>
          <w:lang w:val="hu-HU"/>
        </w:rPr>
        <w:t xml:space="preserve"> </w:t>
      </w:r>
      <w:r w:rsidRPr="00907042">
        <w:rPr>
          <w:lang w:val="hu-HU"/>
        </w:rPr>
        <w:t>604</w:t>
      </w:r>
      <w:r w:rsidR="00437278">
        <w:rPr>
          <w:lang w:val="hu-HU"/>
        </w:rPr>
        <w:t>–</w:t>
      </w:r>
      <w:r w:rsidRPr="00907042">
        <w:rPr>
          <w:lang w:val="hu-HU"/>
        </w:rPr>
        <w:t>605.</w:t>
      </w:r>
    </w:p>
  </w:footnote>
  <w:footnote w:id="36">
    <w:p w14:paraId="283FCF78" w14:textId="056BB603" w:rsidR="002870E9" w:rsidRPr="002870E9" w:rsidRDefault="002870E9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2870E9">
        <w:rPr>
          <w:lang w:val="hu-HU"/>
        </w:rPr>
        <w:t xml:space="preserve"> </w:t>
      </w:r>
      <w:r>
        <w:rPr>
          <w:lang w:val="hu-HU"/>
        </w:rPr>
        <w:t>Buzás József: Magyarország külkereskedelme, 1919–1938. In:</w:t>
      </w:r>
      <w:r w:rsidR="002B5E3C" w:rsidRPr="002B5E3C">
        <w:rPr>
          <w:lang w:val="hu-HU"/>
        </w:rPr>
        <w:t xml:space="preserve"> Buzás József – Nagy András</w:t>
      </w:r>
      <w:r w:rsidR="002B5E3C">
        <w:rPr>
          <w:lang w:val="hu-HU"/>
        </w:rPr>
        <w:t>:</w:t>
      </w:r>
      <w:r>
        <w:rPr>
          <w:lang w:val="hu-HU"/>
        </w:rPr>
        <w:t xml:space="preserve"> </w:t>
      </w:r>
      <w:r w:rsidRPr="002870E9">
        <w:rPr>
          <w:i/>
          <w:iCs/>
          <w:lang w:val="hu-HU"/>
        </w:rPr>
        <w:t>Magyarország külkereskedelme, 1919–1945</w:t>
      </w:r>
      <w:r>
        <w:rPr>
          <w:lang w:val="hu-HU"/>
        </w:rPr>
        <w:t>. Budapest: KJK, 1961.</w:t>
      </w:r>
      <w:r w:rsidR="002B5E3C">
        <w:rPr>
          <w:lang w:val="hu-HU"/>
        </w:rPr>
        <w:t xml:space="preserve"> </w:t>
      </w:r>
      <w:r w:rsidR="005678FD">
        <w:rPr>
          <w:lang w:val="hu-HU"/>
        </w:rPr>
        <w:t>33–34</w:t>
      </w:r>
      <w:r w:rsidR="002B5E3C">
        <w:rPr>
          <w:lang w:val="hu-HU"/>
        </w:rPr>
        <w:t>.</w:t>
      </w:r>
    </w:p>
  </w:footnote>
  <w:footnote w:id="37">
    <w:p w14:paraId="494560B3" w14:textId="487946BA" w:rsidR="00BC6466" w:rsidRPr="00BC6466" w:rsidRDefault="00BC6466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8D4011">
        <w:rPr>
          <w:lang w:val="hu-HU"/>
        </w:rPr>
        <w:t xml:space="preserve"> </w:t>
      </w:r>
      <w:r>
        <w:rPr>
          <w:lang w:val="hu-HU"/>
        </w:rPr>
        <w:t>Drabek: Foreign Trade Performance and Policy</w:t>
      </w:r>
      <w:r w:rsidR="0048035E">
        <w:rPr>
          <w:lang w:val="hu-HU"/>
        </w:rPr>
        <w:t>,</w:t>
      </w:r>
      <w:r>
        <w:rPr>
          <w:lang w:val="hu-HU"/>
        </w:rPr>
        <w:t xml:space="preserve"> 441.; </w:t>
      </w:r>
      <w:r w:rsidRPr="00BC6466">
        <w:rPr>
          <w:lang w:val="hu-HU"/>
        </w:rPr>
        <w:t xml:space="preserve">Szuhay: </w:t>
      </w:r>
      <w:r w:rsidRPr="00B54F06">
        <w:rPr>
          <w:i/>
          <w:iCs/>
          <w:lang w:val="hu-HU"/>
        </w:rPr>
        <w:t>Az állami beavatkozás és a magyar mezőgazdaság az 1930-as években</w:t>
      </w:r>
      <w:r w:rsidR="0048035E">
        <w:rPr>
          <w:i/>
          <w:iCs/>
          <w:lang w:val="hu-HU"/>
        </w:rPr>
        <w:t>,</w:t>
      </w:r>
      <w:r w:rsidRPr="00BC6466">
        <w:rPr>
          <w:lang w:val="hu-HU"/>
        </w:rPr>
        <w:t xml:space="preserve"> </w:t>
      </w:r>
      <w:r w:rsidRPr="008D4011">
        <w:rPr>
          <w:lang w:val="hu-HU"/>
        </w:rPr>
        <w:t>61–62.</w:t>
      </w:r>
    </w:p>
  </w:footnote>
  <w:footnote w:id="38">
    <w:p w14:paraId="3D45CA88" w14:textId="6244B76B" w:rsidR="00955195" w:rsidRPr="00437278" w:rsidRDefault="00955195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55195">
        <w:rPr>
          <w:lang w:val="hu-HU"/>
        </w:rPr>
        <w:t xml:space="preserve"> Tomka: </w:t>
      </w:r>
      <w:r w:rsidRPr="00437278">
        <w:rPr>
          <w:i/>
          <w:iCs/>
          <w:lang w:val="hu-HU"/>
        </w:rPr>
        <w:t>A magyarországi pénzintézetek rövid története, 1836–1947</w:t>
      </w:r>
      <w:r w:rsidR="00437278">
        <w:rPr>
          <w:i/>
          <w:iCs/>
          <w:lang w:val="hu-HU"/>
        </w:rPr>
        <w:t>,</w:t>
      </w:r>
      <w:r w:rsidRPr="00955195">
        <w:rPr>
          <w:lang w:val="hu-HU"/>
        </w:rPr>
        <w:t xml:space="preserve"> </w:t>
      </w:r>
      <w:r w:rsidRPr="00437278">
        <w:rPr>
          <w:lang w:val="hu-HU"/>
        </w:rPr>
        <w:t>115.</w:t>
      </w:r>
    </w:p>
  </w:footnote>
  <w:footnote w:id="39">
    <w:p w14:paraId="04FB2084" w14:textId="25EEA82E" w:rsidR="003C6BCA" w:rsidRPr="00907042" w:rsidRDefault="003C6BCA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B15DCE" w:rsidRPr="00907042">
        <w:rPr>
          <w:color w:val="000000"/>
          <w:lang w:val="en-US"/>
        </w:rPr>
        <w:t xml:space="preserve">Alexander Eckstein: National </w:t>
      </w:r>
      <w:r w:rsidR="00116DD7">
        <w:rPr>
          <w:color w:val="000000"/>
          <w:lang w:val="en-US"/>
        </w:rPr>
        <w:t>I</w:t>
      </w:r>
      <w:r w:rsidR="00B15DCE" w:rsidRPr="00907042">
        <w:rPr>
          <w:color w:val="000000"/>
          <w:lang w:val="en-US"/>
        </w:rPr>
        <w:t xml:space="preserve">ncome and </w:t>
      </w:r>
      <w:r w:rsidR="00116DD7">
        <w:rPr>
          <w:color w:val="000000"/>
          <w:lang w:val="en-US"/>
        </w:rPr>
        <w:t>C</w:t>
      </w:r>
      <w:r w:rsidR="00B15DCE" w:rsidRPr="00907042">
        <w:rPr>
          <w:color w:val="000000"/>
          <w:lang w:val="en-US"/>
        </w:rPr>
        <w:t xml:space="preserve">apital </w:t>
      </w:r>
      <w:r w:rsidR="00116DD7">
        <w:rPr>
          <w:color w:val="000000"/>
          <w:lang w:val="en-US"/>
        </w:rPr>
        <w:t>F</w:t>
      </w:r>
      <w:r w:rsidR="00B15DCE" w:rsidRPr="00907042">
        <w:rPr>
          <w:color w:val="000000"/>
          <w:lang w:val="en-US"/>
        </w:rPr>
        <w:t>ormation in Hungary, 1900–1950</w:t>
      </w:r>
      <w:r w:rsidR="0002125D">
        <w:rPr>
          <w:color w:val="000000"/>
          <w:lang w:val="en-US"/>
        </w:rPr>
        <w:t>,</w:t>
      </w:r>
      <w:r w:rsidR="00B15DCE" w:rsidRPr="00907042">
        <w:rPr>
          <w:color w:val="000000"/>
          <w:lang w:val="en-US"/>
        </w:rPr>
        <w:t xml:space="preserve"> In</w:t>
      </w:r>
      <w:r w:rsidR="00437278">
        <w:rPr>
          <w:color w:val="000000"/>
          <w:lang w:val="en-US"/>
        </w:rPr>
        <w:t>:</w:t>
      </w:r>
      <w:r w:rsidR="00B15DCE" w:rsidRPr="00907042">
        <w:rPr>
          <w:color w:val="000000"/>
          <w:lang w:val="en-US"/>
        </w:rPr>
        <w:t xml:space="preserve"> Simon Kuznets (ed.): </w:t>
      </w:r>
      <w:r w:rsidR="00B15DCE" w:rsidRPr="00437278">
        <w:rPr>
          <w:i/>
          <w:iCs/>
          <w:color w:val="000000"/>
          <w:lang w:val="en-US"/>
        </w:rPr>
        <w:t>Income and Wealth, Series V.</w:t>
      </w:r>
      <w:r w:rsidR="00B15DCE" w:rsidRPr="00907042">
        <w:rPr>
          <w:color w:val="000000"/>
          <w:lang w:val="en-US"/>
        </w:rPr>
        <w:t xml:space="preserve"> London: Bowes and Bowes, 1955.</w:t>
      </w:r>
      <w:r w:rsidRPr="00907042">
        <w:rPr>
          <w:lang w:val="hu-HU"/>
        </w:rPr>
        <w:t xml:space="preserve"> 219.</w:t>
      </w:r>
    </w:p>
  </w:footnote>
  <w:footnote w:id="40">
    <w:p w14:paraId="4B1AEF12" w14:textId="3957440A" w:rsidR="004A2B25" w:rsidRPr="004A2B25" w:rsidRDefault="004A2B25" w:rsidP="00BC6466">
      <w:pPr>
        <w:widowControl/>
        <w:jc w:val="both"/>
        <w:rPr>
          <w:sz w:val="20"/>
          <w:szCs w:val="20"/>
          <w:lang w:val="hu-HU"/>
        </w:rPr>
      </w:pPr>
      <w:r w:rsidRPr="004A2B25">
        <w:rPr>
          <w:rStyle w:val="Lbjegyzet-hivatkozs"/>
          <w:sz w:val="20"/>
          <w:szCs w:val="20"/>
        </w:rPr>
        <w:footnoteRef/>
      </w:r>
      <w:r w:rsidRPr="004A2B25">
        <w:rPr>
          <w:sz w:val="20"/>
          <w:szCs w:val="20"/>
          <w:lang w:val="hu-HU"/>
        </w:rPr>
        <w:t xml:space="preserve"> </w:t>
      </w:r>
      <w:r w:rsidRPr="00D913BE">
        <w:rPr>
          <w:sz w:val="20"/>
          <w:szCs w:val="20"/>
          <w:lang w:val="hu-HU"/>
        </w:rPr>
        <w:t>Marcus–Nikoli</w:t>
      </w:r>
      <w:r w:rsidRPr="004A2B25">
        <w:rPr>
          <w:rFonts w:eastAsiaTheme="minorHAnsi"/>
          <w:sz w:val="20"/>
          <w:szCs w:val="20"/>
          <w:lang w:val="hu-HU" w:eastAsia="en-US"/>
          <w14:ligatures w14:val="standardContextual"/>
        </w:rPr>
        <w:t>č</w:t>
      </w:r>
      <w:r w:rsidRPr="00D913BE">
        <w:rPr>
          <w:sz w:val="20"/>
          <w:szCs w:val="20"/>
          <w:lang w:val="hu-HU"/>
        </w:rPr>
        <w:t xml:space="preserve">–Straumann: </w:t>
      </w:r>
      <w:r w:rsidRPr="00437278">
        <w:rPr>
          <w:i/>
          <w:iCs/>
          <w:sz w:val="20"/>
          <w:szCs w:val="20"/>
          <w:lang w:val="hu-HU"/>
        </w:rPr>
        <w:t>Economic Policy, 1918</w:t>
      </w:r>
      <w:r w:rsidR="00437278">
        <w:rPr>
          <w:i/>
          <w:iCs/>
          <w:sz w:val="20"/>
          <w:szCs w:val="20"/>
          <w:lang w:val="hu-HU"/>
        </w:rPr>
        <w:t>–</w:t>
      </w:r>
      <w:r w:rsidRPr="00437278">
        <w:rPr>
          <w:i/>
          <w:iCs/>
          <w:sz w:val="20"/>
          <w:szCs w:val="20"/>
          <w:lang w:val="hu-HU"/>
        </w:rPr>
        <w:t>1939</w:t>
      </w:r>
      <w:r w:rsidR="00437278">
        <w:rPr>
          <w:i/>
          <w:iCs/>
          <w:sz w:val="20"/>
          <w:szCs w:val="20"/>
          <w:lang w:val="hu-HU"/>
        </w:rPr>
        <w:t>,</w:t>
      </w:r>
      <w:r w:rsidRPr="00D913BE">
        <w:rPr>
          <w:sz w:val="20"/>
          <w:szCs w:val="20"/>
          <w:lang w:val="hu-HU"/>
        </w:rPr>
        <w:t xml:space="preserve"> 193.</w:t>
      </w:r>
    </w:p>
  </w:footnote>
  <w:footnote w:id="41">
    <w:p w14:paraId="1D0AD21B" w14:textId="36C6480F" w:rsidR="00D10FAE" w:rsidRPr="00907042" w:rsidRDefault="00D10FAE" w:rsidP="00BC6466">
      <w:pPr>
        <w:pStyle w:val="Lbjegyzetszveg"/>
        <w:jc w:val="both"/>
      </w:pPr>
      <w:r w:rsidRPr="00907042">
        <w:rPr>
          <w:rStyle w:val="Lbjegyzet-hivatkozs"/>
        </w:rPr>
        <w:footnoteRef/>
      </w:r>
      <w:r w:rsidRPr="00D10FAE">
        <w:rPr>
          <w:lang w:val="hu-HU"/>
        </w:rPr>
        <w:t xml:space="preserve"> </w:t>
      </w:r>
      <w:r w:rsidRPr="00437278">
        <w:rPr>
          <w:i/>
          <w:iCs/>
          <w:lang w:val="hu-HU"/>
        </w:rPr>
        <w:t>A Magyar Gazdaságkutató Intézet helyzetjelentései. 12. szám,</w:t>
      </w:r>
      <w:r w:rsidRPr="00907042">
        <w:rPr>
          <w:lang w:val="hu-HU"/>
        </w:rPr>
        <w:t xml:space="preserve"> 11.</w:t>
      </w:r>
      <w:r>
        <w:rPr>
          <w:lang w:val="hu-HU"/>
        </w:rPr>
        <w:t xml:space="preserve">; </w:t>
      </w:r>
      <w:r w:rsidRPr="00907042">
        <w:t xml:space="preserve">A Creditanstalt összeomlására ld.: Dieter Stiefel: </w:t>
      </w:r>
      <w:r w:rsidRPr="00437278">
        <w:rPr>
          <w:i/>
          <w:iCs/>
        </w:rPr>
        <w:t>Finanzdiplomatie und Weltwirtschaftskrise.</w:t>
      </w:r>
      <w:r w:rsidRPr="00907042">
        <w:t xml:space="preserve"> Frankfurt/M.: Fritz Knapp Verlag, 1989.; Karl Erich Born: </w:t>
      </w:r>
      <w:r w:rsidRPr="00437278">
        <w:rPr>
          <w:i/>
          <w:iCs/>
        </w:rPr>
        <w:t>Die deutsche Bankenkrise 1931. Finanzen und Politik.</w:t>
      </w:r>
      <w:r w:rsidRPr="00907042">
        <w:t xml:space="preserve"> München</w:t>
      </w:r>
      <w:r>
        <w:t>: R. Piper &amp;Co. Verlag,</w:t>
      </w:r>
      <w:r w:rsidRPr="00907042">
        <w:t xml:space="preserve"> 1967.;</w:t>
      </w:r>
      <w:r>
        <w:t xml:space="preserve"> </w:t>
      </w:r>
      <w:r w:rsidRPr="00437278">
        <w:rPr>
          <w:i/>
          <w:iCs/>
        </w:rPr>
        <w:t xml:space="preserve">A Magyar Gazdaságkutató Intézet </w:t>
      </w:r>
      <w:r w:rsidR="0048035E">
        <w:rPr>
          <w:i/>
          <w:iCs/>
        </w:rPr>
        <w:t xml:space="preserve">gazdasági </w:t>
      </w:r>
      <w:r w:rsidRPr="00437278">
        <w:rPr>
          <w:i/>
          <w:iCs/>
        </w:rPr>
        <w:t>helyzetjelentései.</w:t>
      </w:r>
      <w:r w:rsidRPr="00907042">
        <w:t xml:space="preserve"> 12. sz. Budapest: Magyar Gazdaságkutató Intézet, 1931. 11.</w:t>
      </w:r>
    </w:p>
  </w:footnote>
  <w:footnote w:id="42">
    <w:p w14:paraId="2B7A6A87" w14:textId="1E45D3EC" w:rsidR="001004DC" w:rsidRPr="00D913BE" w:rsidRDefault="001004DC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D913BE">
        <w:rPr>
          <w:lang w:val="hu-HU"/>
        </w:rPr>
        <w:t xml:space="preserve"> </w:t>
      </w:r>
      <w:r w:rsidRPr="001004DC">
        <w:rPr>
          <w:lang w:val="hu-HU"/>
        </w:rPr>
        <w:t xml:space="preserve">Pogány Ágnes: Válságok és választások. Pénzügyi politika </w:t>
      </w:r>
      <w:r w:rsidRPr="00907042">
        <w:rPr>
          <w:lang w:val="hu-HU"/>
        </w:rPr>
        <w:t>Magyarország</w:t>
      </w:r>
      <w:r w:rsidRPr="001004DC">
        <w:rPr>
          <w:lang w:val="hu-HU"/>
        </w:rPr>
        <w:t xml:space="preserve">on és </w:t>
      </w:r>
      <w:r w:rsidRPr="00907042">
        <w:rPr>
          <w:lang w:val="hu-HU"/>
        </w:rPr>
        <w:t xml:space="preserve">Ausztriában, 1931–1936. </w:t>
      </w:r>
      <w:r w:rsidRPr="00437278">
        <w:rPr>
          <w:i/>
          <w:iCs/>
          <w:lang w:val="hu-HU"/>
        </w:rPr>
        <w:t>Aetas,</w:t>
      </w:r>
      <w:r w:rsidRPr="00907042">
        <w:rPr>
          <w:lang w:val="hu-HU"/>
        </w:rPr>
        <w:t xml:space="preserve"> 15. évf. (2000) 4. sz. 32–49.</w:t>
      </w:r>
      <w:r>
        <w:rPr>
          <w:lang w:val="hu-HU"/>
        </w:rPr>
        <w:t xml:space="preserve">; Ágnes Pogány: Zwillingskrisen oder Multiple Krisen? Finanzielle Krisen in Ungarn und Österreich in den dreißiger Jahren. In: Márkus Keller – György Kövér – Csaba Sasfi (Hrsg.): </w:t>
      </w:r>
      <w:r w:rsidRPr="00437278">
        <w:rPr>
          <w:i/>
          <w:iCs/>
          <w:lang w:val="hu-HU"/>
        </w:rPr>
        <w:t>Krisen/Geschichten in mitteleuropäischem Kontext.</w:t>
      </w:r>
      <w:r>
        <w:rPr>
          <w:lang w:val="hu-HU"/>
        </w:rPr>
        <w:t xml:space="preserve"> Wien: Institut für ungarische Geschichtsforschung in Wien, 2015. 227</w:t>
      </w:r>
      <w:r w:rsidR="00437278">
        <w:rPr>
          <w:lang w:val="hu-HU"/>
        </w:rPr>
        <w:t>–</w:t>
      </w:r>
      <w:r>
        <w:rPr>
          <w:lang w:val="hu-HU"/>
        </w:rPr>
        <w:t>253.</w:t>
      </w:r>
    </w:p>
  </w:footnote>
  <w:footnote w:id="43">
    <w:p w14:paraId="17EC9334" w14:textId="5D3174D9" w:rsidR="0008165B" w:rsidRPr="00907042" w:rsidRDefault="0008165B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Varga István: Az aranypeng</w:t>
      </w:r>
      <w:r w:rsidR="00D913BE">
        <w:rPr>
          <w:lang w:val="hu-HU"/>
        </w:rPr>
        <w:t>ő</w:t>
      </w:r>
      <w:r w:rsidRPr="00907042">
        <w:rPr>
          <w:lang w:val="hu-HU"/>
        </w:rPr>
        <w:t xml:space="preserve">. </w:t>
      </w:r>
      <w:r w:rsidRPr="00437278">
        <w:rPr>
          <w:i/>
          <w:iCs/>
          <w:lang w:val="hu-HU"/>
        </w:rPr>
        <w:t>Közgazdasági Szemle,</w:t>
      </w:r>
      <w:r w:rsidRPr="00907042">
        <w:rPr>
          <w:lang w:val="hu-HU"/>
        </w:rPr>
        <w:t xml:space="preserve"> </w:t>
      </w:r>
      <w:r w:rsidR="00E264ED">
        <w:rPr>
          <w:lang w:val="hu-HU"/>
        </w:rPr>
        <w:t>55. évf. (</w:t>
      </w:r>
      <w:r w:rsidRPr="00907042">
        <w:rPr>
          <w:lang w:val="hu-HU"/>
        </w:rPr>
        <w:t>1931</w:t>
      </w:r>
      <w:r w:rsidR="00E264ED">
        <w:rPr>
          <w:lang w:val="hu-HU"/>
        </w:rPr>
        <w:t>)</w:t>
      </w:r>
      <w:r w:rsidRPr="00907042">
        <w:rPr>
          <w:lang w:val="hu-HU"/>
        </w:rPr>
        <w:t xml:space="preserve"> 12. sz. 759.</w:t>
      </w:r>
    </w:p>
  </w:footnote>
  <w:footnote w:id="44">
    <w:p w14:paraId="600AE8A7" w14:textId="7BFC8D96" w:rsidR="0008165B" w:rsidRPr="00907042" w:rsidRDefault="0008165B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Makai Ern</w:t>
      </w:r>
      <w:r w:rsidR="00D913BE">
        <w:rPr>
          <w:lang w:val="hu-HU"/>
        </w:rPr>
        <w:t>ő</w:t>
      </w:r>
      <w:r w:rsidRPr="00907042">
        <w:rPr>
          <w:lang w:val="hu-HU"/>
        </w:rPr>
        <w:t xml:space="preserve">: </w:t>
      </w:r>
      <w:r w:rsidRPr="00437278">
        <w:rPr>
          <w:i/>
          <w:iCs/>
          <w:lang w:val="hu-HU"/>
        </w:rPr>
        <w:t>Pénz és hitel a világválság tükrében.</w:t>
      </w:r>
      <w:r w:rsidRPr="00907042">
        <w:rPr>
          <w:lang w:val="hu-HU"/>
        </w:rPr>
        <w:t xml:space="preserve"> B</w:t>
      </w:r>
      <w:r w:rsidR="00437278">
        <w:rPr>
          <w:lang w:val="hu-HU"/>
        </w:rPr>
        <w:t>udapest</w:t>
      </w:r>
      <w:r w:rsidR="00D26FCA">
        <w:rPr>
          <w:lang w:val="hu-HU"/>
        </w:rPr>
        <w:t>: TÉBE</w:t>
      </w:r>
      <w:r w:rsidRPr="00907042">
        <w:rPr>
          <w:lang w:val="hu-HU"/>
        </w:rPr>
        <w:t>, 1934. 242.</w:t>
      </w:r>
    </w:p>
  </w:footnote>
  <w:footnote w:id="45">
    <w:p w14:paraId="3865AD64" w14:textId="52DE6851" w:rsidR="0008165B" w:rsidRPr="00907042" w:rsidRDefault="0008165B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Óvári Papp Zoltán: </w:t>
      </w:r>
      <w:r w:rsidRPr="00437278">
        <w:rPr>
          <w:i/>
          <w:iCs/>
          <w:lang w:val="hu-HU"/>
        </w:rPr>
        <w:t>A devizaforgalom szabályozása Magyarországon.</w:t>
      </w:r>
      <w:r w:rsidRPr="00907042">
        <w:rPr>
          <w:lang w:val="hu-HU"/>
        </w:rPr>
        <w:t xml:space="preserve"> B</w:t>
      </w:r>
      <w:r w:rsidR="00437278">
        <w:rPr>
          <w:lang w:val="hu-HU"/>
        </w:rPr>
        <w:t>udapest</w:t>
      </w:r>
      <w:r w:rsidR="00D26FCA">
        <w:rPr>
          <w:lang w:val="hu-HU"/>
        </w:rPr>
        <w:t>: A Gazdasági Jog Kiadványa</w:t>
      </w:r>
      <w:r w:rsidRPr="00907042">
        <w:rPr>
          <w:lang w:val="hu-HU"/>
        </w:rPr>
        <w:t>, 1941. 77–82.</w:t>
      </w:r>
    </w:p>
  </w:footnote>
  <w:footnote w:id="46">
    <w:p w14:paraId="20D527EF" w14:textId="312E6D0D" w:rsidR="00C004C8" w:rsidRPr="00C004C8" w:rsidRDefault="00C004C8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C004C8">
        <w:rPr>
          <w:lang w:val="hu-HU"/>
        </w:rPr>
        <w:t xml:space="preserve"> </w:t>
      </w:r>
      <w:r>
        <w:rPr>
          <w:lang w:val="hu-HU"/>
        </w:rPr>
        <w:t xml:space="preserve">Rudolf Nötel: Money, Banking and Industry in Interwar Austria and Hungary. </w:t>
      </w:r>
      <w:r w:rsidRPr="00437278">
        <w:rPr>
          <w:i/>
          <w:iCs/>
          <w:lang w:val="hu-HU"/>
        </w:rPr>
        <w:t>Journal of European Economic History,</w:t>
      </w:r>
      <w:r>
        <w:rPr>
          <w:lang w:val="hu-HU"/>
        </w:rPr>
        <w:t xml:space="preserve"> vol. 13 (1984), no. 2, 186.</w:t>
      </w:r>
    </w:p>
  </w:footnote>
  <w:footnote w:id="47">
    <w:p w14:paraId="40D971CB" w14:textId="3954BA7A" w:rsidR="0008165B" w:rsidRPr="00907042" w:rsidRDefault="0008165B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A kormány válságintézkedéseire: </w:t>
      </w:r>
      <w:r w:rsidRPr="00437278">
        <w:rPr>
          <w:i/>
          <w:iCs/>
          <w:lang w:val="hu-HU"/>
        </w:rPr>
        <w:t>A magyar hitelpolitika az 1920–1944. években.</w:t>
      </w:r>
      <w:r w:rsidRPr="00907042">
        <w:rPr>
          <w:lang w:val="hu-HU"/>
        </w:rPr>
        <w:t xml:space="preserve"> </w:t>
      </w:r>
      <w:r w:rsidR="001004DC">
        <w:rPr>
          <w:lang w:val="hu-HU"/>
        </w:rPr>
        <w:t>Budapest: k.</w:t>
      </w:r>
      <w:r w:rsidR="00437278">
        <w:rPr>
          <w:lang w:val="hu-HU"/>
        </w:rPr>
        <w:t xml:space="preserve"> </w:t>
      </w:r>
      <w:r w:rsidR="001004DC">
        <w:rPr>
          <w:lang w:val="hu-HU"/>
        </w:rPr>
        <w:t xml:space="preserve">n., 1946. </w:t>
      </w:r>
      <w:r w:rsidRPr="00907042">
        <w:rPr>
          <w:lang w:val="hu-HU"/>
        </w:rPr>
        <w:t xml:space="preserve"> 33–36.</w:t>
      </w:r>
    </w:p>
  </w:footnote>
  <w:footnote w:id="48">
    <w:p w14:paraId="14D10CE9" w14:textId="79EEA914" w:rsidR="001E7280" w:rsidRPr="00907042" w:rsidRDefault="001E7280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Tomka Béla: </w:t>
      </w:r>
      <w:r w:rsidRPr="00437278">
        <w:rPr>
          <w:i/>
          <w:iCs/>
          <w:lang w:val="hu-HU"/>
        </w:rPr>
        <w:t>A magyarországi pénzintézetek rövid története, 1836</w:t>
      </w:r>
      <w:r w:rsidR="00437278" w:rsidRPr="00437278">
        <w:rPr>
          <w:i/>
          <w:iCs/>
          <w:lang w:val="hu-HU"/>
        </w:rPr>
        <w:t>–</w:t>
      </w:r>
      <w:r w:rsidRPr="00437278">
        <w:rPr>
          <w:i/>
          <w:iCs/>
          <w:lang w:val="hu-HU"/>
        </w:rPr>
        <w:t>1947.</w:t>
      </w:r>
      <w:r w:rsidRPr="00907042">
        <w:rPr>
          <w:lang w:val="hu-HU"/>
        </w:rPr>
        <w:t xml:space="preserve"> Budapest: Aula, 2000. 122</w:t>
      </w:r>
      <w:r w:rsidR="00437278">
        <w:rPr>
          <w:lang w:val="hu-HU"/>
        </w:rPr>
        <w:t>–</w:t>
      </w:r>
      <w:r w:rsidRPr="00907042">
        <w:rPr>
          <w:lang w:val="hu-HU"/>
        </w:rPr>
        <w:t>123.</w:t>
      </w:r>
    </w:p>
  </w:footnote>
  <w:footnote w:id="49">
    <w:p w14:paraId="12859BD9" w14:textId="13169E86" w:rsidR="0008165B" w:rsidRPr="00907042" w:rsidRDefault="0008165B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Holbesz Aladár: </w:t>
      </w:r>
      <w:r w:rsidRPr="009F160F">
        <w:rPr>
          <w:i/>
          <w:iCs/>
          <w:lang w:val="hu-HU"/>
        </w:rPr>
        <w:t>A magyar hitelszervezet története.</w:t>
      </w:r>
      <w:r w:rsidRPr="00907042">
        <w:rPr>
          <w:lang w:val="hu-HU"/>
        </w:rPr>
        <w:t xml:space="preserve"> Budapest: May János Nyomdai Műintézet, 1939. 314–318.</w:t>
      </w:r>
    </w:p>
  </w:footnote>
  <w:footnote w:id="50">
    <w:p w14:paraId="369C2AD5" w14:textId="77777777" w:rsidR="009531FF" w:rsidRPr="00907042" w:rsidRDefault="009531FF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Pr="00955195">
        <w:rPr>
          <w:lang w:val="hu-HU"/>
        </w:rPr>
        <w:t xml:space="preserve">Tomka: </w:t>
      </w:r>
      <w:r w:rsidRPr="009F160F">
        <w:rPr>
          <w:i/>
          <w:iCs/>
          <w:lang w:val="hu-HU"/>
        </w:rPr>
        <w:t>A magyarországi pénzintézetek rövid története, 1836–1947</w:t>
      </w:r>
      <w:r>
        <w:rPr>
          <w:i/>
          <w:iCs/>
          <w:lang w:val="hu-HU"/>
        </w:rPr>
        <w:t>,</w:t>
      </w:r>
      <w:r>
        <w:rPr>
          <w:lang w:val="hu-HU"/>
        </w:rPr>
        <w:t xml:space="preserve"> 128. </w:t>
      </w:r>
    </w:p>
  </w:footnote>
  <w:footnote w:id="51">
    <w:p w14:paraId="3227A618" w14:textId="0A6F9671" w:rsidR="00FC5356" w:rsidRPr="00FC5356" w:rsidRDefault="00FC5356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Ágnes Pogány: Wirtschaftsnationalismus in Ungarn im 19. und 20. Jahrhundert. In: Ágnes Pogány – Eduard Kubu – Jan Kofman (Hrsg.): </w:t>
      </w:r>
      <w:r w:rsidRPr="009F160F">
        <w:rPr>
          <w:i/>
          <w:iCs/>
          <w:lang w:val="hu-HU"/>
        </w:rPr>
        <w:t>Für eine nationale Wirtschaft: Ungarn, die Tschechoslowakei und Polen vom Ausgang des 19. Jahrhunderts bis zum Zweiten Weltkrieg.</w:t>
      </w:r>
      <w:r>
        <w:rPr>
          <w:lang w:val="hu-HU"/>
        </w:rPr>
        <w:t xml:space="preserve"> Berlin: Berliner Wissenschaftsverlag, 2006.</w:t>
      </w:r>
      <w:r w:rsidR="0048035E">
        <w:rPr>
          <w:lang w:val="hu-HU"/>
        </w:rPr>
        <w:t xml:space="preserve"> </w:t>
      </w:r>
      <w:r>
        <w:rPr>
          <w:lang w:val="hu-HU"/>
        </w:rPr>
        <w:t>11</w:t>
      </w:r>
      <w:r w:rsidR="009F160F">
        <w:rPr>
          <w:lang w:val="hu-HU"/>
        </w:rPr>
        <w:t>–</w:t>
      </w:r>
      <w:r>
        <w:rPr>
          <w:lang w:val="hu-HU"/>
        </w:rPr>
        <w:t>71.</w:t>
      </w:r>
    </w:p>
  </w:footnote>
  <w:footnote w:id="52">
    <w:p w14:paraId="13D4F3EC" w14:textId="5A7E0056" w:rsidR="00C64DF1" w:rsidRPr="00907042" w:rsidRDefault="00C64DF1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Berend T. Iván</w:t>
      </w:r>
      <w:r w:rsidR="009F160F">
        <w:rPr>
          <w:lang w:val="hu-HU"/>
        </w:rPr>
        <w:t xml:space="preserve"> </w:t>
      </w:r>
      <w:r w:rsidRPr="00907042">
        <w:rPr>
          <w:lang w:val="hu-HU"/>
        </w:rPr>
        <w:t>–</w:t>
      </w:r>
      <w:r w:rsidR="009F160F">
        <w:rPr>
          <w:lang w:val="hu-HU"/>
        </w:rPr>
        <w:t xml:space="preserve"> </w:t>
      </w:r>
      <w:r w:rsidRPr="00907042">
        <w:rPr>
          <w:lang w:val="hu-HU"/>
        </w:rPr>
        <w:t xml:space="preserve">Ránki György: </w:t>
      </w:r>
      <w:r w:rsidRPr="004C12FF">
        <w:rPr>
          <w:i/>
          <w:iCs/>
          <w:lang w:val="hu-HU"/>
        </w:rPr>
        <w:t>Magyarország gyáripara a második világháború el</w:t>
      </w:r>
      <w:r w:rsidR="0002125D">
        <w:rPr>
          <w:i/>
          <w:iCs/>
          <w:lang w:val="hu-HU"/>
        </w:rPr>
        <w:t>ő</w:t>
      </w:r>
      <w:r w:rsidRPr="004C12FF">
        <w:rPr>
          <w:i/>
          <w:iCs/>
          <w:lang w:val="hu-HU"/>
        </w:rPr>
        <w:t>tt és a háború időszakában, 1933–1944.</w:t>
      </w:r>
      <w:r w:rsidRPr="00907042">
        <w:rPr>
          <w:lang w:val="hu-HU"/>
        </w:rPr>
        <w:t xml:space="preserve"> Budapest: Akadémiai Kiadó, 1958. 374</w:t>
      </w:r>
      <w:r w:rsidR="009F160F">
        <w:rPr>
          <w:lang w:val="hu-HU"/>
        </w:rPr>
        <w:t>–</w:t>
      </w:r>
      <w:r w:rsidRPr="00907042">
        <w:rPr>
          <w:lang w:val="hu-HU"/>
        </w:rPr>
        <w:t>375.</w:t>
      </w:r>
      <w:r w:rsidR="00DC7F77">
        <w:rPr>
          <w:lang w:val="hu-HU"/>
        </w:rPr>
        <w:t xml:space="preserve">; </w:t>
      </w:r>
      <w:r w:rsidR="00DC7F77" w:rsidRPr="00907042">
        <w:rPr>
          <w:lang w:val="hu-HU"/>
        </w:rPr>
        <w:t xml:space="preserve">Lengyel György: Az irányított gazdaság kialakulásának néhány tényezője Magyarországon. In: </w:t>
      </w:r>
      <w:r w:rsidR="00DC7F77" w:rsidRPr="00CD1DD5">
        <w:rPr>
          <w:i/>
          <w:iCs/>
          <w:lang w:val="hu-HU"/>
        </w:rPr>
        <w:t>Budapest Főváros Levéltára Közleményei. 1978.</w:t>
      </w:r>
      <w:r w:rsidR="00DC7F77" w:rsidRPr="00907042">
        <w:rPr>
          <w:lang w:val="hu-HU"/>
        </w:rPr>
        <w:t xml:space="preserve"> Budapest: Budapest Főváros Levéltára, 1979. 290–301.; </w:t>
      </w:r>
      <w:r w:rsidR="00DC7F77" w:rsidRPr="00B14C2D">
        <w:rPr>
          <w:lang w:val="hu-HU"/>
        </w:rPr>
        <w:t xml:space="preserve">Lengyel György: </w:t>
      </w:r>
      <w:r w:rsidR="00DC7F77" w:rsidRPr="00B83DE7">
        <w:rPr>
          <w:lang w:val="hu-HU"/>
        </w:rPr>
        <w:t>Irányított gazdaság és tervgazdaság.</w:t>
      </w:r>
      <w:r w:rsidR="00DC7F77">
        <w:rPr>
          <w:lang w:val="hu-HU"/>
        </w:rPr>
        <w:t xml:space="preserve"> </w:t>
      </w:r>
      <w:r w:rsidR="00DC7F77" w:rsidRPr="00B83DE7">
        <w:rPr>
          <w:i/>
          <w:iCs/>
          <w:lang w:val="hu-HU"/>
        </w:rPr>
        <w:t>Medvetánc,</w:t>
      </w:r>
      <w:r w:rsidR="00DC7F77" w:rsidRPr="00B83DE7">
        <w:rPr>
          <w:lang w:val="hu-HU"/>
        </w:rPr>
        <w:t xml:space="preserve"> </w:t>
      </w:r>
      <w:r w:rsidR="00DC7F77">
        <w:rPr>
          <w:lang w:val="hu-HU"/>
        </w:rPr>
        <w:t xml:space="preserve">(1981) 1. sz. 109–119.; </w:t>
      </w:r>
      <w:r w:rsidR="00DC7F77" w:rsidRPr="00907042">
        <w:rPr>
          <w:lang w:val="hu-HU"/>
        </w:rPr>
        <w:t xml:space="preserve">Csikós-Nagy Béla: </w:t>
      </w:r>
      <w:r w:rsidR="00DC7F77" w:rsidRPr="0039797E">
        <w:rPr>
          <w:i/>
          <w:iCs/>
          <w:lang w:val="hu-HU"/>
        </w:rPr>
        <w:t>A XX. század magyar gazdaságpolitikája. Tanulságok az ezredfordulón.</w:t>
      </w:r>
      <w:r w:rsidR="00DC7F77" w:rsidRPr="00907042">
        <w:rPr>
          <w:lang w:val="hu-HU"/>
        </w:rPr>
        <w:t xml:space="preserve"> Budapest: Akadémiai Kiadó, 1996. 98–105</w:t>
      </w:r>
      <w:r w:rsidR="00DC7F77">
        <w:rPr>
          <w:lang w:val="hu-HU"/>
        </w:rPr>
        <w:t>.</w:t>
      </w:r>
    </w:p>
  </w:footnote>
  <w:footnote w:id="53">
    <w:p w14:paraId="6D45F71E" w14:textId="40A378E5" w:rsidR="00850A4C" w:rsidRPr="00907042" w:rsidRDefault="00850A4C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bookmarkStart w:id="2" w:name="_Hlk138191145"/>
      <w:r w:rsidR="00B14C2D" w:rsidRPr="001301BF">
        <w:rPr>
          <w:lang w:val="hu-HU"/>
        </w:rPr>
        <w:t xml:space="preserve">Gunst Péter: </w:t>
      </w:r>
      <w:r w:rsidR="00B14C2D" w:rsidRPr="001301BF">
        <w:rPr>
          <w:i/>
          <w:iCs/>
          <w:lang w:val="hu-HU"/>
        </w:rPr>
        <w:t>Magyarország gazdaságtörténete (1914</w:t>
      </w:r>
      <w:r w:rsidR="004C12FF" w:rsidRPr="001301BF">
        <w:rPr>
          <w:i/>
          <w:iCs/>
          <w:lang w:val="hu-HU"/>
        </w:rPr>
        <w:t>–</w:t>
      </w:r>
      <w:r w:rsidR="00B14C2D" w:rsidRPr="001301BF">
        <w:rPr>
          <w:i/>
          <w:iCs/>
          <w:lang w:val="hu-HU"/>
        </w:rPr>
        <w:t>1989).</w:t>
      </w:r>
      <w:r w:rsidR="00B14C2D" w:rsidRPr="001301BF">
        <w:rPr>
          <w:lang w:val="hu-HU"/>
        </w:rPr>
        <w:t xml:space="preserve"> </w:t>
      </w:r>
      <w:bookmarkEnd w:id="2"/>
      <w:r w:rsidR="00B14C2D" w:rsidRPr="001301BF">
        <w:rPr>
          <w:lang w:val="hu-HU"/>
        </w:rPr>
        <w:t xml:space="preserve">Budapest: Nemzeti Tankönyvkiadó, 1996. </w:t>
      </w:r>
      <w:r w:rsidR="004D43D7">
        <w:rPr>
          <w:lang w:val="hu-HU"/>
        </w:rPr>
        <w:t>70–71</w:t>
      </w:r>
      <w:r w:rsidR="001301BF">
        <w:rPr>
          <w:lang w:val="hu-HU"/>
        </w:rPr>
        <w:t>.</w:t>
      </w:r>
    </w:p>
  </w:footnote>
  <w:footnote w:id="54">
    <w:p w14:paraId="2521DF70" w14:textId="4BA4C03C" w:rsidR="001301BF" w:rsidRPr="001301BF" w:rsidRDefault="001301BF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1301BF">
        <w:rPr>
          <w:lang w:val="hu-HU"/>
        </w:rPr>
        <w:t xml:space="preserve"> Gunst: </w:t>
      </w:r>
      <w:r w:rsidR="004D43D7" w:rsidRPr="001301BF">
        <w:rPr>
          <w:i/>
          <w:iCs/>
          <w:szCs w:val="24"/>
          <w:lang w:val="hu-HU"/>
        </w:rPr>
        <w:t>A mezőgazdasági termelés története Magyarországon</w:t>
      </w:r>
      <w:r w:rsidR="0048035E">
        <w:rPr>
          <w:i/>
          <w:iCs/>
          <w:szCs w:val="24"/>
          <w:lang w:val="hu-HU"/>
        </w:rPr>
        <w:t>,</w:t>
      </w:r>
      <w:r>
        <w:rPr>
          <w:i/>
          <w:iCs/>
          <w:lang w:val="hu-HU"/>
        </w:rPr>
        <w:t xml:space="preserve"> </w:t>
      </w:r>
      <w:r>
        <w:rPr>
          <w:lang w:val="hu-HU"/>
        </w:rPr>
        <w:t>310., 358., 378.</w:t>
      </w:r>
    </w:p>
  </w:footnote>
  <w:footnote w:id="55">
    <w:p w14:paraId="30262160" w14:textId="1826E5AF" w:rsidR="00850A4C" w:rsidRPr="00907042" w:rsidRDefault="00850A4C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B14C2D" w:rsidRPr="001301BF">
        <w:rPr>
          <w:lang w:val="hu-HU"/>
        </w:rPr>
        <w:t xml:space="preserve">Gunst: </w:t>
      </w:r>
      <w:r w:rsidR="00B14C2D" w:rsidRPr="001301BF">
        <w:rPr>
          <w:i/>
          <w:iCs/>
          <w:szCs w:val="24"/>
          <w:lang w:val="hu-HU"/>
        </w:rPr>
        <w:t>A mezőgazdasági termelés története Magyarországon</w:t>
      </w:r>
      <w:r w:rsidR="0048035E">
        <w:rPr>
          <w:i/>
          <w:iCs/>
          <w:szCs w:val="24"/>
          <w:lang w:val="hu-HU"/>
        </w:rPr>
        <w:t>,</w:t>
      </w:r>
      <w:r w:rsidR="00B14C2D" w:rsidRPr="001301BF">
        <w:rPr>
          <w:i/>
          <w:iCs/>
          <w:szCs w:val="24"/>
          <w:lang w:val="hu-HU"/>
        </w:rPr>
        <w:t xml:space="preserve"> </w:t>
      </w:r>
      <w:r w:rsidR="001301BF">
        <w:rPr>
          <w:szCs w:val="24"/>
          <w:lang w:val="hu-HU"/>
        </w:rPr>
        <w:t>89–90.</w:t>
      </w:r>
    </w:p>
  </w:footnote>
  <w:footnote w:id="56">
    <w:p w14:paraId="32CAFDC2" w14:textId="77777777" w:rsidR="007520E0" w:rsidRPr="00D913BE" w:rsidRDefault="007520E0" w:rsidP="00BC6466">
      <w:pPr>
        <w:pStyle w:val="Lbjegyzetszveg"/>
        <w:jc w:val="both"/>
        <w:rPr>
          <w:lang w:val="en-US"/>
        </w:rPr>
      </w:pPr>
      <w:r>
        <w:rPr>
          <w:rStyle w:val="Lbjegyzet-hivatkozs"/>
        </w:rPr>
        <w:footnoteRef/>
      </w:r>
      <w:r w:rsidRPr="00797835">
        <w:rPr>
          <w:lang w:val="en-US"/>
        </w:rPr>
        <w:t xml:space="preserve"> </w:t>
      </w:r>
      <w:r w:rsidRPr="00907042">
        <w:rPr>
          <w:color w:val="000000"/>
          <w:lang w:val="en-US"/>
        </w:rPr>
        <w:t xml:space="preserve">Eckstein: National </w:t>
      </w:r>
      <w:r>
        <w:rPr>
          <w:color w:val="000000"/>
          <w:lang w:val="en-US"/>
        </w:rPr>
        <w:t>I</w:t>
      </w:r>
      <w:r w:rsidRPr="00907042">
        <w:rPr>
          <w:color w:val="000000"/>
          <w:lang w:val="en-US"/>
        </w:rPr>
        <w:t xml:space="preserve">ncome and </w:t>
      </w:r>
      <w:r>
        <w:rPr>
          <w:color w:val="000000"/>
          <w:lang w:val="en-US"/>
        </w:rPr>
        <w:t>C</w:t>
      </w:r>
      <w:r w:rsidRPr="00907042">
        <w:rPr>
          <w:color w:val="000000"/>
          <w:lang w:val="en-US"/>
        </w:rPr>
        <w:t xml:space="preserve">apital </w:t>
      </w:r>
      <w:r>
        <w:rPr>
          <w:color w:val="000000"/>
          <w:lang w:val="en-US"/>
        </w:rPr>
        <w:t>F</w:t>
      </w:r>
      <w:r w:rsidRPr="00907042">
        <w:rPr>
          <w:color w:val="000000"/>
          <w:lang w:val="en-US"/>
        </w:rPr>
        <w:t>ormation in Hungary, 1900–1950</w:t>
      </w:r>
      <w:r>
        <w:rPr>
          <w:color w:val="000000"/>
          <w:lang w:val="en-US"/>
        </w:rPr>
        <w:t xml:space="preserve">, </w:t>
      </w:r>
      <w:r w:rsidRPr="00D913BE">
        <w:rPr>
          <w:color w:val="000000"/>
          <w:lang w:val="en-US"/>
        </w:rPr>
        <w:t>165.</w:t>
      </w:r>
    </w:p>
  </w:footnote>
  <w:footnote w:id="57">
    <w:p w14:paraId="3075C416" w14:textId="77777777" w:rsidR="007520E0" w:rsidRPr="00CD1DD5" w:rsidRDefault="007520E0" w:rsidP="00BC6466">
      <w:pPr>
        <w:pStyle w:val="Lbjegyzetszveg"/>
        <w:jc w:val="both"/>
        <w:rPr>
          <w:lang w:val="en-GB"/>
        </w:rPr>
      </w:pPr>
      <w:r>
        <w:rPr>
          <w:rStyle w:val="Lbjegyzet-hivatkozs"/>
        </w:rPr>
        <w:footnoteRef/>
      </w:r>
      <w:r w:rsidRPr="00797835">
        <w:rPr>
          <w:lang w:val="en-US"/>
        </w:rPr>
        <w:t xml:space="preserve"> </w:t>
      </w:r>
      <w:r w:rsidRPr="00907042">
        <w:rPr>
          <w:lang w:val="en-US"/>
        </w:rPr>
        <w:t>Morys: Economic Growth and Structural Change in Central, East and South-East Europe, 1918</w:t>
      </w:r>
      <w:r>
        <w:rPr>
          <w:lang w:val="en-US"/>
        </w:rPr>
        <w:t>–</w:t>
      </w:r>
      <w:r w:rsidRPr="00907042">
        <w:rPr>
          <w:lang w:val="en-US"/>
        </w:rPr>
        <w:t>1939</w:t>
      </w:r>
      <w:r>
        <w:rPr>
          <w:lang w:val="en-US"/>
        </w:rPr>
        <w:t>,</w:t>
      </w:r>
      <w:r w:rsidRPr="00797835">
        <w:rPr>
          <w:lang w:val="en-US"/>
        </w:rPr>
        <w:t xml:space="preserve"> </w:t>
      </w:r>
      <w:r w:rsidRPr="00CD1DD5">
        <w:rPr>
          <w:lang w:val="en-GB"/>
        </w:rPr>
        <w:t>179.</w:t>
      </w:r>
    </w:p>
  </w:footnote>
  <w:footnote w:id="58">
    <w:p w14:paraId="13DC3009" w14:textId="318AE9B4" w:rsidR="004D43D7" w:rsidRPr="00D913BE" w:rsidRDefault="004D43D7" w:rsidP="00BC6466">
      <w:pPr>
        <w:pStyle w:val="Lbjegyzetszveg"/>
        <w:jc w:val="both"/>
        <w:rPr>
          <w:lang w:val="en-US"/>
        </w:rPr>
      </w:pPr>
      <w:r w:rsidRPr="00907042">
        <w:rPr>
          <w:rStyle w:val="Lbjegyzet-hivatkozs"/>
        </w:rPr>
        <w:footnoteRef/>
      </w:r>
      <w:r w:rsidRPr="007520E0">
        <w:rPr>
          <w:lang w:val="en-GB"/>
        </w:rPr>
        <w:t xml:space="preserve"> </w:t>
      </w:r>
      <w:r w:rsidR="00BC6466">
        <w:rPr>
          <w:lang w:val="en-GB"/>
        </w:rPr>
        <w:t>Drabek:</w:t>
      </w:r>
      <w:r w:rsidR="00BC6466">
        <w:rPr>
          <w:lang w:val="hu-HU"/>
        </w:rPr>
        <w:t xml:space="preserve"> Foreign Trade Performance and Policy, 461.</w:t>
      </w:r>
    </w:p>
  </w:footnote>
  <w:footnote w:id="59">
    <w:p w14:paraId="22EE11EC" w14:textId="57495FE6" w:rsidR="00797835" w:rsidRPr="00797835" w:rsidRDefault="00797835" w:rsidP="00BC6466">
      <w:pPr>
        <w:pStyle w:val="Lbjegyzetszveg"/>
        <w:jc w:val="both"/>
        <w:rPr>
          <w:lang w:val="en-US"/>
        </w:rPr>
      </w:pPr>
      <w:r>
        <w:rPr>
          <w:rStyle w:val="Lbjegyzet-hivatkozs"/>
        </w:rPr>
        <w:footnoteRef/>
      </w:r>
      <w:r w:rsidRPr="00797835">
        <w:rPr>
          <w:lang w:val="en-US"/>
        </w:rPr>
        <w:t xml:space="preserve"> </w:t>
      </w:r>
      <w:r w:rsidRPr="004A2B25">
        <w:rPr>
          <w:lang w:val="en-US"/>
        </w:rPr>
        <w:t>Marcus–Nikoli</w:t>
      </w:r>
      <w:r w:rsidRPr="004A2B25">
        <w:rPr>
          <w:rFonts w:eastAsiaTheme="minorHAnsi"/>
          <w:lang w:val="hu-HU" w:eastAsia="en-US"/>
          <w14:ligatures w14:val="standardContextual"/>
        </w:rPr>
        <w:t>č</w:t>
      </w:r>
      <w:r w:rsidRPr="004A2B25">
        <w:rPr>
          <w:lang w:val="en-US"/>
        </w:rPr>
        <w:t xml:space="preserve">–Straumann: </w:t>
      </w:r>
      <w:r w:rsidRPr="004C12FF">
        <w:rPr>
          <w:i/>
          <w:iCs/>
          <w:lang w:val="en-US"/>
        </w:rPr>
        <w:t>Economic Policy, 1918</w:t>
      </w:r>
      <w:r w:rsidR="004C12FF" w:rsidRPr="004C12FF">
        <w:rPr>
          <w:i/>
          <w:iCs/>
          <w:lang w:val="en-US"/>
        </w:rPr>
        <w:t>–</w:t>
      </w:r>
      <w:r w:rsidRPr="004C12FF">
        <w:rPr>
          <w:i/>
          <w:iCs/>
          <w:lang w:val="en-US"/>
        </w:rPr>
        <w:t>1939</w:t>
      </w:r>
      <w:r w:rsidR="004C12FF" w:rsidRPr="004C12FF">
        <w:rPr>
          <w:i/>
          <w:iCs/>
          <w:lang w:val="en-US"/>
        </w:rPr>
        <w:t>,</w:t>
      </w:r>
      <w:r>
        <w:rPr>
          <w:lang w:val="en-US"/>
        </w:rPr>
        <w:t xml:space="preserve"> 202.</w:t>
      </w:r>
    </w:p>
  </w:footnote>
  <w:footnote w:id="60">
    <w:p w14:paraId="67ABE0E2" w14:textId="30641803" w:rsidR="00B14C2D" w:rsidRPr="00B14C2D" w:rsidRDefault="00B14C2D" w:rsidP="00BC6466">
      <w:pPr>
        <w:pStyle w:val="Lbjegyzetszveg"/>
        <w:jc w:val="both"/>
        <w:rPr>
          <w:lang w:val="en-US"/>
        </w:rPr>
      </w:pPr>
      <w:r>
        <w:rPr>
          <w:rStyle w:val="Lbjegyzet-hivatkozs"/>
        </w:rPr>
        <w:footnoteRef/>
      </w:r>
      <w:r w:rsidRPr="00B14C2D">
        <w:rPr>
          <w:lang w:val="en-US"/>
        </w:rPr>
        <w:t xml:space="preserve"> </w:t>
      </w:r>
      <w:r>
        <w:rPr>
          <w:lang w:val="en-US"/>
        </w:rPr>
        <w:t>Drabek: Foreign Trade Performance and Policy</w:t>
      </w:r>
      <w:r w:rsidR="00CD1DD5">
        <w:rPr>
          <w:lang w:val="en-US"/>
        </w:rPr>
        <w:t>,</w:t>
      </w:r>
      <w:r>
        <w:rPr>
          <w:lang w:val="en-US"/>
        </w:rPr>
        <w:t xml:space="preserve"> 463.</w:t>
      </w:r>
    </w:p>
  </w:footnote>
  <w:footnote w:id="61">
    <w:p w14:paraId="7109B92F" w14:textId="77777777" w:rsidR="00955195" w:rsidRPr="008D4011" w:rsidRDefault="00955195" w:rsidP="00BC6466">
      <w:pPr>
        <w:pStyle w:val="Lbjegyzetszveg"/>
        <w:jc w:val="both"/>
        <w:rPr>
          <w:lang w:val="en-US"/>
        </w:rPr>
      </w:pPr>
      <w:r w:rsidRPr="00907042">
        <w:rPr>
          <w:rStyle w:val="Lbjegyzet-hivatkozs"/>
        </w:rPr>
        <w:footnoteRef/>
      </w:r>
      <w:r w:rsidRPr="00D913BE">
        <w:rPr>
          <w:lang w:val="en-US"/>
        </w:rPr>
        <w:t xml:space="preserve"> Berend T. Iván: </w:t>
      </w:r>
      <w:r w:rsidRPr="00CD1DD5">
        <w:rPr>
          <w:i/>
          <w:iCs/>
          <w:lang w:val="en-US"/>
        </w:rPr>
        <w:t>Válságos évtizedek. A 20. század első fele közép- és kelet-európai történetének interpretációja.</w:t>
      </w:r>
      <w:r w:rsidRPr="00D913BE">
        <w:rPr>
          <w:lang w:val="en-US"/>
        </w:rPr>
        <w:t xml:space="preserve"> </w:t>
      </w:r>
      <w:r w:rsidRPr="008D4011">
        <w:rPr>
          <w:lang w:val="en-US"/>
        </w:rPr>
        <w:t xml:space="preserve">Budapest: Magvető, 1987. 326. </w:t>
      </w:r>
    </w:p>
  </w:footnote>
  <w:footnote w:id="62">
    <w:p w14:paraId="5324919A" w14:textId="55366E28" w:rsidR="002C6069" w:rsidRPr="002C6069" w:rsidRDefault="002C6069" w:rsidP="002C6069">
      <w:pPr>
        <w:pStyle w:val="Lbjegyzetszveg"/>
        <w:jc w:val="both"/>
      </w:pPr>
      <w:r>
        <w:rPr>
          <w:rStyle w:val="Lbjegyzet-hivatkozs"/>
        </w:rPr>
        <w:footnoteRef/>
      </w:r>
      <w:r w:rsidRPr="008D4011">
        <w:rPr>
          <w:lang w:val="en-US"/>
        </w:rPr>
        <w:t xml:space="preserve"> </w:t>
      </w:r>
      <w:r w:rsidRPr="008D4011">
        <w:rPr>
          <w:i/>
          <w:iCs/>
          <w:lang w:val="en-US"/>
        </w:rPr>
        <w:t>A Magyar Gazdaságkutató Intézet gazdasági helyzetjelentése</w:t>
      </w:r>
      <w:r w:rsidRPr="008D4011">
        <w:rPr>
          <w:lang w:val="en-US"/>
        </w:rPr>
        <w:t xml:space="preserve">. </w:t>
      </w:r>
      <w:r w:rsidRPr="008D4011">
        <w:rPr>
          <w:i/>
          <w:iCs/>
          <w:lang w:val="en-US"/>
        </w:rPr>
        <w:t>45. sz.</w:t>
      </w:r>
      <w:r w:rsidRPr="008D4011">
        <w:rPr>
          <w:lang w:val="en-US"/>
        </w:rPr>
        <w:t xml:space="preserve"> Budapest: Magyar Gazdaságkutató Intézet, 1940. </w:t>
      </w:r>
      <w:r w:rsidRPr="002C6069">
        <w:t>9.</w:t>
      </w:r>
    </w:p>
  </w:footnote>
  <w:footnote w:id="63">
    <w:p w14:paraId="7725689F" w14:textId="77777777" w:rsidR="004371FE" w:rsidRPr="00907042" w:rsidRDefault="004371FE" w:rsidP="004371FE">
      <w:pPr>
        <w:pStyle w:val="Lbjegyzetszveg"/>
        <w:jc w:val="both"/>
      </w:pPr>
      <w:r w:rsidRPr="00907042">
        <w:rPr>
          <w:rStyle w:val="Lbjegyzet-hivatkozs"/>
        </w:rPr>
        <w:footnoteRef/>
      </w:r>
      <w:r w:rsidRPr="00907042">
        <w:t xml:space="preserve"> Mária Hidvégi: </w:t>
      </w:r>
      <w:r w:rsidRPr="004C12FF">
        <w:rPr>
          <w:i/>
          <w:iCs/>
        </w:rPr>
        <w:t>Anschluss and den Weltmarkt: Ungarns elektrotechnische Leitunternehmen, 1867</w:t>
      </w:r>
      <w:r>
        <w:rPr>
          <w:i/>
          <w:iCs/>
        </w:rPr>
        <w:t>–</w:t>
      </w:r>
      <w:r w:rsidRPr="004C12FF">
        <w:rPr>
          <w:i/>
          <w:iCs/>
        </w:rPr>
        <w:t>1949.</w:t>
      </w:r>
      <w:r w:rsidRPr="00907042">
        <w:t xml:space="preserve"> Göttingen: Vandenhoeck &amp; Ruprecht, 2016. 195</w:t>
      </w:r>
      <w:r>
        <w:t>–</w:t>
      </w:r>
      <w:r w:rsidRPr="00907042">
        <w:t>197.</w:t>
      </w:r>
    </w:p>
  </w:footnote>
  <w:footnote w:id="64">
    <w:p w14:paraId="712B94B1" w14:textId="77777777" w:rsidR="004371FE" w:rsidRPr="00907042" w:rsidRDefault="004371FE" w:rsidP="004371FE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t xml:space="preserve"> </w:t>
      </w:r>
      <w:r w:rsidRPr="00907042">
        <w:rPr>
          <w:lang w:val="hu-HU"/>
        </w:rPr>
        <w:t xml:space="preserve">Hidvégi: </w:t>
      </w:r>
      <w:r w:rsidRPr="004C12FF">
        <w:rPr>
          <w:i/>
          <w:iCs/>
          <w:lang w:val="hu-HU"/>
        </w:rPr>
        <w:t>Anschluss and den Weltmarkt</w:t>
      </w:r>
      <w:r>
        <w:rPr>
          <w:i/>
          <w:iCs/>
          <w:lang w:val="hu-HU"/>
        </w:rPr>
        <w:t>,</w:t>
      </w:r>
      <w:r w:rsidRPr="00907042">
        <w:rPr>
          <w:lang w:val="hu-HU"/>
        </w:rPr>
        <w:t xml:space="preserve"> 248</w:t>
      </w:r>
      <w:r>
        <w:rPr>
          <w:lang w:val="hu-HU"/>
        </w:rPr>
        <w:t>–</w:t>
      </w:r>
      <w:r w:rsidRPr="00907042">
        <w:rPr>
          <w:lang w:val="hu-HU"/>
        </w:rPr>
        <w:t>249.</w:t>
      </w:r>
    </w:p>
  </w:footnote>
  <w:footnote w:id="65">
    <w:p w14:paraId="2FF45119" w14:textId="77777777" w:rsidR="004371FE" w:rsidRPr="004C12FF" w:rsidRDefault="004371FE" w:rsidP="004371FE">
      <w:pPr>
        <w:pStyle w:val="Lbjegyzetszveg"/>
        <w:jc w:val="both"/>
      </w:pPr>
      <w:r w:rsidRPr="00907042">
        <w:rPr>
          <w:rStyle w:val="Lbjegyzet-hivatkozs"/>
        </w:rPr>
        <w:footnoteRef/>
      </w:r>
      <w:r w:rsidRPr="00907042">
        <w:t xml:space="preserve"> Hidvégi: </w:t>
      </w:r>
      <w:r w:rsidRPr="004C12FF">
        <w:rPr>
          <w:i/>
          <w:iCs/>
        </w:rPr>
        <w:t>Anschluss and den Weltmarkt,</w:t>
      </w:r>
      <w:r w:rsidRPr="00907042">
        <w:t xml:space="preserve"> </w:t>
      </w:r>
      <w:r w:rsidRPr="004C12FF">
        <w:t>254.</w:t>
      </w:r>
    </w:p>
  </w:footnote>
  <w:footnote w:id="66">
    <w:p w14:paraId="789A0238" w14:textId="77777777" w:rsidR="007520E0" w:rsidRPr="00907042" w:rsidRDefault="007520E0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Berend–Ránki: </w:t>
      </w:r>
      <w:r w:rsidRPr="00CD1DD5">
        <w:rPr>
          <w:i/>
          <w:iCs/>
          <w:lang w:val="hu-HU"/>
        </w:rPr>
        <w:t>Polen, Ungarn, Rumänien, Bulgarien und Albanien, 1914–1980,</w:t>
      </w:r>
      <w:r w:rsidRPr="00907042">
        <w:rPr>
          <w:lang w:val="hu-HU"/>
        </w:rPr>
        <w:t xml:space="preserve"> 815.</w:t>
      </w:r>
    </w:p>
  </w:footnote>
  <w:footnote w:id="67">
    <w:p w14:paraId="262A7933" w14:textId="42AFE5C4" w:rsidR="00FB2028" w:rsidRPr="00676FCD" w:rsidRDefault="00FB2028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4A2B25">
        <w:rPr>
          <w:lang w:val="hu-HU"/>
        </w:rPr>
        <w:t xml:space="preserve"> Ránki György: Hitel vagy piac. In: Ránki György: </w:t>
      </w:r>
      <w:r w:rsidRPr="00CD1DD5">
        <w:rPr>
          <w:i/>
          <w:iCs/>
          <w:lang w:val="hu-HU"/>
        </w:rPr>
        <w:t>Mozgásterek, kényszerpályák.</w:t>
      </w:r>
      <w:r w:rsidRPr="004A2B25">
        <w:rPr>
          <w:lang w:val="hu-HU"/>
        </w:rPr>
        <w:t xml:space="preserve"> Budapest: Magvető, 1983. 341–382.; Ránki György: </w:t>
      </w:r>
      <w:r w:rsidRPr="00CD1DD5">
        <w:rPr>
          <w:i/>
          <w:iCs/>
          <w:lang w:val="hu-HU"/>
        </w:rPr>
        <w:t>Gazdaság és külpolitika. A nagyhatalmak harca a délkelet-európai gazdasági hegemóniáért, 1919–1939.</w:t>
      </w:r>
      <w:r w:rsidRPr="004A2B25">
        <w:rPr>
          <w:lang w:val="hu-HU"/>
        </w:rPr>
        <w:t xml:space="preserve"> </w:t>
      </w:r>
      <w:r w:rsidRPr="00676FCD">
        <w:rPr>
          <w:lang w:val="hu-HU"/>
        </w:rPr>
        <w:t>Budapest: Magvető, 1981.</w:t>
      </w:r>
    </w:p>
  </w:footnote>
  <w:footnote w:id="68">
    <w:p w14:paraId="6669C689" w14:textId="77777777" w:rsidR="004371FE" w:rsidRPr="00676FCD" w:rsidRDefault="004371FE" w:rsidP="004371FE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676FCD">
        <w:rPr>
          <w:lang w:val="hu-HU"/>
        </w:rPr>
        <w:t xml:space="preserve"> Aldcroft: </w:t>
      </w:r>
      <w:r w:rsidRPr="00CD1DD5">
        <w:rPr>
          <w:i/>
          <w:iCs/>
          <w:lang w:val="hu-HU"/>
        </w:rPr>
        <w:t>Europe’s Third World,</w:t>
      </w:r>
      <w:r w:rsidRPr="00676FCD">
        <w:rPr>
          <w:lang w:val="hu-HU"/>
        </w:rPr>
        <w:t xml:space="preserve"> 122.</w:t>
      </w:r>
    </w:p>
  </w:footnote>
  <w:footnote w:id="69">
    <w:p w14:paraId="254F58BF" w14:textId="245F1F10" w:rsidR="00A776A2" w:rsidRPr="00907042" w:rsidRDefault="00A776A2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CD1DD5">
        <w:rPr>
          <w:lang w:val="hu-HU"/>
        </w:rPr>
        <w:t xml:space="preserve"> </w:t>
      </w:r>
      <w:r w:rsidRPr="0075544A">
        <w:rPr>
          <w:color w:val="000000"/>
          <w:lang w:val="hu-HU"/>
        </w:rPr>
        <w:t xml:space="preserve">Tomka: </w:t>
      </w:r>
      <w:r w:rsidRPr="00CD1DD5">
        <w:rPr>
          <w:i/>
          <w:iCs/>
          <w:color w:val="000000"/>
          <w:lang w:val="hu-HU"/>
        </w:rPr>
        <w:t>Gazdasági növekedés, fogyasztás és életminőség</w:t>
      </w:r>
      <w:r w:rsidR="0048035E">
        <w:rPr>
          <w:i/>
          <w:iCs/>
          <w:color w:val="000000"/>
          <w:lang w:val="hu-HU"/>
        </w:rPr>
        <w:t>,</w:t>
      </w:r>
      <w:r w:rsidRPr="00CD1DD5">
        <w:rPr>
          <w:color w:val="000000"/>
          <w:lang w:val="hu-HU"/>
        </w:rPr>
        <w:t xml:space="preserve"> </w:t>
      </w:r>
      <w:r w:rsidR="001F176B">
        <w:rPr>
          <w:color w:val="000000"/>
          <w:lang w:val="hu-HU"/>
        </w:rPr>
        <w:t>267</w:t>
      </w:r>
      <w:r w:rsidRPr="00CD1DD5">
        <w:rPr>
          <w:color w:val="000000"/>
          <w:lang w:val="hu-HU"/>
        </w:rPr>
        <w:t xml:space="preserve">.; </w:t>
      </w:r>
      <w:r w:rsidRPr="00907042">
        <w:rPr>
          <w:lang w:val="hu-HU"/>
        </w:rPr>
        <w:t xml:space="preserve">Maddison: </w:t>
      </w:r>
      <w:r w:rsidRPr="0002125D">
        <w:rPr>
          <w:i/>
          <w:iCs/>
          <w:lang w:val="hu-HU"/>
        </w:rPr>
        <w:t>The World Economy. Historical Statistics,</w:t>
      </w:r>
      <w:r w:rsidRPr="00907042">
        <w:rPr>
          <w:lang w:val="hu-HU"/>
        </w:rPr>
        <w:t xml:space="preserve"> 100.</w:t>
      </w:r>
    </w:p>
  </w:footnote>
  <w:footnote w:id="70">
    <w:p w14:paraId="6C00061A" w14:textId="490D2409" w:rsidR="00A6499D" w:rsidRPr="00A776A2" w:rsidRDefault="00A6499D" w:rsidP="00BC6466">
      <w:pPr>
        <w:pStyle w:val="Lbjegyzetszveg"/>
        <w:jc w:val="both"/>
        <w:rPr>
          <w:lang w:val="hu-HU"/>
        </w:rPr>
      </w:pPr>
      <w:r w:rsidRPr="00A6499D">
        <w:rPr>
          <w:rStyle w:val="Lbjegyzet-hivatkozs"/>
        </w:rPr>
        <w:footnoteRef/>
      </w:r>
      <w:r w:rsidRPr="00A6499D">
        <w:rPr>
          <w:lang w:val="hu-HU"/>
        </w:rPr>
        <w:t xml:space="preserve"> </w:t>
      </w:r>
      <w:r w:rsidRPr="00A6499D">
        <w:rPr>
          <w:lang w:val="en-US"/>
        </w:rPr>
        <w:t>Morys: Economic Growth and Structural Change in Central, East and South-East Europe, 1918–1939. 169.</w:t>
      </w:r>
      <w:r w:rsidR="00565904">
        <w:rPr>
          <w:lang w:val="en-US"/>
        </w:rPr>
        <w:t xml:space="preserve">; </w:t>
      </w:r>
      <w:r w:rsidR="00565904" w:rsidRPr="00CA38F5">
        <w:rPr>
          <w:lang w:val="en-US"/>
        </w:rPr>
        <w:t xml:space="preserve">Angus Maddison: </w:t>
      </w:r>
      <w:r w:rsidR="00565904" w:rsidRPr="00CA38F5">
        <w:rPr>
          <w:i/>
          <w:iCs/>
          <w:lang w:val="en-US"/>
        </w:rPr>
        <w:t>The World Economy: Historical Statistics</w:t>
      </w:r>
      <w:r w:rsidR="00565904" w:rsidRPr="00CA38F5">
        <w:rPr>
          <w:lang w:val="en-US"/>
        </w:rPr>
        <w:t>. Paris: OECD, 2003. 100–101.</w:t>
      </w:r>
      <w:r w:rsidR="00565904">
        <w:rPr>
          <w:lang w:val="en-US"/>
        </w:rPr>
        <w:t xml:space="preserve"> </w:t>
      </w:r>
    </w:p>
  </w:footnote>
  <w:footnote w:id="71">
    <w:p w14:paraId="06AF0906" w14:textId="79079EEA" w:rsidR="00A776A2" w:rsidRPr="00A776A2" w:rsidRDefault="00A776A2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1F176B">
        <w:rPr>
          <w:lang w:val="hu-HU"/>
        </w:rPr>
        <w:t xml:space="preserve"> </w:t>
      </w:r>
      <w:r>
        <w:rPr>
          <w:lang w:val="hu-HU"/>
        </w:rPr>
        <w:t>Tomka:</w:t>
      </w:r>
      <w:r w:rsidRPr="0075544A">
        <w:rPr>
          <w:color w:val="000000"/>
          <w:lang w:val="hu-HU"/>
        </w:rPr>
        <w:t xml:space="preserve"> </w:t>
      </w:r>
      <w:r w:rsidRPr="00CD1DD5">
        <w:rPr>
          <w:i/>
          <w:iCs/>
          <w:color w:val="000000"/>
          <w:lang w:val="hu-HU"/>
        </w:rPr>
        <w:t>Gazdasági növekedés, fogyasztás és életminőség</w:t>
      </w:r>
      <w:r w:rsidR="0048035E">
        <w:rPr>
          <w:i/>
          <w:iCs/>
          <w:color w:val="000000"/>
          <w:lang w:val="hu-HU"/>
        </w:rPr>
        <w:t>,</w:t>
      </w:r>
      <w:r w:rsidRPr="0075544A">
        <w:rPr>
          <w:color w:val="000000"/>
          <w:lang w:val="hu-HU"/>
        </w:rPr>
        <w:t xml:space="preserve"> </w:t>
      </w:r>
      <w:r w:rsidR="001F176B">
        <w:rPr>
          <w:color w:val="000000"/>
          <w:lang w:val="hu-HU"/>
        </w:rPr>
        <w:t>270</w:t>
      </w:r>
      <w:r w:rsidRPr="00CD1DD5">
        <w:rPr>
          <w:color w:val="000000"/>
          <w:lang w:val="hu-HU"/>
        </w:rPr>
        <w:t>.</w:t>
      </w:r>
    </w:p>
  </w:footnote>
  <w:footnote w:id="72">
    <w:p w14:paraId="7F24280A" w14:textId="1B96A248" w:rsidR="00565904" w:rsidRPr="00565904" w:rsidRDefault="00565904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565904">
        <w:rPr>
          <w:lang w:val="hu-HU"/>
        </w:rPr>
        <w:t xml:space="preserve"> </w:t>
      </w:r>
      <w:r>
        <w:rPr>
          <w:lang w:val="hu-HU"/>
        </w:rPr>
        <w:t xml:space="preserve">Matolcsy Mátyás: </w:t>
      </w:r>
      <w:r w:rsidRPr="00565904">
        <w:rPr>
          <w:i/>
          <w:iCs/>
          <w:lang w:val="hu-HU"/>
        </w:rPr>
        <w:t>Az életszínvonal alakulása Magyarországon., 1924-1944</w:t>
      </w:r>
      <w:r>
        <w:rPr>
          <w:lang w:val="hu-HU"/>
        </w:rPr>
        <w:t xml:space="preserve">. Budapest: </w:t>
      </w:r>
      <w:r w:rsidRPr="00565904">
        <w:rPr>
          <w:lang w:val="hu-HU"/>
        </w:rPr>
        <w:t>Magyar Ipari Munkatudományi Intézet</w:t>
      </w:r>
      <w:r>
        <w:rPr>
          <w:lang w:val="hu-HU"/>
        </w:rPr>
        <w:t>,</w:t>
      </w:r>
      <w:r w:rsidRPr="00565904">
        <w:rPr>
          <w:lang w:val="hu-HU"/>
        </w:rPr>
        <w:t xml:space="preserve"> </w:t>
      </w:r>
      <w:r>
        <w:rPr>
          <w:lang w:val="hu-HU"/>
        </w:rPr>
        <w:t>1944. 35.</w:t>
      </w:r>
    </w:p>
  </w:footnote>
  <w:footnote w:id="73">
    <w:p w14:paraId="7C2CE65E" w14:textId="1BC173D2" w:rsidR="00611972" w:rsidRPr="00611972" w:rsidRDefault="00611972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611972">
        <w:rPr>
          <w:lang w:val="hu-HU"/>
        </w:rPr>
        <w:t xml:space="preserve"> </w:t>
      </w:r>
      <w:r>
        <w:rPr>
          <w:lang w:val="hu-HU"/>
        </w:rPr>
        <w:t xml:space="preserve">Gunst Péter: </w:t>
      </w:r>
      <w:r w:rsidRPr="00611972">
        <w:rPr>
          <w:i/>
          <w:iCs/>
          <w:lang w:val="hu-HU"/>
        </w:rPr>
        <w:t>A p</w:t>
      </w:r>
      <w:r w:rsidR="004371FE">
        <w:rPr>
          <w:i/>
          <w:iCs/>
          <w:lang w:val="hu-HU"/>
        </w:rPr>
        <w:t>a</w:t>
      </w:r>
      <w:r w:rsidRPr="00611972">
        <w:rPr>
          <w:i/>
          <w:iCs/>
          <w:lang w:val="hu-HU"/>
        </w:rPr>
        <w:t>raszti társadalom Magyarországon a két világháború között</w:t>
      </w:r>
      <w:r>
        <w:rPr>
          <w:lang w:val="hu-HU"/>
        </w:rPr>
        <w:t>. Budapest: MTA Történettudományi Intézet, 1987. 62.; Más számításokra:</w:t>
      </w:r>
      <w:r w:rsidRPr="00611972">
        <w:rPr>
          <w:i/>
          <w:iCs/>
          <w:lang w:val="hu-HU"/>
        </w:rPr>
        <w:t xml:space="preserve"> </w:t>
      </w:r>
      <w:r w:rsidRPr="00903D3B">
        <w:rPr>
          <w:i/>
          <w:iCs/>
          <w:lang w:val="hu-HU"/>
        </w:rPr>
        <w:t>Magyarország története. 8. kötet</w:t>
      </w:r>
      <w:r>
        <w:rPr>
          <w:i/>
          <w:iCs/>
          <w:lang w:val="hu-HU"/>
        </w:rPr>
        <w:t>,</w:t>
      </w:r>
      <w:r w:rsidRPr="00907042">
        <w:rPr>
          <w:lang w:val="hu-HU"/>
        </w:rPr>
        <w:t xml:space="preserve"> 603.</w:t>
      </w:r>
    </w:p>
  </w:footnote>
  <w:footnote w:id="74">
    <w:p w14:paraId="4A3DCA5A" w14:textId="079C28BA" w:rsidR="00BA4705" w:rsidRPr="00907042" w:rsidRDefault="00BA4705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Pr="00903D3B">
        <w:rPr>
          <w:i/>
          <w:iCs/>
          <w:lang w:val="hu-HU"/>
        </w:rPr>
        <w:t>Az 1929-33. évi világgazdasági válság hatása Magyarországon.</w:t>
      </w:r>
      <w:r w:rsidRPr="00907042">
        <w:rPr>
          <w:lang w:val="hu-HU"/>
        </w:rPr>
        <w:t xml:space="preserve"> Szerk.: Incze Miklós. Budapest: Akadémiai Kiadó, 1955. 333.</w:t>
      </w:r>
    </w:p>
  </w:footnote>
  <w:footnote w:id="75">
    <w:p w14:paraId="25A0977B" w14:textId="7ABCFC89" w:rsidR="00BA4705" w:rsidRPr="00907042" w:rsidRDefault="00BA4705" w:rsidP="00BC6466">
      <w:pPr>
        <w:pStyle w:val="Lbjegyzetszveg"/>
        <w:jc w:val="both"/>
        <w:rPr>
          <w:lang w:val="hu-HU"/>
        </w:rPr>
      </w:pPr>
      <w:r w:rsidRPr="00C92C5C">
        <w:rPr>
          <w:rStyle w:val="Lbjegyzet-hivatkozs"/>
        </w:rPr>
        <w:footnoteRef/>
      </w:r>
      <w:r w:rsidRPr="00C92C5C">
        <w:rPr>
          <w:lang w:val="hu-HU"/>
        </w:rPr>
        <w:t xml:space="preserve"> Bányászat nélkül.</w:t>
      </w:r>
      <w:r w:rsidRPr="00907042">
        <w:rPr>
          <w:lang w:val="hu-HU"/>
        </w:rPr>
        <w:t xml:space="preserve"> </w:t>
      </w:r>
      <w:r w:rsidR="00C92C5C" w:rsidRPr="00FC5356">
        <w:rPr>
          <w:lang w:val="hu-HU"/>
        </w:rPr>
        <w:t>A</w:t>
      </w:r>
      <w:r w:rsidR="00C92C5C" w:rsidRPr="00437278">
        <w:rPr>
          <w:i/>
          <w:iCs/>
          <w:lang w:val="hu-HU"/>
        </w:rPr>
        <w:t xml:space="preserve"> M. Kir. Kormány 19</w:t>
      </w:r>
      <w:r w:rsidR="00C92C5C">
        <w:rPr>
          <w:i/>
          <w:iCs/>
          <w:lang w:val="hu-HU"/>
        </w:rPr>
        <w:t>29</w:t>
      </w:r>
      <w:r w:rsidR="00C92C5C" w:rsidRPr="00437278">
        <w:rPr>
          <w:i/>
          <w:iCs/>
          <w:lang w:val="hu-HU"/>
        </w:rPr>
        <w:t>. évi működéséről és az ország közállapotairól szóló jelentés és statisztikai évkönyv.</w:t>
      </w:r>
      <w:r w:rsidR="00C92C5C">
        <w:rPr>
          <w:lang w:val="hu-HU"/>
        </w:rPr>
        <w:t xml:space="preserve"> </w:t>
      </w:r>
      <w:r w:rsidR="00C92C5C" w:rsidRPr="00FC5356">
        <w:rPr>
          <w:lang w:val="hu-HU"/>
        </w:rPr>
        <w:t>Budapest</w:t>
      </w:r>
      <w:r w:rsidR="00C92C5C">
        <w:rPr>
          <w:lang w:val="hu-HU"/>
        </w:rPr>
        <w:t xml:space="preserve">: </w:t>
      </w:r>
      <w:r w:rsidR="00C92C5C" w:rsidRPr="00FC5356">
        <w:rPr>
          <w:lang w:val="hu-HU"/>
        </w:rPr>
        <w:t>Athenaeum</w:t>
      </w:r>
      <w:r w:rsidR="00C92C5C">
        <w:rPr>
          <w:lang w:val="hu-HU"/>
        </w:rPr>
        <w:t xml:space="preserve">, 1931. 105.; </w:t>
      </w:r>
      <w:r w:rsidR="00C92C5C" w:rsidRPr="00FC5356">
        <w:rPr>
          <w:lang w:val="hu-HU"/>
        </w:rPr>
        <w:t>A</w:t>
      </w:r>
      <w:r w:rsidR="00C92C5C" w:rsidRPr="00437278">
        <w:rPr>
          <w:i/>
          <w:iCs/>
          <w:lang w:val="hu-HU"/>
        </w:rPr>
        <w:t xml:space="preserve"> M. Kir. Kormány 19</w:t>
      </w:r>
      <w:r w:rsidR="00C92C5C">
        <w:rPr>
          <w:i/>
          <w:iCs/>
          <w:lang w:val="hu-HU"/>
        </w:rPr>
        <w:t>34</w:t>
      </w:r>
      <w:r w:rsidR="00C92C5C" w:rsidRPr="00437278">
        <w:rPr>
          <w:i/>
          <w:iCs/>
          <w:lang w:val="hu-HU"/>
        </w:rPr>
        <w:t>. évi működéséről és az ország közállapotairól szóló jelentés és statisztikai évkönyv.</w:t>
      </w:r>
      <w:r w:rsidR="00C92C5C">
        <w:rPr>
          <w:lang w:val="hu-HU"/>
        </w:rPr>
        <w:t xml:space="preserve"> </w:t>
      </w:r>
      <w:r w:rsidR="00C92C5C" w:rsidRPr="00FC5356">
        <w:rPr>
          <w:lang w:val="hu-HU"/>
        </w:rPr>
        <w:t>Budapest</w:t>
      </w:r>
      <w:r w:rsidR="00C92C5C">
        <w:rPr>
          <w:lang w:val="hu-HU"/>
        </w:rPr>
        <w:t xml:space="preserve">: </w:t>
      </w:r>
      <w:r w:rsidR="00C92C5C" w:rsidRPr="00FC5356">
        <w:rPr>
          <w:lang w:val="hu-HU"/>
        </w:rPr>
        <w:t>Athenaeum</w:t>
      </w:r>
      <w:r w:rsidR="00C92C5C">
        <w:rPr>
          <w:lang w:val="hu-HU"/>
        </w:rPr>
        <w:t>, 1936. 131.</w:t>
      </w:r>
    </w:p>
  </w:footnote>
  <w:footnote w:id="76">
    <w:p w14:paraId="39AB24C8" w14:textId="4AED2920" w:rsidR="00BA4705" w:rsidRPr="00907042" w:rsidRDefault="00BA4705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Borsányi György: </w:t>
      </w:r>
      <w:r w:rsidRPr="00903D3B">
        <w:rPr>
          <w:i/>
          <w:iCs/>
          <w:lang w:val="hu-HU"/>
        </w:rPr>
        <w:t>Válságévek krónikája. Az 1929</w:t>
      </w:r>
      <w:r w:rsidR="0002125D">
        <w:rPr>
          <w:i/>
          <w:iCs/>
          <w:lang w:val="hu-HU"/>
        </w:rPr>
        <w:t>–</w:t>
      </w:r>
      <w:r w:rsidRPr="00903D3B">
        <w:rPr>
          <w:i/>
          <w:iCs/>
          <w:lang w:val="hu-HU"/>
        </w:rPr>
        <w:t>1933-as gazdasági világválság hatása Magyarországon.</w:t>
      </w:r>
      <w:r w:rsidRPr="00907042">
        <w:rPr>
          <w:lang w:val="hu-HU"/>
        </w:rPr>
        <w:t xml:space="preserve"> Budapest: Kossuth, 1986. 27.</w:t>
      </w:r>
    </w:p>
  </w:footnote>
  <w:footnote w:id="77">
    <w:p w14:paraId="33EE806B" w14:textId="2EE8529A" w:rsidR="0063041A" w:rsidRPr="00907042" w:rsidRDefault="0063041A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2972E8" w:rsidRPr="004371FE">
        <w:rPr>
          <w:lang w:val="hu-HU"/>
        </w:rPr>
        <w:t xml:space="preserve">Kádár Iván </w:t>
      </w:r>
      <w:r w:rsidR="00903D3B" w:rsidRPr="004371FE">
        <w:rPr>
          <w:lang w:val="hu-HU"/>
        </w:rPr>
        <w:t>–</w:t>
      </w:r>
      <w:r w:rsidR="002972E8" w:rsidRPr="004371FE">
        <w:rPr>
          <w:lang w:val="hu-HU"/>
        </w:rPr>
        <w:t xml:space="preserve"> Bedő Gyula </w:t>
      </w:r>
      <w:r w:rsidR="00903D3B" w:rsidRPr="004371FE">
        <w:rPr>
          <w:lang w:val="hu-HU"/>
        </w:rPr>
        <w:t>–</w:t>
      </w:r>
      <w:r w:rsidR="002972E8" w:rsidRPr="004371FE">
        <w:rPr>
          <w:lang w:val="hu-HU"/>
        </w:rPr>
        <w:t xml:space="preserve"> Falus Györgyné (szerk.): </w:t>
      </w:r>
      <w:r w:rsidR="002972E8" w:rsidRPr="004371FE">
        <w:rPr>
          <w:i/>
          <w:iCs/>
          <w:lang w:val="hu-HU"/>
        </w:rPr>
        <w:t>A munkásosztály helyzete a Horthy-rendszer idején.</w:t>
      </w:r>
      <w:r w:rsidR="002972E8" w:rsidRPr="004371FE">
        <w:rPr>
          <w:lang w:val="hu-HU"/>
        </w:rPr>
        <w:t xml:space="preserve"> Budapest: Szikra, 1956. 223.</w:t>
      </w:r>
    </w:p>
  </w:footnote>
  <w:footnote w:id="78">
    <w:p w14:paraId="352FBE4E" w14:textId="71B47CA6" w:rsidR="004371FE" w:rsidRPr="004371FE" w:rsidRDefault="004371FE" w:rsidP="004371FE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4371FE">
        <w:rPr>
          <w:lang w:val="hu-HU"/>
        </w:rPr>
        <w:t xml:space="preserve"> </w:t>
      </w:r>
      <w:r>
        <w:rPr>
          <w:lang w:val="hu-HU"/>
        </w:rPr>
        <w:t xml:space="preserve">Kovács I. Gábor: Az értelmiségikeresetek változása (1920-1975). In: Huszár Tibor (szerk.): </w:t>
      </w:r>
      <w:r w:rsidRPr="004371FE">
        <w:rPr>
          <w:i/>
          <w:iCs/>
          <w:lang w:val="hu-HU"/>
        </w:rPr>
        <w:t>Értelmiségiek, diplomások, szellemi munkások</w:t>
      </w:r>
      <w:r>
        <w:rPr>
          <w:lang w:val="hu-HU"/>
        </w:rPr>
        <w:t>. Budapest: Kossuth, 1978. 227–238.</w:t>
      </w:r>
    </w:p>
  </w:footnote>
  <w:footnote w:id="79">
    <w:p w14:paraId="627D065F" w14:textId="15CCCA9F" w:rsidR="00F66AAE" w:rsidRPr="00F66AAE" w:rsidRDefault="00F66AAE" w:rsidP="00F66AAE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F66AAE">
        <w:rPr>
          <w:lang w:val="hu-HU"/>
        </w:rPr>
        <w:t xml:space="preserve"> </w:t>
      </w:r>
      <w:r>
        <w:rPr>
          <w:lang w:val="hu-HU"/>
        </w:rPr>
        <w:t xml:space="preserve">Hajdú Tibor: Az értelmiség számszerű gyarapodásának következményei az első világháború előtt és után. </w:t>
      </w:r>
      <w:r w:rsidRPr="00F66AAE">
        <w:rPr>
          <w:i/>
          <w:iCs/>
          <w:lang w:val="hu-HU"/>
        </w:rPr>
        <w:t>Valóság</w:t>
      </w:r>
      <w:r>
        <w:rPr>
          <w:lang w:val="hu-HU"/>
        </w:rPr>
        <w:t>, 24 (1981) 7. sz. 2–22.</w:t>
      </w:r>
    </w:p>
  </w:footnote>
  <w:footnote w:id="80">
    <w:p w14:paraId="70C6BDCF" w14:textId="5911C62F" w:rsidR="00F66AAE" w:rsidRPr="00F66AAE" w:rsidRDefault="00F66AA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1327E8">
        <w:rPr>
          <w:lang w:val="hu-HU"/>
        </w:rPr>
        <w:t xml:space="preserve"> </w:t>
      </w:r>
      <w:r w:rsidR="001327E8" w:rsidRPr="00437278">
        <w:rPr>
          <w:i/>
          <w:iCs/>
          <w:lang w:val="hu-HU"/>
        </w:rPr>
        <w:t>Magyarország története. 8. kötet</w:t>
      </w:r>
      <w:r w:rsidR="001327E8">
        <w:rPr>
          <w:i/>
          <w:iCs/>
          <w:lang w:val="hu-HU"/>
        </w:rPr>
        <w:t>.</w:t>
      </w:r>
    </w:p>
  </w:footnote>
  <w:footnote w:id="81">
    <w:p w14:paraId="32047766" w14:textId="61996E3F" w:rsidR="001327E8" w:rsidRPr="001327E8" w:rsidRDefault="001327E8" w:rsidP="001327E8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1327E8">
        <w:rPr>
          <w:lang w:val="hu-HU"/>
        </w:rPr>
        <w:t xml:space="preserve"> </w:t>
      </w:r>
      <w:r>
        <w:rPr>
          <w:lang w:val="hu-HU"/>
        </w:rPr>
        <w:t xml:space="preserve">Ránki György: </w:t>
      </w:r>
      <w:r w:rsidRPr="001327E8">
        <w:rPr>
          <w:i/>
          <w:iCs/>
          <w:lang w:val="hu-HU"/>
        </w:rPr>
        <w:t>Állam és társadalom a két világháború közötti Közép-Kelet-Európában</w:t>
      </w:r>
      <w:r>
        <w:rPr>
          <w:lang w:val="hu-HU"/>
        </w:rPr>
        <w:t>. Budapest: MTA Történe</w:t>
      </w:r>
      <w:r w:rsidR="0048035E">
        <w:rPr>
          <w:lang w:val="hu-HU"/>
        </w:rPr>
        <w:t>t</w:t>
      </w:r>
      <w:r>
        <w:rPr>
          <w:lang w:val="hu-HU"/>
        </w:rPr>
        <w:t>tudományi Intézet, 1986. 17.</w:t>
      </w:r>
    </w:p>
  </w:footnote>
  <w:footnote w:id="82">
    <w:p w14:paraId="6E749613" w14:textId="7EF43982" w:rsidR="0029755C" w:rsidRPr="0029755C" w:rsidRDefault="0029755C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29755C">
        <w:rPr>
          <w:lang w:val="hu-HU"/>
        </w:rPr>
        <w:t xml:space="preserve"> </w:t>
      </w:r>
      <w:r w:rsidR="001327E8" w:rsidRPr="0048035E">
        <w:rPr>
          <w:lang w:val="hu-HU"/>
        </w:rPr>
        <w:t xml:space="preserve">Gyáni Gábor: Politikai rendszer és választói magatartás. In: Gyáni Gábor – Kövér György: </w:t>
      </w:r>
      <w:r w:rsidR="001327E8" w:rsidRPr="0048035E">
        <w:rPr>
          <w:i/>
          <w:iCs/>
          <w:lang w:val="hu-HU"/>
        </w:rPr>
        <w:t xml:space="preserve">Magyarország </w:t>
      </w:r>
      <w:r w:rsidR="001327E8" w:rsidRPr="0048035E">
        <w:rPr>
          <w:i/>
          <w:iCs/>
          <w:szCs w:val="24"/>
          <w:lang w:val="hu-HU"/>
        </w:rPr>
        <w:t>társadalomtörténete a reformkortól a második világháborúig.</w:t>
      </w:r>
      <w:r w:rsidR="001327E8" w:rsidRPr="0048035E">
        <w:rPr>
          <w:szCs w:val="24"/>
          <w:lang w:val="hu-HU"/>
        </w:rPr>
        <w:t xml:space="preserve"> Budapest: Osiris, 1998. 332–342.</w:t>
      </w:r>
    </w:p>
  </w:footnote>
  <w:footnote w:id="83">
    <w:p w14:paraId="7321322D" w14:textId="30687439" w:rsidR="001327E8" w:rsidRPr="0029755C" w:rsidRDefault="001327E8" w:rsidP="001327E8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szCs w:val="24"/>
          <w:lang w:val="hu-HU"/>
        </w:rPr>
        <w:t xml:space="preserve"> </w:t>
      </w:r>
      <w:r>
        <w:rPr>
          <w:lang w:val="hu-HU"/>
        </w:rPr>
        <w:t xml:space="preserve">Romsics Ignác: </w:t>
      </w:r>
      <w:r w:rsidRPr="003B1D36">
        <w:rPr>
          <w:i/>
          <w:iCs/>
          <w:lang w:val="hu-HU"/>
        </w:rPr>
        <w:t xml:space="preserve">Bethlen István </w:t>
      </w:r>
      <w:r>
        <w:rPr>
          <w:i/>
          <w:iCs/>
          <w:lang w:val="hu-HU"/>
        </w:rPr>
        <w:t>–</w:t>
      </w:r>
      <w:r w:rsidRPr="003B1D36">
        <w:rPr>
          <w:i/>
          <w:iCs/>
          <w:lang w:val="hu-HU"/>
        </w:rPr>
        <w:t xml:space="preserve"> Politikai életrajz.</w:t>
      </w:r>
      <w:r>
        <w:rPr>
          <w:lang w:val="hu-HU"/>
        </w:rPr>
        <w:t xml:space="preserve"> Budapest: Helikon, 2019.</w:t>
      </w:r>
    </w:p>
  </w:footnote>
  <w:footnote w:id="84">
    <w:p w14:paraId="755D59B0" w14:textId="34FCCEE1" w:rsidR="00AA7AF6" w:rsidRPr="00907042" w:rsidRDefault="00AA7AF6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</w:t>
      </w:r>
      <w:r w:rsidR="00B55784" w:rsidRPr="00907042">
        <w:rPr>
          <w:lang w:val="hu-HU"/>
        </w:rPr>
        <w:t xml:space="preserve">Vonyó József: Gömbös kormánypártjának ideológiája és programja. </w:t>
      </w:r>
      <w:r w:rsidR="00B55784" w:rsidRPr="00E264ED">
        <w:rPr>
          <w:i/>
          <w:iCs/>
          <w:lang w:val="hu-HU"/>
        </w:rPr>
        <w:t>Századok,</w:t>
      </w:r>
      <w:r w:rsidR="00B55784" w:rsidRPr="00907042">
        <w:rPr>
          <w:lang w:val="hu-HU"/>
        </w:rPr>
        <w:t xml:space="preserve"> </w:t>
      </w:r>
      <w:r w:rsidR="0048035E">
        <w:rPr>
          <w:lang w:val="hu-HU"/>
        </w:rPr>
        <w:t xml:space="preserve">145 </w:t>
      </w:r>
      <w:r w:rsidR="00B55784" w:rsidRPr="00907042">
        <w:rPr>
          <w:lang w:val="hu-HU"/>
        </w:rPr>
        <w:t>(2011) 1.</w:t>
      </w:r>
      <w:r w:rsidR="0002125D">
        <w:rPr>
          <w:lang w:val="hu-HU"/>
        </w:rPr>
        <w:t xml:space="preserve"> sz.</w:t>
      </w:r>
      <w:r w:rsidR="00B55784" w:rsidRPr="00907042">
        <w:rPr>
          <w:lang w:val="hu-HU"/>
        </w:rPr>
        <w:t xml:space="preserve"> 3–38.; </w:t>
      </w:r>
      <w:r w:rsidRPr="00907042">
        <w:rPr>
          <w:lang w:val="hu-HU"/>
        </w:rPr>
        <w:t xml:space="preserve">Vonyó József: </w:t>
      </w:r>
      <w:r w:rsidRPr="0002125D">
        <w:rPr>
          <w:i/>
          <w:iCs/>
          <w:lang w:val="hu-HU"/>
        </w:rPr>
        <w:t>Gömbös Gyula és a hatalom. Egy politikussá lett katonatiszt.</w:t>
      </w:r>
      <w:r w:rsidRPr="00907042">
        <w:rPr>
          <w:lang w:val="hu-HU"/>
        </w:rPr>
        <w:t xml:space="preserve"> Pécs: Kronosz Kiadó, 2018. </w:t>
      </w:r>
      <w:r w:rsidR="00687C66" w:rsidRPr="00907042">
        <w:rPr>
          <w:lang w:val="hu-HU"/>
        </w:rPr>
        <w:t>186</w:t>
      </w:r>
      <w:r w:rsidR="0002125D">
        <w:rPr>
          <w:lang w:val="hu-HU"/>
        </w:rPr>
        <w:t>–</w:t>
      </w:r>
      <w:r w:rsidR="00687C66" w:rsidRPr="00907042">
        <w:rPr>
          <w:lang w:val="hu-HU"/>
        </w:rPr>
        <w:t>280.</w:t>
      </w:r>
    </w:p>
  </w:footnote>
  <w:footnote w:id="85">
    <w:p w14:paraId="621ED639" w14:textId="60940794" w:rsidR="00065284" w:rsidRPr="00907042" w:rsidRDefault="00065284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Püski Levente: </w:t>
      </w:r>
      <w:r w:rsidR="00B15DCE" w:rsidRPr="00907042">
        <w:rPr>
          <w:lang w:val="hu-HU"/>
        </w:rPr>
        <w:t>Magyarország politikai berendezkedése a két világháború között.</w:t>
      </w:r>
      <w:r w:rsidR="0002125D">
        <w:rPr>
          <w:lang w:val="hu-HU"/>
        </w:rPr>
        <w:t xml:space="preserve"> </w:t>
      </w:r>
      <w:r w:rsidR="0002125D" w:rsidRPr="00E264ED">
        <w:rPr>
          <w:i/>
          <w:iCs/>
          <w:lang w:val="hu-HU"/>
        </w:rPr>
        <w:t>Korunk,</w:t>
      </w:r>
      <w:r w:rsidR="0002125D" w:rsidRPr="00907042">
        <w:rPr>
          <w:lang w:val="hu-HU"/>
        </w:rPr>
        <w:t xml:space="preserve"> </w:t>
      </w:r>
      <w:r w:rsidR="0002125D">
        <w:rPr>
          <w:lang w:val="hu-HU"/>
        </w:rPr>
        <w:t>23. évf. (</w:t>
      </w:r>
      <w:r w:rsidR="0002125D" w:rsidRPr="00907042">
        <w:rPr>
          <w:lang w:val="hu-HU"/>
        </w:rPr>
        <w:t>2012</w:t>
      </w:r>
      <w:r w:rsidR="0002125D">
        <w:rPr>
          <w:lang w:val="hu-HU"/>
        </w:rPr>
        <w:t>)</w:t>
      </w:r>
      <w:r w:rsidR="0002125D" w:rsidRPr="00907042">
        <w:rPr>
          <w:lang w:val="hu-HU"/>
        </w:rPr>
        <w:t xml:space="preserve"> 11. sz.</w:t>
      </w:r>
      <w:r w:rsidRPr="00907042">
        <w:rPr>
          <w:lang w:val="hu-HU"/>
        </w:rPr>
        <w:t xml:space="preserve"> 22</w:t>
      </w:r>
      <w:r w:rsidR="0002125D">
        <w:rPr>
          <w:lang w:val="hu-HU"/>
        </w:rPr>
        <w:t>–</w:t>
      </w:r>
      <w:r w:rsidRPr="00907042">
        <w:rPr>
          <w:lang w:val="hu-HU"/>
        </w:rPr>
        <w:t>2</w:t>
      </w:r>
      <w:r w:rsidR="0002125D">
        <w:rPr>
          <w:lang w:val="hu-HU"/>
        </w:rPr>
        <w:t>3.</w:t>
      </w:r>
    </w:p>
  </w:footnote>
  <w:footnote w:id="86">
    <w:p w14:paraId="4761DA2B" w14:textId="3FAE8621" w:rsidR="0062503B" w:rsidRPr="0062503B" w:rsidRDefault="0062503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62503B">
        <w:rPr>
          <w:lang w:val="hu-HU"/>
        </w:rPr>
        <w:t xml:space="preserve"> </w:t>
      </w:r>
      <w:r>
        <w:rPr>
          <w:lang w:val="hu-HU"/>
        </w:rPr>
        <w:t xml:space="preserve">Püski Levente: </w:t>
      </w:r>
      <w:r w:rsidRPr="0062503B">
        <w:rPr>
          <w:i/>
          <w:iCs/>
          <w:lang w:val="hu-HU"/>
        </w:rPr>
        <w:t>A Horthy-rendszer (1919–1945)</w:t>
      </w:r>
      <w:r>
        <w:rPr>
          <w:lang w:val="hu-HU"/>
        </w:rPr>
        <w:t>. Budapest: Pannonica, 2006. 265.</w:t>
      </w:r>
    </w:p>
  </w:footnote>
  <w:footnote w:id="87">
    <w:p w14:paraId="3F295BE3" w14:textId="03685229" w:rsidR="0029755C" w:rsidRPr="00907042" w:rsidRDefault="0029755C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Püski Levente: Magyarország politikai berendezkedése a két világháború között</w:t>
      </w:r>
      <w:r w:rsidR="0002125D">
        <w:rPr>
          <w:lang w:val="hu-HU"/>
        </w:rPr>
        <w:t>,</w:t>
      </w:r>
      <w:r w:rsidRPr="00907042">
        <w:rPr>
          <w:lang w:val="hu-HU"/>
        </w:rPr>
        <w:t xml:space="preserve"> 22</w:t>
      </w:r>
      <w:r w:rsidR="00E264ED">
        <w:rPr>
          <w:lang w:val="hu-HU"/>
        </w:rPr>
        <w:t>–</w:t>
      </w:r>
      <w:r w:rsidRPr="00907042">
        <w:rPr>
          <w:lang w:val="hu-HU"/>
        </w:rPr>
        <w:t>23.</w:t>
      </w:r>
    </w:p>
  </w:footnote>
  <w:footnote w:id="88">
    <w:p w14:paraId="7A8062E7" w14:textId="66ABD9BD" w:rsidR="0062503B" w:rsidRPr="00907042" w:rsidRDefault="0062503B" w:rsidP="0062503B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Paksa Rudolf: Szélsőjobboldali mozgalmak az 1930-as években. In: </w:t>
      </w:r>
      <w:r>
        <w:rPr>
          <w:lang w:val="hu-HU"/>
        </w:rPr>
        <w:t xml:space="preserve">Romsics Ignác (szerk.): </w:t>
      </w:r>
      <w:r w:rsidRPr="00B473CD">
        <w:rPr>
          <w:i/>
          <w:iCs/>
          <w:lang w:val="hu-HU"/>
        </w:rPr>
        <w:t>A magyar jobboldali hagyomány, 1900–1948.</w:t>
      </w:r>
      <w:r w:rsidRPr="00907042">
        <w:rPr>
          <w:lang w:val="hu-HU"/>
        </w:rPr>
        <w:t xml:space="preserve"> </w:t>
      </w:r>
      <w:r>
        <w:rPr>
          <w:lang w:val="hu-HU"/>
        </w:rPr>
        <w:t xml:space="preserve">Budapest: Osiris, 2009. </w:t>
      </w:r>
      <w:r w:rsidR="0048035E">
        <w:rPr>
          <w:lang w:val="hu-HU"/>
        </w:rPr>
        <w:t>275</w:t>
      </w:r>
      <w:r>
        <w:rPr>
          <w:lang w:val="hu-HU"/>
        </w:rPr>
        <w:t>–</w:t>
      </w:r>
      <w:r w:rsidRPr="00907042">
        <w:rPr>
          <w:lang w:val="hu-HU"/>
        </w:rPr>
        <w:t>30</w:t>
      </w:r>
      <w:r w:rsidR="0048035E">
        <w:rPr>
          <w:lang w:val="hu-HU"/>
        </w:rPr>
        <w:t>4</w:t>
      </w:r>
      <w:r w:rsidRPr="00907042">
        <w:rPr>
          <w:lang w:val="hu-HU"/>
        </w:rPr>
        <w:t>.</w:t>
      </w:r>
    </w:p>
  </w:footnote>
  <w:footnote w:id="89">
    <w:p w14:paraId="37BAAB90" w14:textId="639A2C01" w:rsidR="0062503B" w:rsidRPr="0062503B" w:rsidRDefault="0062503B" w:rsidP="0062503B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62503B">
        <w:rPr>
          <w:lang w:val="hu-HU"/>
        </w:rPr>
        <w:t xml:space="preserve"> </w:t>
      </w:r>
      <w:r>
        <w:rPr>
          <w:lang w:val="hu-HU"/>
        </w:rPr>
        <w:t xml:space="preserve">Paksa Rudolf: </w:t>
      </w:r>
      <w:r w:rsidRPr="0062503B">
        <w:rPr>
          <w:i/>
          <w:iCs/>
          <w:lang w:val="hu-HU"/>
        </w:rPr>
        <w:t>Magyar nemzetiszocialisták. Az 1930-as évek új szélsőjobboldali mozgalma, pártjai, politikusai, sajtója</w:t>
      </w:r>
      <w:r>
        <w:rPr>
          <w:lang w:val="hu-HU"/>
        </w:rPr>
        <w:t>. Budapest: Osiris, 2013. 104–120.</w:t>
      </w:r>
    </w:p>
  </w:footnote>
  <w:footnote w:id="90">
    <w:p w14:paraId="15A6FF0F" w14:textId="22F29611" w:rsidR="007B1A0B" w:rsidRPr="00907042" w:rsidRDefault="007B1A0B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Ungváry Krisztián: </w:t>
      </w:r>
      <w:r w:rsidRPr="00E264ED">
        <w:rPr>
          <w:i/>
          <w:iCs/>
          <w:lang w:val="hu-HU"/>
        </w:rPr>
        <w:t>A Horthy-rendszer és antiszemitizmusának mérlege.</w:t>
      </w:r>
      <w:r w:rsidR="00B15DCE" w:rsidRPr="00E264ED">
        <w:rPr>
          <w:i/>
          <w:iCs/>
          <w:lang w:val="hu-HU"/>
        </w:rPr>
        <w:t xml:space="preserve"> Diszkrimináció és társadalompolitika Magyarországon, 1919</w:t>
      </w:r>
      <w:r w:rsidR="00E264ED" w:rsidRPr="00E264ED">
        <w:rPr>
          <w:i/>
          <w:iCs/>
          <w:lang w:val="hu-HU"/>
        </w:rPr>
        <w:t>–</w:t>
      </w:r>
      <w:r w:rsidR="00B15DCE" w:rsidRPr="00E264ED">
        <w:rPr>
          <w:i/>
          <w:iCs/>
          <w:lang w:val="hu-HU"/>
        </w:rPr>
        <w:t>1944.</w:t>
      </w:r>
      <w:r w:rsidRPr="00907042">
        <w:rPr>
          <w:lang w:val="hu-HU"/>
        </w:rPr>
        <w:t xml:space="preserve"> </w:t>
      </w:r>
      <w:r w:rsidR="00B15DCE" w:rsidRPr="00907042">
        <w:rPr>
          <w:lang w:val="hu-HU"/>
        </w:rPr>
        <w:t xml:space="preserve">Pécs: Jelenkor, 2016.  </w:t>
      </w:r>
    </w:p>
  </w:footnote>
  <w:footnote w:id="91">
    <w:p w14:paraId="1A3B7F02" w14:textId="36AE112F" w:rsidR="00CA38F5" w:rsidRPr="00CA38F5" w:rsidRDefault="00CA38F5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CA38F5">
        <w:rPr>
          <w:lang w:val="hu-HU"/>
        </w:rPr>
        <w:t xml:space="preserve"> </w:t>
      </w:r>
      <w:r>
        <w:rPr>
          <w:lang w:val="hu-HU"/>
        </w:rPr>
        <w:t xml:space="preserve">Romsics Ignác: </w:t>
      </w:r>
      <w:r w:rsidRPr="00CA38F5">
        <w:rPr>
          <w:i/>
          <w:iCs/>
          <w:lang w:val="hu-HU"/>
        </w:rPr>
        <w:t>Magyarország története a XX. században</w:t>
      </w:r>
      <w:r>
        <w:rPr>
          <w:lang w:val="hu-HU"/>
        </w:rPr>
        <w:t xml:space="preserve">. Budapest: Osiris, 2010. </w:t>
      </w:r>
    </w:p>
  </w:footnote>
  <w:footnote w:id="92">
    <w:p w14:paraId="11EA9EFB" w14:textId="33785F7E" w:rsidR="00CB0165" w:rsidRPr="00907042" w:rsidRDefault="00CB0165" w:rsidP="00BC6466">
      <w:pPr>
        <w:pStyle w:val="Lbjegyzetszveg"/>
        <w:jc w:val="both"/>
        <w:rPr>
          <w:lang w:val="hu-HU"/>
        </w:rPr>
      </w:pPr>
      <w:r w:rsidRPr="00907042">
        <w:rPr>
          <w:rStyle w:val="Lbjegyzet-hivatkozs"/>
        </w:rPr>
        <w:footnoteRef/>
      </w:r>
      <w:r w:rsidRPr="00907042">
        <w:rPr>
          <w:lang w:val="hu-HU"/>
        </w:rPr>
        <w:t xml:space="preserve"> Püski: </w:t>
      </w:r>
      <w:r w:rsidR="00B15DCE" w:rsidRPr="00907042">
        <w:rPr>
          <w:lang w:val="hu-HU"/>
        </w:rPr>
        <w:t>Magyarország politikai berendezkedése a két világháború között</w:t>
      </w:r>
      <w:r w:rsidRPr="00907042">
        <w:rPr>
          <w:lang w:val="hu-HU"/>
        </w:rPr>
        <w:t>, 25.</w:t>
      </w:r>
    </w:p>
  </w:footnote>
  <w:footnote w:id="93">
    <w:p w14:paraId="39D5505F" w14:textId="77777777" w:rsidR="0048035E" w:rsidRPr="002867E1" w:rsidRDefault="0048035E" w:rsidP="0048035E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2867E1">
        <w:rPr>
          <w:lang w:val="hu-HU"/>
        </w:rPr>
        <w:t xml:space="preserve"> Dorottya Szikra</w:t>
      </w:r>
      <w:r>
        <w:rPr>
          <w:lang w:val="hu-HU"/>
        </w:rPr>
        <w:t xml:space="preserve"> – Béla Tomka:</w:t>
      </w:r>
      <w:r w:rsidRPr="002867E1">
        <w:rPr>
          <w:lang w:val="hu-HU"/>
        </w:rPr>
        <w:t xml:space="preserve"> Social Policy in East Central Europe: Major Trends in the 20th Century</w:t>
      </w:r>
      <w:r>
        <w:rPr>
          <w:lang w:val="hu-HU"/>
        </w:rPr>
        <w:t>. I</w:t>
      </w:r>
      <w:r w:rsidRPr="002867E1">
        <w:rPr>
          <w:lang w:val="hu-HU"/>
        </w:rPr>
        <w:t>n</w:t>
      </w:r>
      <w:r>
        <w:rPr>
          <w:lang w:val="hu-HU"/>
        </w:rPr>
        <w:t>:</w:t>
      </w:r>
      <w:r w:rsidRPr="002867E1">
        <w:rPr>
          <w:lang w:val="hu-HU"/>
        </w:rPr>
        <w:t xml:space="preserve"> Alfio Cerami – Peter Vanhuysee </w:t>
      </w:r>
      <w:r>
        <w:rPr>
          <w:lang w:val="hu-HU"/>
        </w:rPr>
        <w:t>(</w:t>
      </w:r>
      <w:r w:rsidRPr="002867E1">
        <w:rPr>
          <w:lang w:val="hu-HU"/>
        </w:rPr>
        <w:t>eds.</w:t>
      </w:r>
      <w:r>
        <w:rPr>
          <w:lang w:val="hu-HU"/>
        </w:rPr>
        <w:t>):</w:t>
      </w:r>
      <w:r w:rsidRPr="002867E1">
        <w:rPr>
          <w:lang w:val="hu-HU"/>
        </w:rPr>
        <w:t xml:space="preserve"> </w:t>
      </w:r>
      <w:r w:rsidRPr="00B473CD">
        <w:rPr>
          <w:i/>
          <w:iCs/>
          <w:lang w:val="hu-HU"/>
        </w:rPr>
        <w:t>Post-Communist Welfare Pathways: Theorizing Social Policy Transformations in Central and Eastern Europe.</w:t>
      </w:r>
      <w:r w:rsidRPr="002867E1">
        <w:rPr>
          <w:lang w:val="hu-HU"/>
        </w:rPr>
        <w:t xml:space="preserve"> Basingstoke: Palgrave Macmillan, 2009</w:t>
      </w:r>
      <w:r>
        <w:rPr>
          <w:lang w:val="hu-HU"/>
        </w:rPr>
        <w:t>.</w:t>
      </w:r>
      <w:r w:rsidRPr="002867E1">
        <w:rPr>
          <w:lang w:val="hu-HU"/>
        </w:rPr>
        <w:t xml:space="preserve"> 17</w:t>
      </w:r>
      <w:r>
        <w:rPr>
          <w:lang w:val="hu-HU"/>
        </w:rPr>
        <w:t>–</w:t>
      </w:r>
      <w:r w:rsidRPr="002867E1">
        <w:rPr>
          <w:lang w:val="hu-HU"/>
        </w:rPr>
        <w:t>34.</w:t>
      </w:r>
    </w:p>
  </w:footnote>
  <w:footnote w:id="94">
    <w:p w14:paraId="553E1CEA" w14:textId="508FE0D3" w:rsidR="002867E1" w:rsidRPr="00907042" w:rsidRDefault="002867E1" w:rsidP="00BC6466">
      <w:pPr>
        <w:pStyle w:val="Lbjegyzetszveg"/>
        <w:jc w:val="both"/>
        <w:rPr>
          <w:lang w:val="hu-HU"/>
        </w:rPr>
      </w:pPr>
      <w:r w:rsidRPr="00C92C5C">
        <w:rPr>
          <w:rStyle w:val="Lbjegyzet-hivatkozs"/>
        </w:rPr>
        <w:footnoteRef/>
      </w:r>
      <w:r w:rsidRPr="00C92C5C">
        <w:rPr>
          <w:lang w:val="hu-HU"/>
        </w:rPr>
        <w:t xml:space="preserve"> Gyáni Gábor: </w:t>
      </w:r>
      <w:r w:rsidRPr="00C92C5C">
        <w:rPr>
          <w:i/>
          <w:iCs/>
          <w:lang w:val="hu-HU"/>
        </w:rPr>
        <w:t>A szociálpolitika múltja Magyarországon.</w:t>
      </w:r>
      <w:r w:rsidRPr="00C92C5C">
        <w:rPr>
          <w:lang w:val="hu-HU"/>
        </w:rPr>
        <w:t xml:space="preserve"> Budapest: MTA Történettudományi Intézet, 1994.</w:t>
      </w:r>
    </w:p>
  </w:footnote>
  <w:footnote w:id="95">
    <w:p w14:paraId="641547CE" w14:textId="77777777" w:rsidR="0048035E" w:rsidRPr="002867E1" w:rsidRDefault="0048035E" w:rsidP="0048035E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2867E1">
        <w:rPr>
          <w:lang w:val="hu-HU"/>
        </w:rPr>
        <w:t xml:space="preserve"> </w:t>
      </w:r>
      <w:r>
        <w:rPr>
          <w:lang w:val="hu-HU"/>
        </w:rPr>
        <w:t xml:space="preserve">Tomka Béla: </w:t>
      </w:r>
      <w:r w:rsidRPr="00B473CD">
        <w:rPr>
          <w:i/>
          <w:iCs/>
          <w:lang w:val="hu-HU"/>
        </w:rPr>
        <w:t>Szociálpolitika a 20. századi Magyarországon európai perspektívában.</w:t>
      </w:r>
      <w:r>
        <w:rPr>
          <w:lang w:val="hu-HU"/>
        </w:rPr>
        <w:t xml:space="preserve"> </w:t>
      </w:r>
      <w:r w:rsidRPr="002867E1">
        <w:rPr>
          <w:lang w:val="hu-HU"/>
        </w:rPr>
        <w:t>Budapest: Századvég, 2003</w:t>
      </w:r>
      <w:r>
        <w:rPr>
          <w:lang w:val="hu-HU"/>
        </w:rPr>
        <w:t>. 83–84.</w:t>
      </w:r>
    </w:p>
  </w:footnote>
  <w:footnote w:id="96">
    <w:p w14:paraId="046D1689" w14:textId="1610CCC4" w:rsidR="00CA38F5" w:rsidRPr="00CA38F5" w:rsidRDefault="00CA38F5" w:rsidP="00BC6466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CA38F5">
        <w:rPr>
          <w:lang w:val="hu-HU"/>
        </w:rPr>
        <w:t xml:space="preserve"> </w:t>
      </w:r>
      <w:r>
        <w:rPr>
          <w:lang w:val="hu-HU"/>
        </w:rPr>
        <w:t xml:space="preserve">Ungváry: </w:t>
      </w:r>
      <w:r w:rsidRPr="00E264ED">
        <w:rPr>
          <w:i/>
          <w:iCs/>
          <w:lang w:val="hu-HU"/>
        </w:rPr>
        <w:t>A Horthy-rendszer és antiszemitizmusának mérlege</w:t>
      </w:r>
      <w:r>
        <w:rPr>
          <w:i/>
          <w:iCs/>
          <w:lang w:val="hu-HU"/>
        </w:rPr>
        <w:t>.</w:t>
      </w:r>
      <w:r w:rsidR="00314EE0">
        <w:rPr>
          <w:i/>
          <w:iCs/>
          <w:lang w:val="hu-H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699B"/>
    <w:multiLevelType w:val="hybridMultilevel"/>
    <w:tmpl w:val="5AA49DA8"/>
    <w:lvl w:ilvl="0" w:tplc="127685B0">
      <w:start w:val="1933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A46D99"/>
    <w:multiLevelType w:val="hybridMultilevel"/>
    <w:tmpl w:val="F48683DE"/>
    <w:lvl w:ilvl="0" w:tplc="36469AB8">
      <w:start w:val="193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3817"/>
    <w:multiLevelType w:val="hybridMultilevel"/>
    <w:tmpl w:val="8D00B8D4"/>
    <w:lvl w:ilvl="0" w:tplc="449095A0">
      <w:start w:val="193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4237D"/>
    <w:multiLevelType w:val="hybridMultilevel"/>
    <w:tmpl w:val="BFB62A0C"/>
    <w:lvl w:ilvl="0" w:tplc="99085218">
      <w:start w:val="193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638EF"/>
    <w:multiLevelType w:val="hybridMultilevel"/>
    <w:tmpl w:val="926E2608"/>
    <w:lvl w:ilvl="0" w:tplc="C65EBEAE">
      <w:start w:val="1933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4536205">
    <w:abstractNumId w:val="1"/>
  </w:num>
  <w:num w:numId="2" w16cid:durableId="1845976230">
    <w:abstractNumId w:val="4"/>
  </w:num>
  <w:num w:numId="3" w16cid:durableId="1801876840">
    <w:abstractNumId w:val="2"/>
  </w:num>
  <w:num w:numId="4" w16cid:durableId="627053861">
    <w:abstractNumId w:val="0"/>
  </w:num>
  <w:num w:numId="5" w16cid:durableId="184296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A6"/>
    <w:rsid w:val="0002125D"/>
    <w:rsid w:val="000219CE"/>
    <w:rsid w:val="000358A3"/>
    <w:rsid w:val="00056091"/>
    <w:rsid w:val="00056A40"/>
    <w:rsid w:val="00065284"/>
    <w:rsid w:val="0008165B"/>
    <w:rsid w:val="000B395A"/>
    <w:rsid w:val="000B420A"/>
    <w:rsid w:val="001004DC"/>
    <w:rsid w:val="00104D36"/>
    <w:rsid w:val="00105CBF"/>
    <w:rsid w:val="00111DDF"/>
    <w:rsid w:val="00116DD7"/>
    <w:rsid w:val="001301BF"/>
    <w:rsid w:val="001327E8"/>
    <w:rsid w:val="00175C4F"/>
    <w:rsid w:val="00183303"/>
    <w:rsid w:val="001C0607"/>
    <w:rsid w:val="001E7280"/>
    <w:rsid w:val="001F176B"/>
    <w:rsid w:val="00241FC2"/>
    <w:rsid w:val="002867E1"/>
    <w:rsid w:val="002870E9"/>
    <w:rsid w:val="002972E8"/>
    <w:rsid w:val="0029755C"/>
    <w:rsid w:val="002A732D"/>
    <w:rsid w:val="002B5E3C"/>
    <w:rsid w:val="002C4990"/>
    <w:rsid w:val="002C6069"/>
    <w:rsid w:val="002D1BFA"/>
    <w:rsid w:val="0030159E"/>
    <w:rsid w:val="003102C6"/>
    <w:rsid w:val="00314EE0"/>
    <w:rsid w:val="00320361"/>
    <w:rsid w:val="00327281"/>
    <w:rsid w:val="00343FB4"/>
    <w:rsid w:val="00344DB5"/>
    <w:rsid w:val="00361131"/>
    <w:rsid w:val="00382248"/>
    <w:rsid w:val="0039797E"/>
    <w:rsid w:val="003B1D36"/>
    <w:rsid w:val="003C5114"/>
    <w:rsid w:val="003C6BCA"/>
    <w:rsid w:val="003E397A"/>
    <w:rsid w:val="003F3FB9"/>
    <w:rsid w:val="00402745"/>
    <w:rsid w:val="0041668F"/>
    <w:rsid w:val="00433FB7"/>
    <w:rsid w:val="004371FE"/>
    <w:rsid w:val="00437278"/>
    <w:rsid w:val="004668B0"/>
    <w:rsid w:val="00474002"/>
    <w:rsid w:val="0048035E"/>
    <w:rsid w:val="004A2B25"/>
    <w:rsid w:val="004C12FF"/>
    <w:rsid w:val="004D2DC3"/>
    <w:rsid w:val="004D43D7"/>
    <w:rsid w:val="0050664E"/>
    <w:rsid w:val="0051260E"/>
    <w:rsid w:val="00514A9D"/>
    <w:rsid w:val="005177C6"/>
    <w:rsid w:val="00522750"/>
    <w:rsid w:val="00542E94"/>
    <w:rsid w:val="005604FD"/>
    <w:rsid w:val="00560BFD"/>
    <w:rsid w:val="00564588"/>
    <w:rsid w:val="00565904"/>
    <w:rsid w:val="005678FD"/>
    <w:rsid w:val="00574FA6"/>
    <w:rsid w:val="005843F3"/>
    <w:rsid w:val="005C2F37"/>
    <w:rsid w:val="005D68D6"/>
    <w:rsid w:val="005E6F78"/>
    <w:rsid w:val="005F669B"/>
    <w:rsid w:val="006023D7"/>
    <w:rsid w:val="00605B4F"/>
    <w:rsid w:val="0061079E"/>
    <w:rsid w:val="00611972"/>
    <w:rsid w:val="0062503B"/>
    <w:rsid w:val="006273DE"/>
    <w:rsid w:val="0063041A"/>
    <w:rsid w:val="00655FED"/>
    <w:rsid w:val="0067175E"/>
    <w:rsid w:val="00676FCD"/>
    <w:rsid w:val="00687C66"/>
    <w:rsid w:val="006A68F0"/>
    <w:rsid w:val="006B33F8"/>
    <w:rsid w:val="006D5324"/>
    <w:rsid w:val="006E2D41"/>
    <w:rsid w:val="006E4DB4"/>
    <w:rsid w:val="00731EBF"/>
    <w:rsid w:val="007355C1"/>
    <w:rsid w:val="007424EF"/>
    <w:rsid w:val="007520E0"/>
    <w:rsid w:val="0075544A"/>
    <w:rsid w:val="0077718F"/>
    <w:rsid w:val="00797835"/>
    <w:rsid w:val="007A4B23"/>
    <w:rsid w:val="007A696C"/>
    <w:rsid w:val="007B1A0B"/>
    <w:rsid w:val="007C70BF"/>
    <w:rsid w:val="007D1FF1"/>
    <w:rsid w:val="00802CC2"/>
    <w:rsid w:val="00842BC6"/>
    <w:rsid w:val="00850A4C"/>
    <w:rsid w:val="00855E19"/>
    <w:rsid w:val="00862C58"/>
    <w:rsid w:val="00863164"/>
    <w:rsid w:val="00892A40"/>
    <w:rsid w:val="008B34DB"/>
    <w:rsid w:val="008B66B3"/>
    <w:rsid w:val="008C40C8"/>
    <w:rsid w:val="008D4011"/>
    <w:rsid w:val="008E4340"/>
    <w:rsid w:val="008E511A"/>
    <w:rsid w:val="00903D3B"/>
    <w:rsid w:val="00907042"/>
    <w:rsid w:val="00907F09"/>
    <w:rsid w:val="00911009"/>
    <w:rsid w:val="00922CD4"/>
    <w:rsid w:val="009248BE"/>
    <w:rsid w:val="00931A42"/>
    <w:rsid w:val="00944D86"/>
    <w:rsid w:val="00946EC4"/>
    <w:rsid w:val="00950536"/>
    <w:rsid w:val="009531FF"/>
    <w:rsid w:val="00955195"/>
    <w:rsid w:val="009606D6"/>
    <w:rsid w:val="009A00C9"/>
    <w:rsid w:val="009D3165"/>
    <w:rsid w:val="009F108E"/>
    <w:rsid w:val="009F160F"/>
    <w:rsid w:val="009F4FE6"/>
    <w:rsid w:val="00A107B1"/>
    <w:rsid w:val="00A155B3"/>
    <w:rsid w:val="00A43F5C"/>
    <w:rsid w:val="00A54022"/>
    <w:rsid w:val="00A6499D"/>
    <w:rsid w:val="00A776A2"/>
    <w:rsid w:val="00AA595E"/>
    <w:rsid w:val="00AA7AF6"/>
    <w:rsid w:val="00AC261D"/>
    <w:rsid w:val="00AC69C8"/>
    <w:rsid w:val="00AD47B9"/>
    <w:rsid w:val="00AE1720"/>
    <w:rsid w:val="00AF0AAC"/>
    <w:rsid w:val="00B107F3"/>
    <w:rsid w:val="00B14C2D"/>
    <w:rsid w:val="00B15DCE"/>
    <w:rsid w:val="00B4049C"/>
    <w:rsid w:val="00B473CD"/>
    <w:rsid w:val="00B47D58"/>
    <w:rsid w:val="00B54D9E"/>
    <w:rsid w:val="00B54F06"/>
    <w:rsid w:val="00B55784"/>
    <w:rsid w:val="00B83DE7"/>
    <w:rsid w:val="00BA4705"/>
    <w:rsid w:val="00BB245E"/>
    <w:rsid w:val="00BB4472"/>
    <w:rsid w:val="00BC060E"/>
    <w:rsid w:val="00BC6466"/>
    <w:rsid w:val="00BE5AEE"/>
    <w:rsid w:val="00C004C8"/>
    <w:rsid w:val="00C13901"/>
    <w:rsid w:val="00C20E02"/>
    <w:rsid w:val="00C31206"/>
    <w:rsid w:val="00C64DF1"/>
    <w:rsid w:val="00C70FCF"/>
    <w:rsid w:val="00C92C5C"/>
    <w:rsid w:val="00CA38F5"/>
    <w:rsid w:val="00CA3F7B"/>
    <w:rsid w:val="00CB0165"/>
    <w:rsid w:val="00CB22C5"/>
    <w:rsid w:val="00CB54B4"/>
    <w:rsid w:val="00CD1DD5"/>
    <w:rsid w:val="00CE25B8"/>
    <w:rsid w:val="00CE2A29"/>
    <w:rsid w:val="00D0710C"/>
    <w:rsid w:val="00D10FAE"/>
    <w:rsid w:val="00D14E99"/>
    <w:rsid w:val="00D26FCA"/>
    <w:rsid w:val="00D609FC"/>
    <w:rsid w:val="00D663E9"/>
    <w:rsid w:val="00D7611A"/>
    <w:rsid w:val="00D76D49"/>
    <w:rsid w:val="00D913BE"/>
    <w:rsid w:val="00D914C4"/>
    <w:rsid w:val="00D974AF"/>
    <w:rsid w:val="00DA463E"/>
    <w:rsid w:val="00DB61BF"/>
    <w:rsid w:val="00DB6FE0"/>
    <w:rsid w:val="00DC7F77"/>
    <w:rsid w:val="00DD41EC"/>
    <w:rsid w:val="00E07971"/>
    <w:rsid w:val="00E16A91"/>
    <w:rsid w:val="00E17A1D"/>
    <w:rsid w:val="00E264ED"/>
    <w:rsid w:val="00E523EB"/>
    <w:rsid w:val="00E6517B"/>
    <w:rsid w:val="00E65FD2"/>
    <w:rsid w:val="00E75DE0"/>
    <w:rsid w:val="00E7624D"/>
    <w:rsid w:val="00EA6C96"/>
    <w:rsid w:val="00F14ACB"/>
    <w:rsid w:val="00F16A0F"/>
    <w:rsid w:val="00F413B0"/>
    <w:rsid w:val="00F45596"/>
    <w:rsid w:val="00F66AAE"/>
    <w:rsid w:val="00F9416D"/>
    <w:rsid w:val="00F94E4F"/>
    <w:rsid w:val="00FB2028"/>
    <w:rsid w:val="00FB2D48"/>
    <w:rsid w:val="00FB77C6"/>
    <w:rsid w:val="00FC5356"/>
    <w:rsid w:val="00FC69FA"/>
    <w:rsid w:val="00FD0AA6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3369"/>
  <w15:chartTrackingRefBased/>
  <w15:docId w15:val="{0FED4EDA-3970-4C43-95BF-9FB2C731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4FA6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kern w:val="0"/>
      <w:szCs w:val="24"/>
      <w:lang w:val="de-DE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574FA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llbChar">
    <w:name w:val="Élőláb Char"/>
    <w:basedOn w:val="Bekezdsalapbettpusa"/>
    <w:link w:val="llb"/>
    <w:uiPriority w:val="99"/>
    <w:rsid w:val="00574FA6"/>
    <w:rPr>
      <w:rFonts w:eastAsia="Times New Roman" w:cs="Times New Roman"/>
      <w:kern w:val="0"/>
      <w:szCs w:val="24"/>
      <w:lang w:val="de-DE" w:eastAsia="x-none"/>
      <w14:ligatures w14:val="none"/>
    </w:rPr>
  </w:style>
  <w:style w:type="paragraph" w:styleId="Lbjegyzetszveg">
    <w:name w:val="footnote text"/>
    <w:basedOn w:val="Norml"/>
    <w:link w:val="LbjegyzetszvegChar"/>
    <w:semiHidden/>
    <w:rsid w:val="00574FA6"/>
    <w:rPr>
      <w:sz w:val="20"/>
      <w:szCs w:val="20"/>
      <w:lang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4FA6"/>
    <w:rPr>
      <w:rFonts w:eastAsia="Times New Roman" w:cs="Times New Roman"/>
      <w:kern w:val="0"/>
      <w:sz w:val="20"/>
      <w:szCs w:val="20"/>
      <w:lang w:val="de-DE" w:eastAsia="x-none"/>
      <w14:ligatures w14:val="none"/>
    </w:rPr>
  </w:style>
  <w:style w:type="character" w:styleId="Lbjegyzet-hivatkozs">
    <w:name w:val="footnote reference"/>
    <w:semiHidden/>
    <w:rsid w:val="00574FA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74F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4FA6"/>
    <w:rPr>
      <w:rFonts w:eastAsia="Times New Roman" w:cs="Times New Roman"/>
      <w:kern w:val="0"/>
      <w:szCs w:val="24"/>
      <w:lang w:val="de-DE" w:eastAsia="hu-HU"/>
      <w14:ligatures w14:val="none"/>
    </w:rPr>
  </w:style>
  <w:style w:type="paragraph" w:styleId="Szvegtrzs">
    <w:name w:val="Body Text"/>
    <w:basedOn w:val="Norml"/>
    <w:link w:val="SzvegtrzsChar"/>
    <w:rsid w:val="00855E1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55E19"/>
    <w:rPr>
      <w:rFonts w:eastAsia="Times New Roman" w:cs="Times New Roman"/>
      <w:kern w:val="0"/>
      <w:szCs w:val="24"/>
      <w:lang w:val="de-DE" w:eastAsia="hu-HU"/>
      <w14:ligatures w14:val="none"/>
    </w:rPr>
  </w:style>
  <w:style w:type="paragraph" w:styleId="Szvegtrzsbehzssal">
    <w:name w:val="Body Text Indent"/>
    <w:basedOn w:val="Norml"/>
    <w:link w:val="SzvegtrzsbehzssalChar"/>
    <w:rsid w:val="00855E19"/>
    <w:pPr>
      <w:widowControl/>
      <w:autoSpaceDE/>
      <w:autoSpaceDN/>
      <w:adjustRightInd/>
      <w:spacing w:after="120"/>
      <w:ind w:left="283"/>
    </w:pPr>
    <w:rPr>
      <w:lang w:val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855E19"/>
    <w:rPr>
      <w:rFonts w:eastAsia="Times New Roman" w:cs="Times New Roman"/>
      <w:kern w:val="0"/>
      <w:szCs w:val="24"/>
      <w:lang w:eastAsia="hu-HU"/>
      <w14:ligatures w14:val="none"/>
    </w:rPr>
  </w:style>
  <w:style w:type="paragraph" w:customStyle="1" w:styleId="Pa41">
    <w:name w:val="Pa41"/>
    <w:basedOn w:val="Norml"/>
    <w:next w:val="Norml"/>
    <w:uiPriority w:val="99"/>
    <w:rsid w:val="00B55784"/>
    <w:pPr>
      <w:widowControl/>
      <w:spacing w:line="181" w:lineRule="atLeast"/>
    </w:pPr>
    <w:rPr>
      <w:rFonts w:ascii="Bembo MT Pro" w:eastAsiaTheme="minorHAnsi" w:hAnsi="Bembo MT Pro" w:cstheme="minorBidi"/>
      <w:lang w:val="hu-HU" w:eastAsia="en-US"/>
      <w14:ligatures w14:val="standardContextual"/>
    </w:rPr>
  </w:style>
  <w:style w:type="paragraph" w:styleId="Listaszerbekezds">
    <w:name w:val="List Paragraph"/>
    <w:basedOn w:val="Norml"/>
    <w:uiPriority w:val="34"/>
    <w:qFormat/>
    <w:rsid w:val="0003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7A50-D72F-449E-A1B9-378FE04E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8531</Words>
  <Characters>58866</Characters>
  <Application>Microsoft Office Word</Application>
  <DocSecurity>0</DocSecurity>
  <Lines>490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Tomka</dc:creator>
  <cp:keywords/>
  <dc:description/>
  <cp:lastModifiedBy>Attila Török</cp:lastModifiedBy>
  <cp:revision>2</cp:revision>
  <cp:lastPrinted>2023-06-24T20:57:00Z</cp:lastPrinted>
  <dcterms:created xsi:type="dcterms:W3CDTF">2023-09-08T08:39:00Z</dcterms:created>
  <dcterms:modified xsi:type="dcterms:W3CDTF">2023-09-08T08:39:00Z</dcterms:modified>
</cp:coreProperties>
</file>