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B7" w:rsidRDefault="004D2BB7" w:rsidP="004D2BB7">
      <w:pPr>
        <w:spacing w:after="0"/>
        <w:jc w:val="center"/>
        <w:rPr>
          <w:rFonts w:ascii="Times New Roman" w:hAnsi="Times New Roman" w:cs="Times New Roman"/>
          <w:sz w:val="28"/>
          <w:szCs w:val="28"/>
          <w:lang w:val="hu-HU"/>
        </w:rPr>
      </w:pPr>
      <w:r>
        <w:rPr>
          <w:rFonts w:ascii="Times New Roman" w:hAnsi="Times New Roman" w:cs="Times New Roman"/>
          <w:sz w:val="28"/>
          <w:szCs w:val="28"/>
          <w:lang w:val="hu-HU"/>
        </w:rPr>
        <w:t>Házas Nikoletta</w:t>
      </w:r>
    </w:p>
    <w:p w:rsidR="004D2BB7" w:rsidRDefault="004D2BB7" w:rsidP="004D2BB7">
      <w:pPr>
        <w:spacing w:after="0"/>
        <w:jc w:val="center"/>
        <w:rPr>
          <w:rFonts w:ascii="Times New Roman" w:hAnsi="Times New Roman" w:cs="Times New Roman"/>
          <w:sz w:val="28"/>
          <w:szCs w:val="28"/>
          <w:lang w:val="hu-HU"/>
        </w:rPr>
      </w:pPr>
    </w:p>
    <w:p w:rsidR="004D2BB7" w:rsidRDefault="004D2BB7" w:rsidP="004D2BB7">
      <w:pPr>
        <w:spacing w:after="0"/>
        <w:jc w:val="center"/>
        <w:rPr>
          <w:rFonts w:ascii="Times New Roman" w:hAnsi="Times New Roman" w:cs="Times New Roman"/>
          <w:i/>
          <w:sz w:val="28"/>
          <w:szCs w:val="28"/>
          <w:lang w:val="hu-HU"/>
        </w:rPr>
      </w:pPr>
      <w:r>
        <w:rPr>
          <w:rFonts w:ascii="Times New Roman" w:hAnsi="Times New Roman" w:cs="Times New Roman"/>
          <w:sz w:val="28"/>
          <w:szCs w:val="28"/>
          <w:lang w:val="hu-HU"/>
        </w:rPr>
        <w:t>ÉROSZ/MÍTOSZ/LOGOSZ</w:t>
      </w:r>
    </w:p>
    <w:p w:rsidR="004D2BB7" w:rsidRDefault="004D2BB7" w:rsidP="004D2BB7">
      <w:pPr>
        <w:spacing w:after="0"/>
        <w:jc w:val="center"/>
        <w:rPr>
          <w:rFonts w:ascii="Times New Roman" w:hAnsi="Times New Roman" w:cs="Times New Roman"/>
          <w:i/>
          <w:sz w:val="28"/>
          <w:szCs w:val="28"/>
          <w:lang w:val="hu-HU"/>
        </w:rPr>
      </w:pPr>
    </w:p>
    <w:p w:rsidR="004D2BB7" w:rsidRDefault="004D2BB7" w:rsidP="004D2BB7">
      <w:pPr>
        <w:spacing w:after="0"/>
        <w:jc w:val="center"/>
        <w:rPr>
          <w:rFonts w:ascii="Times New Roman" w:hAnsi="Times New Roman" w:cs="Times New Roman"/>
          <w:i/>
          <w:sz w:val="28"/>
          <w:szCs w:val="28"/>
          <w:lang w:val="hu-HU"/>
        </w:rPr>
      </w:pPr>
      <w:r>
        <w:rPr>
          <w:rFonts w:ascii="Times New Roman" w:hAnsi="Times New Roman" w:cs="Times New Roman"/>
          <w:i/>
          <w:sz w:val="28"/>
          <w:szCs w:val="28"/>
          <w:lang w:val="hu-HU"/>
        </w:rPr>
        <w:t xml:space="preserve">A barthes-i kutatásmódszertan jellegzetességei </w:t>
      </w:r>
    </w:p>
    <w:p w:rsidR="004D2BB7" w:rsidRDefault="004D2BB7" w:rsidP="004D2BB7">
      <w:pPr>
        <w:spacing w:after="0"/>
        <w:jc w:val="center"/>
        <w:rPr>
          <w:rFonts w:ascii="Times New Roman" w:hAnsi="Times New Roman" w:cs="Times New Roman"/>
          <w:i/>
          <w:sz w:val="28"/>
          <w:szCs w:val="28"/>
          <w:lang w:val="hu-HU"/>
        </w:rPr>
      </w:pPr>
      <w:proofErr w:type="gramStart"/>
      <w:r>
        <w:rPr>
          <w:rFonts w:ascii="Times New Roman" w:hAnsi="Times New Roman" w:cs="Times New Roman"/>
          <w:i/>
          <w:sz w:val="28"/>
          <w:szCs w:val="28"/>
          <w:lang w:val="hu-HU"/>
        </w:rPr>
        <w:t>és</w:t>
      </w:r>
      <w:proofErr w:type="gramEnd"/>
      <w:r>
        <w:rPr>
          <w:rFonts w:ascii="Times New Roman" w:hAnsi="Times New Roman" w:cs="Times New Roman"/>
          <w:i/>
          <w:sz w:val="28"/>
          <w:szCs w:val="28"/>
          <w:lang w:val="hu-HU"/>
        </w:rPr>
        <w:t xml:space="preserve"> alkalmazhatósága a kritikai kultúrakutatásban</w:t>
      </w:r>
    </w:p>
    <w:p w:rsidR="004D2BB7" w:rsidRDefault="004D2BB7" w:rsidP="004D2BB7">
      <w:pPr>
        <w:spacing w:after="0"/>
        <w:jc w:val="center"/>
        <w:rPr>
          <w:rFonts w:ascii="Times New Roman" w:hAnsi="Times New Roman" w:cs="Times New Roman"/>
          <w:sz w:val="20"/>
          <w:szCs w:val="20"/>
          <w:lang w:val="hu-HU"/>
        </w:rPr>
      </w:pPr>
    </w:p>
    <w:p w:rsidR="004D2BB7" w:rsidRDefault="004D2BB7" w:rsidP="004D2BB7">
      <w:pPr>
        <w:spacing w:after="0"/>
        <w:jc w:val="center"/>
        <w:rPr>
          <w:rFonts w:ascii="Times New Roman" w:hAnsi="Times New Roman" w:cs="Times New Roman"/>
          <w:sz w:val="20"/>
          <w:szCs w:val="20"/>
          <w:lang w:val="hu-HU"/>
        </w:rPr>
      </w:pPr>
    </w:p>
    <w:p w:rsidR="004D2BB7" w:rsidRDefault="004D2BB7" w:rsidP="004D2BB7">
      <w:pPr>
        <w:spacing w:after="0"/>
        <w:ind w:left="4875"/>
        <w:jc w:val="both"/>
        <w:rPr>
          <w:rFonts w:ascii="Times New Roman" w:hAnsi="Times New Roman" w:cs="Times New Roman"/>
          <w:sz w:val="20"/>
          <w:szCs w:val="20"/>
          <w:lang w:val="hu-HU"/>
        </w:rPr>
      </w:pPr>
      <w:r>
        <w:rPr>
          <w:rFonts w:ascii="Times New Roman" w:hAnsi="Times New Roman" w:cs="Times New Roman"/>
          <w:sz w:val="20"/>
          <w:szCs w:val="20"/>
          <w:lang w:val="hu-HU"/>
        </w:rPr>
        <w:t>Én ugyanis úgy látom, hogy az emberek egyáltalán nem fogták fel Érosz hatalmát, mert ha felfognák, neki építenék a legnagyobb szentélyeket és oltárokat, neki mutatnák be a legnagyobb áldozatokat, nem úgy, mint most, amikor mindebből nem történik semmi, holott nagyon is szükséges volna. Mert valamennyi isten közül ő a legigazibb barátja az embernek, segítőtársa és orvosa olyan bajokban, amelyekből kigyógyulni a legnagyobb boldogság lenne az emberi nemnek. Megpróbálom hát az ő hatalmát bebizonyítani nektek, s ti azután tanítói lesztek a többieknek</w:t>
      </w:r>
      <w:r>
        <w:rPr>
          <w:rStyle w:val="Lbjegyzet-hivatkozs"/>
        </w:rPr>
        <w:footnoteReference w:id="1"/>
      </w:r>
    </w:p>
    <w:p w:rsidR="004D2BB7" w:rsidRDefault="004D2BB7" w:rsidP="004D2BB7">
      <w:pPr>
        <w:spacing w:after="0"/>
        <w:ind w:left="4875"/>
        <w:jc w:val="both"/>
        <w:rPr>
          <w:rFonts w:ascii="Times New Roman" w:hAnsi="Times New Roman" w:cs="Times New Roman"/>
          <w:sz w:val="24"/>
          <w:szCs w:val="24"/>
          <w:lang w:val="hu-HU"/>
        </w:rPr>
      </w:pPr>
    </w:p>
    <w:p w:rsidR="004D2BB7" w:rsidRDefault="004D2BB7" w:rsidP="004D2BB7">
      <w:pPr>
        <w:tabs>
          <w:tab w:val="left" w:pos="353"/>
          <w:tab w:val="center" w:pos="4536"/>
        </w:tabs>
        <w:spacing w:after="0"/>
        <w:jc w:val="both"/>
        <w:rPr>
          <w:rFonts w:ascii="Times New Roman" w:hAnsi="Times New Roman" w:cs="Times New Roman"/>
          <w:sz w:val="24"/>
          <w:szCs w:val="24"/>
          <w:lang w:val="hu-HU"/>
        </w:rPr>
      </w:pPr>
      <w:r>
        <w:rPr>
          <w:rFonts w:ascii="Times New Roman" w:hAnsi="Times New Roman" w:cs="Times New Roman"/>
          <w:sz w:val="24"/>
          <w:szCs w:val="24"/>
          <w:lang w:val="hu-HU"/>
        </w:rPr>
        <w:tab/>
      </w:r>
      <w:r>
        <w:rPr>
          <w:rFonts w:ascii="Times New Roman" w:hAnsi="Times New Roman" w:cs="Times New Roman"/>
          <w:sz w:val="24"/>
          <w:szCs w:val="24"/>
          <w:lang w:val="hu-HU"/>
        </w:rPr>
        <w:tab/>
      </w:r>
    </w:p>
    <w:p w:rsidR="004D2BB7" w:rsidRDefault="004D2BB7" w:rsidP="004D2BB7">
      <w:pPr>
        <w:tabs>
          <w:tab w:val="left" w:pos="353"/>
          <w:tab w:val="center" w:pos="4536"/>
        </w:tabs>
        <w:spacing w:after="0"/>
        <w:jc w:val="center"/>
        <w:rPr>
          <w:rFonts w:ascii="Times New Roman" w:hAnsi="Times New Roman" w:cs="Times New Roman"/>
          <w:sz w:val="24"/>
          <w:szCs w:val="24"/>
          <w:lang w:val="hu-HU"/>
        </w:rPr>
      </w:pPr>
      <w:r>
        <w:rPr>
          <w:rFonts w:ascii="Times New Roman" w:hAnsi="Times New Roman" w:cs="Times New Roman"/>
          <w:sz w:val="24"/>
          <w:szCs w:val="24"/>
          <w:lang w:val="hu-HU"/>
        </w:rPr>
        <w:t>BARTHES „PRIVÁT MÓDSZERTANA”</w:t>
      </w:r>
    </w:p>
    <w:p w:rsidR="004D2BB7" w:rsidRDefault="004D2BB7" w:rsidP="004D2BB7">
      <w:pPr>
        <w:tabs>
          <w:tab w:val="left" w:pos="353"/>
          <w:tab w:val="center" w:pos="4536"/>
        </w:tabs>
        <w:spacing w:after="0"/>
        <w:jc w:val="both"/>
        <w:rPr>
          <w:rFonts w:ascii="Times New Roman" w:hAnsi="Times New Roman" w:cs="Times New Roman"/>
          <w:sz w:val="24"/>
          <w:szCs w:val="24"/>
          <w:lang w:val="hu-HU"/>
        </w:rPr>
      </w:pPr>
    </w:p>
    <w:p w:rsidR="004D2BB7" w:rsidRDefault="004D2BB7" w:rsidP="004D2BB7">
      <w:pPr>
        <w:spacing w:after="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Tanulmányomban a kultúra hétköznapi jelenségeinek, mítoszainak megértésére irányuló sajátosan Barthes-i módszer főbb jellegzetességeinek körvonalazására teszek kísérletet, azzal a nem titkolt szándékkal, hogy a Barthes-példa alapján rákérdezzek a módszer jelenkori alkalmazhatóságára. Esettanulmánynak a kortárs magyar kultúra egy olyan területét választottam, ahol – hipotézisem szerint – különösen aktívan működnek a társadalom egy jelentős részére ható szerelem-, és párkapcsolat-ideológia előállító és tükröző diskurzusok. Ez a terület nem más, mint a </w:t>
      </w:r>
      <w:r>
        <w:rPr>
          <w:rFonts w:ascii="Times New Roman" w:hAnsi="Times New Roman" w:cs="Times New Roman"/>
          <w:i/>
          <w:sz w:val="24"/>
          <w:szCs w:val="24"/>
          <w:lang w:val="hu-HU"/>
        </w:rPr>
        <w:t xml:space="preserve">párkapcsolat, a szerelem és a család </w:t>
      </w:r>
      <w:r>
        <w:rPr>
          <w:rFonts w:ascii="Times New Roman" w:hAnsi="Times New Roman" w:cs="Times New Roman"/>
          <w:sz w:val="24"/>
          <w:szCs w:val="24"/>
          <w:lang w:val="hu-HU"/>
        </w:rPr>
        <w:t xml:space="preserve">témáját taglaló népszerű pszichológiai könyvek </w:t>
      </w:r>
      <w:proofErr w:type="spellStart"/>
      <w:r>
        <w:rPr>
          <w:rFonts w:ascii="Times New Roman" w:hAnsi="Times New Roman" w:cs="Times New Roman"/>
          <w:sz w:val="24"/>
          <w:szCs w:val="24"/>
          <w:lang w:val="hu-HU"/>
        </w:rPr>
        <w:t>diszkurzív</w:t>
      </w:r>
      <w:proofErr w:type="spellEnd"/>
      <w:r>
        <w:rPr>
          <w:rFonts w:ascii="Times New Roman" w:hAnsi="Times New Roman" w:cs="Times New Roman"/>
          <w:sz w:val="24"/>
          <w:szCs w:val="24"/>
          <w:lang w:val="hu-HU"/>
        </w:rPr>
        <w:t xml:space="preserve"> mezeje, melyet választott példák bemutatásával és kommentálásával fogok felvázolni és ideológia kritikai nézőpontból elemezni.</w:t>
      </w:r>
    </w:p>
    <w:p w:rsidR="004D2BB7" w:rsidRDefault="004D2BB7" w:rsidP="004D2BB7">
      <w:pPr>
        <w:spacing w:after="0"/>
        <w:ind w:firstLine="720"/>
        <w:jc w:val="both"/>
        <w:rPr>
          <w:rFonts w:ascii="Times New Roman" w:hAnsi="Times New Roman" w:cs="Times New Roman"/>
          <w:sz w:val="24"/>
          <w:szCs w:val="24"/>
          <w:lang w:val="hu-HU"/>
        </w:rPr>
      </w:pPr>
      <w:r>
        <w:rPr>
          <w:rFonts w:ascii="Times New Roman" w:hAnsi="Times New Roman" w:cs="Times New Roman"/>
          <w:sz w:val="24"/>
          <w:szCs w:val="24"/>
          <w:lang w:val="hu-HU"/>
        </w:rPr>
        <w:t>A tanulmányom első fejezetében a barthes-i módszer néhány sajátosságát mutatom be két példa segítségével. A tanulmány második fejezetében pedig ennek a tanulságaiból kiindulva fogok beszámolni egy olyan kutatás aktuális eredményeiről, amely sokat merített Barthes módszereiből és szemléletmódjából.</w:t>
      </w:r>
    </w:p>
    <w:p w:rsidR="004D2BB7" w:rsidRDefault="004D2BB7" w:rsidP="004D2BB7">
      <w:pPr>
        <w:spacing w:after="0"/>
        <w:ind w:firstLine="720"/>
        <w:jc w:val="both"/>
        <w:rPr>
          <w:rFonts w:ascii="Times New Roman" w:hAnsi="Times New Roman" w:cs="Times New Roman"/>
          <w:sz w:val="24"/>
          <w:szCs w:val="24"/>
          <w:lang w:val="hu-HU"/>
        </w:rPr>
      </w:pPr>
    </w:p>
    <w:p w:rsidR="004D2BB7" w:rsidRDefault="004D2BB7" w:rsidP="004D2BB7">
      <w:pPr>
        <w:spacing w:after="0"/>
        <w:ind w:firstLine="720"/>
        <w:jc w:val="both"/>
        <w:rPr>
          <w:rFonts w:ascii="Times New Roman" w:hAnsi="Times New Roman" w:cs="Times New Roman"/>
          <w:sz w:val="24"/>
          <w:szCs w:val="24"/>
          <w:lang w:val="hu-HU"/>
        </w:rPr>
      </w:pPr>
    </w:p>
    <w:p w:rsidR="004D2BB7" w:rsidRDefault="004D2BB7" w:rsidP="004D2BB7">
      <w:pPr>
        <w:spacing w:after="0"/>
        <w:ind w:firstLine="720"/>
        <w:jc w:val="center"/>
        <w:rPr>
          <w:rFonts w:ascii="Times New Roman" w:hAnsi="Times New Roman" w:cs="Times New Roman"/>
          <w:sz w:val="24"/>
          <w:szCs w:val="24"/>
          <w:lang w:val="hu-HU"/>
        </w:rPr>
      </w:pPr>
      <w:r>
        <w:rPr>
          <w:rFonts w:ascii="Times New Roman" w:hAnsi="Times New Roman" w:cs="Times New Roman"/>
          <w:sz w:val="24"/>
          <w:szCs w:val="24"/>
          <w:lang w:val="hu-HU"/>
        </w:rPr>
        <w:t>***</w:t>
      </w:r>
    </w:p>
    <w:p w:rsidR="004D2BB7" w:rsidRDefault="004D2BB7" w:rsidP="004D2BB7">
      <w:pPr>
        <w:spacing w:after="0"/>
        <w:ind w:firstLine="720"/>
        <w:jc w:val="center"/>
        <w:rPr>
          <w:rFonts w:ascii="Times New Roman" w:hAnsi="Times New Roman" w:cs="Times New Roman"/>
          <w:sz w:val="24"/>
          <w:szCs w:val="24"/>
          <w:lang w:val="hu-HU"/>
        </w:rPr>
      </w:pPr>
    </w:p>
    <w:p w:rsidR="004D2BB7" w:rsidRDefault="004D2BB7" w:rsidP="004D2BB7">
      <w:pPr>
        <w:spacing w:after="0"/>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kritikai kultúrakutatásról folytatott elméleti diskurzusok miközben láthatóan nagy energiákat fektetnek kutatási területük körvonalazására és legitimálására, eltérő kulturális közegekhez kötődő hagyománytörténeteik, fogalomkészletük, politikai irányultságaik, referenciáik feltárására és megalkotására, valamint e hagyománytörténetek és szemléletmódok egymással való versenyeztetésére, úgy tűnik, igen kevés figyelmet szentelnek a </w:t>
      </w:r>
      <w:r>
        <w:rPr>
          <w:rFonts w:ascii="Times New Roman" w:hAnsi="Times New Roman" w:cs="Times New Roman"/>
          <w:i/>
          <w:sz w:val="24"/>
          <w:szCs w:val="24"/>
          <w:lang w:val="hu-HU"/>
        </w:rPr>
        <w:t>kutatásmódszertan</w:t>
      </w:r>
      <w:r>
        <w:rPr>
          <w:rFonts w:ascii="Times New Roman" w:hAnsi="Times New Roman" w:cs="Times New Roman"/>
          <w:sz w:val="24"/>
          <w:szCs w:val="24"/>
          <w:lang w:val="hu-HU"/>
        </w:rPr>
        <w:t xml:space="preserve"> kérdéseire. A kortárs kultúra jelenségeinek megértésére és leírására, ideológia konstrukcióinak, jellegzetes sztereotípiáinak és működési mechanizmusainak feltárására szakosodott egyetemi oktatás perspektívájából nézve ugyanakkor e módszertani kérdések körvonalazása különösen fontos, és elkerülhetetlen feladatnak látszik. </w:t>
      </w:r>
    </w:p>
    <w:p w:rsidR="004D2BB7" w:rsidRDefault="004D2BB7" w:rsidP="004D2BB7">
      <w:pPr>
        <w:spacing w:after="0"/>
        <w:jc w:val="both"/>
        <w:rPr>
          <w:rFonts w:ascii="Times New Roman" w:hAnsi="Times New Roman" w:cs="Times New Roman"/>
          <w:sz w:val="24"/>
          <w:szCs w:val="24"/>
          <w:lang w:val="hu-HU"/>
        </w:rPr>
      </w:pPr>
      <w:r>
        <w:rPr>
          <w:rFonts w:ascii="Times New Roman" w:hAnsi="Times New Roman" w:cs="Times New Roman"/>
          <w:sz w:val="24"/>
          <w:szCs w:val="24"/>
          <w:lang w:val="hu-HU"/>
        </w:rPr>
        <w:tab/>
        <w:t>Roland Barthes sokak számára példaértékű ideológia kritikai munkássága, mely az irodalom és a bölcsészettudományok nézőpontjából sok figyelmet és megbecsülést kapott a múlt század második felében, meglepő módon gyakran elkerülte olyan kutatók figyelmét, akik a ’</w:t>
      </w:r>
      <w:proofErr w:type="spellStart"/>
      <w:r>
        <w:rPr>
          <w:rFonts w:ascii="Times New Roman" w:hAnsi="Times New Roman" w:cs="Times New Roman"/>
          <w:sz w:val="24"/>
          <w:szCs w:val="24"/>
          <w:lang w:val="hu-HU"/>
        </w:rPr>
        <w:t>cultural</w:t>
      </w:r>
      <w:proofErr w:type="spellEnd"/>
      <w:r>
        <w:rPr>
          <w:rFonts w:ascii="Times New Roman" w:hAnsi="Times New Roman" w:cs="Times New Roman"/>
          <w:sz w:val="24"/>
          <w:szCs w:val="24"/>
          <w:lang w:val="hu-HU"/>
        </w:rPr>
        <w:t xml:space="preserve"> </w:t>
      </w:r>
      <w:proofErr w:type="spellStart"/>
      <w:r>
        <w:rPr>
          <w:rFonts w:ascii="Times New Roman" w:hAnsi="Times New Roman" w:cs="Times New Roman"/>
          <w:sz w:val="24"/>
          <w:szCs w:val="24"/>
          <w:lang w:val="hu-HU"/>
        </w:rPr>
        <w:t>studies</w:t>
      </w:r>
      <w:proofErr w:type="spellEnd"/>
      <w:r>
        <w:rPr>
          <w:rFonts w:ascii="Times New Roman" w:hAnsi="Times New Roman" w:cs="Times New Roman"/>
          <w:sz w:val="24"/>
          <w:szCs w:val="24"/>
          <w:lang w:val="hu-HU"/>
        </w:rPr>
        <w:t>’ programjához igazodó kutatásoknak kötelezték el magukat. S ennek talán nem csupán az lehet az oka, hogy az angolszász vagy német területekétől eltérően a francia nyelvben nincs fogalma és a francia kultúrában kevésbé van mozgalom-jellege a kultúrakutatásnak</w:t>
      </w:r>
      <w:r>
        <w:rPr>
          <w:rStyle w:val="Lbjegyzet-hivatkozs"/>
        </w:rPr>
        <w:footnoteReference w:id="2"/>
      </w:r>
      <w:r>
        <w:rPr>
          <w:rFonts w:ascii="Times New Roman" w:hAnsi="Times New Roman" w:cs="Times New Roman"/>
          <w:sz w:val="24"/>
          <w:szCs w:val="24"/>
          <w:lang w:val="hu-HU"/>
        </w:rPr>
        <w:t>. Oka lehet még az a szemléletmódbeli különcség és módszertani, valamint stilisztikai kívülállás is, amelyet az intézményi tudományosság hallgatólagosan elvárt szabályait gyakran lazán kezelő Barthes írásaiban több helyen is tetten érhető.</w:t>
      </w:r>
    </w:p>
    <w:p w:rsidR="004D2BB7" w:rsidRDefault="004D2BB7" w:rsidP="004D2BB7">
      <w:pPr>
        <w:spacing w:after="0"/>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A </w:t>
      </w:r>
      <w:r>
        <w:rPr>
          <w:rFonts w:ascii="Times New Roman" w:hAnsi="Times New Roman" w:cs="Times New Roman"/>
          <w:i/>
          <w:sz w:val="24"/>
          <w:szCs w:val="24"/>
          <w:lang w:val="hu-HU"/>
        </w:rPr>
        <w:t xml:space="preserve">Tel </w:t>
      </w:r>
      <w:proofErr w:type="spellStart"/>
      <w:r>
        <w:rPr>
          <w:rFonts w:ascii="Times New Roman" w:hAnsi="Times New Roman" w:cs="Times New Roman"/>
          <w:i/>
          <w:sz w:val="24"/>
          <w:szCs w:val="24"/>
          <w:lang w:val="hu-HU"/>
        </w:rPr>
        <w:t>Quel</w:t>
      </w:r>
      <w:proofErr w:type="spellEnd"/>
      <w:r>
        <w:rPr>
          <w:rFonts w:ascii="Times New Roman" w:hAnsi="Times New Roman" w:cs="Times New Roman"/>
          <w:sz w:val="24"/>
          <w:szCs w:val="24"/>
          <w:lang w:val="hu-HU"/>
        </w:rPr>
        <w:t xml:space="preserve"> kör gondolkodóihoz (Foucault-hoz, </w:t>
      </w:r>
      <w:proofErr w:type="spellStart"/>
      <w:r>
        <w:rPr>
          <w:rFonts w:ascii="Times New Roman" w:hAnsi="Times New Roman" w:cs="Times New Roman"/>
          <w:sz w:val="24"/>
          <w:szCs w:val="24"/>
          <w:lang w:val="hu-HU"/>
        </w:rPr>
        <w:t>Derridához</w:t>
      </w:r>
      <w:proofErr w:type="spellEnd"/>
      <w:r>
        <w:rPr>
          <w:rFonts w:ascii="Times New Roman" w:hAnsi="Times New Roman" w:cs="Times New Roman"/>
          <w:sz w:val="24"/>
          <w:szCs w:val="24"/>
          <w:lang w:val="hu-HU"/>
        </w:rPr>
        <w:t xml:space="preserve"> vagy </w:t>
      </w:r>
      <w:proofErr w:type="spellStart"/>
      <w:r>
        <w:rPr>
          <w:rFonts w:ascii="Times New Roman" w:hAnsi="Times New Roman" w:cs="Times New Roman"/>
          <w:sz w:val="24"/>
          <w:szCs w:val="24"/>
          <w:lang w:val="hu-HU"/>
        </w:rPr>
        <w:t>Kristevához</w:t>
      </w:r>
      <w:proofErr w:type="spellEnd"/>
      <w:r>
        <w:rPr>
          <w:rFonts w:ascii="Times New Roman" w:hAnsi="Times New Roman" w:cs="Times New Roman"/>
          <w:sz w:val="24"/>
          <w:szCs w:val="24"/>
          <w:lang w:val="hu-HU"/>
        </w:rPr>
        <w:t xml:space="preserve">) hasonlóan Barthes is feladatának tekintette, hogy az avantgárd mozgalmak újító és eredetiség centrikus szellemiségéhez igazodva másokétól elkülöníthető, csak rá jellemző </w:t>
      </w:r>
      <w:r>
        <w:rPr>
          <w:rFonts w:ascii="Times New Roman" w:hAnsi="Times New Roman" w:cs="Times New Roman"/>
          <w:i/>
          <w:sz w:val="24"/>
          <w:szCs w:val="24"/>
          <w:lang w:val="hu-HU"/>
        </w:rPr>
        <w:t>privát stílust és nyelvet hozzon létre</w:t>
      </w:r>
      <w:r>
        <w:rPr>
          <w:rFonts w:ascii="Times New Roman" w:hAnsi="Times New Roman" w:cs="Times New Roman"/>
          <w:sz w:val="24"/>
          <w:szCs w:val="24"/>
          <w:lang w:val="hu-HU"/>
        </w:rPr>
        <w:t xml:space="preserve">. Az alkotó-tudós attitűdje Barthesnál kiterjedt a kutatási módszer egyénített használatára is. A továbbiakban e </w:t>
      </w:r>
      <w:r>
        <w:rPr>
          <w:rFonts w:ascii="Times New Roman" w:hAnsi="Times New Roman" w:cs="Times New Roman"/>
          <w:i/>
          <w:sz w:val="24"/>
          <w:szCs w:val="24"/>
          <w:lang w:val="hu-HU"/>
        </w:rPr>
        <w:t>privát módszertan</w:t>
      </w:r>
      <w:r>
        <w:rPr>
          <w:rFonts w:ascii="Times New Roman" w:hAnsi="Times New Roman" w:cs="Times New Roman"/>
          <w:sz w:val="24"/>
          <w:szCs w:val="24"/>
          <w:lang w:val="hu-HU"/>
        </w:rPr>
        <w:t xml:space="preserve"> néhány sajátosságának felvázolására teszek kísérletet.</w:t>
      </w:r>
    </w:p>
    <w:p w:rsidR="004D2BB7" w:rsidRDefault="004D2BB7" w:rsidP="004D2BB7">
      <w:pPr>
        <w:spacing w:after="0"/>
        <w:ind w:firstLine="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általában módszertanra gondolunk, könnyen bemagolható séma vagy sablon, pontokra osztható felsorolás, követhető minta jut eszünkbe. Valami olyan, ami nem igényel kreativitást, és nem hagy szabad teret az önállóságra. Barthes esetében azonban éppen ennek ellenkezőjéről van szó. Olyan önmagát folyton újraíró, és mégis felismerhető elemzési módszerrel dolgozott, melyet folyamatosan próbált illeszteni elemzésének tárgyaihoz.   </w:t>
      </w:r>
    </w:p>
    <w:p w:rsidR="004D2BB7" w:rsidRDefault="004D2BB7" w:rsidP="004D2BB7">
      <w:pPr>
        <w:spacing w:after="0"/>
        <w:ind w:firstLine="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következőkben a </w:t>
      </w:r>
      <w:r>
        <w:rPr>
          <w:rFonts w:ascii="Times New Roman" w:hAnsi="Times New Roman" w:cs="Times New Roman"/>
          <w:i/>
          <w:sz w:val="24"/>
          <w:szCs w:val="24"/>
          <w:lang w:val="hu-HU"/>
        </w:rPr>
        <w:t>privát módszertan</w:t>
      </w:r>
      <w:r>
        <w:rPr>
          <w:rFonts w:ascii="Times New Roman" w:hAnsi="Times New Roman" w:cs="Times New Roman"/>
          <w:sz w:val="24"/>
          <w:szCs w:val="24"/>
          <w:lang w:val="hu-HU"/>
        </w:rPr>
        <w:t xml:space="preserve"> megjelenésének két jellegzetes pillanatára szeretném irányítani a figyelmet a Barthes-i életmű alakulás történetében. Az egyik választott példám a </w:t>
      </w:r>
      <w:r>
        <w:rPr>
          <w:rFonts w:ascii="Times New Roman" w:hAnsi="Times New Roman" w:cs="Times New Roman"/>
          <w:i/>
          <w:sz w:val="24"/>
          <w:szCs w:val="24"/>
          <w:lang w:val="hu-HU"/>
        </w:rPr>
        <w:t>Mitológiák</w:t>
      </w:r>
      <w:r>
        <w:rPr>
          <w:rStyle w:val="Lbjegyzet-hivatkozs"/>
        </w:rPr>
        <w:footnoteReference w:id="3"/>
      </w:r>
      <w:r>
        <w:rPr>
          <w:rFonts w:ascii="Times New Roman" w:hAnsi="Times New Roman" w:cs="Times New Roman"/>
          <w:sz w:val="24"/>
          <w:szCs w:val="24"/>
          <w:lang w:val="hu-HU"/>
        </w:rPr>
        <w:t xml:space="preserve">, a másik a </w:t>
      </w:r>
      <w:r>
        <w:rPr>
          <w:rFonts w:ascii="Times New Roman" w:hAnsi="Times New Roman" w:cs="Times New Roman"/>
          <w:i/>
          <w:sz w:val="24"/>
          <w:szCs w:val="24"/>
          <w:lang w:val="hu-HU"/>
        </w:rPr>
        <w:t>Beszédtöredékek a szerelemről</w:t>
      </w:r>
      <w:r>
        <w:rPr>
          <w:rStyle w:val="Lbjegyzet-hivatkozs"/>
        </w:rPr>
        <w:footnoteReference w:id="4"/>
      </w:r>
      <w:r>
        <w:rPr>
          <w:rFonts w:ascii="Times New Roman" w:hAnsi="Times New Roman" w:cs="Times New Roman"/>
          <w:i/>
          <w:sz w:val="24"/>
          <w:szCs w:val="24"/>
          <w:lang w:val="hu-HU"/>
        </w:rPr>
        <w:t xml:space="preserve"> </w:t>
      </w:r>
      <w:r>
        <w:rPr>
          <w:rFonts w:ascii="Times New Roman" w:hAnsi="Times New Roman" w:cs="Times New Roman"/>
          <w:sz w:val="24"/>
          <w:szCs w:val="24"/>
          <w:lang w:val="hu-HU"/>
        </w:rPr>
        <w:t>című írás</w:t>
      </w:r>
      <w:r>
        <w:rPr>
          <w:rFonts w:ascii="Times New Roman" w:hAnsi="Times New Roman" w:cs="Times New Roman"/>
          <w:b/>
          <w:sz w:val="24"/>
          <w:szCs w:val="24"/>
          <w:lang w:val="hu-HU"/>
        </w:rPr>
        <w:t>.</w:t>
      </w:r>
      <w:r>
        <w:rPr>
          <w:rFonts w:ascii="Times New Roman" w:hAnsi="Times New Roman" w:cs="Times New Roman"/>
          <w:sz w:val="24"/>
          <w:szCs w:val="24"/>
          <w:lang w:val="hu-HU"/>
        </w:rPr>
        <w:t xml:space="preserve"> A két látszólag nagyon különböző példán keresztül arra kérdezek rá, hogy a rugalmasság és az újragondolhatóság mögött mi szavatolja </w:t>
      </w:r>
      <w:proofErr w:type="spellStart"/>
      <w:r>
        <w:rPr>
          <w:rFonts w:ascii="Times New Roman" w:hAnsi="Times New Roman" w:cs="Times New Roman"/>
          <w:sz w:val="24"/>
          <w:szCs w:val="24"/>
          <w:lang w:val="hu-HU"/>
        </w:rPr>
        <w:t>Barthes-nál</w:t>
      </w:r>
      <w:proofErr w:type="spellEnd"/>
      <w:r>
        <w:rPr>
          <w:rFonts w:ascii="Times New Roman" w:hAnsi="Times New Roman" w:cs="Times New Roman"/>
          <w:sz w:val="24"/>
          <w:szCs w:val="24"/>
          <w:lang w:val="hu-HU"/>
        </w:rPr>
        <w:t xml:space="preserve"> a módszer felismerhető állandóságát?</w:t>
      </w:r>
    </w:p>
    <w:p w:rsidR="004D2BB7" w:rsidRDefault="004D2BB7" w:rsidP="004D2BB7">
      <w:pPr>
        <w:spacing w:after="0"/>
        <w:ind w:firstLine="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w:t>
      </w:r>
      <w:r>
        <w:rPr>
          <w:rFonts w:ascii="Times New Roman" w:hAnsi="Times New Roman" w:cs="Times New Roman"/>
          <w:i/>
          <w:sz w:val="24"/>
          <w:szCs w:val="24"/>
          <w:lang w:val="hu-HU"/>
        </w:rPr>
        <w:t>Mitológiák</w:t>
      </w:r>
      <w:r>
        <w:rPr>
          <w:rFonts w:ascii="Times New Roman" w:hAnsi="Times New Roman" w:cs="Times New Roman"/>
          <w:sz w:val="24"/>
          <w:szCs w:val="24"/>
          <w:lang w:val="hu-HU"/>
        </w:rPr>
        <w:t xml:space="preserve"> (1957) módszertani „</w:t>
      </w:r>
      <w:proofErr w:type="spellStart"/>
      <w:r>
        <w:rPr>
          <w:rFonts w:ascii="Times New Roman" w:hAnsi="Times New Roman" w:cs="Times New Roman"/>
          <w:sz w:val="24"/>
          <w:szCs w:val="24"/>
          <w:lang w:val="hu-HU"/>
        </w:rPr>
        <w:t>coming</w:t>
      </w:r>
      <w:proofErr w:type="spellEnd"/>
      <w:r>
        <w:rPr>
          <w:rFonts w:ascii="Times New Roman" w:hAnsi="Times New Roman" w:cs="Times New Roman"/>
          <w:sz w:val="24"/>
          <w:szCs w:val="24"/>
          <w:lang w:val="hu-HU"/>
        </w:rPr>
        <w:t xml:space="preserve"> outja”, mellyel Barthes félig-meddig már lerázza magáról a saussure-i </w:t>
      </w:r>
      <w:proofErr w:type="spellStart"/>
      <w:r>
        <w:rPr>
          <w:rFonts w:ascii="Times New Roman" w:hAnsi="Times New Roman" w:cs="Times New Roman"/>
          <w:sz w:val="24"/>
          <w:szCs w:val="24"/>
          <w:lang w:val="hu-HU"/>
        </w:rPr>
        <w:t>szemiológia</w:t>
      </w:r>
      <w:proofErr w:type="spellEnd"/>
      <w:r>
        <w:rPr>
          <w:rFonts w:ascii="Times New Roman" w:hAnsi="Times New Roman" w:cs="Times New Roman"/>
          <w:sz w:val="24"/>
          <w:szCs w:val="24"/>
          <w:lang w:val="hu-HU"/>
        </w:rPr>
        <w:t xml:space="preserve"> egy ideig vélhetően biztonságot adó nyelvi-analitikus elemzési sémáit és fogalomkészletét, fontos esemény a barthes-i módszertan alakulástörténetében. A korai tanulmányokkal ellentétben (pl</w:t>
      </w:r>
      <w:r>
        <w:rPr>
          <w:rFonts w:ascii="Times New Roman" w:hAnsi="Times New Roman" w:cs="Times New Roman"/>
          <w:i/>
          <w:sz w:val="24"/>
          <w:szCs w:val="24"/>
          <w:lang w:val="hu-HU"/>
        </w:rPr>
        <w:t xml:space="preserve">. A </w:t>
      </w:r>
      <w:proofErr w:type="spellStart"/>
      <w:r>
        <w:rPr>
          <w:rFonts w:ascii="Times New Roman" w:hAnsi="Times New Roman" w:cs="Times New Roman"/>
          <w:i/>
          <w:sz w:val="24"/>
          <w:szCs w:val="24"/>
          <w:lang w:val="hu-HU"/>
        </w:rPr>
        <w:t>szemiológia</w:t>
      </w:r>
      <w:proofErr w:type="spellEnd"/>
      <w:r>
        <w:rPr>
          <w:rFonts w:ascii="Times New Roman" w:hAnsi="Times New Roman" w:cs="Times New Roman"/>
          <w:i/>
          <w:sz w:val="24"/>
          <w:szCs w:val="24"/>
          <w:lang w:val="hu-HU"/>
        </w:rPr>
        <w:t xml:space="preserve"> elemei</w:t>
      </w:r>
      <w:r>
        <w:rPr>
          <w:rFonts w:ascii="Times New Roman" w:hAnsi="Times New Roman" w:cs="Times New Roman"/>
          <w:sz w:val="24"/>
          <w:szCs w:val="24"/>
          <w:lang w:val="hu-HU"/>
        </w:rPr>
        <w:t xml:space="preserve">, </w:t>
      </w:r>
      <w:r>
        <w:rPr>
          <w:rFonts w:ascii="Times New Roman" w:hAnsi="Times New Roman" w:cs="Times New Roman"/>
          <w:i/>
          <w:sz w:val="24"/>
          <w:szCs w:val="24"/>
          <w:lang w:val="hu-HU"/>
        </w:rPr>
        <w:t>A kép retorikája</w:t>
      </w:r>
      <w:r>
        <w:rPr>
          <w:rFonts w:ascii="Times New Roman" w:hAnsi="Times New Roman" w:cs="Times New Roman"/>
          <w:sz w:val="24"/>
          <w:szCs w:val="24"/>
          <w:lang w:val="hu-HU"/>
        </w:rPr>
        <w:t xml:space="preserve">), a </w:t>
      </w:r>
      <w:r>
        <w:rPr>
          <w:rFonts w:ascii="Times New Roman" w:hAnsi="Times New Roman" w:cs="Times New Roman"/>
          <w:i/>
          <w:sz w:val="24"/>
          <w:szCs w:val="24"/>
          <w:lang w:val="hu-HU"/>
        </w:rPr>
        <w:t>Mitológiák</w:t>
      </w:r>
      <w:r>
        <w:rPr>
          <w:rFonts w:ascii="Times New Roman" w:hAnsi="Times New Roman" w:cs="Times New Roman"/>
          <w:sz w:val="24"/>
          <w:szCs w:val="24"/>
          <w:lang w:val="hu-HU"/>
        </w:rPr>
        <w:t xml:space="preserve">ban már megjelenik a </w:t>
      </w:r>
      <w:proofErr w:type="spellStart"/>
      <w:r>
        <w:rPr>
          <w:rFonts w:ascii="Times New Roman" w:hAnsi="Times New Roman" w:cs="Times New Roman"/>
          <w:sz w:val="24"/>
          <w:szCs w:val="24"/>
          <w:lang w:val="hu-HU"/>
        </w:rPr>
        <w:t>Barthes-ra</w:t>
      </w:r>
      <w:proofErr w:type="spellEnd"/>
      <w:r>
        <w:rPr>
          <w:rFonts w:ascii="Times New Roman" w:hAnsi="Times New Roman" w:cs="Times New Roman"/>
          <w:sz w:val="24"/>
          <w:szCs w:val="24"/>
          <w:lang w:val="hu-HU"/>
        </w:rPr>
        <w:t xml:space="preserve"> olyannyira jellemző analitikus esszé stílus, melynek szabadságát kihasználva a szerző örömmel csillogtatja meg sajátos kritikai képességeit, éleslátását és leleplező ironikus hangvételét.</w:t>
      </w:r>
    </w:p>
    <w:p w:rsidR="004D2BB7" w:rsidRDefault="004D2BB7" w:rsidP="004D2BB7">
      <w:pPr>
        <w:spacing w:after="0"/>
        <w:ind w:firstLine="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w:t>
      </w:r>
      <w:r>
        <w:rPr>
          <w:rFonts w:ascii="Times New Roman" w:hAnsi="Times New Roman" w:cs="Times New Roman"/>
          <w:i/>
          <w:sz w:val="24"/>
          <w:szCs w:val="24"/>
          <w:lang w:val="hu-HU"/>
        </w:rPr>
        <w:t>Mitológiák</w:t>
      </w:r>
      <w:r>
        <w:rPr>
          <w:rFonts w:ascii="Times New Roman" w:hAnsi="Times New Roman" w:cs="Times New Roman"/>
          <w:sz w:val="24"/>
          <w:szCs w:val="24"/>
          <w:lang w:val="hu-HU"/>
        </w:rPr>
        <w:t xml:space="preserve"> esszéi és a </w:t>
      </w:r>
      <w:r>
        <w:rPr>
          <w:rFonts w:ascii="Times New Roman" w:hAnsi="Times New Roman" w:cs="Times New Roman"/>
          <w:i/>
          <w:sz w:val="24"/>
          <w:szCs w:val="24"/>
          <w:lang w:val="hu-HU"/>
        </w:rPr>
        <w:t>Mítosz ma</w:t>
      </w:r>
      <w:r>
        <w:rPr>
          <w:rFonts w:ascii="Times New Roman" w:hAnsi="Times New Roman" w:cs="Times New Roman"/>
          <w:sz w:val="24"/>
          <w:szCs w:val="24"/>
          <w:lang w:val="hu-HU"/>
        </w:rPr>
        <w:t xml:space="preserve"> című tanulmány egymás mellé illesztése</w:t>
      </w:r>
      <w:r>
        <w:rPr>
          <w:rStyle w:val="Lbjegyzet-hivatkozs"/>
        </w:rPr>
        <w:footnoteReference w:id="5"/>
      </w:r>
      <w:r>
        <w:rPr>
          <w:rFonts w:ascii="Times New Roman" w:hAnsi="Times New Roman" w:cs="Times New Roman"/>
          <w:sz w:val="24"/>
          <w:szCs w:val="24"/>
          <w:lang w:val="hu-HU"/>
        </w:rPr>
        <w:t xml:space="preserve"> érdekes módon ad számot arról a korai írásokban különösképp jellemző módszertani ambivalenciáról, amely Barthes életművében általában is végigkövethető, és amelyet a fényképezésről írott utolsó könyvében, a </w:t>
      </w:r>
      <w:proofErr w:type="spellStart"/>
      <w:r>
        <w:rPr>
          <w:rFonts w:ascii="Times New Roman" w:hAnsi="Times New Roman" w:cs="Times New Roman"/>
          <w:i/>
          <w:sz w:val="24"/>
          <w:szCs w:val="24"/>
          <w:lang w:val="hu-HU"/>
        </w:rPr>
        <w:t>Világoskamrá</w:t>
      </w:r>
      <w:r>
        <w:rPr>
          <w:rFonts w:ascii="Times New Roman" w:hAnsi="Times New Roman" w:cs="Times New Roman"/>
          <w:sz w:val="24"/>
          <w:szCs w:val="24"/>
          <w:lang w:val="hu-HU"/>
        </w:rPr>
        <w:t>ban</w:t>
      </w:r>
      <w:proofErr w:type="spellEnd"/>
      <w:r>
        <w:rPr>
          <w:rFonts w:ascii="Times New Roman" w:hAnsi="Times New Roman" w:cs="Times New Roman"/>
          <w:sz w:val="24"/>
          <w:szCs w:val="24"/>
          <w:lang w:val="hu-HU"/>
        </w:rPr>
        <w:t>, „a személyes tudomány” fogalmával próbál meg végül feloldani.</w:t>
      </w:r>
      <w:r>
        <w:rPr>
          <w:rStyle w:val="Lbjegyzet-hivatkozs"/>
        </w:rPr>
        <w:footnoteReference w:id="6"/>
      </w:r>
      <w:r>
        <w:rPr>
          <w:rFonts w:ascii="Times New Roman" w:hAnsi="Times New Roman" w:cs="Times New Roman"/>
          <w:sz w:val="24"/>
          <w:szCs w:val="24"/>
          <w:lang w:val="hu-HU"/>
        </w:rPr>
        <w:t xml:space="preserve"> A </w:t>
      </w:r>
      <w:r>
        <w:rPr>
          <w:rFonts w:ascii="Times New Roman" w:hAnsi="Times New Roman" w:cs="Times New Roman"/>
          <w:i/>
          <w:sz w:val="24"/>
          <w:szCs w:val="24"/>
          <w:lang w:val="hu-HU"/>
        </w:rPr>
        <w:t>Mitológiák</w:t>
      </w:r>
      <w:r>
        <w:rPr>
          <w:rFonts w:ascii="Times New Roman" w:hAnsi="Times New Roman" w:cs="Times New Roman"/>
          <w:sz w:val="24"/>
          <w:szCs w:val="24"/>
          <w:lang w:val="hu-HU"/>
        </w:rPr>
        <w:t xml:space="preserve"> lendületes, „</w:t>
      </w:r>
      <w:proofErr w:type="spellStart"/>
      <w:r>
        <w:rPr>
          <w:rFonts w:ascii="Times New Roman" w:hAnsi="Times New Roman" w:cs="Times New Roman"/>
          <w:sz w:val="24"/>
          <w:szCs w:val="24"/>
          <w:lang w:val="hu-HU"/>
        </w:rPr>
        <w:t>bármit-lehet</w:t>
      </w:r>
      <w:proofErr w:type="spellEnd"/>
      <w:r>
        <w:rPr>
          <w:rFonts w:ascii="Times New Roman" w:hAnsi="Times New Roman" w:cs="Times New Roman"/>
          <w:sz w:val="24"/>
          <w:szCs w:val="24"/>
          <w:lang w:val="hu-HU"/>
        </w:rPr>
        <w:t xml:space="preserve">” tárgyválasztású esszéiben Barthes a fogyasztói mítoszok leleplezésére, az „ideológiai szemfényvesztés” „nyakon csípésére” törekszik. A </w:t>
      </w:r>
      <w:r>
        <w:rPr>
          <w:rFonts w:ascii="Times New Roman" w:hAnsi="Times New Roman" w:cs="Times New Roman"/>
          <w:i/>
          <w:sz w:val="24"/>
          <w:szCs w:val="24"/>
          <w:lang w:val="hu-HU"/>
        </w:rPr>
        <w:t>Mítosz ma</w:t>
      </w:r>
      <w:r>
        <w:rPr>
          <w:rFonts w:ascii="Times New Roman" w:hAnsi="Times New Roman" w:cs="Times New Roman"/>
          <w:sz w:val="24"/>
          <w:szCs w:val="24"/>
          <w:lang w:val="hu-HU"/>
        </w:rPr>
        <w:t xml:space="preserve"> című tanulmányban pedig szisztematikus </w:t>
      </w:r>
      <w:proofErr w:type="spellStart"/>
      <w:r>
        <w:rPr>
          <w:rFonts w:ascii="Times New Roman" w:hAnsi="Times New Roman" w:cs="Times New Roman"/>
          <w:sz w:val="24"/>
          <w:szCs w:val="24"/>
          <w:lang w:val="hu-HU"/>
        </w:rPr>
        <w:t>szemiológiai</w:t>
      </w:r>
      <w:proofErr w:type="spellEnd"/>
      <w:r>
        <w:rPr>
          <w:rFonts w:ascii="Times New Roman" w:hAnsi="Times New Roman" w:cs="Times New Roman"/>
          <w:sz w:val="24"/>
          <w:szCs w:val="24"/>
          <w:lang w:val="hu-HU"/>
        </w:rPr>
        <w:t xml:space="preserve"> analízisnek veti alá a </w:t>
      </w:r>
      <w:r>
        <w:rPr>
          <w:rFonts w:ascii="Times New Roman" w:hAnsi="Times New Roman" w:cs="Times New Roman"/>
          <w:lang w:val="hu-HU"/>
        </w:rPr>
        <w:t>mítosz</w:t>
      </w:r>
      <w:r>
        <w:rPr>
          <w:rFonts w:ascii="Times New Roman" w:hAnsi="Times New Roman" w:cs="Times New Roman"/>
          <w:sz w:val="24"/>
          <w:szCs w:val="24"/>
          <w:lang w:val="hu-HU"/>
        </w:rPr>
        <w:t xml:space="preserve"> fogalmához kapcsolódó társadalmi struktúrákat. Az egy kötetben megjelenő két írás között valóságos drámai feszültség érzékelhető, amely a szerző tárgyával és módszerével szembeni dilemmáiról tanúskodik. A következőkben ezeket, a </w:t>
      </w:r>
      <w:r>
        <w:rPr>
          <w:rFonts w:ascii="Times New Roman" w:hAnsi="Times New Roman" w:cs="Times New Roman"/>
          <w:i/>
          <w:sz w:val="24"/>
          <w:szCs w:val="24"/>
          <w:lang w:val="hu-HU"/>
        </w:rPr>
        <w:t>Mitológiákban</w:t>
      </w:r>
      <w:r>
        <w:rPr>
          <w:rFonts w:ascii="Times New Roman" w:hAnsi="Times New Roman" w:cs="Times New Roman"/>
          <w:sz w:val="24"/>
          <w:szCs w:val="24"/>
          <w:lang w:val="hu-HU"/>
        </w:rPr>
        <w:t xml:space="preserve"> megjelenő dilemmákat fogom fogalmi ellentétpárokkal érzékeltetni.</w:t>
      </w:r>
    </w:p>
    <w:p w:rsidR="00DF3348" w:rsidRPr="004D2BB7" w:rsidRDefault="00DF3348">
      <w:pPr>
        <w:rPr>
          <w:lang w:val="hu-HU"/>
        </w:rPr>
      </w:pPr>
      <w:bookmarkStart w:id="0" w:name="_GoBack"/>
      <w:bookmarkEnd w:id="0"/>
    </w:p>
    <w:sectPr w:rsidR="00DF3348" w:rsidRPr="004D2B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65B" w:rsidRDefault="0065165B" w:rsidP="004D2BB7">
      <w:pPr>
        <w:spacing w:after="0" w:line="240" w:lineRule="auto"/>
      </w:pPr>
      <w:r>
        <w:separator/>
      </w:r>
    </w:p>
  </w:endnote>
  <w:endnote w:type="continuationSeparator" w:id="0">
    <w:p w:rsidR="0065165B" w:rsidRDefault="0065165B" w:rsidP="004D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8">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65B" w:rsidRDefault="0065165B" w:rsidP="004D2BB7">
      <w:pPr>
        <w:spacing w:after="0" w:line="240" w:lineRule="auto"/>
      </w:pPr>
      <w:r>
        <w:separator/>
      </w:r>
    </w:p>
  </w:footnote>
  <w:footnote w:type="continuationSeparator" w:id="0">
    <w:p w:rsidR="0065165B" w:rsidRDefault="0065165B" w:rsidP="004D2BB7">
      <w:pPr>
        <w:spacing w:after="0" w:line="240" w:lineRule="auto"/>
      </w:pPr>
      <w:r>
        <w:continuationSeparator/>
      </w:r>
    </w:p>
  </w:footnote>
  <w:footnote w:id="1">
    <w:p w:rsidR="004D2BB7" w:rsidRPr="00DE09BD" w:rsidRDefault="004D2BB7" w:rsidP="004D2BB7">
      <w:pPr>
        <w:rPr>
          <w:rFonts w:ascii="Times New Roman" w:hAnsi="Times New Roman" w:cs="Times New Roman"/>
          <w:sz w:val="20"/>
          <w:szCs w:val="20"/>
          <w:lang w:val="hu-HU"/>
        </w:rPr>
      </w:pPr>
      <w:r w:rsidRPr="00881936">
        <w:rPr>
          <w:rStyle w:val="Lbjegyzet-karakterek"/>
          <w:rFonts w:ascii="Times New Roman" w:hAnsi="Times New Roman" w:cs="Times New Roman"/>
          <w:sz w:val="20"/>
          <w:szCs w:val="20"/>
        </w:rPr>
        <w:footnoteRef/>
      </w:r>
      <w:proofErr w:type="spellStart"/>
      <w:r>
        <w:rPr>
          <w:rFonts w:ascii="Times New Roman" w:hAnsi="Times New Roman" w:cs="Times New Roman"/>
          <w:sz w:val="20"/>
          <w:szCs w:val="20"/>
        </w:rPr>
        <w:t>Arisztophanész</w:t>
      </w:r>
      <w:proofErr w:type="spellEnd"/>
      <w:r>
        <w:rPr>
          <w:rFonts w:ascii="Times New Roman" w:hAnsi="Times New Roman" w:cs="Times New Roman"/>
          <w:sz w:val="20"/>
          <w:szCs w:val="20"/>
        </w:rPr>
        <w:t xml:space="preserve"> </w:t>
      </w:r>
      <w:proofErr w:type="spellStart"/>
      <w:r w:rsidRPr="00881936">
        <w:rPr>
          <w:rFonts w:ascii="Times New Roman" w:hAnsi="Times New Roman" w:cs="Times New Roman"/>
          <w:sz w:val="20"/>
          <w:szCs w:val="20"/>
        </w:rPr>
        <w:t>szavai</w:t>
      </w:r>
      <w:proofErr w:type="spellEnd"/>
      <w:r w:rsidRPr="00881936">
        <w:rPr>
          <w:rFonts w:ascii="Times New Roman" w:hAnsi="Times New Roman" w:cs="Times New Roman"/>
          <w:sz w:val="20"/>
          <w:szCs w:val="20"/>
        </w:rPr>
        <w:t xml:space="preserve"> </w:t>
      </w:r>
      <w:r w:rsidRPr="007A666A">
        <w:rPr>
          <w:rFonts w:ascii="Times New Roman" w:hAnsi="Times New Roman" w:cs="Times New Roman"/>
          <w:smallCaps/>
          <w:sz w:val="20"/>
          <w:szCs w:val="20"/>
          <w:lang w:val="hu-HU"/>
        </w:rPr>
        <w:t xml:space="preserve">Platón </w:t>
      </w:r>
      <w:proofErr w:type="spellStart"/>
      <w:r w:rsidRPr="00881936">
        <w:rPr>
          <w:rFonts w:ascii="Times New Roman" w:hAnsi="Times New Roman" w:cs="Times New Roman"/>
          <w:i/>
          <w:sz w:val="20"/>
          <w:szCs w:val="20"/>
          <w:lang w:val="hu-HU"/>
        </w:rPr>
        <w:t>Lakomájá</w:t>
      </w:r>
      <w:r w:rsidRPr="00881936">
        <w:rPr>
          <w:rFonts w:ascii="Times New Roman" w:hAnsi="Times New Roman" w:cs="Times New Roman"/>
          <w:sz w:val="20"/>
          <w:szCs w:val="20"/>
          <w:lang w:val="hu-HU"/>
        </w:rPr>
        <w:t>jában</w:t>
      </w:r>
      <w:proofErr w:type="spellEnd"/>
      <w:r w:rsidRPr="00881936">
        <w:rPr>
          <w:rFonts w:ascii="Times New Roman" w:hAnsi="Times New Roman" w:cs="Times New Roman"/>
          <w:sz w:val="20"/>
          <w:szCs w:val="20"/>
          <w:lang w:val="hu-HU"/>
        </w:rPr>
        <w:t xml:space="preserve">, Vö. </w:t>
      </w:r>
      <w:r w:rsidRPr="00881936">
        <w:rPr>
          <w:rFonts w:ascii="Times New Roman" w:hAnsi="Times New Roman" w:cs="Times New Roman"/>
          <w:i/>
          <w:sz w:val="20"/>
          <w:szCs w:val="20"/>
          <w:lang w:val="hu-HU"/>
        </w:rPr>
        <w:t>A lakoma</w:t>
      </w:r>
      <w:r w:rsidRPr="00881936">
        <w:rPr>
          <w:rFonts w:ascii="Times New Roman" w:hAnsi="Times New Roman" w:cs="Times New Roman"/>
          <w:sz w:val="20"/>
          <w:szCs w:val="20"/>
          <w:lang w:val="hu-HU"/>
        </w:rPr>
        <w:t xml:space="preserve">, ford. </w:t>
      </w:r>
      <w:proofErr w:type="spellStart"/>
      <w:r w:rsidRPr="007A666A">
        <w:rPr>
          <w:rFonts w:ascii="Times New Roman" w:hAnsi="Times New Roman" w:cs="Times New Roman"/>
          <w:smallCaps/>
          <w:sz w:val="20"/>
          <w:szCs w:val="20"/>
          <w:lang w:val="hu-HU"/>
        </w:rPr>
        <w:t>Telegdi</w:t>
      </w:r>
      <w:proofErr w:type="spellEnd"/>
      <w:r w:rsidRPr="00881936">
        <w:rPr>
          <w:rFonts w:ascii="Times New Roman" w:hAnsi="Times New Roman" w:cs="Times New Roman"/>
          <w:sz w:val="20"/>
          <w:szCs w:val="20"/>
          <w:lang w:val="hu-HU"/>
        </w:rPr>
        <w:t xml:space="preserve"> Zsigmond, Magyar Helikon, 1961, 52</w:t>
      </w:r>
    </w:p>
  </w:footnote>
  <w:footnote w:id="2">
    <w:p w:rsidR="004D2BB7" w:rsidRPr="00DE09BD" w:rsidRDefault="004D2BB7" w:rsidP="004D2BB7">
      <w:pPr>
        <w:rPr>
          <w:rFonts w:ascii="Times New Roman" w:hAnsi="Times New Roman" w:cs="Times New Roman"/>
          <w:sz w:val="20"/>
          <w:szCs w:val="20"/>
          <w:lang w:val="hu-HU"/>
        </w:rPr>
      </w:pPr>
      <w:r w:rsidRPr="00881936">
        <w:rPr>
          <w:rStyle w:val="Lbjegyzet-karakterek"/>
          <w:rFonts w:ascii="Times New Roman" w:hAnsi="Times New Roman" w:cs="Times New Roman"/>
          <w:sz w:val="20"/>
          <w:szCs w:val="20"/>
        </w:rPr>
        <w:footnoteRef/>
      </w:r>
      <w:r w:rsidRPr="00881936">
        <w:rPr>
          <w:rFonts w:ascii="Times New Roman" w:hAnsi="Times New Roman" w:cs="Times New Roman"/>
          <w:sz w:val="20"/>
          <w:szCs w:val="20"/>
          <w:lang w:val="hu-HU"/>
        </w:rPr>
        <w:t xml:space="preserve"> Vö. </w:t>
      </w:r>
      <w:r w:rsidRPr="007A666A">
        <w:rPr>
          <w:rFonts w:ascii="Times New Roman" w:hAnsi="Times New Roman" w:cs="Times New Roman"/>
          <w:smallCaps/>
          <w:sz w:val="20"/>
          <w:szCs w:val="20"/>
          <w:lang w:val="hu-HU"/>
        </w:rPr>
        <w:t>Z. Varga</w:t>
      </w:r>
      <w:r>
        <w:rPr>
          <w:rFonts w:ascii="Times New Roman" w:hAnsi="Times New Roman" w:cs="Times New Roman"/>
          <w:sz w:val="20"/>
          <w:szCs w:val="20"/>
          <w:lang w:val="hu-HU"/>
        </w:rPr>
        <w:t xml:space="preserve"> Zoltán, </w:t>
      </w:r>
      <w:r w:rsidRPr="00881936">
        <w:rPr>
          <w:rFonts w:ascii="Times New Roman" w:hAnsi="Times New Roman" w:cs="Times New Roman"/>
          <w:i/>
          <w:sz w:val="20"/>
          <w:szCs w:val="20"/>
          <w:lang w:val="hu-HU"/>
        </w:rPr>
        <w:t>A francia kapcsolat – az irodalomelmélet „kulturális fordulatának” néhány francia kultúrtörténeti előzményéről</w:t>
      </w:r>
      <w:r w:rsidRPr="00881936">
        <w:rPr>
          <w:rFonts w:ascii="Times New Roman" w:hAnsi="Times New Roman" w:cs="Times New Roman"/>
          <w:sz w:val="20"/>
          <w:szCs w:val="20"/>
          <w:lang w:val="hu-HU"/>
        </w:rPr>
        <w:t xml:space="preserve"> = Helikon (A kritikai kultúrakutatás szám), 2005, 1-2, 115-132</w:t>
      </w:r>
    </w:p>
  </w:footnote>
  <w:footnote w:id="3">
    <w:p w:rsidR="004D2BB7" w:rsidRPr="004D2BB7" w:rsidRDefault="004D2BB7" w:rsidP="004D2BB7">
      <w:pPr>
        <w:rPr>
          <w:rFonts w:ascii="Times New Roman" w:hAnsi="Times New Roman" w:cs="Times New Roman"/>
          <w:sz w:val="20"/>
          <w:szCs w:val="20"/>
          <w:lang w:val="hu-HU"/>
        </w:rPr>
      </w:pPr>
      <w:r w:rsidRPr="00881936">
        <w:rPr>
          <w:rStyle w:val="Lbjegyzet-karakterek"/>
          <w:rFonts w:ascii="Times New Roman" w:hAnsi="Times New Roman" w:cs="Times New Roman"/>
          <w:sz w:val="20"/>
          <w:szCs w:val="20"/>
        </w:rPr>
        <w:footnoteRef/>
      </w:r>
      <w:r w:rsidRPr="004D2BB7">
        <w:rPr>
          <w:rStyle w:val="footnotereference"/>
          <w:rFonts w:ascii="Times New Roman" w:hAnsi="Times New Roman" w:cs="Times New Roman"/>
          <w:sz w:val="20"/>
          <w:szCs w:val="20"/>
          <w:lang w:val="hu-HU"/>
        </w:rPr>
        <w:t xml:space="preserve"> </w:t>
      </w:r>
      <w:r w:rsidRPr="00881936">
        <w:rPr>
          <w:rFonts w:ascii="Times New Roman" w:hAnsi="Times New Roman" w:cs="Times New Roman"/>
          <w:sz w:val="20"/>
          <w:szCs w:val="20"/>
          <w:lang w:val="hu-HU"/>
        </w:rPr>
        <w:t xml:space="preserve">Roland </w:t>
      </w:r>
      <w:r w:rsidRPr="007A666A">
        <w:rPr>
          <w:rFonts w:ascii="Times New Roman" w:hAnsi="Times New Roman" w:cs="Times New Roman"/>
          <w:smallCaps/>
          <w:sz w:val="20"/>
          <w:szCs w:val="20"/>
          <w:lang w:val="hu-HU"/>
        </w:rPr>
        <w:t>Barthes</w:t>
      </w:r>
      <w:r w:rsidRPr="00881936">
        <w:rPr>
          <w:rFonts w:ascii="Times New Roman" w:hAnsi="Times New Roman" w:cs="Times New Roman"/>
          <w:sz w:val="20"/>
          <w:szCs w:val="20"/>
          <w:lang w:val="hu-HU"/>
        </w:rPr>
        <w:t xml:space="preserve">, </w:t>
      </w:r>
      <w:r w:rsidRPr="00881936">
        <w:rPr>
          <w:rFonts w:ascii="Times New Roman" w:hAnsi="Times New Roman" w:cs="Times New Roman"/>
          <w:i/>
          <w:sz w:val="20"/>
          <w:szCs w:val="20"/>
          <w:lang w:val="hu-HU"/>
        </w:rPr>
        <w:t>Mitológiák</w:t>
      </w:r>
      <w:r w:rsidRPr="00881936">
        <w:rPr>
          <w:rFonts w:ascii="Times New Roman" w:hAnsi="Times New Roman" w:cs="Times New Roman"/>
          <w:sz w:val="20"/>
          <w:szCs w:val="20"/>
          <w:lang w:val="hu-HU"/>
        </w:rPr>
        <w:t xml:space="preserve">, ford. </w:t>
      </w:r>
      <w:r w:rsidRPr="007A666A">
        <w:rPr>
          <w:rFonts w:ascii="Times New Roman" w:hAnsi="Times New Roman" w:cs="Times New Roman"/>
          <w:smallCaps/>
          <w:sz w:val="20"/>
          <w:szCs w:val="20"/>
          <w:lang w:val="hu-HU"/>
        </w:rPr>
        <w:t>Ádám</w:t>
      </w:r>
      <w:r w:rsidRPr="00881936">
        <w:rPr>
          <w:rFonts w:ascii="Times New Roman" w:hAnsi="Times New Roman" w:cs="Times New Roman"/>
          <w:sz w:val="20"/>
          <w:szCs w:val="20"/>
          <w:lang w:val="hu-HU"/>
        </w:rPr>
        <w:t xml:space="preserve"> Péter, Európa, Budapest, 1983</w:t>
      </w:r>
    </w:p>
  </w:footnote>
  <w:footnote w:id="4">
    <w:p w:rsidR="004D2BB7" w:rsidRPr="004D2BB7" w:rsidRDefault="004D2BB7" w:rsidP="004D2BB7">
      <w:pPr>
        <w:rPr>
          <w:rFonts w:ascii="Times New Roman" w:hAnsi="Times New Roman" w:cs="Times New Roman"/>
          <w:sz w:val="20"/>
          <w:szCs w:val="20"/>
          <w:lang w:val="hu-HU"/>
        </w:rPr>
      </w:pPr>
      <w:r w:rsidRPr="00881936">
        <w:rPr>
          <w:rStyle w:val="Lbjegyzet-karakterek"/>
          <w:rFonts w:ascii="Times New Roman" w:hAnsi="Times New Roman" w:cs="Times New Roman"/>
          <w:sz w:val="20"/>
          <w:szCs w:val="20"/>
        </w:rPr>
        <w:footnoteRef/>
      </w:r>
      <w:r>
        <w:rPr>
          <w:rFonts w:ascii="Times New Roman" w:hAnsi="Times New Roman" w:cs="Times New Roman"/>
          <w:sz w:val="20"/>
          <w:szCs w:val="20"/>
          <w:lang w:val="hu-HU"/>
        </w:rPr>
        <w:t xml:space="preserve"> </w:t>
      </w:r>
      <w:r w:rsidRPr="00881936">
        <w:rPr>
          <w:rFonts w:ascii="Times New Roman" w:hAnsi="Times New Roman" w:cs="Times New Roman"/>
          <w:sz w:val="20"/>
          <w:szCs w:val="20"/>
          <w:lang w:val="hu-HU"/>
        </w:rPr>
        <w:t xml:space="preserve">Roland </w:t>
      </w:r>
      <w:r w:rsidRPr="007A666A">
        <w:rPr>
          <w:rFonts w:ascii="Times New Roman" w:hAnsi="Times New Roman" w:cs="Times New Roman"/>
          <w:smallCaps/>
          <w:sz w:val="20"/>
          <w:szCs w:val="20"/>
          <w:lang w:val="hu-HU"/>
        </w:rPr>
        <w:t>Barthes</w:t>
      </w:r>
      <w:r w:rsidRPr="00881936">
        <w:rPr>
          <w:rFonts w:ascii="Times New Roman" w:hAnsi="Times New Roman" w:cs="Times New Roman"/>
          <w:sz w:val="20"/>
          <w:szCs w:val="20"/>
          <w:lang w:val="hu-HU"/>
        </w:rPr>
        <w:t xml:space="preserve">, </w:t>
      </w:r>
      <w:r w:rsidRPr="00881936">
        <w:rPr>
          <w:rFonts w:ascii="Times New Roman" w:hAnsi="Times New Roman" w:cs="Times New Roman"/>
          <w:i/>
          <w:sz w:val="20"/>
          <w:szCs w:val="20"/>
          <w:lang w:val="hu-HU"/>
        </w:rPr>
        <w:t>Beszédtöredékek a szerelemről</w:t>
      </w:r>
      <w:r w:rsidRPr="00881936">
        <w:rPr>
          <w:rFonts w:ascii="Times New Roman" w:hAnsi="Times New Roman" w:cs="Times New Roman"/>
          <w:sz w:val="20"/>
          <w:szCs w:val="20"/>
          <w:lang w:val="hu-HU"/>
        </w:rPr>
        <w:t xml:space="preserve">, ford. </w:t>
      </w:r>
      <w:r w:rsidRPr="007A666A">
        <w:rPr>
          <w:rFonts w:ascii="Times New Roman" w:hAnsi="Times New Roman" w:cs="Times New Roman"/>
          <w:smallCaps/>
          <w:sz w:val="20"/>
          <w:szCs w:val="20"/>
          <w:lang w:val="hu-HU"/>
        </w:rPr>
        <w:t>Albert</w:t>
      </w:r>
      <w:r w:rsidRPr="00881936">
        <w:rPr>
          <w:rFonts w:ascii="Times New Roman" w:hAnsi="Times New Roman" w:cs="Times New Roman"/>
          <w:sz w:val="20"/>
          <w:szCs w:val="20"/>
          <w:lang w:val="hu-HU"/>
        </w:rPr>
        <w:t xml:space="preserve"> Sándor, Atlantisz, Budapest, 1997</w:t>
      </w:r>
    </w:p>
  </w:footnote>
  <w:footnote w:id="5">
    <w:p w:rsidR="004D2BB7" w:rsidRPr="00192FF2" w:rsidRDefault="004D2BB7" w:rsidP="004D2BB7">
      <w:pPr>
        <w:rPr>
          <w:rFonts w:ascii="Times New Roman" w:hAnsi="Times New Roman" w:cs="Times New Roman"/>
          <w:sz w:val="20"/>
          <w:szCs w:val="20"/>
          <w:lang w:val="hu-HU"/>
        </w:rPr>
      </w:pPr>
      <w:r w:rsidRPr="00881936">
        <w:rPr>
          <w:rStyle w:val="Lbjegyzet-karakterek"/>
          <w:rFonts w:ascii="Times New Roman" w:hAnsi="Times New Roman" w:cs="Times New Roman"/>
          <w:sz w:val="20"/>
          <w:szCs w:val="20"/>
        </w:rPr>
        <w:footnoteRef/>
      </w:r>
      <w:r w:rsidRPr="00881936">
        <w:rPr>
          <w:rFonts w:ascii="Times New Roman" w:hAnsi="Times New Roman" w:cs="Times New Roman"/>
          <w:sz w:val="20"/>
          <w:szCs w:val="20"/>
          <w:lang w:val="hu-HU"/>
        </w:rPr>
        <w:t>. Eredetileg a két írás együtt, egy címen jelent meg (</w:t>
      </w:r>
      <w:proofErr w:type="spellStart"/>
      <w:r w:rsidRPr="00881936">
        <w:rPr>
          <w:rFonts w:ascii="Times New Roman" w:hAnsi="Times New Roman" w:cs="Times New Roman"/>
          <w:i/>
          <w:sz w:val="20"/>
          <w:szCs w:val="20"/>
          <w:lang w:val="hu-HU"/>
        </w:rPr>
        <w:t>Mythologies</w:t>
      </w:r>
      <w:proofErr w:type="spellEnd"/>
      <w:r w:rsidRPr="00881936">
        <w:rPr>
          <w:rFonts w:ascii="Times New Roman" w:hAnsi="Times New Roman" w:cs="Times New Roman"/>
          <w:sz w:val="20"/>
          <w:szCs w:val="20"/>
          <w:lang w:val="hu-HU"/>
        </w:rPr>
        <w:t xml:space="preserve">, </w:t>
      </w:r>
      <w:proofErr w:type="spellStart"/>
      <w:r w:rsidRPr="00881936">
        <w:rPr>
          <w:rFonts w:ascii="Times New Roman" w:hAnsi="Times New Roman" w:cs="Times New Roman"/>
          <w:sz w:val="20"/>
          <w:szCs w:val="20"/>
          <w:lang w:val="hu-HU"/>
        </w:rPr>
        <w:t>Éditions</w:t>
      </w:r>
      <w:proofErr w:type="spellEnd"/>
      <w:r w:rsidRPr="00881936">
        <w:rPr>
          <w:rFonts w:ascii="Times New Roman" w:hAnsi="Times New Roman" w:cs="Times New Roman"/>
          <w:sz w:val="20"/>
          <w:szCs w:val="20"/>
          <w:lang w:val="hu-HU"/>
        </w:rPr>
        <w:t xml:space="preserve"> du </w:t>
      </w:r>
      <w:proofErr w:type="spellStart"/>
      <w:r w:rsidRPr="00881936">
        <w:rPr>
          <w:rFonts w:ascii="Times New Roman" w:hAnsi="Times New Roman" w:cs="Times New Roman"/>
          <w:sz w:val="20"/>
          <w:szCs w:val="20"/>
          <w:lang w:val="hu-HU"/>
        </w:rPr>
        <w:t>Seuil</w:t>
      </w:r>
      <w:proofErr w:type="spellEnd"/>
      <w:r w:rsidRPr="00881936">
        <w:rPr>
          <w:rFonts w:ascii="Times New Roman" w:hAnsi="Times New Roman" w:cs="Times New Roman"/>
          <w:sz w:val="20"/>
          <w:szCs w:val="20"/>
          <w:lang w:val="hu-HU"/>
        </w:rPr>
        <w:t xml:space="preserve">, Paris, 1957), de a </w:t>
      </w:r>
      <w:r w:rsidRPr="00881936">
        <w:rPr>
          <w:rFonts w:ascii="Times New Roman" w:hAnsi="Times New Roman" w:cs="Times New Roman"/>
          <w:i/>
          <w:sz w:val="20"/>
          <w:szCs w:val="20"/>
          <w:lang w:val="hu-HU"/>
        </w:rPr>
        <w:t>Mitológiák</w:t>
      </w:r>
      <w:r w:rsidRPr="00881936">
        <w:rPr>
          <w:rFonts w:ascii="Times New Roman" w:hAnsi="Times New Roman" w:cs="Times New Roman"/>
          <w:sz w:val="20"/>
          <w:szCs w:val="20"/>
          <w:lang w:val="hu-HU"/>
        </w:rPr>
        <w:t xml:space="preserve"> című magyar kiadásból (Európa, Budapest, 1983) kimarad a </w:t>
      </w:r>
      <w:r w:rsidRPr="00881936">
        <w:rPr>
          <w:rFonts w:ascii="Times New Roman" w:hAnsi="Times New Roman" w:cs="Times New Roman"/>
          <w:i/>
          <w:sz w:val="20"/>
          <w:szCs w:val="20"/>
          <w:lang w:val="hu-HU"/>
        </w:rPr>
        <w:t>Mítosz ma</w:t>
      </w:r>
      <w:r w:rsidRPr="00881936">
        <w:rPr>
          <w:rFonts w:ascii="Times New Roman" w:hAnsi="Times New Roman" w:cs="Times New Roman"/>
          <w:sz w:val="20"/>
          <w:szCs w:val="20"/>
          <w:lang w:val="hu-HU"/>
        </w:rPr>
        <w:t xml:space="preserve"> című tanulmány. </w:t>
      </w:r>
    </w:p>
  </w:footnote>
  <w:footnote w:id="6">
    <w:p w:rsidR="004D2BB7" w:rsidRPr="00881936" w:rsidRDefault="004D2BB7" w:rsidP="004D2BB7">
      <w:pPr>
        <w:rPr>
          <w:rFonts w:ascii="Times New Roman" w:hAnsi="Times New Roman" w:cs="Times New Roman"/>
          <w:sz w:val="20"/>
          <w:szCs w:val="20"/>
        </w:rPr>
      </w:pPr>
      <w:r w:rsidRPr="00881936">
        <w:rPr>
          <w:rStyle w:val="Lbjegyzet-karakterek"/>
          <w:rFonts w:ascii="Times New Roman" w:hAnsi="Times New Roman" w:cs="Times New Roman"/>
          <w:sz w:val="20"/>
          <w:szCs w:val="20"/>
        </w:rPr>
        <w:footnoteRef/>
      </w:r>
      <w:r w:rsidRPr="004D2BB7">
        <w:rPr>
          <w:rFonts w:ascii="Times New Roman" w:hAnsi="Times New Roman" w:cs="Times New Roman"/>
          <w:sz w:val="20"/>
          <w:szCs w:val="20"/>
          <w:lang w:val="hu-HU"/>
        </w:rPr>
        <w:t xml:space="preserve">. </w:t>
      </w:r>
      <w:r w:rsidRPr="00881936">
        <w:rPr>
          <w:rFonts w:ascii="Times New Roman" w:hAnsi="Times New Roman" w:cs="Times New Roman"/>
          <w:sz w:val="20"/>
          <w:szCs w:val="20"/>
          <w:lang w:val="hu-HU"/>
        </w:rPr>
        <w:t xml:space="preserve">Vö. Roland </w:t>
      </w:r>
      <w:r w:rsidRPr="00935A25">
        <w:rPr>
          <w:rFonts w:ascii="Times New Roman" w:hAnsi="Times New Roman" w:cs="Times New Roman"/>
          <w:smallCaps/>
          <w:sz w:val="20"/>
          <w:szCs w:val="20"/>
          <w:lang w:val="hu-HU"/>
        </w:rPr>
        <w:t>Barthes</w:t>
      </w:r>
      <w:r w:rsidRPr="00881936">
        <w:rPr>
          <w:rFonts w:ascii="Times New Roman" w:hAnsi="Times New Roman" w:cs="Times New Roman"/>
          <w:sz w:val="20"/>
          <w:szCs w:val="20"/>
          <w:lang w:val="hu-HU"/>
        </w:rPr>
        <w:t xml:space="preserve">, </w:t>
      </w:r>
      <w:proofErr w:type="spellStart"/>
      <w:r w:rsidRPr="00881936">
        <w:rPr>
          <w:rFonts w:ascii="Times New Roman" w:hAnsi="Times New Roman" w:cs="Times New Roman"/>
          <w:i/>
          <w:sz w:val="20"/>
          <w:szCs w:val="20"/>
          <w:lang w:val="hu-HU"/>
        </w:rPr>
        <w:t>Világoskamra</w:t>
      </w:r>
      <w:proofErr w:type="spellEnd"/>
      <w:r w:rsidRPr="00881936">
        <w:rPr>
          <w:rFonts w:ascii="Times New Roman" w:hAnsi="Times New Roman" w:cs="Times New Roman"/>
          <w:sz w:val="20"/>
          <w:szCs w:val="20"/>
          <w:lang w:val="hu-HU"/>
        </w:rPr>
        <w:t xml:space="preserve">, </w:t>
      </w:r>
      <w:r w:rsidRPr="00881936">
        <w:rPr>
          <w:rFonts w:ascii="Times New Roman" w:hAnsi="Times New Roman" w:cs="Times New Roman"/>
          <w:i/>
          <w:sz w:val="20"/>
          <w:szCs w:val="20"/>
          <w:lang w:val="hu-HU"/>
        </w:rPr>
        <w:t>Jegyzetek a fotográfiához</w:t>
      </w:r>
      <w:r w:rsidRPr="00881936">
        <w:rPr>
          <w:rFonts w:ascii="Times New Roman" w:hAnsi="Times New Roman" w:cs="Times New Roman"/>
          <w:sz w:val="20"/>
          <w:szCs w:val="20"/>
          <w:lang w:val="hu-HU"/>
        </w:rPr>
        <w:t xml:space="preserve">, ford. </w:t>
      </w:r>
      <w:proofErr w:type="spellStart"/>
      <w:r w:rsidRPr="00935A25">
        <w:rPr>
          <w:rFonts w:ascii="Times New Roman" w:hAnsi="Times New Roman" w:cs="Times New Roman"/>
          <w:smallCaps/>
          <w:sz w:val="20"/>
          <w:szCs w:val="20"/>
          <w:lang w:val="hu-HU"/>
        </w:rPr>
        <w:t>Ferch</w:t>
      </w:r>
      <w:proofErr w:type="spellEnd"/>
      <w:r w:rsidRPr="00935A25">
        <w:rPr>
          <w:rFonts w:ascii="Times New Roman" w:hAnsi="Times New Roman" w:cs="Times New Roman"/>
          <w:smallCaps/>
          <w:sz w:val="20"/>
          <w:szCs w:val="20"/>
          <w:lang w:val="hu-HU"/>
        </w:rPr>
        <w:t xml:space="preserve"> </w:t>
      </w:r>
      <w:r w:rsidRPr="00881936">
        <w:rPr>
          <w:rFonts w:ascii="Times New Roman" w:hAnsi="Times New Roman" w:cs="Times New Roman"/>
          <w:sz w:val="20"/>
          <w:szCs w:val="20"/>
          <w:lang w:val="hu-HU"/>
        </w:rPr>
        <w:t>Magda, Európa, Budapest, 1985, 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B7"/>
    <w:rsid w:val="004D2BB7"/>
    <w:rsid w:val="0065165B"/>
    <w:rsid w:val="00DF33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7EB77-1617-4AC3-8C7F-207D7DA4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BB7"/>
    <w:pPr>
      <w:suppressAutoHyphens/>
      <w:spacing w:after="200" w:line="276" w:lineRule="auto"/>
    </w:pPr>
    <w:rPr>
      <w:rFonts w:ascii="Calibri" w:eastAsia="SimSun" w:hAnsi="Calibri" w:cs="font498"/>
      <w:lang w:val="en-GB"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ootnotereference">
    <w:name w:val="footnote reference"/>
    <w:rsid w:val="004D2BB7"/>
    <w:rPr>
      <w:vertAlign w:val="superscript"/>
    </w:rPr>
  </w:style>
  <w:style w:type="character" w:customStyle="1" w:styleId="Lbjegyzet-karakterek">
    <w:name w:val="Lábjegyzet-karakterek"/>
    <w:rsid w:val="004D2BB7"/>
  </w:style>
  <w:style w:type="character" w:styleId="Lbjegyzet-hivatkozs">
    <w:name w:val="footnote reference"/>
    <w:rsid w:val="004D2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5431</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Juditka</dc:creator>
  <cp:keywords/>
  <dc:description/>
  <cp:lastModifiedBy>Juditka</cp:lastModifiedBy>
  <cp:revision>1</cp:revision>
  <dcterms:created xsi:type="dcterms:W3CDTF">2018-11-06T06:51:00Z</dcterms:created>
  <dcterms:modified xsi:type="dcterms:W3CDTF">2018-11-06T06:51:00Z</dcterms:modified>
</cp:coreProperties>
</file>