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</w:rPr>
        <w:t>No thorough investigation of Rilke</w:t>
      </w:r>
      <w:r>
        <w:rPr>
          <w:rtl w:val="0"/>
        </w:rPr>
        <w:t>’</w:t>
      </w:r>
      <w:r>
        <w:rPr>
          <w:rtl w:val="0"/>
        </w:rPr>
        <w:t>s life and work can fail to consider the poet</w:t>
      </w:r>
      <w:r>
        <w:rPr>
          <w:rtl w:val="0"/>
        </w:rPr>
        <w:t>’</w:t>
      </w:r>
      <w:r>
        <w:rPr>
          <w:rtl w:val="0"/>
        </w:rPr>
        <w:t>s lifelong preoccupation with his religious heritage. The deep piety of his mother cocooned the childish consciousness of the little Ren</w:t>
      </w:r>
      <w:r>
        <w:rPr>
          <w:rtl w:val="0"/>
        </w:rPr>
        <w:t xml:space="preserve">é </w:t>
      </w:r>
      <w:r>
        <w:rPr>
          <w:rtl w:val="0"/>
        </w:rPr>
        <w:t>and the permanent influence of these early Catholic years is clearly evident in the works which mark a turning-point in his oeuvre (e.g. Visions of Christ (</w:t>
      </w:r>
      <w:r>
        <w:rPr>
          <w:i w:val="1"/>
          <w:iCs w:val="1"/>
          <w:rtl w:val="0"/>
          <w:lang w:val="en-US"/>
        </w:rPr>
        <w:t xml:space="preserve">Christus Visionen) </w:t>
      </w:r>
      <w:r>
        <w:rPr>
          <w:rtl w:val="0"/>
        </w:rPr>
        <w:t>and The Book of Hours (</w:t>
      </w:r>
      <w:r>
        <w:rPr>
          <w:i w:val="1"/>
          <w:iCs w:val="1"/>
          <w:rtl w:val="0"/>
          <w:lang w:val="en-US"/>
        </w:rPr>
        <w:t>Das Stunden-Buch</w:t>
      </w:r>
      <w:r>
        <w:rPr>
          <w:rtl w:val="0"/>
        </w:rPr>
        <w:t xml:space="preserve">)) and which </w:t>
      </w:r>
      <w:r>
        <w:rPr>
          <w:rtl w:val="0"/>
        </w:rPr>
        <w:t>“</w:t>
      </w:r>
      <w:r>
        <w:rPr>
          <w:rtl w:val="0"/>
        </w:rPr>
        <w:t>revolve</w:t>
      </w:r>
      <w:r>
        <w:rPr>
          <w:rtl w:val="0"/>
        </w:rPr>
        <w:t>” “</w:t>
      </w:r>
      <w:r>
        <w:rPr>
          <w:rtl w:val="0"/>
        </w:rPr>
        <w:t>around God</w:t>
      </w:r>
      <w:r>
        <w:rPr>
          <w:rtl w:val="0"/>
        </w:rPr>
        <w:t xml:space="preserve">” </w:t>
      </w:r>
      <w:r>
        <w:rPr>
          <w:rtl w:val="0"/>
        </w:rPr>
        <w:t>or his beloved Son. Nevertheless Rilke</w:t>
      </w:r>
      <w:r>
        <w:rPr>
          <w:rtl w:val="0"/>
        </w:rPr>
        <w:t>’</w:t>
      </w:r>
      <w:r>
        <w:rPr>
          <w:rtl w:val="0"/>
        </w:rPr>
        <w:t>s mature spirituality cannot be completely aligned with either one or other system of traditional religious beliefs. Rilke explicitly rejected Christian Orthodoxy and - while he used Jewish and Islamic sources for inspiration - never showed even the slightest interest in converting. However such a notion would completely belie his spiritual commitment, which was so central for Rilke: his determined preoccupation with the art of poetry, which was at the core of his being. If it is not actually possible to reconcile Rilke</w:t>
      </w:r>
      <w:r>
        <w:rPr>
          <w:rtl w:val="0"/>
        </w:rPr>
        <w:t>’</w:t>
      </w:r>
      <w:r>
        <w:rPr>
          <w:rtl w:val="0"/>
        </w:rPr>
        <w:t xml:space="preserve">s own </w:t>
      </w:r>
      <w:r>
        <w:rPr>
          <w:i w:val="1"/>
          <w:iCs w:val="1"/>
          <w:rtl w:val="0"/>
          <w:lang w:val="en-US"/>
        </w:rPr>
        <w:t xml:space="preserve">world view </w:t>
      </w:r>
      <w:r>
        <w:rPr>
          <w:rtl w:val="0"/>
        </w:rPr>
        <w:t xml:space="preserve">with that of the established religions, how can we adequately grasp the spiritual universe in which and through which he explored his art? How can we then understand the </w:t>
      </w:r>
      <w:r>
        <w:rPr>
          <w:rtl w:val="0"/>
        </w:rPr>
        <w:t>“</w:t>
      </w:r>
      <w:r>
        <w:rPr>
          <w:rtl w:val="0"/>
        </w:rPr>
        <w:t>search for God in the poetry of Rainer Maria Rilke</w:t>
      </w:r>
      <w:r>
        <w:rPr>
          <w:rtl w:val="0"/>
        </w:rPr>
        <w:t>”</w:t>
      </w:r>
      <w:r>
        <w:rPr>
          <w:rtl w:val="0"/>
        </w:rPr>
        <w:t>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Laura Massey</w:t>
      </w:r>
    </w:p>
    <w:p>
      <w:pPr>
        <w:pStyle w:val="Body A"/>
      </w:pPr>
      <w:r>
        <w:rPr>
          <w:rtl w:val="0"/>
        </w:rPr>
        <w:t>July, 2017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