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8B" w:rsidRPr="00C36949" w:rsidRDefault="0030298B" w:rsidP="0030298B">
      <w:pPr>
        <w:spacing w:after="360"/>
        <w:jc w:val="center"/>
        <w:rPr>
          <w:b/>
          <w:color w:val="1F4E79" w:themeColor="accent1" w:themeShade="80"/>
          <w:sz w:val="28"/>
          <w:szCs w:val="28"/>
        </w:rPr>
      </w:pPr>
      <w:proofErr w:type="spellStart"/>
      <w:r w:rsidRPr="00C36949">
        <w:rPr>
          <w:b/>
          <w:color w:val="1F4E79" w:themeColor="accent1" w:themeShade="80"/>
          <w:sz w:val="28"/>
          <w:szCs w:val="28"/>
        </w:rPr>
        <w:t>Médico</w:t>
      </w:r>
      <w:proofErr w:type="spellEnd"/>
      <w:r w:rsidRPr="00C36949">
        <w:rPr>
          <w:b/>
          <w:color w:val="1F4E79" w:themeColor="accent1" w:themeShade="80"/>
          <w:sz w:val="28"/>
          <w:szCs w:val="28"/>
        </w:rPr>
        <w:t xml:space="preserve"> – </w:t>
      </w:r>
      <w:proofErr w:type="spellStart"/>
      <w:r w:rsidRPr="00C36949">
        <w:rPr>
          <w:b/>
          <w:color w:val="1F4E79" w:themeColor="accent1" w:themeShade="80"/>
          <w:sz w:val="28"/>
          <w:szCs w:val="28"/>
        </w:rPr>
        <w:t>Prueba</w:t>
      </w:r>
      <w:proofErr w:type="spellEnd"/>
      <w:r w:rsidRPr="00C36949">
        <w:rPr>
          <w:b/>
          <w:color w:val="1F4E79" w:themeColor="accent1" w:themeShade="80"/>
          <w:sz w:val="28"/>
          <w:szCs w:val="28"/>
        </w:rPr>
        <w:t xml:space="preserve"> de </w:t>
      </w:r>
      <w:proofErr w:type="spellStart"/>
      <w:r w:rsidRPr="00C36949">
        <w:rPr>
          <w:b/>
          <w:color w:val="1F4E79" w:themeColor="accent1" w:themeShade="80"/>
          <w:sz w:val="28"/>
          <w:szCs w:val="28"/>
        </w:rPr>
        <w:t>traducción</w:t>
      </w:r>
      <w:bookmarkStart w:id="0" w:name="_GoBack"/>
      <w:bookmarkEnd w:id="0"/>
      <w:proofErr w:type="spellEnd"/>
    </w:p>
    <w:p w:rsidR="00D13503" w:rsidRDefault="00D13503" w:rsidP="00D135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D6C0D">
        <w:rPr>
          <w:rFonts w:ascii="Arial" w:hAnsi="Arial" w:cs="Arial"/>
          <w:sz w:val="20"/>
          <w:szCs w:val="20"/>
        </w:rPr>
        <w:t>Isavuconazole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has several characteristics that provide additional benefits over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, the current standard of care for invasive aspergillosis and </w:t>
      </w:r>
      <w:proofErr w:type="spellStart"/>
      <w:r w:rsidRPr="00FD6C0D">
        <w:rPr>
          <w:rFonts w:ascii="Arial" w:hAnsi="Arial" w:cs="Arial"/>
          <w:sz w:val="20"/>
          <w:szCs w:val="20"/>
        </w:rPr>
        <w:t>mucormycosis</w:t>
      </w:r>
      <w:proofErr w:type="spellEnd"/>
      <w:r w:rsidRPr="00FD6C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FD6C0D">
        <w:rPr>
          <w:rFonts w:ascii="Arial" w:hAnsi="Arial" w:cs="Arial"/>
          <w:sz w:val="20"/>
          <w:szCs w:val="20"/>
        </w:rPr>
        <w:t xml:space="preserve">A key advantage of </w:t>
      </w:r>
      <w:proofErr w:type="spellStart"/>
      <w:r w:rsidRPr="00FD6C0D">
        <w:rPr>
          <w:rFonts w:ascii="Arial" w:hAnsi="Arial" w:cs="Arial"/>
          <w:sz w:val="20"/>
          <w:szCs w:val="20"/>
        </w:rPr>
        <w:t>isavuconazole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over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is its breadth of antifungal activity, which makes it a more versatile option, particularly before confirmation of causative pathogen.</w:t>
      </w:r>
      <w:r>
        <w:rPr>
          <w:rFonts w:ascii="Arial" w:hAnsi="Arial" w:cs="Arial"/>
          <w:sz w:val="20"/>
          <w:szCs w:val="20"/>
        </w:rPr>
        <w:t xml:space="preserve"> </w:t>
      </w:r>
      <w:r w:rsidRPr="00FD6C0D">
        <w:rPr>
          <w:rFonts w:ascii="Arial" w:hAnsi="Arial" w:cs="Arial"/>
          <w:sz w:val="20"/>
          <w:szCs w:val="20"/>
        </w:rPr>
        <w:t xml:space="preserve">Importantly, </w:t>
      </w:r>
      <w:proofErr w:type="spellStart"/>
      <w:r w:rsidRPr="00FD6C0D">
        <w:rPr>
          <w:rFonts w:ascii="Arial" w:hAnsi="Arial" w:cs="Arial"/>
          <w:sz w:val="20"/>
          <w:szCs w:val="20"/>
        </w:rPr>
        <w:t>isavuconazole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is active against </w:t>
      </w:r>
      <w:proofErr w:type="spellStart"/>
      <w:r w:rsidRPr="00FD6C0D">
        <w:rPr>
          <w:rFonts w:ascii="Arial" w:hAnsi="Arial" w:cs="Arial"/>
          <w:sz w:val="20"/>
          <w:szCs w:val="20"/>
        </w:rPr>
        <w:t>Mucorales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fungi, while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is not</w:t>
      </w:r>
      <w:r w:rsidRPr="00FD6C0D">
        <w:rPr>
          <w:rFonts w:ascii="Arial" w:hAnsi="Arial" w:cs="Arial"/>
          <w:b/>
          <w:sz w:val="20"/>
          <w:szCs w:val="20"/>
        </w:rPr>
        <w:t>.</w:t>
      </w:r>
      <w:r w:rsidRPr="00FD6C0D">
        <w:rPr>
          <w:rFonts w:ascii="Arial" w:hAnsi="Arial" w:cs="Arial"/>
          <w:sz w:val="20"/>
          <w:szCs w:val="20"/>
        </w:rPr>
        <w:t xml:space="preserve"> This offers two key benefits.</w:t>
      </w:r>
      <w:r>
        <w:rPr>
          <w:rFonts w:ascii="Arial" w:hAnsi="Arial" w:cs="Arial"/>
          <w:sz w:val="20"/>
          <w:szCs w:val="20"/>
        </w:rPr>
        <w:t xml:space="preserve"> </w:t>
      </w:r>
      <w:r w:rsidRPr="00FD6C0D">
        <w:rPr>
          <w:rFonts w:ascii="Arial" w:hAnsi="Arial" w:cs="Arial"/>
          <w:sz w:val="20"/>
          <w:szCs w:val="20"/>
        </w:rPr>
        <w:t xml:space="preserve">Firstly, since aspergillosis and </w:t>
      </w:r>
      <w:proofErr w:type="spellStart"/>
      <w:r w:rsidRPr="00FD6C0D">
        <w:rPr>
          <w:rFonts w:ascii="Arial" w:hAnsi="Arial" w:cs="Arial"/>
          <w:sz w:val="20"/>
          <w:szCs w:val="20"/>
        </w:rPr>
        <w:t>mucormycosis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can be difficult to distinguish, the use of </w:t>
      </w:r>
      <w:proofErr w:type="spellStart"/>
      <w:r w:rsidRPr="00FD6C0D">
        <w:rPr>
          <w:rFonts w:ascii="Arial" w:hAnsi="Arial" w:cs="Arial"/>
          <w:sz w:val="20"/>
          <w:szCs w:val="20"/>
        </w:rPr>
        <w:t>isavuconazole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provides physicians with the confidence that their aspergillosis patients are receiving appropriate coverage when </w:t>
      </w:r>
      <w:proofErr w:type="spellStart"/>
      <w:r w:rsidRPr="00FD6C0D">
        <w:rPr>
          <w:rFonts w:ascii="Arial" w:hAnsi="Arial" w:cs="Arial"/>
          <w:sz w:val="20"/>
          <w:szCs w:val="20"/>
        </w:rPr>
        <w:t>Mucorales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co-infection cannot be ruled out.</w:t>
      </w:r>
      <w:r>
        <w:rPr>
          <w:rFonts w:ascii="Arial" w:hAnsi="Arial" w:cs="Arial"/>
          <w:sz w:val="20"/>
          <w:szCs w:val="20"/>
        </w:rPr>
        <w:t xml:space="preserve"> </w:t>
      </w:r>
      <w:r w:rsidRPr="00FD6C0D">
        <w:rPr>
          <w:rFonts w:ascii="Arial" w:hAnsi="Arial" w:cs="Arial"/>
          <w:sz w:val="20"/>
          <w:szCs w:val="20"/>
        </w:rPr>
        <w:t xml:space="preserve">Secondly, overuse of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has been linked with breakthrough </w:t>
      </w:r>
      <w:proofErr w:type="spellStart"/>
      <w:r w:rsidRPr="00FD6C0D">
        <w:rPr>
          <w:rFonts w:ascii="Arial" w:hAnsi="Arial" w:cs="Arial"/>
          <w:sz w:val="20"/>
          <w:szCs w:val="20"/>
        </w:rPr>
        <w:t>mucormycosis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; consequently, aspergillosis treatments with activity against </w:t>
      </w:r>
      <w:proofErr w:type="spellStart"/>
      <w:r w:rsidRPr="00FD6C0D">
        <w:rPr>
          <w:rFonts w:ascii="Arial" w:hAnsi="Arial" w:cs="Arial"/>
          <w:sz w:val="20"/>
          <w:szCs w:val="20"/>
        </w:rPr>
        <w:t>Mucorales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may help to reduce the </w:t>
      </w:r>
      <w:r>
        <w:rPr>
          <w:rFonts w:ascii="Arial" w:hAnsi="Arial" w:cs="Arial"/>
          <w:sz w:val="20"/>
          <w:szCs w:val="20"/>
        </w:rPr>
        <w:t xml:space="preserve">risk of this type of incident. </w:t>
      </w:r>
      <w:r w:rsidRPr="00FD6C0D">
        <w:rPr>
          <w:rFonts w:ascii="Arial" w:hAnsi="Arial" w:cs="Arial"/>
          <w:sz w:val="20"/>
          <w:szCs w:val="20"/>
        </w:rPr>
        <w:t xml:space="preserve">Thus, </w:t>
      </w:r>
      <w:proofErr w:type="spellStart"/>
      <w:r w:rsidRPr="00FD6C0D">
        <w:rPr>
          <w:rFonts w:ascii="Arial" w:hAnsi="Arial" w:cs="Arial"/>
          <w:sz w:val="20"/>
          <w:szCs w:val="20"/>
        </w:rPr>
        <w:t>isavuconazole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is a reliable treatment choice when </w:t>
      </w:r>
      <w:r w:rsidRPr="00FD6C0D">
        <w:rPr>
          <w:rFonts w:ascii="Arial" w:hAnsi="Arial" w:cs="Arial"/>
          <w:i/>
          <w:sz w:val="20"/>
          <w:szCs w:val="20"/>
        </w:rPr>
        <w:t xml:space="preserve">Aspergillus </w:t>
      </w:r>
      <w:r w:rsidRPr="00FD6C0D">
        <w:rPr>
          <w:rFonts w:ascii="Arial" w:hAnsi="Arial" w:cs="Arial"/>
          <w:sz w:val="20"/>
          <w:szCs w:val="20"/>
        </w:rPr>
        <w:t xml:space="preserve">and/or </w:t>
      </w:r>
      <w:proofErr w:type="spellStart"/>
      <w:r w:rsidRPr="00FD6C0D">
        <w:rPr>
          <w:rFonts w:ascii="Arial" w:hAnsi="Arial" w:cs="Arial"/>
          <w:sz w:val="20"/>
          <w:szCs w:val="20"/>
        </w:rPr>
        <w:t>Mucorales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infection is suspected. </w:t>
      </w:r>
    </w:p>
    <w:p w:rsidR="00D13503" w:rsidRPr="00FD6C0D" w:rsidRDefault="00D13503" w:rsidP="00D135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13503" w:rsidRDefault="00D13503" w:rsidP="00D135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D6C0D">
        <w:rPr>
          <w:rFonts w:ascii="Arial" w:hAnsi="Arial" w:cs="Arial"/>
          <w:sz w:val="20"/>
          <w:szCs w:val="20"/>
        </w:rPr>
        <w:t>Isavuconazole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is also associated with a lower potential for drug-drug interactions than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, meaning it can be used in patients with multiple concomitant medications, who would be unable to receive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. This benefit is particularly relevant, given that most invasive fungal disease patients are severely ill and are therefore likely to be receiving drugs for underlying conditions, or </w:t>
      </w:r>
      <w:proofErr w:type="spellStart"/>
      <w:r w:rsidRPr="00FD6C0D">
        <w:rPr>
          <w:rFonts w:ascii="Arial" w:hAnsi="Arial" w:cs="Arial"/>
          <w:sz w:val="20"/>
          <w:szCs w:val="20"/>
        </w:rPr>
        <w:t>immunosuppressants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following a transplant.</w:t>
      </w:r>
      <w:r>
        <w:rPr>
          <w:rFonts w:ascii="Arial" w:hAnsi="Arial" w:cs="Arial"/>
          <w:sz w:val="20"/>
          <w:szCs w:val="20"/>
        </w:rPr>
        <w:t xml:space="preserve"> </w:t>
      </w:r>
      <w:r w:rsidRPr="00FD6C0D">
        <w:rPr>
          <w:rFonts w:ascii="Arial" w:hAnsi="Arial" w:cs="Arial"/>
          <w:sz w:val="20"/>
          <w:szCs w:val="20"/>
        </w:rPr>
        <w:t xml:space="preserve">Of particular note is </w:t>
      </w:r>
      <w:proofErr w:type="spellStart"/>
      <w:r w:rsidRPr="00FD6C0D">
        <w:rPr>
          <w:rFonts w:ascii="Arial" w:hAnsi="Arial" w:cs="Arial"/>
          <w:sz w:val="20"/>
          <w:szCs w:val="20"/>
        </w:rPr>
        <w:t>isavuconazole’s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lower potential for interaction with the CYP3A4 substrates, </w:t>
      </w:r>
      <w:proofErr w:type="spellStart"/>
      <w:r w:rsidRPr="00FD6C0D">
        <w:rPr>
          <w:rFonts w:ascii="Arial" w:hAnsi="Arial" w:cs="Arial"/>
          <w:sz w:val="20"/>
          <w:szCs w:val="20"/>
        </w:rPr>
        <w:t>ciclosporin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D6C0D">
        <w:rPr>
          <w:rFonts w:ascii="Arial" w:hAnsi="Arial" w:cs="Arial"/>
          <w:sz w:val="20"/>
          <w:szCs w:val="20"/>
        </w:rPr>
        <w:t>sirolimus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and tacrolimus, which are </w:t>
      </w:r>
      <w:proofErr w:type="spellStart"/>
      <w:r w:rsidRPr="00FD6C0D">
        <w:rPr>
          <w:rFonts w:ascii="Arial" w:hAnsi="Arial" w:cs="Arial"/>
          <w:sz w:val="20"/>
          <w:szCs w:val="20"/>
        </w:rPr>
        <w:t>immunosuppressants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commonly used in solid-organ transplantation and graft-versus-host disease.</w:t>
      </w:r>
      <w:r>
        <w:rPr>
          <w:rFonts w:ascii="Arial" w:hAnsi="Arial" w:cs="Arial"/>
          <w:sz w:val="20"/>
          <w:szCs w:val="20"/>
        </w:rPr>
        <w:t xml:space="preserve"> </w:t>
      </w:r>
      <w:r w:rsidRPr="00FD6C0D">
        <w:rPr>
          <w:rFonts w:ascii="Arial" w:hAnsi="Arial" w:cs="Arial"/>
          <w:sz w:val="20"/>
          <w:szCs w:val="20"/>
        </w:rPr>
        <w:t xml:space="preserve">Concomitant use of these drugs with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requires that the dose of </w:t>
      </w:r>
      <w:proofErr w:type="spellStart"/>
      <w:r w:rsidRPr="00FD6C0D">
        <w:rPr>
          <w:rFonts w:ascii="Arial" w:hAnsi="Arial" w:cs="Arial"/>
          <w:sz w:val="20"/>
          <w:szCs w:val="20"/>
        </w:rPr>
        <w:t>ciclosporin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be reduced by half, and the dose of tacrolimus be reduced by two thirds, while concomitant use of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FD6C0D">
        <w:rPr>
          <w:rFonts w:ascii="Arial" w:hAnsi="Arial" w:cs="Arial"/>
          <w:sz w:val="20"/>
          <w:szCs w:val="20"/>
        </w:rPr>
        <w:t>sirolimus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is contraindicated. </w:t>
      </w:r>
    </w:p>
    <w:p w:rsidR="00D13503" w:rsidRPr="00FD6C0D" w:rsidRDefault="00D13503" w:rsidP="00D135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503" w:rsidRDefault="00D13503" w:rsidP="00D135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6C0D">
        <w:rPr>
          <w:rFonts w:ascii="Arial" w:hAnsi="Arial" w:cs="Arial"/>
          <w:sz w:val="20"/>
          <w:szCs w:val="20"/>
        </w:rPr>
        <w:t xml:space="preserve">Another factor that is important for the highly co-morbid invasive fungal disease population is the fact that, unlike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IV, </w:t>
      </w:r>
      <w:proofErr w:type="spellStart"/>
      <w:r w:rsidRPr="00FD6C0D">
        <w:rPr>
          <w:rFonts w:ascii="Arial" w:hAnsi="Arial" w:cs="Arial"/>
          <w:sz w:val="20"/>
          <w:szCs w:val="20"/>
        </w:rPr>
        <w:t>isavuconazole’s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IV formulation does not contain </w:t>
      </w:r>
      <w:proofErr w:type="spellStart"/>
      <w:r w:rsidRPr="00FD6C0D">
        <w:rPr>
          <w:rFonts w:ascii="Arial" w:hAnsi="Arial" w:cs="Arial"/>
          <w:sz w:val="20"/>
          <w:szCs w:val="20"/>
        </w:rPr>
        <w:t>cyclodextrin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D6C0D">
        <w:rPr>
          <w:rFonts w:ascii="Arial" w:hAnsi="Arial" w:cs="Arial"/>
          <w:sz w:val="20"/>
          <w:szCs w:val="20"/>
        </w:rPr>
        <w:t>Cyclodextrin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, which is used to </w:t>
      </w:r>
      <w:proofErr w:type="spellStart"/>
      <w:r w:rsidRPr="00FD6C0D">
        <w:rPr>
          <w:rFonts w:ascii="Arial" w:hAnsi="Arial" w:cs="Arial"/>
          <w:sz w:val="20"/>
          <w:szCs w:val="20"/>
        </w:rPr>
        <w:t>solubilise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6C0D">
        <w:rPr>
          <w:rFonts w:ascii="Arial" w:hAnsi="Arial" w:cs="Arial"/>
          <w:sz w:val="20"/>
          <w:szCs w:val="20"/>
        </w:rPr>
        <w:t>voriconazole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for IV administration, may accumulate in the kidney in </w:t>
      </w:r>
      <w:proofErr w:type="spellStart"/>
      <w:r w:rsidRPr="00FD6C0D">
        <w:rPr>
          <w:rFonts w:ascii="Arial" w:hAnsi="Arial" w:cs="Arial"/>
          <w:sz w:val="20"/>
          <w:szCs w:val="20"/>
        </w:rPr>
        <w:t>renally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impaired patients with repeated dosing; this can lead to potentially toxic effects on kidney and liver function</w:t>
      </w:r>
      <w:r w:rsidRPr="00FD6C0D">
        <w:rPr>
          <w:rFonts w:ascii="Arial" w:hAnsi="Arial" w:cs="Arial"/>
          <w:sz w:val="20"/>
          <w:szCs w:val="20"/>
        </w:rPr>
        <w:fldChar w:fldCharType="begin"/>
      </w:r>
      <w:r w:rsidRPr="00FD6C0D">
        <w:rPr>
          <w:rFonts w:ascii="Arial" w:hAnsi="Arial" w:cs="Arial"/>
          <w:sz w:val="20"/>
          <w:szCs w:val="20"/>
        </w:rPr>
        <w:instrText xml:space="preserve"> ADDIN REFMGR.CITE &lt;Refman&gt;&lt;Cite&gt;&lt;Author&gt;Fluckiger&lt;/Author&gt;&lt;Year&gt;2006&lt;/Year&gt;&lt;RecNum&gt;66&lt;/RecNum&gt;&lt;IDText&gt;Treatment options of invasive fungal infections in adults&lt;/IDText&gt;&lt;MDL Ref_Type="Journal"&gt;&lt;Ref_Type&gt;Journal&lt;/Ref_Type&gt;&lt;Ref_ID&gt;66&lt;/Ref_ID&gt;&lt;Title_Primary&gt;Treatment options of invasive fungal infections in adults&lt;/Title_Primary&gt;&lt;Authors_Primary&gt;Fluckiger,U.&lt;/Authors_Primary&gt;&lt;Authors_Primary&gt;Marchetti,O.&lt;/Authors_Primary&gt;&lt;Authors_Primary&gt;Bille,J.&lt;/Authors_Primary&gt;&lt;Date_Primary&gt;2006&lt;/Date_Primary&gt;&lt;Reprint&gt;Not in File&lt;/Reprint&gt;&lt;Start_Page&gt;447&lt;/Start_Page&gt;&lt;End_Page&gt;463&lt;/End_Page&gt;&lt;Volume&gt;136&lt;/Volume&gt;&lt;Title_Secondary&gt;Swiss Med Wkly&lt;/Title_Secondary&gt;&lt;ZZ_WorkformID&gt;1&lt;/ZZ_WorkformID&gt;&lt;/MDL&gt;&lt;/Cite&gt;&lt;/Refman&gt;</w:instrText>
      </w:r>
      <w:r w:rsidRPr="00FD6C0D">
        <w:rPr>
          <w:rFonts w:ascii="Arial" w:hAnsi="Arial" w:cs="Arial"/>
          <w:sz w:val="20"/>
          <w:szCs w:val="20"/>
        </w:rPr>
        <w:fldChar w:fldCharType="end"/>
      </w:r>
      <w:r w:rsidRPr="00FD6C0D">
        <w:rPr>
          <w:rFonts w:ascii="Arial" w:hAnsi="Arial" w:cs="Arial"/>
          <w:sz w:val="20"/>
          <w:szCs w:val="20"/>
        </w:rPr>
        <w:t xml:space="preserve">. Consequently, </w:t>
      </w:r>
      <w:proofErr w:type="spellStart"/>
      <w:r w:rsidRPr="00FD6C0D">
        <w:rPr>
          <w:rFonts w:ascii="Arial" w:hAnsi="Arial" w:cs="Arial"/>
          <w:sz w:val="20"/>
          <w:szCs w:val="20"/>
        </w:rPr>
        <w:t>voriconazole’s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IV formulation carries restrictions for patients with moderate or severe renal impairment</w:t>
      </w:r>
      <w:r w:rsidRPr="00FD6C0D">
        <w:rPr>
          <w:rFonts w:ascii="Arial" w:hAnsi="Arial" w:cs="Arial"/>
          <w:sz w:val="20"/>
          <w:szCs w:val="20"/>
        </w:rPr>
        <w:fldChar w:fldCharType="begin"/>
      </w:r>
      <w:r w:rsidRPr="00FD6C0D">
        <w:rPr>
          <w:rFonts w:ascii="Arial" w:hAnsi="Arial" w:cs="Arial"/>
          <w:sz w:val="20"/>
          <w:szCs w:val="20"/>
        </w:rPr>
        <w:instrText xml:space="preserve"> ADDIN REFMGR.CITE &lt;Refman&gt;&lt;Cite&gt;&lt;RecNum&gt;9&lt;/RecNum&gt;&lt;IDText&gt;Vfend 50 mg and 200 mg film-coated tablets, Vfend 200 mg powder for solution for infusion, Vfend 200 mg powder and solvent for solution for infusion, Vfend 40 mg/ml powder for oral suspension (voriconazole) Summary of Product Characteristics. Pfizer Ltd, Oct 2014&lt;/IDText&gt;&lt;MDL Ref_Type="Journal"&gt;&lt;Ref_Type&gt;Journal&lt;/Ref_Type&gt;&lt;Ref_ID&gt;9&lt;/Ref_ID&gt;&lt;Title_Primary&gt;Vfend 50 mg and 200 mg film-coated tablets, Vfend 200 mg powder for solution for infusion, Vfend 200 mg powder and solvent for solution for infusion, Vfend 40 mg/ml powder for oral suspension (voriconazole) Summary of Product Characteristics. Pfizer Ltd, Oct 2014&lt;/Title_Primary&gt;&lt;Reprint&gt;Not in File&lt;/Reprint&gt;&lt;ZZ_WorkformID&gt;1&lt;/ZZ_WorkformID&gt;&lt;/MDL&gt;&lt;/Cite&gt;&lt;/Refman&gt;</w:instrText>
      </w:r>
      <w:r w:rsidRPr="00FD6C0D">
        <w:rPr>
          <w:rFonts w:ascii="Arial" w:hAnsi="Arial" w:cs="Arial"/>
          <w:sz w:val="20"/>
          <w:szCs w:val="20"/>
        </w:rPr>
        <w:fldChar w:fldCharType="end"/>
      </w:r>
      <w:r w:rsidRPr="00FD6C0D">
        <w:rPr>
          <w:rFonts w:ascii="Arial" w:hAnsi="Arial" w:cs="Arial"/>
          <w:sz w:val="20"/>
          <w:szCs w:val="20"/>
        </w:rPr>
        <w:t xml:space="preserve">. However, </w:t>
      </w:r>
      <w:proofErr w:type="spellStart"/>
      <w:r w:rsidRPr="00FD6C0D">
        <w:rPr>
          <w:rFonts w:ascii="Arial" w:hAnsi="Arial" w:cs="Arial"/>
          <w:sz w:val="20"/>
          <w:szCs w:val="20"/>
        </w:rPr>
        <w:t>isavuconazole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is delivered as a water-soluble prodrug – </w:t>
      </w:r>
      <w:proofErr w:type="spellStart"/>
      <w:r w:rsidRPr="00FD6C0D">
        <w:rPr>
          <w:rFonts w:ascii="Arial" w:hAnsi="Arial" w:cs="Arial"/>
          <w:sz w:val="20"/>
          <w:szCs w:val="20"/>
        </w:rPr>
        <w:t>isavuconazonium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sulfate – meaning that it does not require </w:t>
      </w:r>
      <w:proofErr w:type="spellStart"/>
      <w:r w:rsidRPr="00FD6C0D">
        <w:rPr>
          <w:rFonts w:ascii="Arial" w:hAnsi="Arial" w:cs="Arial"/>
          <w:sz w:val="20"/>
          <w:szCs w:val="20"/>
        </w:rPr>
        <w:t>cyclodextrin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for IV administration, and can be administered to </w:t>
      </w:r>
      <w:proofErr w:type="spellStart"/>
      <w:r w:rsidRPr="00FD6C0D">
        <w:rPr>
          <w:rFonts w:ascii="Arial" w:hAnsi="Arial" w:cs="Arial"/>
          <w:sz w:val="20"/>
          <w:szCs w:val="20"/>
        </w:rPr>
        <w:t>renally</w:t>
      </w:r>
      <w:proofErr w:type="spellEnd"/>
      <w:r w:rsidRPr="00FD6C0D">
        <w:rPr>
          <w:rFonts w:ascii="Arial" w:hAnsi="Arial" w:cs="Arial"/>
          <w:sz w:val="20"/>
          <w:szCs w:val="20"/>
        </w:rPr>
        <w:t xml:space="preserve"> impaired patients without restriction </w:t>
      </w:r>
      <w:r w:rsidRPr="00FD6C0D">
        <w:rPr>
          <w:rFonts w:ascii="Arial" w:hAnsi="Arial" w:cs="Arial"/>
          <w:sz w:val="20"/>
          <w:szCs w:val="20"/>
        </w:rPr>
        <w:fldChar w:fldCharType="begin"/>
      </w:r>
      <w:r w:rsidRPr="00FD6C0D">
        <w:rPr>
          <w:rFonts w:ascii="Arial" w:hAnsi="Arial" w:cs="Arial"/>
          <w:sz w:val="20"/>
          <w:szCs w:val="20"/>
        </w:rPr>
        <w:instrText xml:space="preserve"> ADDIN REFMGR.CITE &lt;Refman&gt;&lt;Cite&gt;&lt;Year&gt;2015&lt;/Year&gt;&lt;RecNum&gt;128&lt;/RecNum&gt;&lt;IDText&gt;Cresemba, 100 mg hard capsules, 200 mg powder for concentrate for solution for infusion, Summary of Product Characteristics, Basilea Pharmaceutica Ltd.&lt;/IDText&gt;&lt;MDL Ref_Type="Electronic Citation"&gt;&lt;Ref_Type&gt;Electronic Citation&lt;/Ref_Type&gt;&lt;Ref_ID&gt;128&lt;/Ref_ID&gt;&lt;Title_Primary&gt;Cresemba, 100 mg hard capsules, 200 mg powder for concentrate for solution for infusion, Summary of Product Characteristics, Basilea Pharmaceutica Ltd.&lt;/Title_Primary&gt;&lt;Date_Primary&gt;2015&lt;/Date_Primary&gt;&lt;Reprint&gt;Not in File&lt;/Reprint&gt;&lt;Periodical&gt;http://www.ema.europa.eu/ema/index.jsp?curl=pages/medicines/human/medicines/002734/human_med_001907.jsp&amp;amp;mid=WC0b01ac058001d124&lt;/Periodical&gt;&lt;ZZ_JournalStdAbbrev&gt;&lt;f name="System"&gt;http://www.ema.europa.eu/ema/index.jsp?curl=pages/medicines/human/medicines/002734/human_med_001907.jsp&amp;amp;mid=WC0b01ac058001d124&lt;/f&gt;&lt;/ZZ_JournalStdAbbrev&gt;&lt;ZZ_WorkformID&gt;34&lt;/ZZ_WorkformID&gt;&lt;/MDL&gt;&lt;/Cite&gt;&lt;/Refman&gt;</w:instrText>
      </w:r>
      <w:r w:rsidRPr="00FD6C0D">
        <w:rPr>
          <w:rFonts w:ascii="Arial" w:hAnsi="Arial" w:cs="Arial"/>
          <w:sz w:val="20"/>
          <w:szCs w:val="20"/>
        </w:rPr>
        <w:fldChar w:fldCharType="separate"/>
      </w:r>
      <w:r w:rsidRPr="00FD6C0D">
        <w:rPr>
          <w:rFonts w:ascii="Arial" w:hAnsi="Arial" w:cs="Arial"/>
          <w:sz w:val="20"/>
          <w:szCs w:val="20"/>
        </w:rPr>
        <w:t>(63)</w:t>
      </w:r>
      <w:r w:rsidRPr="00FD6C0D">
        <w:rPr>
          <w:rFonts w:ascii="Arial" w:hAnsi="Arial" w:cs="Arial"/>
          <w:sz w:val="20"/>
          <w:szCs w:val="20"/>
        </w:rPr>
        <w:fldChar w:fldCharType="end"/>
      </w:r>
      <w:r w:rsidRPr="00FD6C0D">
        <w:rPr>
          <w:rFonts w:ascii="Arial" w:hAnsi="Arial" w:cs="Arial"/>
          <w:sz w:val="20"/>
          <w:szCs w:val="20"/>
        </w:rPr>
        <w:t>.</w:t>
      </w:r>
    </w:p>
    <w:p w:rsidR="00964579" w:rsidRDefault="00964579"/>
    <w:sectPr w:rsidR="00964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0F7A"/>
    <w:multiLevelType w:val="multilevel"/>
    <w:tmpl w:val="F730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szQwsTQ1NzCzNDZS0lEKTi0uzszPAykwrgUASCBpEiwAAAA="/>
  </w:docVars>
  <w:rsids>
    <w:rsidRoot w:val="0030298B"/>
    <w:rsid w:val="0030298B"/>
    <w:rsid w:val="00964579"/>
    <w:rsid w:val="00C36949"/>
    <w:rsid w:val="00D075BA"/>
    <w:rsid w:val="00D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5894-807F-4165-A27A-B3B7FE84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Biasone</dc:creator>
  <cp:keywords/>
  <dc:description/>
  <cp:lastModifiedBy>Alberto Martinez</cp:lastModifiedBy>
  <cp:revision>2</cp:revision>
  <dcterms:created xsi:type="dcterms:W3CDTF">2021-10-02T23:45:00Z</dcterms:created>
  <dcterms:modified xsi:type="dcterms:W3CDTF">2021-10-02T23:45:00Z</dcterms:modified>
</cp:coreProperties>
</file>