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44F" w:rsidRPr="0064304D" w:rsidRDefault="00C2144F" w:rsidP="00C2144F">
      <w:pPr>
        <w:spacing w:line="240" w:lineRule="atLeast"/>
        <w:ind w:right="-624"/>
        <w:contextualSpacing/>
        <w:rPr>
          <w:rFonts w:cs="Calibri"/>
          <w:b/>
          <w:i/>
          <w:color w:val="333333"/>
          <w:sz w:val="24"/>
          <w:szCs w:val="24"/>
          <w:shd w:val="clear" w:color="auto" w:fill="FFFFFF"/>
        </w:rPr>
      </w:pPr>
      <w:r w:rsidRPr="0064304D">
        <w:rPr>
          <w:b/>
          <w:i/>
          <w:color w:val="000000"/>
          <w:sz w:val="24"/>
          <w:szCs w:val="24"/>
          <w:shd w:val="clear" w:color="auto" w:fill="FFFFFF"/>
        </w:rPr>
        <w:t>Male sperimentato o bene ignoto?</w:t>
      </w:r>
    </w:p>
    <w:p w:rsidR="00C2144F" w:rsidRDefault="00C2144F" w:rsidP="00C2144F">
      <w:pPr>
        <w:spacing w:line="240" w:lineRule="atLeast"/>
        <w:ind w:right="-624"/>
        <w:contextualSpacing/>
        <w:rPr>
          <w:rFonts w:cs="Calibri"/>
          <w:i/>
          <w:color w:val="333333"/>
          <w:sz w:val="24"/>
          <w:szCs w:val="24"/>
          <w:shd w:val="clear" w:color="auto" w:fill="FFFFFF"/>
        </w:rPr>
      </w:pPr>
      <w:r w:rsidRPr="0064304D">
        <w:rPr>
          <w:rFonts w:cs="Calibri"/>
          <w:i/>
          <w:color w:val="333333"/>
          <w:sz w:val="24"/>
          <w:szCs w:val="24"/>
          <w:shd w:val="clear" w:color="auto" w:fill="FFFFFF"/>
        </w:rPr>
        <w:t>Il sistema bancario Internazionale dopo Lehman Brothers</w:t>
      </w:r>
      <w:r>
        <w:rPr>
          <w:rFonts w:cs="Calibri"/>
          <w:i/>
          <w:color w:val="333333"/>
          <w:sz w:val="24"/>
          <w:szCs w:val="24"/>
          <w:shd w:val="clear" w:color="auto" w:fill="FFFFFF"/>
        </w:rPr>
        <w:t>.</w:t>
      </w:r>
      <w:r w:rsidR="008357AB" w:rsidRPr="008357AB">
        <w:rPr>
          <w:rStyle w:val="Rimandonotaapidipagina"/>
          <w:color w:val="000000"/>
          <w:sz w:val="24"/>
          <w:szCs w:val="24"/>
          <w:shd w:val="clear" w:color="auto" w:fill="FFFFFF"/>
        </w:rPr>
        <w:t xml:space="preserve"> </w:t>
      </w:r>
      <w:r w:rsidR="008357AB">
        <w:rPr>
          <w:rStyle w:val="Rimandonotaapidipagina"/>
          <w:color w:val="000000"/>
          <w:sz w:val="24"/>
          <w:szCs w:val="24"/>
          <w:shd w:val="clear" w:color="auto" w:fill="FFFFFF"/>
        </w:rPr>
        <w:footnoteReference w:id="1"/>
      </w:r>
    </w:p>
    <w:p w:rsidR="00C2144F" w:rsidRDefault="00C2144F" w:rsidP="00C2144F">
      <w:pPr>
        <w:spacing w:line="240" w:lineRule="atLeast"/>
        <w:ind w:right="-624"/>
        <w:contextualSpacing/>
        <w:rPr>
          <w:rFonts w:cs="Calibri"/>
          <w:color w:val="333333"/>
          <w:sz w:val="24"/>
          <w:szCs w:val="24"/>
          <w:shd w:val="clear" w:color="auto" w:fill="FFFFFF"/>
        </w:rPr>
      </w:pPr>
      <w:r>
        <w:rPr>
          <w:rFonts w:cs="Calibri"/>
          <w:color w:val="333333"/>
          <w:sz w:val="24"/>
          <w:szCs w:val="24"/>
          <w:shd w:val="clear" w:color="auto" w:fill="FFFFFF"/>
        </w:rPr>
        <w:t xml:space="preserve">di Ugo Marani </w:t>
      </w:r>
    </w:p>
    <w:p w:rsidR="00C2144F" w:rsidRPr="00C2144F" w:rsidRDefault="00C2144F" w:rsidP="00C2144F">
      <w:pPr>
        <w:spacing w:line="240" w:lineRule="atLeast"/>
        <w:ind w:right="-624"/>
        <w:contextualSpacing/>
        <w:rPr>
          <w:rFonts w:cs="Calibri"/>
          <w:color w:val="333333"/>
          <w:sz w:val="24"/>
          <w:szCs w:val="24"/>
          <w:shd w:val="clear" w:color="auto" w:fill="FFFFFF"/>
        </w:rPr>
      </w:pPr>
    </w:p>
    <w:p w:rsidR="00105B68" w:rsidRDefault="00E51F37" w:rsidP="00EC07EB">
      <w:pPr>
        <w:spacing w:line="240" w:lineRule="auto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Nel settembre del 2008</w:t>
      </w:r>
      <w:r w:rsidR="00403F5D" w:rsidRPr="00403F5D">
        <w:rPr>
          <w:color w:val="000000"/>
          <w:sz w:val="24"/>
          <w:szCs w:val="24"/>
          <w:shd w:val="clear" w:color="auto" w:fill="FFFFFF"/>
        </w:rPr>
        <w:t xml:space="preserve"> la banca d’investimento Lehman Brothers annuncia</w:t>
      </w:r>
      <w:r>
        <w:rPr>
          <w:color w:val="000000"/>
          <w:sz w:val="24"/>
          <w:szCs w:val="24"/>
          <w:shd w:val="clear" w:color="auto" w:fill="FFFFFF"/>
        </w:rPr>
        <w:t>va</w:t>
      </w:r>
      <w:r w:rsidR="00403F5D" w:rsidRPr="00403F5D">
        <w:rPr>
          <w:color w:val="000000"/>
          <w:sz w:val="24"/>
          <w:szCs w:val="24"/>
          <w:shd w:val="clear" w:color="auto" w:fill="FFFFFF"/>
        </w:rPr>
        <w:t xml:space="preserve"> di volersi avvalere delle procedure del </w:t>
      </w:r>
      <w:proofErr w:type="spellStart"/>
      <w:r w:rsidR="00403F5D" w:rsidRPr="00403F5D">
        <w:rPr>
          <w:color w:val="000000"/>
          <w:sz w:val="24"/>
          <w:szCs w:val="24"/>
          <w:shd w:val="clear" w:color="auto" w:fill="FFFFFF"/>
        </w:rPr>
        <w:t>Bankrupty</w:t>
      </w:r>
      <w:proofErr w:type="spellEnd"/>
      <w:r w:rsidR="00403F5D" w:rsidRPr="00403F5D">
        <w:rPr>
          <w:color w:val="000000"/>
          <w:sz w:val="24"/>
          <w:szCs w:val="24"/>
          <w:shd w:val="clear" w:color="auto" w:fill="FFFFFF"/>
        </w:rPr>
        <w:t xml:space="preserve"> Code dando inizio alla più vistosa bancarotta del capitalismo moderno e ai giorni che portar</w:t>
      </w:r>
      <w:r w:rsidR="00B31CFD">
        <w:rPr>
          <w:color w:val="000000"/>
          <w:sz w:val="24"/>
          <w:szCs w:val="24"/>
          <w:shd w:val="clear" w:color="auto" w:fill="FFFFFF"/>
        </w:rPr>
        <w:t>ono</w:t>
      </w:r>
      <w:r w:rsidR="00403F5D" w:rsidRPr="00403F5D">
        <w:rPr>
          <w:color w:val="000000"/>
          <w:sz w:val="24"/>
          <w:szCs w:val="24"/>
          <w:shd w:val="clear" w:color="auto" w:fill="FFFFFF"/>
        </w:rPr>
        <w:t xml:space="preserve"> alla più grande operazione di salvataggio della storia.</w:t>
      </w:r>
    </w:p>
    <w:p w:rsidR="00105B68" w:rsidRDefault="00403F5D" w:rsidP="00EC07EB">
      <w:pPr>
        <w:spacing w:line="240" w:lineRule="auto"/>
        <w:contextualSpacing/>
        <w:jc w:val="both"/>
        <w:rPr>
          <w:color w:val="000000"/>
          <w:sz w:val="24"/>
          <w:szCs w:val="24"/>
        </w:rPr>
      </w:pPr>
      <w:r w:rsidRPr="00403F5D">
        <w:rPr>
          <w:color w:val="000000"/>
          <w:sz w:val="24"/>
          <w:szCs w:val="24"/>
          <w:shd w:val="clear" w:color="auto" w:fill="FFFFFF"/>
        </w:rPr>
        <w:t xml:space="preserve">Quegli avvenimenti, sia pure con notazioni critiche e accentuazioni diverse, sono stati ricostruiti nella loro drammatica completezza da una letteratura oramai sterminata che dell’accaduto ha approfondito </w:t>
      </w:r>
      <w:r w:rsidRPr="00B31CFD">
        <w:rPr>
          <w:i/>
          <w:color w:val="000000"/>
          <w:sz w:val="24"/>
          <w:szCs w:val="24"/>
          <w:shd w:val="clear" w:color="auto" w:fill="FFFFFF"/>
        </w:rPr>
        <w:t>responsabili</w:t>
      </w:r>
      <w:r w:rsidRPr="00403F5D">
        <w:rPr>
          <w:color w:val="000000"/>
          <w:sz w:val="24"/>
          <w:szCs w:val="24"/>
          <w:shd w:val="clear" w:color="auto" w:fill="FFFFFF"/>
        </w:rPr>
        <w:t xml:space="preserve">, il sistema bancario e finanziario, </w:t>
      </w:r>
      <w:r w:rsidRPr="00C12CF7">
        <w:rPr>
          <w:i/>
          <w:color w:val="000000"/>
          <w:sz w:val="24"/>
          <w:szCs w:val="24"/>
          <w:shd w:val="clear" w:color="auto" w:fill="FFFFFF"/>
        </w:rPr>
        <w:t>espedienti</w:t>
      </w:r>
      <w:r w:rsidRPr="00403F5D">
        <w:rPr>
          <w:color w:val="000000"/>
          <w:sz w:val="24"/>
          <w:szCs w:val="24"/>
          <w:shd w:val="clear" w:color="auto" w:fill="FFFFFF"/>
        </w:rPr>
        <w:t xml:space="preserve">, l’universo dei derivati finanziari, </w:t>
      </w:r>
      <w:r w:rsidRPr="00C12CF7">
        <w:rPr>
          <w:i/>
          <w:color w:val="000000"/>
          <w:sz w:val="24"/>
          <w:szCs w:val="24"/>
          <w:shd w:val="clear" w:color="auto" w:fill="FFFFFF"/>
        </w:rPr>
        <w:t>condotte,</w:t>
      </w:r>
      <w:r w:rsidRPr="00403F5D">
        <w:rPr>
          <w:color w:val="000000"/>
          <w:sz w:val="24"/>
          <w:szCs w:val="24"/>
          <w:shd w:val="clear" w:color="auto" w:fill="FFFFFF"/>
        </w:rPr>
        <w:t xml:space="preserve"> l’opacità e l’assenza di trasparenza nella gestione aziendale. A distanza di dieci anni, al sentimento di indignazione pubblica e alla minuziosità delle indagini rivelatrici pare subentrare un mesto ritorno dell’indagine economica a canoni tradizionali: sarebbe necessario, tuttavia, che le indagini che nell’ultimo decennio sono state condotte ci aiutino a capire quanto da quelle vicende è mutato e quanto, invece, ha mantenuto caratteri di continuità.</w:t>
      </w:r>
    </w:p>
    <w:p w:rsidR="00105B68" w:rsidRDefault="00403F5D" w:rsidP="00EC07EB">
      <w:pPr>
        <w:spacing w:line="240" w:lineRule="auto"/>
        <w:contextualSpacing/>
        <w:jc w:val="both"/>
        <w:rPr>
          <w:color w:val="000000"/>
          <w:sz w:val="24"/>
          <w:szCs w:val="24"/>
        </w:rPr>
      </w:pPr>
      <w:r w:rsidRPr="00403F5D">
        <w:rPr>
          <w:color w:val="000000"/>
          <w:sz w:val="24"/>
          <w:szCs w:val="24"/>
          <w:shd w:val="clear" w:color="auto" w:fill="FFFFFF"/>
        </w:rPr>
        <w:t>Al centro dell’indagine va posto il fenomeno dell’integrazione finanziaria internazionale, nel nostro caso la propensione delle banche di investimento più rilevanti ad una gestione sovranazionale delle attività e delle passività, il cosiddetto</w:t>
      </w:r>
      <w:r w:rsidR="008357AB">
        <w:rPr>
          <w:color w:val="000000"/>
          <w:sz w:val="24"/>
          <w:szCs w:val="24"/>
          <w:shd w:val="clear" w:color="auto" w:fill="FFFFFF"/>
        </w:rPr>
        <w:t xml:space="preserve"> </w:t>
      </w:r>
      <w:r w:rsidRPr="00403F5D">
        <w:rPr>
          <w:rStyle w:val="Enfasicorsivo"/>
          <w:color w:val="000000"/>
          <w:sz w:val="24"/>
          <w:szCs w:val="24"/>
          <w:shd w:val="clear" w:color="auto" w:fill="FFFFFF"/>
        </w:rPr>
        <w:t>cross-</w:t>
      </w:r>
      <w:proofErr w:type="spellStart"/>
      <w:r w:rsidRPr="00403F5D">
        <w:rPr>
          <w:rStyle w:val="Enfasicorsivo"/>
          <w:color w:val="000000"/>
          <w:sz w:val="24"/>
          <w:szCs w:val="24"/>
          <w:shd w:val="clear" w:color="auto" w:fill="FFFFFF"/>
        </w:rPr>
        <w:t>border</w:t>
      </w:r>
      <w:proofErr w:type="spellEnd"/>
      <w:r w:rsidRPr="00403F5D">
        <w:rPr>
          <w:rStyle w:val="Enfasicorsivo"/>
          <w:color w:val="000000"/>
          <w:sz w:val="24"/>
          <w:szCs w:val="24"/>
          <w:shd w:val="clear" w:color="auto" w:fill="FFFFFF"/>
        </w:rPr>
        <w:t xml:space="preserve"> banking</w:t>
      </w:r>
      <w:r w:rsidRPr="00403F5D">
        <w:rPr>
          <w:color w:val="000000"/>
          <w:sz w:val="24"/>
          <w:szCs w:val="24"/>
          <w:shd w:val="clear" w:color="auto" w:fill="FFFFFF"/>
        </w:rPr>
        <w:t>, poiché la globalizzazione del sistema bancario aveva rappresentato una delle cause più evidenti della crisi manifestatasi nel 2008.</w:t>
      </w:r>
    </w:p>
    <w:p w:rsidR="00105B68" w:rsidRDefault="00403F5D" w:rsidP="00EC07EB">
      <w:pPr>
        <w:spacing w:line="240" w:lineRule="auto"/>
        <w:contextualSpacing/>
        <w:jc w:val="both"/>
        <w:rPr>
          <w:color w:val="000000"/>
          <w:sz w:val="24"/>
          <w:szCs w:val="24"/>
        </w:rPr>
      </w:pPr>
      <w:r w:rsidRPr="00403F5D">
        <w:rPr>
          <w:color w:val="000000"/>
          <w:sz w:val="24"/>
          <w:szCs w:val="24"/>
          <w:shd w:val="clear" w:color="auto" w:fill="FFFFFF"/>
        </w:rPr>
        <w:t>Da quella crisi i costi per i bilanci pubblici nazionali sotto forma di Financial Assistance alle banche, erogazioni varianti dal 5% del PIL statunitense al 40% di quello irlandese, hanno consentito una ripresa pressoché immediata delle attività “tradizionali”. Si è trattato, si badi bene, di una manovra di soccorso senza precedenti: sono stati erogati, tra il 2008 e il 2013, finanziamenti pubblici dir</w:t>
      </w:r>
      <w:r w:rsidR="0024582B">
        <w:rPr>
          <w:color w:val="000000"/>
          <w:sz w:val="24"/>
          <w:szCs w:val="24"/>
          <w:shd w:val="clear" w:color="auto" w:fill="FFFFFF"/>
        </w:rPr>
        <w:t>etti per 45 miliardi di dollari.</w:t>
      </w:r>
      <w:r w:rsidR="00132122">
        <w:rPr>
          <w:color w:val="000000"/>
          <w:sz w:val="24"/>
          <w:szCs w:val="24"/>
        </w:rPr>
        <w:t xml:space="preserve"> </w:t>
      </w:r>
      <w:r w:rsidRPr="00403F5D">
        <w:rPr>
          <w:color w:val="000000"/>
          <w:sz w:val="24"/>
          <w:szCs w:val="24"/>
          <w:shd w:val="clear" w:color="auto" w:fill="FFFFFF"/>
        </w:rPr>
        <w:t xml:space="preserve">Si intuisce come un simile sforzo delle finanze pubbliche </w:t>
      </w:r>
      <w:r w:rsidR="00132122">
        <w:rPr>
          <w:color w:val="000000"/>
          <w:sz w:val="24"/>
          <w:szCs w:val="24"/>
          <w:shd w:val="clear" w:color="auto" w:fill="FFFFFF"/>
        </w:rPr>
        <w:t xml:space="preserve">abbia consentito che i maggiori </w:t>
      </w:r>
      <w:r w:rsidRPr="00403F5D">
        <w:rPr>
          <w:rStyle w:val="Enfasicorsivo"/>
          <w:color w:val="000000"/>
          <w:sz w:val="24"/>
          <w:szCs w:val="24"/>
          <w:shd w:val="clear" w:color="auto" w:fill="FFFFFF"/>
        </w:rPr>
        <w:t>player</w:t>
      </w:r>
      <w:r w:rsidR="00132122">
        <w:rPr>
          <w:rStyle w:val="Enfasicorsivo"/>
          <w:color w:val="000000"/>
          <w:sz w:val="24"/>
          <w:szCs w:val="24"/>
          <w:shd w:val="clear" w:color="auto" w:fill="FFFFFF"/>
        </w:rPr>
        <w:t xml:space="preserve"> </w:t>
      </w:r>
      <w:r w:rsidR="00132122">
        <w:rPr>
          <w:color w:val="000000"/>
          <w:sz w:val="24"/>
          <w:szCs w:val="24"/>
          <w:shd w:val="clear" w:color="auto" w:fill="FFFFFF"/>
        </w:rPr>
        <w:t>internazionali</w:t>
      </w:r>
      <w:r w:rsidRPr="00403F5D">
        <w:rPr>
          <w:color w:val="000000"/>
          <w:sz w:val="24"/>
          <w:szCs w:val="24"/>
          <w:shd w:val="clear" w:color="auto" w:fill="FFFFFF"/>
        </w:rPr>
        <w:t xml:space="preserve"> siano rimasti sostanzialmente i medesimi del periodo pre-crisi</w:t>
      </w:r>
      <w:r w:rsidR="005F679D">
        <w:rPr>
          <w:color w:val="000000"/>
          <w:sz w:val="24"/>
          <w:szCs w:val="24"/>
          <w:shd w:val="clear" w:color="auto" w:fill="FFFFFF"/>
        </w:rPr>
        <w:t>.</w:t>
      </w:r>
      <w:r w:rsidR="005F679D" w:rsidRPr="00403F5D">
        <w:rPr>
          <w:color w:val="000000"/>
          <w:sz w:val="24"/>
          <w:szCs w:val="24"/>
          <w:shd w:val="clear" w:color="auto" w:fill="FFFFFF"/>
        </w:rPr>
        <w:t xml:space="preserve"> </w:t>
      </w:r>
      <w:r w:rsidR="0015334A">
        <w:rPr>
          <w:color w:val="000000"/>
          <w:sz w:val="24"/>
          <w:szCs w:val="24"/>
          <w:shd w:val="clear" w:color="auto" w:fill="FFFFFF"/>
        </w:rPr>
        <w:t xml:space="preserve">La costanza del </w:t>
      </w:r>
      <w:r w:rsidR="0015334A">
        <w:rPr>
          <w:rStyle w:val="Enfasicorsivo"/>
          <w:color w:val="000000"/>
          <w:sz w:val="24"/>
          <w:szCs w:val="24"/>
          <w:shd w:val="clear" w:color="auto" w:fill="FFFFFF"/>
        </w:rPr>
        <w:t xml:space="preserve">ranking </w:t>
      </w:r>
      <w:r w:rsidRPr="00403F5D">
        <w:rPr>
          <w:color w:val="000000"/>
          <w:sz w:val="24"/>
          <w:szCs w:val="24"/>
          <w:shd w:val="clear" w:color="auto" w:fill="FFFFFF"/>
        </w:rPr>
        <w:t>cela, tuttavia, profondi mutamenti riguardo le modalità con cui oggi si manifesta l’integrazione finanziaria internazionale, la profonda revisione del</w:t>
      </w:r>
      <w:r w:rsidR="005F679D">
        <w:rPr>
          <w:color w:val="000000"/>
          <w:sz w:val="24"/>
          <w:szCs w:val="24"/>
          <w:shd w:val="clear" w:color="auto" w:fill="FFFFFF"/>
        </w:rPr>
        <w:t xml:space="preserve">le quote tra paesi, l’ascesa di </w:t>
      </w:r>
      <w:r w:rsidRPr="00403F5D">
        <w:rPr>
          <w:rStyle w:val="Enfasicorsivo"/>
          <w:color w:val="000000"/>
          <w:sz w:val="24"/>
          <w:szCs w:val="24"/>
          <w:shd w:val="clear" w:color="auto" w:fill="FFFFFF"/>
        </w:rPr>
        <w:t xml:space="preserve">late </w:t>
      </w:r>
      <w:proofErr w:type="spellStart"/>
      <w:r w:rsidRPr="00403F5D">
        <w:rPr>
          <w:rStyle w:val="Enfasicorsivo"/>
          <w:color w:val="000000"/>
          <w:sz w:val="24"/>
          <w:szCs w:val="24"/>
          <w:shd w:val="clear" w:color="auto" w:fill="FFFFFF"/>
        </w:rPr>
        <w:t>comer</w:t>
      </w:r>
      <w:proofErr w:type="spellEnd"/>
      <w:r w:rsidR="005F679D">
        <w:rPr>
          <w:color w:val="000000"/>
          <w:sz w:val="24"/>
          <w:szCs w:val="24"/>
          <w:shd w:val="clear" w:color="auto" w:fill="FFFFFF"/>
        </w:rPr>
        <w:t xml:space="preserve"> </w:t>
      </w:r>
      <w:r w:rsidRPr="00403F5D">
        <w:rPr>
          <w:color w:val="000000"/>
          <w:sz w:val="24"/>
          <w:szCs w:val="24"/>
          <w:shd w:val="clear" w:color="auto" w:fill="FFFFFF"/>
        </w:rPr>
        <w:t>nazionali, la propensione ad una differente gestione di portafoglio, le nuove vie di elusione della trasparenza.</w:t>
      </w:r>
    </w:p>
    <w:p w:rsidR="00105B68" w:rsidRDefault="00403F5D" w:rsidP="00EC07EB">
      <w:pPr>
        <w:spacing w:line="240" w:lineRule="auto"/>
        <w:contextualSpacing/>
        <w:jc w:val="both"/>
        <w:rPr>
          <w:color w:val="000000"/>
          <w:sz w:val="24"/>
          <w:szCs w:val="24"/>
        </w:rPr>
      </w:pPr>
      <w:r w:rsidRPr="00403F5D">
        <w:rPr>
          <w:color w:val="000000"/>
          <w:sz w:val="24"/>
          <w:szCs w:val="24"/>
          <w:shd w:val="clear" w:color="auto" w:fill="FFFFFF"/>
        </w:rPr>
        <w:t>Il fenomeno più rilevante da cui partire è costituito, di certo, dall’innegabile ridimensionamento relativo del</w:t>
      </w:r>
      <w:r w:rsidR="008357AB">
        <w:rPr>
          <w:color w:val="000000"/>
          <w:sz w:val="24"/>
          <w:szCs w:val="24"/>
          <w:shd w:val="clear" w:color="auto" w:fill="FFFFFF"/>
        </w:rPr>
        <w:t xml:space="preserve"> </w:t>
      </w:r>
      <w:r w:rsidRPr="00403F5D">
        <w:rPr>
          <w:rStyle w:val="Enfasicorsivo"/>
          <w:color w:val="000000"/>
          <w:sz w:val="24"/>
          <w:szCs w:val="24"/>
          <w:shd w:val="clear" w:color="auto" w:fill="FFFFFF"/>
        </w:rPr>
        <w:t>global banking</w:t>
      </w:r>
      <w:r w:rsidR="008357AB">
        <w:rPr>
          <w:color w:val="000000"/>
          <w:sz w:val="24"/>
          <w:szCs w:val="24"/>
          <w:shd w:val="clear" w:color="auto" w:fill="FFFFFF"/>
        </w:rPr>
        <w:t xml:space="preserve"> </w:t>
      </w:r>
      <w:r w:rsidRPr="00403F5D">
        <w:rPr>
          <w:color w:val="000000"/>
          <w:sz w:val="24"/>
          <w:szCs w:val="24"/>
          <w:shd w:val="clear" w:color="auto" w:fill="FFFFFF"/>
        </w:rPr>
        <w:t xml:space="preserve">europeo dopo una fase di continuata crescita: dal 2000 </w:t>
      </w:r>
      <w:r w:rsidR="005F679D">
        <w:rPr>
          <w:color w:val="000000"/>
          <w:sz w:val="24"/>
          <w:szCs w:val="24"/>
          <w:shd w:val="clear" w:color="auto" w:fill="FFFFFF"/>
        </w:rPr>
        <w:t xml:space="preserve">al 2007 la consistenza dei loro </w:t>
      </w:r>
      <w:r w:rsidR="005F679D">
        <w:rPr>
          <w:rStyle w:val="Enfasicorsivo"/>
          <w:color w:val="000000"/>
          <w:sz w:val="24"/>
          <w:szCs w:val="24"/>
          <w:shd w:val="clear" w:color="auto" w:fill="FFFFFF"/>
        </w:rPr>
        <w:t xml:space="preserve">asset </w:t>
      </w:r>
      <w:r w:rsidRPr="00403F5D">
        <w:rPr>
          <w:color w:val="000000"/>
          <w:sz w:val="24"/>
          <w:szCs w:val="24"/>
          <w:shd w:val="clear" w:color="auto" w:fill="FFFFFF"/>
        </w:rPr>
        <w:t>sull’estero quadruplica quasi, rendendole le banche più globalizzate al mondo; dal 2007 al 2015, per converso, simili attività si contraggono del 45%.</w:t>
      </w:r>
      <w:r w:rsidRPr="00403F5D">
        <w:rPr>
          <w:color w:val="000000"/>
          <w:sz w:val="24"/>
          <w:szCs w:val="24"/>
        </w:rPr>
        <w:br/>
      </w:r>
      <w:r w:rsidRPr="00403F5D">
        <w:rPr>
          <w:color w:val="000000"/>
          <w:sz w:val="24"/>
          <w:szCs w:val="24"/>
          <w:shd w:val="clear" w:color="auto" w:fill="FFFFFF"/>
        </w:rPr>
        <w:t>Le ripercussioni della crisi sono intuibili: ad esempio le banche olandesi, francesi e tedesche erano profondamente coinvolte nella bolla immobiliare spagnola, mentre le banche austriache si erano espanse oltre misura nell’Europa dell’Est e in Asia Centrale e le italiane erano coinvolte anche in Turchia.</w:t>
      </w:r>
    </w:p>
    <w:p w:rsidR="00105B68" w:rsidRDefault="00403F5D" w:rsidP="00EC07EB">
      <w:pPr>
        <w:spacing w:line="240" w:lineRule="auto"/>
        <w:contextualSpacing/>
        <w:jc w:val="both"/>
        <w:rPr>
          <w:color w:val="000000"/>
          <w:sz w:val="24"/>
          <w:szCs w:val="24"/>
        </w:rPr>
      </w:pPr>
      <w:r w:rsidRPr="00403F5D">
        <w:rPr>
          <w:color w:val="000000"/>
          <w:sz w:val="24"/>
          <w:szCs w:val="24"/>
          <w:shd w:val="clear" w:color="auto" w:fill="FFFFFF"/>
        </w:rPr>
        <w:t>Tali andamenti in Europa non implicano, tuttavia, che l’era della globalizzazione finanziaria si stia ridimensionando. Anzi, lo stock di investimenti esteri, rapportato al PIL, è rimasto sostanzialmente immutato dal 2007. Ciò che si modifica sono gli strumenti e gli attori, in presenza di un fenomeno di continuità.</w:t>
      </w:r>
    </w:p>
    <w:p w:rsidR="00105B68" w:rsidRDefault="00403F5D" w:rsidP="00EC07EB">
      <w:pPr>
        <w:spacing w:line="240" w:lineRule="auto"/>
        <w:contextualSpacing/>
        <w:jc w:val="both"/>
        <w:rPr>
          <w:color w:val="000000"/>
          <w:sz w:val="24"/>
          <w:szCs w:val="24"/>
        </w:rPr>
      </w:pPr>
      <w:r w:rsidRPr="00403F5D">
        <w:rPr>
          <w:color w:val="000000"/>
          <w:sz w:val="24"/>
          <w:szCs w:val="24"/>
          <w:shd w:val="clear" w:color="auto" w:fill="FFFFFF"/>
        </w:rPr>
        <w:t xml:space="preserve">La continuità è costituita dalla dominanza delle grandi banche di affari statunitensi in un universo in cui, con il ridimensionamento di Barclays, Credit </w:t>
      </w:r>
      <w:proofErr w:type="spellStart"/>
      <w:r w:rsidRPr="00403F5D">
        <w:rPr>
          <w:color w:val="000000"/>
          <w:sz w:val="24"/>
          <w:szCs w:val="24"/>
          <w:shd w:val="clear" w:color="auto" w:fill="FFFFFF"/>
        </w:rPr>
        <w:t>Suisse</w:t>
      </w:r>
      <w:proofErr w:type="spellEnd"/>
      <w:r w:rsidRPr="00403F5D">
        <w:rPr>
          <w:color w:val="000000"/>
          <w:sz w:val="24"/>
          <w:szCs w:val="24"/>
          <w:shd w:val="clear" w:color="auto" w:fill="FFFFFF"/>
        </w:rPr>
        <w:t xml:space="preserve">, Deutsche </w:t>
      </w:r>
      <w:proofErr w:type="spellStart"/>
      <w:r w:rsidRPr="00403F5D">
        <w:rPr>
          <w:color w:val="000000"/>
          <w:sz w:val="24"/>
          <w:szCs w:val="24"/>
          <w:shd w:val="clear" w:color="auto" w:fill="FFFFFF"/>
        </w:rPr>
        <w:t>Bank</w:t>
      </w:r>
      <w:proofErr w:type="spellEnd"/>
      <w:r w:rsidRPr="00403F5D">
        <w:rPr>
          <w:color w:val="000000"/>
          <w:sz w:val="24"/>
          <w:szCs w:val="24"/>
          <w:shd w:val="clear" w:color="auto" w:fill="FFFFFF"/>
        </w:rPr>
        <w:t xml:space="preserve"> e UBS, restringe alle cinque banche americane, Goldman Sachs, Morgan Stanley, JP Morgan, Citigroup e </w:t>
      </w:r>
      <w:proofErr w:type="spellStart"/>
      <w:r w:rsidRPr="00403F5D">
        <w:rPr>
          <w:color w:val="000000"/>
          <w:sz w:val="24"/>
          <w:szCs w:val="24"/>
          <w:shd w:val="clear" w:color="auto" w:fill="FFFFFF"/>
        </w:rPr>
        <w:t>Bank</w:t>
      </w:r>
      <w:proofErr w:type="spellEnd"/>
      <w:r w:rsidRPr="00403F5D">
        <w:rPr>
          <w:color w:val="000000"/>
          <w:sz w:val="24"/>
          <w:szCs w:val="24"/>
          <w:shd w:val="clear" w:color="auto" w:fill="FFFFFF"/>
        </w:rPr>
        <w:t xml:space="preserve"> of America </w:t>
      </w:r>
      <w:proofErr w:type="spellStart"/>
      <w:r w:rsidRPr="00403F5D">
        <w:rPr>
          <w:color w:val="000000"/>
          <w:sz w:val="24"/>
          <w:szCs w:val="24"/>
          <w:shd w:val="clear" w:color="auto" w:fill="FFFFFF"/>
        </w:rPr>
        <w:t>Merril</w:t>
      </w:r>
      <w:proofErr w:type="spellEnd"/>
      <w:r w:rsidRPr="00403F5D">
        <w:rPr>
          <w:color w:val="000000"/>
          <w:sz w:val="24"/>
          <w:szCs w:val="24"/>
          <w:shd w:val="clear" w:color="auto" w:fill="FFFFFF"/>
        </w:rPr>
        <w:t xml:space="preserve"> Lynch il ristretto ambito delle “</w:t>
      </w:r>
      <w:proofErr w:type="spellStart"/>
      <w:r w:rsidRPr="00403F5D">
        <w:rPr>
          <w:rStyle w:val="Enfasicorsivo"/>
          <w:color w:val="000000"/>
          <w:sz w:val="24"/>
          <w:szCs w:val="24"/>
          <w:shd w:val="clear" w:color="auto" w:fill="FFFFFF"/>
        </w:rPr>
        <w:t>bulge-bracket</w:t>
      </w:r>
      <w:proofErr w:type="spellEnd"/>
      <w:r w:rsidRPr="00403F5D">
        <w:rPr>
          <w:rStyle w:val="Enfasicorsivo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3F5D">
        <w:rPr>
          <w:rStyle w:val="Enfasicorsivo"/>
          <w:color w:val="000000"/>
          <w:sz w:val="24"/>
          <w:szCs w:val="24"/>
          <w:shd w:val="clear" w:color="auto" w:fill="FFFFFF"/>
        </w:rPr>
        <w:t>banks</w:t>
      </w:r>
      <w:proofErr w:type="spellEnd"/>
      <w:r w:rsidR="00B841A0">
        <w:rPr>
          <w:color w:val="000000"/>
          <w:sz w:val="24"/>
          <w:szCs w:val="24"/>
          <w:shd w:val="clear" w:color="auto" w:fill="FFFFFF"/>
        </w:rPr>
        <w:t>”</w:t>
      </w:r>
      <w:r w:rsidRPr="00403F5D">
        <w:rPr>
          <w:color w:val="000000"/>
          <w:sz w:val="24"/>
          <w:szCs w:val="24"/>
          <w:shd w:val="clear" w:color="auto" w:fill="FFFFFF"/>
        </w:rPr>
        <w:t>.</w:t>
      </w:r>
    </w:p>
    <w:p w:rsidR="00105B68" w:rsidRDefault="00403F5D" w:rsidP="00EC07EB">
      <w:pPr>
        <w:spacing w:line="240" w:lineRule="auto"/>
        <w:contextualSpacing/>
        <w:jc w:val="both"/>
        <w:rPr>
          <w:color w:val="000000"/>
          <w:sz w:val="24"/>
          <w:szCs w:val="24"/>
        </w:rPr>
      </w:pPr>
      <w:r w:rsidRPr="00403F5D">
        <w:rPr>
          <w:color w:val="000000"/>
          <w:sz w:val="24"/>
          <w:szCs w:val="24"/>
          <w:shd w:val="clear" w:color="auto" w:fill="FFFFFF"/>
        </w:rPr>
        <w:lastRenderedPageBreak/>
        <w:t>Nel decennio 2005-2015 la quota di mercato delle banche europee diminuisce di olt</w:t>
      </w:r>
      <w:r w:rsidR="006720CC">
        <w:rPr>
          <w:color w:val="000000"/>
          <w:sz w:val="24"/>
          <w:szCs w:val="24"/>
          <w:shd w:val="clear" w:color="auto" w:fill="FFFFFF"/>
        </w:rPr>
        <w:t>re otto punti</w:t>
      </w:r>
      <w:r w:rsidRPr="00403F5D">
        <w:rPr>
          <w:color w:val="000000"/>
          <w:sz w:val="24"/>
          <w:szCs w:val="24"/>
          <w:shd w:val="clear" w:color="auto" w:fill="FFFFFF"/>
        </w:rPr>
        <w:t xml:space="preserve"> con un guadagno percentuale press</w:t>
      </w:r>
      <w:r w:rsidR="006720CC">
        <w:rPr>
          <w:color w:val="000000"/>
          <w:sz w:val="24"/>
          <w:szCs w:val="24"/>
          <w:shd w:val="clear" w:color="auto" w:fill="FFFFFF"/>
        </w:rPr>
        <w:t>oché eguale</w:t>
      </w:r>
      <w:r w:rsidRPr="00403F5D">
        <w:rPr>
          <w:color w:val="000000"/>
          <w:sz w:val="24"/>
          <w:szCs w:val="24"/>
          <w:shd w:val="clear" w:color="auto" w:fill="FFFFFF"/>
        </w:rPr>
        <w:t xml:space="preserve"> di quelle statunitensi. L’incremento della quota delle prime, sul mercato europeo, è avvenuto anche grazie all’applicazione del modello “</w:t>
      </w:r>
      <w:proofErr w:type="spellStart"/>
      <w:r w:rsidRPr="00403F5D">
        <w:rPr>
          <w:rStyle w:val="Enfasicorsivo"/>
          <w:color w:val="000000"/>
          <w:sz w:val="24"/>
          <w:szCs w:val="24"/>
          <w:shd w:val="clear" w:color="auto" w:fill="FFFFFF"/>
        </w:rPr>
        <w:t>hub</w:t>
      </w:r>
      <w:proofErr w:type="spellEnd"/>
      <w:r w:rsidRPr="00403F5D">
        <w:rPr>
          <w:rStyle w:val="Enfasicorsivo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403F5D">
        <w:rPr>
          <w:rStyle w:val="Enfasicorsivo"/>
          <w:color w:val="000000"/>
          <w:sz w:val="24"/>
          <w:szCs w:val="24"/>
          <w:shd w:val="clear" w:color="auto" w:fill="FFFFFF"/>
        </w:rPr>
        <w:t>spoke</w:t>
      </w:r>
      <w:proofErr w:type="spellEnd"/>
      <w:r w:rsidR="00075BBC">
        <w:rPr>
          <w:color w:val="000000"/>
          <w:sz w:val="24"/>
          <w:szCs w:val="24"/>
          <w:shd w:val="clear" w:color="auto" w:fill="FFFFFF"/>
        </w:rPr>
        <w:t>”</w:t>
      </w:r>
      <w:r w:rsidRPr="00403F5D">
        <w:rPr>
          <w:color w:val="000000"/>
          <w:sz w:val="24"/>
          <w:szCs w:val="24"/>
          <w:shd w:val="clear" w:color="auto" w:fill="FFFFFF"/>
        </w:rPr>
        <w:t>, secondo il quale Londra continua a</w:t>
      </w:r>
      <w:r w:rsidR="00AC7C33">
        <w:rPr>
          <w:color w:val="000000"/>
          <w:sz w:val="24"/>
          <w:szCs w:val="24"/>
          <w:shd w:val="clear" w:color="auto" w:fill="FFFFFF"/>
        </w:rPr>
        <w:t xml:space="preserve"> </w:t>
      </w:r>
      <w:r w:rsidRPr="00403F5D">
        <w:rPr>
          <w:rStyle w:val="Enfasicorsivo"/>
          <w:color w:val="000000"/>
          <w:sz w:val="24"/>
          <w:szCs w:val="24"/>
          <w:shd w:val="clear" w:color="auto" w:fill="FFFFFF"/>
        </w:rPr>
        <w:t>funzionare</w:t>
      </w:r>
      <w:r w:rsidR="00AC7C33">
        <w:rPr>
          <w:rStyle w:val="Enfasicorsivo"/>
          <w:color w:val="000000"/>
          <w:sz w:val="24"/>
          <w:szCs w:val="24"/>
          <w:shd w:val="clear" w:color="auto" w:fill="FFFFFF"/>
        </w:rPr>
        <w:t xml:space="preserve"> </w:t>
      </w:r>
      <w:r w:rsidRPr="00403F5D">
        <w:rPr>
          <w:color w:val="000000"/>
          <w:sz w:val="24"/>
          <w:szCs w:val="24"/>
          <w:shd w:val="clear" w:color="auto" w:fill="FFFFFF"/>
        </w:rPr>
        <w:t xml:space="preserve">come centro con raggi che si irradiano verso </w:t>
      </w:r>
      <w:r w:rsidR="00075BBC">
        <w:rPr>
          <w:color w:val="000000"/>
          <w:sz w:val="24"/>
          <w:szCs w:val="24"/>
          <w:shd w:val="clear" w:color="auto" w:fill="FFFFFF"/>
        </w:rPr>
        <w:t xml:space="preserve">i principali paesi europei, </w:t>
      </w:r>
      <w:r w:rsidRPr="00403F5D">
        <w:rPr>
          <w:color w:val="000000"/>
          <w:sz w:val="24"/>
          <w:szCs w:val="24"/>
          <w:shd w:val="clear" w:color="auto" w:fill="FFFFFF"/>
        </w:rPr>
        <w:t>Francoforte e Dublino in primo luogo.</w:t>
      </w:r>
    </w:p>
    <w:p w:rsidR="00105B68" w:rsidRPr="00B841A0" w:rsidRDefault="00403F5D" w:rsidP="00EC07EB">
      <w:pPr>
        <w:spacing w:line="240" w:lineRule="auto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403F5D">
        <w:rPr>
          <w:color w:val="000000"/>
          <w:sz w:val="24"/>
          <w:szCs w:val="24"/>
          <w:shd w:val="clear" w:color="auto" w:fill="FFFFFF"/>
        </w:rPr>
        <w:t xml:space="preserve">L’elemento di cesura sulla ribalta </w:t>
      </w:r>
      <w:proofErr w:type="spellStart"/>
      <w:r w:rsidRPr="00403F5D">
        <w:rPr>
          <w:color w:val="000000"/>
          <w:sz w:val="24"/>
          <w:szCs w:val="24"/>
          <w:shd w:val="clear" w:color="auto" w:fill="FFFFFF"/>
        </w:rPr>
        <w:t>dell’</w:t>
      </w:r>
      <w:r w:rsidRPr="00403F5D">
        <w:rPr>
          <w:rStyle w:val="Enfasicorsivo"/>
          <w:color w:val="000000"/>
          <w:sz w:val="24"/>
          <w:szCs w:val="24"/>
          <w:shd w:val="clear" w:color="auto" w:fill="FFFFFF"/>
        </w:rPr>
        <w:t>international</w:t>
      </w:r>
      <w:proofErr w:type="spellEnd"/>
      <w:r w:rsidRPr="00403F5D">
        <w:rPr>
          <w:rStyle w:val="Enfasicorsivo"/>
          <w:color w:val="000000"/>
          <w:sz w:val="24"/>
          <w:szCs w:val="24"/>
          <w:shd w:val="clear" w:color="auto" w:fill="FFFFFF"/>
        </w:rPr>
        <w:t xml:space="preserve"> banking</w:t>
      </w:r>
      <w:r w:rsidR="00B841A0">
        <w:rPr>
          <w:color w:val="000000"/>
          <w:sz w:val="24"/>
          <w:szCs w:val="24"/>
          <w:shd w:val="clear" w:color="auto" w:fill="FFFFFF"/>
        </w:rPr>
        <w:t xml:space="preserve"> </w:t>
      </w:r>
      <w:r w:rsidRPr="00403F5D">
        <w:rPr>
          <w:color w:val="000000"/>
          <w:sz w:val="24"/>
          <w:szCs w:val="24"/>
          <w:shd w:val="clear" w:color="auto" w:fill="FFFFFF"/>
        </w:rPr>
        <w:t>è costituito dalla comparsa di banche provenienti da Canada, Giappone Russia e Cina che incrementano vistosamente il proprio portafoglio di attività sull’estero.</w:t>
      </w:r>
      <w:r w:rsidR="00B841A0">
        <w:rPr>
          <w:color w:val="000000"/>
          <w:sz w:val="24"/>
          <w:szCs w:val="24"/>
          <w:shd w:val="clear" w:color="auto" w:fill="FFFFFF"/>
        </w:rPr>
        <w:t xml:space="preserve"> </w:t>
      </w:r>
      <w:r w:rsidRPr="00403F5D">
        <w:rPr>
          <w:color w:val="000000"/>
          <w:sz w:val="24"/>
          <w:szCs w:val="24"/>
          <w:shd w:val="clear" w:color="auto" w:fill="FFFFFF"/>
        </w:rPr>
        <w:t>Il mutamento degli attori è stato concomitante al mutamento degli attivi acquisiti sui mercati esteri: ai titoli di debito e ai prestiti in senso stretto sono andati sostituendosi, progressivamente, azioni e investi diretti, secondo una strategia che tende a privilegiare gli investimenti forse meno volatili ma, di certo, meno dipendenti, dal potenziale rischio di default del soggetto e/o del paese “scalato”.</w:t>
      </w:r>
    </w:p>
    <w:p w:rsidR="00105B68" w:rsidRDefault="00403F5D" w:rsidP="00EC07EB">
      <w:pPr>
        <w:spacing w:line="240" w:lineRule="auto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403F5D">
        <w:rPr>
          <w:color w:val="000000"/>
          <w:sz w:val="24"/>
          <w:szCs w:val="24"/>
          <w:shd w:val="clear" w:color="auto" w:fill="FFFFFF"/>
        </w:rPr>
        <w:t>Dieci anni dopo il crollo del sistema finanziario è difficile, e forse prematuro, valutare quanto da allora l’architettura delle grandi banche internazionali sia mutata e quanto la lezione di allora di allora abbia influito sui comportamenti di oggi. Elementi di cesura e di continuità si sovrappongono e, probabilmente, una risposta più articolata potrà essere data con il passare del tempo.</w:t>
      </w:r>
    </w:p>
    <w:p w:rsidR="00105B68" w:rsidRDefault="00403F5D" w:rsidP="00EC07EB">
      <w:pPr>
        <w:spacing w:line="240" w:lineRule="auto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403F5D">
        <w:rPr>
          <w:color w:val="000000"/>
          <w:sz w:val="24"/>
          <w:szCs w:val="24"/>
          <w:shd w:val="clear" w:color="auto" w:fill="FFFFFF"/>
        </w:rPr>
        <w:t xml:space="preserve">Taluni elementi paiono, tuttavia, indiscutibili; un paio di essi addirittura paradossali. Il primo: proprio le grandi banche di investimento che avevano contribuito in maniera significativa al crollo del 2008, rimangono al centro </w:t>
      </w:r>
      <w:proofErr w:type="spellStart"/>
      <w:r w:rsidRPr="00403F5D">
        <w:rPr>
          <w:color w:val="000000"/>
          <w:sz w:val="24"/>
          <w:szCs w:val="24"/>
          <w:shd w:val="clear" w:color="auto" w:fill="FFFFFF"/>
        </w:rPr>
        <w:t>dell’international</w:t>
      </w:r>
      <w:proofErr w:type="spellEnd"/>
      <w:r w:rsidRPr="00403F5D">
        <w:rPr>
          <w:color w:val="000000"/>
          <w:sz w:val="24"/>
          <w:szCs w:val="24"/>
          <w:shd w:val="clear" w:color="auto" w:fill="FFFFFF"/>
        </w:rPr>
        <w:t xml:space="preserve"> banking; anzi esse, inconfutabilmente, paiono rafforzate nei flussi internazionali di capitali. Ancora: gli Stati Uniti, che avevano costituito il baricentro della crisi e che avevano attuato, con il </w:t>
      </w:r>
      <w:proofErr w:type="spellStart"/>
      <w:r w:rsidRPr="00403F5D">
        <w:rPr>
          <w:rStyle w:val="Enfasicorsivo"/>
          <w:color w:val="000000"/>
          <w:sz w:val="24"/>
          <w:szCs w:val="24"/>
          <w:shd w:val="clear" w:color="auto" w:fill="FFFFFF"/>
        </w:rPr>
        <w:t>Troubled</w:t>
      </w:r>
      <w:proofErr w:type="spellEnd"/>
      <w:r w:rsidRPr="00403F5D">
        <w:rPr>
          <w:rStyle w:val="Enfasicorsivo"/>
          <w:color w:val="000000"/>
          <w:sz w:val="24"/>
          <w:szCs w:val="24"/>
          <w:shd w:val="clear" w:color="auto" w:fill="FFFFFF"/>
        </w:rPr>
        <w:t xml:space="preserve"> Asset </w:t>
      </w:r>
      <w:proofErr w:type="spellStart"/>
      <w:r w:rsidRPr="00403F5D">
        <w:rPr>
          <w:rStyle w:val="Enfasicorsivo"/>
          <w:color w:val="000000"/>
          <w:sz w:val="24"/>
          <w:szCs w:val="24"/>
          <w:shd w:val="clear" w:color="auto" w:fill="FFFFFF"/>
        </w:rPr>
        <w:t>Relief</w:t>
      </w:r>
      <w:proofErr w:type="spellEnd"/>
      <w:r w:rsidRPr="00403F5D">
        <w:rPr>
          <w:rStyle w:val="Enfasicorsivo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3F5D">
        <w:rPr>
          <w:rStyle w:val="Enfasicorsivo"/>
          <w:color w:val="000000"/>
          <w:sz w:val="24"/>
          <w:szCs w:val="24"/>
          <w:shd w:val="clear" w:color="auto" w:fill="FFFFFF"/>
        </w:rPr>
        <w:t>Programme</w:t>
      </w:r>
      <w:proofErr w:type="spellEnd"/>
      <w:r w:rsidRPr="00403F5D">
        <w:rPr>
          <w:color w:val="000000"/>
          <w:sz w:val="24"/>
          <w:szCs w:val="24"/>
          <w:shd w:val="clear" w:color="auto" w:fill="FFFFFF"/>
        </w:rPr>
        <w:t>, il più grande programma di risanamento dai titoli tossici delle banche di investimento, si ripropone come il centro mondiale dei processi di collocamento, di fusioni e di acquisizioni, di investimenti diretti all’estero. Per converso, nella gerarchia internazionale, il ruolo delle banche europee è parzialmente insidiato da nuovi paesi, in primo luogo dalla Cina: esse, in ragione di un processo di consolidamento che ne accorcia l’orizzonte strategico al loro continente, paiono meno in grado di seguire il modello di rischio e di internazionalizzazione che, con apparente grande abilità, avevano imparato dalle consorelle americane nel primo decennio del secolo.</w:t>
      </w:r>
    </w:p>
    <w:p w:rsidR="00105B68" w:rsidRDefault="00403F5D" w:rsidP="00EC07EB">
      <w:pPr>
        <w:spacing w:line="240" w:lineRule="auto"/>
        <w:contextualSpacing/>
        <w:jc w:val="both"/>
        <w:rPr>
          <w:color w:val="000000"/>
          <w:sz w:val="24"/>
          <w:szCs w:val="24"/>
        </w:rPr>
      </w:pPr>
      <w:r w:rsidRPr="00403F5D">
        <w:rPr>
          <w:color w:val="000000"/>
          <w:sz w:val="24"/>
          <w:szCs w:val="24"/>
          <w:shd w:val="clear" w:color="auto" w:fill="FFFFFF"/>
        </w:rPr>
        <w:t xml:space="preserve">Ovviamente queste affermazioni vanno relativizzate nella loro apoditticità: la presenza delle banche europee sui mercati trans-continentali è ancora di tutto riguardo; alcuni paesi, come la Francia con il “dinamismo” di BNP </w:t>
      </w:r>
      <w:proofErr w:type="spellStart"/>
      <w:r w:rsidRPr="00403F5D">
        <w:rPr>
          <w:color w:val="000000"/>
          <w:sz w:val="24"/>
          <w:szCs w:val="24"/>
          <w:shd w:val="clear" w:color="auto" w:fill="FFFFFF"/>
        </w:rPr>
        <w:t>Paribas</w:t>
      </w:r>
      <w:proofErr w:type="spellEnd"/>
      <w:r w:rsidRPr="00403F5D">
        <w:rPr>
          <w:color w:val="000000"/>
          <w:sz w:val="24"/>
          <w:szCs w:val="24"/>
          <w:shd w:val="clear" w:color="auto" w:fill="FFFFFF"/>
        </w:rPr>
        <w:t xml:space="preserve">, di </w:t>
      </w:r>
      <w:proofErr w:type="spellStart"/>
      <w:r w:rsidRPr="00403F5D">
        <w:rPr>
          <w:color w:val="000000"/>
          <w:sz w:val="24"/>
          <w:szCs w:val="24"/>
          <w:shd w:val="clear" w:color="auto" w:fill="FFFFFF"/>
        </w:rPr>
        <w:t>Crédit</w:t>
      </w:r>
      <w:proofErr w:type="spellEnd"/>
      <w:r w:rsidRPr="00403F5D">
        <w:rPr>
          <w:color w:val="000000"/>
          <w:sz w:val="24"/>
          <w:szCs w:val="24"/>
          <w:shd w:val="clear" w:color="auto" w:fill="FFFFFF"/>
        </w:rPr>
        <w:t xml:space="preserve"> Agricole Group e della </w:t>
      </w:r>
      <w:proofErr w:type="spellStart"/>
      <w:r w:rsidRPr="00403F5D">
        <w:rPr>
          <w:color w:val="000000"/>
          <w:sz w:val="24"/>
          <w:szCs w:val="24"/>
          <w:shd w:val="clear" w:color="auto" w:fill="FFFFFF"/>
        </w:rPr>
        <w:t>Societe</w:t>
      </w:r>
      <w:proofErr w:type="spellEnd"/>
      <w:r w:rsidRPr="00403F5D">
        <w:rPr>
          <w:color w:val="000000"/>
          <w:sz w:val="24"/>
          <w:szCs w:val="24"/>
          <w:shd w:val="clear" w:color="auto" w:fill="FFFFFF"/>
        </w:rPr>
        <w:t xml:space="preserve"> Generale Group, esprimono strategie e pretese che valicano i confini nazionali, banche di indubbia fragilità, come la Deutsche </w:t>
      </w:r>
      <w:proofErr w:type="spellStart"/>
      <w:r w:rsidRPr="00403F5D">
        <w:rPr>
          <w:color w:val="000000"/>
          <w:sz w:val="24"/>
          <w:szCs w:val="24"/>
          <w:shd w:val="clear" w:color="auto" w:fill="FFFFFF"/>
        </w:rPr>
        <w:t>Bank</w:t>
      </w:r>
      <w:proofErr w:type="spellEnd"/>
      <w:r w:rsidRPr="00403F5D">
        <w:rPr>
          <w:color w:val="000000"/>
          <w:sz w:val="24"/>
          <w:szCs w:val="24"/>
          <w:shd w:val="clear" w:color="auto" w:fill="FFFFFF"/>
        </w:rPr>
        <w:t>, si ostinano, grazie al ruolo della Germania nell’Eurozona, a mantenere rischiosissime composizioni dell’attivo.</w:t>
      </w:r>
    </w:p>
    <w:p w:rsidR="00105B68" w:rsidRDefault="00403F5D" w:rsidP="00EC07EB">
      <w:pPr>
        <w:spacing w:line="240" w:lineRule="auto"/>
        <w:contextualSpacing/>
        <w:jc w:val="both"/>
        <w:rPr>
          <w:color w:val="000000"/>
          <w:sz w:val="24"/>
          <w:szCs w:val="24"/>
        </w:rPr>
      </w:pPr>
      <w:r w:rsidRPr="00403F5D">
        <w:rPr>
          <w:color w:val="000000"/>
          <w:sz w:val="24"/>
          <w:szCs w:val="24"/>
          <w:shd w:val="clear" w:color="auto" w:fill="FFFFFF"/>
        </w:rPr>
        <w:t>Tuttavia le tendenze parlano, ove mai la gerarchia fosse stata in dubbio, di un ruolo ancillare delle grandi banche continentali. La globalizzazione finanziaria internazionale vive ed è vegeta, si direbbe, evolve e si adegua, in un rapporto dia</w:t>
      </w:r>
      <w:r w:rsidR="00361321">
        <w:rPr>
          <w:color w:val="000000"/>
          <w:sz w:val="24"/>
          <w:szCs w:val="24"/>
          <w:shd w:val="clear" w:color="auto" w:fill="FFFFFF"/>
        </w:rPr>
        <w:t xml:space="preserve">lettico con le pallide forme di </w:t>
      </w:r>
      <w:proofErr w:type="spellStart"/>
      <w:r w:rsidRPr="00403F5D">
        <w:rPr>
          <w:rStyle w:val="Enfasicorsivo"/>
          <w:color w:val="000000"/>
          <w:sz w:val="24"/>
          <w:szCs w:val="24"/>
          <w:shd w:val="clear" w:color="auto" w:fill="FFFFFF"/>
        </w:rPr>
        <w:t>governance</w:t>
      </w:r>
      <w:proofErr w:type="spellEnd"/>
      <w:r w:rsidRPr="00403F5D">
        <w:rPr>
          <w:color w:val="000000"/>
          <w:sz w:val="24"/>
          <w:szCs w:val="24"/>
          <w:shd w:val="clear" w:color="auto" w:fill="FFFFFF"/>
        </w:rPr>
        <w:t xml:space="preserve">, ai vincoli ed ai paletti che la stabilità finanziaria impone. E chi pensasse che oggi i pericoli di “rischio sistemico” siano, pur se parzialmente, desueti commetterebbe un ingannevole errore di sottostima: </w:t>
      </w:r>
      <w:r w:rsidRPr="0071259E">
        <w:rPr>
          <w:i/>
          <w:color w:val="000000"/>
          <w:sz w:val="24"/>
          <w:szCs w:val="24"/>
          <w:shd w:val="clear" w:color="auto" w:fill="FFFFFF"/>
        </w:rPr>
        <w:t xml:space="preserve">natura non </w:t>
      </w:r>
      <w:proofErr w:type="spellStart"/>
      <w:r w:rsidRPr="0071259E">
        <w:rPr>
          <w:i/>
          <w:color w:val="000000"/>
          <w:sz w:val="24"/>
          <w:szCs w:val="24"/>
          <w:shd w:val="clear" w:color="auto" w:fill="FFFFFF"/>
        </w:rPr>
        <w:t>facit</w:t>
      </w:r>
      <w:proofErr w:type="spellEnd"/>
      <w:r w:rsidRPr="0071259E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1259E">
        <w:rPr>
          <w:i/>
          <w:color w:val="000000"/>
          <w:sz w:val="24"/>
          <w:szCs w:val="24"/>
          <w:shd w:val="clear" w:color="auto" w:fill="FFFFFF"/>
        </w:rPr>
        <w:t>saltus</w:t>
      </w:r>
      <w:proofErr w:type="spellEnd"/>
      <w:r w:rsidRPr="00403F5D">
        <w:rPr>
          <w:color w:val="000000"/>
          <w:sz w:val="24"/>
          <w:szCs w:val="24"/>
          <w:shd w:val="clear" w:color="auto" w:fill="FFFFFF"/>
        </w:rPr>
        <w:t>, specie a rileggere le valutazioni dei</w:t>
      </w:r>
      <w:r w:rsidR="008357A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3F5D">
        <w:rPr>
          <w:rStyle w:val="Enfasicorsivo"/>
          <w:color w:val="000000"/>
          <w:sz w:val="24"/>
          <w:szCs w:val="24"/>
          <w:shd w:val="clear" w:color="auto" w:fill="FFFFFF"/>
        </w:rPr>
        <w:t>Chief</w:t>
      </w:r>
      <w:proofErr w:type="spellEnd"/>
      <w:r w:rsidRPr="00403F5D">
        <w:rPr>
          <w:rStyle w:val="Enfasicorsivo"/>
          <w:color w:val="000000"/>
          <w:sz w:val="24"/>
          <w:szCs w:val="24"/>
          <w:shd w:val="clear" w:color="auto" w:fill="FFFFFF"/>
        </w:rPr>
        <w:t xml:space="preserve"> Executive </w:t>
      </w:r>
      <w:proofErr w:type="spellStart"/>
      <w:r w:rsidRPr="00403F5D">
        <w:rPr>
          <w:rStyle w:val="Enfasicorsivo"/>
          <w:color w:val="000000"/>
          <w:sz w:val="24"/>
          <w:szCs w:val="24"/>
          <w:shd w:val="clear" w:color="auto" w:fill="FFFFFF"/>
        </w:rPr>
        <w:t>Officer</w:t>
      </w:r>
      <w:proofErr w:type="spellEnd"/>
      <w:r w:rsidR="008357AB">
        <w:rPr>
          <w:color w:val="000000"/>
          <w:sz w:val="24"/>
          <w:szCs w:val="24"/>
          <w:shd w:val="clear" w:color="auto" w:fill="FFFFFF"/>
        </w:rPr>
        <w:t xml:space="preserve"> </w:t>
      </w:r>
      <w:r w:rsidRPr="00403F5D">
        <w:rPr>
          <w:color w:val="000000"/>
          <w:sz w:val="24"/>
          <w:szCs w:val="24"/>
          <w:shd w:val="clear" w:color="auto" w:fill="FFFFFF"/>
        </w:rPr>
        <w:t>delle grandi banche di investimento. Qualche esemplificazione. I contratti derivati in essere non costituiscono un pallido ricordo nell’ Asset Management delle grandi banche: al</w:t>
      </w:r>
      <w:r w:rsidR="00537F4E">
        <w:rPr>
          <w:color w:val="000000"/>
          <w:sz w:val="24"/>
          <w:szCs w:val="24"/>
          <w:shd w:val="clear" w:color="auto" w:fill="FFFFFF"/>
        </w:rPr>
        <w:t xml:space="preserve"> 2015 </w:t>
      </w:r>
      <w:proofErr w:type="spellStart"/>
      <w:r w:rsidR="00537F4E">
        <w:rPr>
          <w:color w:val="000000"/>
          <w:sz w:val="24"/>
          <w:szCs w:val="24"/>
          <w:shd w:val="clear" w:color="auto" w:fill="FFFFFF"/>
        </w:rPr>
        <w:t>JPMorgan</w:t>
      </w:r>
      <w:proofErr w:type="spellEnd"/>
      <w:r w:rsidR="00537F4E">
        <w:rPr>
          <w:color w:val="000000"/>
          <w:sz w:val="24"/>
          <w:szCs w:val="24"/>
          <w:shd w:val="clear" w:color="auto" w:fill="FFFFFF"/>
        </w:rPr>
        <w:t xml:space="preserve"> Chase ne possedeva per il 18.6% dell’attivo, Citigroup per </w:t>
      </w:r>
      <w:r w:rsidRPr="00403F5D">
        <w:rPr>
          <w:color w:val="000000"/>
          <w:sz w:val="24"/>
          <w:szCs w:val="24"/>
          <w:shd w:val="clear" w:color="auto" w:fill="FFFFFF"/>
        </w:rPr>
        <w:t>il 2</w:t>
      </w:r>
      <w:r w:rsidR="00537F4E">
        <w:rPr>
          <w:color w:val="000000"/>
          <w:sz w:val="24"/>
          <w:szCs w:val="24"/>
          <w:shd w:val="clear" w:color="auto" w:fill="FFFFFF"/>
        </w:rPr>
        <w:t xml:space="preserve">1.1%, Deutsche </w:t>
      </w:r>
      <w:proofErr w:type="spellStart"/>
      <w:r w:rsidR="00537F4E">
        <w:rPr>
          <w:color w:val="000000"/>
          <w:sz w:val="24"/>
          <w:szCs w:val="24"/>
          <w:shd w:val="clear" w:color="auto" w:fill="FFFFFF"/>
        </w:rPr>
        <w:t>Bank</w:t>
      </w:r>
      <w:proofErr w:type="spellEnd"/>
      <w:r w:rsidR="00537F4E">
        <w:rPr>
          <w:color w:val="000000"/>
          <w:sz w:val="24"/>
          <w:szCs w:val="24"/>
          <w:shd w:val="clear" w:color="auto" w:fill="FFFFFF"/>
        </w:rPr>
        <w:t xml:space="preserve"> per il 59.1%</w:t>
      </w:r>
      <w:r w:rsidRPr="00403F5D">
        <w:rPr>
          <w:color w:val="000000"/>
          <w:sz w:val="24"/>
          <w:szCs w:val="24"/>
          <w:shd w:val="clear" w:color="auto" w:fill="FFFFFF"/>
        </w:rPr>
        <w:t xml:space="preserve">, </w:t>
      </w:r>
      <w:r w:rsidR="00215D53">
        <w:rPr>
          <w:color w:val="000000"/>
          <w:sz w:val="24"/>
          <w:szCs w:val="24"/>
          <w:shd w:val="clear" w:color="auto" w:fill="FFFFFF"/>
        </w:rPr>
        <w:t xml:space="preserve">Barclays per il 39.1%, BNP </w:t>
      </w:r>
      <w:proofErr w:type="spellStart"/>
      <w:r w:rsidR="00215D53">
        <w:rPr>
          <w:color w:val="000000"/>
          <w:sz w:val="24"/>
          <w:szCs w:val="24"/>
          <w:shd w:val="clear" w:color="auto" w:fill="FFFFFF"/>
        </w:rPr>
        <w:t>Paribas</w:t>
      </w:r>
      <w:proofErr w:type="spellEnd"/>
      <w:r w:rsidR="00215D53">
        <w:rPr>
          <w:color w:val="000000"/>
          <w:sz w:val="24"/>
          <w:szCs w:val="24"/>
          <w:shd w:val="clear" w:color="auto" w:fill="FFFFFF"/>
        </w:rPr>
        <w:t xml:space="preserve"> per il 47.7%</w:t>
      </w:r>
      <w:r w:rsidRPr="00403F5D">
        <w:rPr>
          <w:color w:val="000000"/>
          <w:sz w:val="24"/>
          <w:szCs w:val="24"/>
          <w:shd w:val="clear" w:color="auto" w:fill="FFFFFF"/>
        </w:rPr>
        <w:t xml:space="preserve">. </w:t>
      </w:r>
    </w:p>
    <w:p w:rsidR="00105B68" w:rsidRDefault="00E973EC" w:rsidP="00EC07EB">
      <w:pPr>
        <w:spacing w:line="240" w:lineRule="auto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È indubbio che</w:t>
      </w:r>
      <w:r w:rsidR="00403F5D" w:rsidRPr="00403F5D">
        <w:rPr>
          <w:color w:val="000000"/>
          <w:sz w:val="24"/>
          <w:szCs w:val="24"/>
          <w:shd w:val="clear" w:color="auto" w:fill="FFFFFF"/>
        </w:rPr>
        <w:t xml:space="preserve"> le grandi banche, e anche quelle statunitensi, non siano divenute più “sicure” all’indomani della crisi; è possibile dedurre, anzi, da qualche analisi approfondita che esse siano divenute, paradossalmente, più rischiose. Dunque, dopo il manifestarsi della crisi del 2008, </w:t>
      </w:r>
      <w:r w:rsidR="00403F5D" w:rsidRPr="00403F5D">
        <w:rPr>
          <w:color w:val="000000"/>
          <w:sz w:val="24"/>
          <w:szCs w:val="24"/>
          <w:shd w:val="clear" w:color="auto" w:fill="FFFFFF"/>
        </w:rPr>
        <w:lastRenderedPageBreak/>
        <w:t>quando pareva che la finanza mondiale fosse entrata in un stallo definitivo, il sistema bancario internazionale ha reagito con caratteri di resilienza che, un decennio addietro, parevano impensabili.</w:t>
      </w:r>
    </w:p>
    <w:p w:rsidR="00105B68" w:rsidRDefault="00403F5D" w:rsidP="00EC07EB">
      <w:pPr>
        <w:spacing w:line="240" w:lineRule="auto"/>
        <w:contextualSpacing/>
        <w:jc w:val="both"/>
        <w:rPr>
          <w:color w:val="000000"/>
          <w:sz w:val="24"/>
          <w:szCs w:val="24"/>
        </w:rPr>
      </w:pPr>
      <w:r w:rsidRPr="00403F5D">
        <w:rPr>
          <w:color w:val="000000"/>
          <w:sz w:val="24"/>
          <w:szCs w:val="24"/>
          <w:shd w:val="clear" w:color="auto" w:fill="FFFFFF"/>
        </w:rPr>
        <w:t xml:space="preserve">Un simile capacità di reagire ad un evento tanto traumatico deve essere fatta probabilmente risalire al sostegno finanziario pubblico, diretto e indiretto, di cui il mondo della finanza ha goduto nel settennio successivo. Ma, che esso sia stato più trasparente come negli Stati Uniti o più fariseo come nel caso dell’Europa dell’austerità fiscale, la resilienza </w:t>
      </w:r>
      <w:r w:rsidR="0071259E">
        <w:rPr>
          <w:color w:val="000000"/>
          <w:sz w:val="24"/>
          <w:szCs w:val="24"/>
          <w:shd w:val="clear" w:color="auto" w:fill="FFFFFF"/>
        </w:rPr>
        <w:t xml:space="preserve">ha una motivazione definita: la </w:t>
      </w:r>
      <w:proofErr w:type="spellStart"/>
      <w:r w:rsidRPr="00403F5D">
        <w:rPr>
          <w:rStyle w:val="Enfasicorsivo"/>
          <w:color w:val="000000"/>
          <w:sz w:val="24"/>
          <w:szCs w:val="24"/>
          <w:shd w:val="clear" w:color="auto" w:fill="FFFFFF"/>
        </w:rPr>
        <w:t>governance</w:t>
      </w:r>
      <w:proofErr w:type="spellEnd"/>
      <w:r w:rsidR="0071259E">
        <w:rPr>
          <w:color w:val="000000"/>
          <w:sz w:val="24"/>
          <w:szCs w:val="24"/>
          <w:shd w:val="clear" w:color="auto" w:fill="FFFFFF"/>
        </w:rPr>
        <w:t xml:space="preserve"> </w:t>
      </w:r>
      <w:r w:rsidRPr="00403F5D">
        <w:rPr>
          <w:color w:val="000000"/>
          <w:sz w:val="24"/>
          <w:szCs w:val="24"/>
          <w:shd w:val="clear" w:color="auto" w:fill="FFFFFF"/>
        </w:rPr>
        <w:t>del mondo della finanza non ha mutato alcuna regola del gioco.</w:t>
      </w:r>
    </w:p>
    <w:p w:rsidR="00105B68" w:rsidRDefault="00403F5D" w:rsidP="00EC07EB">
      <w:pPr>
        <w:spacing w:line="240" w:lineRule="auto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403F5D">
        <w:rPr>
          <w:color w:val="000000"/>
          <w:sz w:val="24"/>
          <w:szCs w:val="24"/>
          <w:shd w:val="clear" w:color="auto" w:fill="FFFFFF"/>
        </w:rPr>
        <w:t>E’</w:t>
      </w:r>
      <w:proofErr w:type="gramEnd"/>
      <w:r w:rsidRPr="00403F5D">
        <w:rPr>
          <w:color w:val="000000"/>
          <w:sz w:val="24"/>
          <w:szCs w:val="24"/>
          <w:shd w:val="clear" w:color="auto" w:fill="FFFFFF"/>
        </w:rPr>
        <w:t xml:space="preserve"> vero che le banche europee sono divenute più</w:t>
      </w:r>
      <w:r w:rsidR="008357A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3F5D">
        <w:rPr>
          <w:rStyle w:val="Enfasicorsivo"/>
          <w:color w:val="000000"/>
          <w:sz w:val="24"/>
          <w:szCs w:val="24"/>
          <w:shd w:val="clear" w:color="auto" w:fill="FFFFFF"/>
        </w:rPr>
        <w:t>parochial</w:t>
      </w:r>
      <w:proofErr w:type="spellEnd"/>
      <w:r w:rsidRPr="00403F5D">
        <w:rPr>
          <w:color w:val="000000"/>
          <w:sz w:val="24"/>
          <w:szCs w:val="24"/>
          <w:shd w:val="clear" w:color="auto" w:fill="FFFFFF"/>
        </w:rPr>
        <w:t>, con un</w:t>
      </w:r>
      <w:r w:rsidR="008357A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3F5D">
        <w:rPr>
          <w:rStyle w:val="Enfasicorsivo"/>
          <w:color w:val="000000"/>
          <w:sz w:val="24"/>
          <w:szCs w:val="24"/>
          <w:shd w:val="clear" w:color="auto" w:fill="FFFFFF"/>
        </w:rPr>
        <w:t>bias</w:t>
      </w:r>
      <w:proofErr w:type="spellEnd"/>
      <w:r w:rsidR="008357AB">
        <w:rPr>
          <w:color w:val="000000"/>
          <w:sz w:val="24"/>
          <w:szCs w:val="24"/>
          <w:shd w:val="clear" w:color="auto" w:fill="FFFFFF"/>
        </w:rPr>
        <w:t xml:space="preserve"> </w:t>
      </w:r>
      <w:r w:rsidRPr="00403F5D">
        <w:rPr>
          <w:color w:val="000000"/>
          <w:sz w:val="24"/>
          <w:szCs w:val="24"/>
          <w:shd w:val="clear" w:color="auto" w:fill="FFFFFF"/>
        </w:rPr>
        <w:t>a favore delle atti</w:t>
      </w:r>
      <w:r w:rsidR="0071259E">
        <w:rPr>
          <w:color w:val="000000"/>
          <w:sz w:val="24"/>
          <w:szCs w:val="24"/>
          <w:shd w:val="clear" w:color="auto" w:fill="FFFFFF"/>
        </w:rPr>
        <w:t>vità continentali</w:t>
      </w:r>
      <w:r w:rsidRPr="00403F5D">
        <w:rPr>
          <w:color w:val="000000"/>
          <w:sz w:val="24"/>
          <w:szCs w:val="24"/>
          <w:shd w:val="clear" w:color="auto" w:fill="FFFFFF"/>
        </w:rPr>
        <w:t xml:space="preserve">, che al loro posto si candida un peculiare sistema finanziario come quello cinese, che le Big </w:t>
      </w:r>
      <w:proofErr w:type="spellStart"/>
      <w:r w:rsidRPr="00403F5D">
        <w:rPr>
          <w:color w:val="000000"/>
          <w:sz w:val="24"/>
          <w:szCs w:val="24"/>
          <w:shd w:val="clear" w:color="auto" w:fill="FFFFFF"/>
        </w:rPr>
        <w:t>Banks</w:t>
      </w:r>
      <w:proofErr w:type="spellEnd"/>
      <w:r w:rsidRPr="00403F5D">
        <w:rPr>
          <w:color w:val="000000"/>
          <w:sz w:val="24"/>
          <w:szCs w:val="24"/>
          <w:shd w:val="clear" w:color="auto" w:fill="FFFFFF"/>
        </w:rPr>
        <w:t xml:space="preserve"> statunitensi modificano la composizione del portafoglio estero privilegiando le attività meno rischiose (e meno remunerative). Nulla, tuttavia, porta a credere che la vocazione della grande banca tenda per un allungamento delle scadenze dei profitti, per comportamenti meno speculativi, per minori eccessi sul mercato dei titoli derivati.</w:t>
      </w:r>
    </w:p>
    <w:p w:rsidR="003443E6" w:rsidRPr="00403F5D" w:rsidRDefault="00403F5D" w:rsidP="00EC07EB">
      <w:pPr>
        <w:spacing w:line="240" w:lineRule="auto"/>
        <w:contextualSpacing/>
        <w:jc w:val="both"/>
        <w:rPr>
          <w:sz w:val="24"/>
          <w:szCs w:val="24"/>
        </w:rPr>
      </w:pPr>
      <w:r w:rsidRPr="00403F5D">
        <w:rPr>
          <w:color w:val="000000"/>
          <w:sz w:val="24"/>
          <w:szCs w:val="24"/>
          <w:shd w:val="clear" w:color="auto" w:fill="FFFFFF"/>
        </w:rPr>
        <w:t>Paradossalmente l’incertezza che contraddistingue i mercati all’indomani della crisi è un elemento ulteriore di</w:t>
      </w:r>
      <w:r w:rsidR="008357A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3F5D">
        <w:rPr>
          <w:rStyle w:val="Enfasicorsivo"/>
          <w:color w:val="000000"/>
          <w:sz w:val="24"/>
          <w:szCs w:val="24"/>
          <w:shd w:val="clear" w:color="auto" w:fill="FFFFFF"/>
        </w:rPr>
        <w:t>beating</w:t>
      </w:r>
      <w:proofErr w:type="spellEnd"/>
      <w:r w:rsidRPr="00403F5D">
        <w:rPr>
          <w:color w:val="000000"/>
          <w:sz w:val="24"/>
          <w:szCs w:val="24"/>
          <w:shd w:val="clear" w:color="auto" w:fill="FFFFFF"/>
        </w:rPr>
        <w:t>: forse il regolatore, al momento del risanamento, del</w:t>
      </w:r>
      <w:r w:rsidR="008357AB">
        <w:rPr>
          <w:rStyle w:val="Enfasicorsivo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3F5D">
        <w:rPr>
          <w:rStyle w:val="Enfasicorsivo"/>
          <w:color w:val="000000"/>
          <w:sz w:val="24"/>
          <w:szCs w:val="24"/>
          <w:shd w:val="clear" w:color="auto" w:fill="FFFFFF"/>
        </w:rPr>
        <w:t>bail</w:t>
      </w:r>
      <w:proofErr w:type="spellEnd"/>
      <w:r w:rsidRPr="00403F5D">
        <w:rPr>
          <w:rStyle w:val="Enfasicorsivo"/>
          <w:color w:val="000000"/>
          <w:sz w:val="24"/>
          <w:szCs w:val="24"/>
          <w:shd w:val="clear" w:color="auto" w:fill="FFFFFF"/>
        </w:rPr>
        <w:t>-out</w:t>
      </w:r>
      <w:r w:rsidRPr="00403F5D">
        <w:rPr>
          <w:color w:val="000000"/>
          <w:sz w:val="24"/>
          <w:szCs w:val="24"/>
          <w:shd w:val="clear" w:color="auto" w:fill="FFFFFF"/>
        </w:rPr>
        <w:t>, dell’acquisizione del capitale azionario delle banche in</w:t>
      </w:r>
      <w:r w:rsidR="008357AB">
        <w:rPr>
          <w:color w:val="000000"/>
          <w:sz w:val="24"/>
          <w:szCs w:val="24"/>
          <w:shd w:val="clear" w:color="auto" w:fill="FFFFFF"/>
        </w:rPr>
        <w:t xml:space="preserve"> </w:t>
      </w:r>
      <w:r w:rsidRPr="00403F5D">
        <w:rPr>
          <w:rStyle w:val="Enfasicorsivo"/>
          <w:color w:val="000000"/>
          <w:sz w:val="24"/>
          <w:szCs w:val="24"/>
          <w:shd w:val="clear" w:color="auto" w:fill="FFFFFF"/>
        </w:rPr>
        <w:t>default</w:t>
      </w:r>
      <w:r w:rsidRPr="00403F5D">
        <w:rPr>
          <w:color w:val="000000"/>
          <w:sz w:val="24"/>
          <w:szCs w:val="24"/>
          <w:shd w:val="clear" w:color="auto" w:fill="FFFFFF"/>
        </w:rPr>
        <w:t>, avrebbe dovuto scontare che quanto più il futuro è incerto, maggiore è la spinta a scommettere non sulla donna più bella ma su quella che il mercato, domani, considererà la più bella. Ma la realtà (o meglio il paradosso) è che le sedimentate relazioni tra i</w:t>
      </w:r>
      <w:r w:rsidR="00EC07EB" w:rsidRPr="00403F5D">
        <w:rPr>
          <w:color w:val="000000"/>
          <w:sz w:val="24"/>
          <w:szCs w:val="24"/>
          <w:shd w:val="clear" w:color="auto" w:fill="FFFFFF"/>
        </w:rPr>
        <w:t>ncertezza, aspettative e speculazione sono ben note ai nostri regolatori</w:t>
      </w:r>
      <w:r w:rsidR="00EC07EB">
        <w:rPr>
          <w:color w:val="000000"/>
          <w:sz w:val="24"/>
          <w:szCs w:val="24"/>
          <w:shd w:val="clear" w:color="auto" w:fill="FFFFFF"/>
        </w:rPr>
        <w:t xml:space="preserve">: </w:t>
      </w:r>
      <w:r w:rsidR="00F43C47">
        <w:rPr>
          <w:rFonts w:ascii="Calibri" w:hAnsi="Calibri" w:cs="Calibri"/>
          <w:sz w:val="24"/>
          <w:szCs w:val="24"/>
        </w:rPr>
        <w:t xml:space="preserve">si potrebbe inferire, in conclusione, che nella loro </w:t>
      </w:r>
      <w:r w:rsidR="00F43C47" w:rsidRPr="006727D4">
        <w:rPr>
          <w:rFonts w:ascii="Calibri" w:hAnsi="Calibri" w:cs="Calibri"/>
          <w:i/>
          <w:sz w:val="24"/>
          <w:szCs w:val="24"/>
        </w:rPr>
        <w:t>funzione di preferenza</w:t>
      </w:r>
      <w:r w:rsidR="00F43C47">
        <w:rPr>
          <w:rFonts w:ascii="Calibri" w:hAnsi="Calibri" w:cs="Calibri"/>
          <w:i/>
          <w:sz w:val="24"/>
          <w:szCs w:val="24"/>
        </w:rPr>
        <w:t xml:space="preserve"> </w:t>
      </w:r>
      <w:r w:rsidR="00F43C47">
        <w:rPr>
          <w:rFonts w:ascii="Calibri" w:hAnsi="Calibri" w:cs="Calibri"/>
          <w:sz w:val="24"/>
          <w:szCs w:val="24"/>
        </w:rPr>
        <w:t>un male sperimentato sia preferibile ad un bene ignoto</w:t>
      </w:r>
      <w:r w:rsidR="000003A5">
        <w:rPr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sectPr w:rsidR="003443E6" w:rsidRPr="00403F5D" w:rsidSect="003443E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994" w:rsidRDefault="001E0994" w:rsidP="00403F5D">
      <w:pPr>
        <w:spacing w:after="0" w:line="240" w:lineRule="auto"/>
      </w:pPr>
      <w:r>
        <w:separator/>
      </w:r>
    </w:p>
  </w:endnote>
  <w:endnote w:type="continuationSeparator" w:id="0">
    <w:p w:rsidR="001E0994" w:rsidRDefault="001E0994" w:rsidP="00403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4313"/>
      <w:docPartObj>
        <w:docPartGallery w:val="Page Numbers (Bottom of Page)"/>
        <w:docPartUnique/>
      </w:docPartObj>
    </w:sdtPr>
    <w:sdtEndPr/>
    <w:sdtContent>
      <w:p w:rsidR="00403F5D" w:rsidRDefault="001E0994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19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03F5D" w:rsidRDefault="00403F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994" w:rsidRDefault="001E0994" w:rsidP="00403F5D">
      <w:pPr>
        <w:spacing w:after="0" w:line="240" w:lineRule="auto"/>
      </w:pPr>
      <w:r>
        <w:separator/>
      </w:r>
    </w:p>
  </w:footnote>
  <w:footnote w:type="continuationSeparator" w:id="0">
    <w:p w:rsidR="001E0994" w:rsidRDefault="001E0994" w:rsidP="00403F5D">
      <w:pPr>
        <w:spacing w:after="0" w:line="240" w:lineRule="auto"/>
      </w:pPr>
      <w:r>
        <w:continuationSeparator/>
      </w:r>
    </w:p>
  </w:footnote>
  <w:footnote w:id="1">
    <w:p w:rsidR="008357AB" w:rsidRPr="00C2144F" w:rsidRDefault="008357AB" w:rsidP="008357AB">
      <w:pPr>
        <w:pStyle w:val="Testonotaapidipagina"/>
      </w:pPr>
      <w:r w:rsidRPr="00C2144F">
        <w:rPr>
          <w:rStyle w:val="Rimandonotaapidipagina"/>
        </w:rPr>
        <w:footnoteRef/>
      </w:r>
      <w:r w:rsidRPr="00C2144F">
        <w:t xml:space="preserve"> </w:t>
      </w:r>
      <w:r w:rsidR="004119EE">
        <w:rPr>
          <w:rStyle w:val="Enfasicorsivo"/>
          <w:color w:val="000000"/>
          <w:shd w:val="clear" w:color="auto" w:fill="FFFFFF"/>
        </w:rPr>
        <w:t xml:space="preserve">Il </w:t>
      </w:r>
      <w:r w:rsidRPr="00C2144F">
        <w:rPr>
          <w:rStyle w:val="Enfasicorsivo"/>
          <w:color w:val="000000"/>
          <w:shd w:val="clear" w:color="auto" w:fill="FFFFFF"/>
        </w:rPr>
        <w:t>testo è una versione sintetic</w:t>
      </w:r>
      <w:r w:rsidR="004119EE">
        <w:rPr>
          <w:rStyle w:val="Enfasicorsivo"/>
          <w:color w:val="000000"/>
          <w:shd w:val="clear" w:color="auto" w:fill="FFFFFF"/>
        </w:rPr>
        <w:t>a</w:t>
      </w:r>
      <w:r w:rsidR="00B841A0">
        <w:rPr>
          <w:rStyle w:val="Enfasicorsivo"/>
          <w:color w:val="000000"/>
          <w:shd w:val="clear" w:color="auto" w:fill="FFFFFF"/>
        </w:rPr>
        <w:t xml:space="preserve"> di una</w:t>
      </w:r>
      <w:r w:rsidRPr="00C2144F">
        <w:rPr>
          <w:rStyle w:val="Enfasicorsivo"/>
          <w:color w:val="000000"/>
          <w:shd w:val="clear" w:color="auto" w:fill="FFFFFF"/>
        </w:rPr>
        <w:t xml:space="preserve"> più ampia</w:t>
      </w:r>
      <w:r>
        <w:rPr>
          <w:rStyle w:val="Enfasicorsivo"/>
          <w:color w:val="000000"/>
          <w:shd w:val="clear" w:color="auto" w:fill="FFFFFF"/>
        </w:rPr>
        <w:t xml:space="preserve"> in corso di pubblicazione.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3F5D"/>
    <w:rsid w:val="000003A5"/>
    <w:rsid w:val="00075BBC"/>
    <w:rsid w:val="00083C51"/>
    <w:rsid w:val="000C1B92"/>
    <w:rsid w:val="000F0F43"/>
    <w:rsid w:val="00105B68"/>
    <w:rsid w:val="00120175"/>
    <w:rsid w:val="00132122"/>
    <w:rsid w:val="0015334A"/>
    <w:rsid w:val="001E0994"/>
    <w:rsid w:val="00215D53"/>
    <w:rsid w:val="0024582B"/>
    <w:rsid w:val="002E0AB6"/>
    <w:rsid w:val="003443E6"/>
    <w:rsid w:val="0034553D"/>
    <w:rsid w:val="00361321"/>
    <w:rsid w:val="003D038A"/>
    <w:rsid w:val="003E6BD5"/>
    <w:rsid w:val="00403F5D"/>
    <w:rsid w:val="004119EE"/>
    <w:rsid w:val="004709E6"/>
    <w:rsid w:val="00537F4E"/>
    <w:rsid w:val="0059383A"/>
    <w:rsid w:val="005D3DDF"/>
    <w:rsid w:val="005F679D"/>
    <w:rsid w:val="0065743D"/>
    <w:rsid w:val="006720CC"/>
    <w:rsid w:val="006A6376"/>
    <w:rsid w:val="006B0746"/>
    <w:rsid w:val="006B793F"/>
    <w:rsid w:val="0071259E"/>
    <w:rsid w:val="007A1A3F"/>
    <w:rsid w:val="007F32C9"/>
    <w:rsid w:val="008357AB"/>
    <w:rsid w:val="008976B9"/>
    <w:rsid w:val="008B5E0A"/>
    <w:rsid w:val="00904B72"/>
    <w:rsid w:val="009409AD"/>
    <w:rsid w:val="009E4D6A"/>
    <w:rsid w:val="00A475A6"/>
    <w:rsid w:val="00A77CBD"/>
    <w:rsid w:val="00AA0AF3"/>
    <w:rsid w:val="00AA1F35"/>
    <w:rsid w:val="00AC1CCB"/>
    <w:rsid w:val="00AC7C33"/>
    <w:rsid w:val="00AE1028"/>
    <w:rsid w:val="00B15005"/>
    <w:rsid w:val="00B31CFD"/>
    <w:rsid w:val="00B841A0"/>
    <w:rsid w:val="00BC4D8C"/>
    <w:rsid w:val="00C12CF7"/>
    <w:rsid w:val="00C2144F"/>
    <w:rsid w:val="00C9004C"/>
    <w:rsid w:val="00D236E9"/>
    <w:rsid w:val="00D659BA"/>
    <w:rsid w:val="00DD735D"/>
    <w:rsid w:val="00E51F37"/>
    <w:rsid w:val="00E973EC"/>
    <w:rsid w:val="00EC07EB"/>
    <w:rsid w:val="00F43C47"/>
    <w:rsid w:val="00F8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9D7D"/>
  <w15:docId w15:val="{2F2447C5-A14A-466C-A116-73DBB627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43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403F5D"/>
    <w:rPr>
      <w:i/>
      <w:i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03F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03F5D"/>
  </w:style>
  <w:style w:type="paragraph" w:styleId="Pidipagina">
    <w:name w:val="footer"/>
    <w:basedOn w:val="Normale"/>
    <w:link w:val="PidipaginaCarattere"/>
    <w:uiPriority w:val="99"/>
    <w:unhideWhenUsed/>
    <w:rsid w:val="00403F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F5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144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144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14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3C96C-9AD7-472A-A42E-A0A3C712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1465</Words>
  <Characters>8659</Characters>
  <Application>Microsoft Office Word</Application>
  <DocSecurity>0</DocSecurity>
  <Lines>117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Dipartimento</dc:creator>
  <cp:lastModifiedBy>ugo mughi</cp:lastModifiedBy>
  <cp:revision>8</cp:revision>
  <dcterms:created xsi:type="dcterms:W3CDTF">2017-09-26T08:44:00Z</dcterms:created>
  <dcterms:modified xsi:type="dcterms:W3CDTF">2017-09-26T14:59:00Z</dcterms:modified>
</cp:coreProperties>
</file>