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DB3D1" w14:textId="38A55450" w:rsidR="00543C9A" w:rsidRPr="00543C9A" w:rsidRDefault="00543C9A" w:rsidP="00543C9A">
      <w:pPr>
        <w:autoSpaceDE w:val="0"/>
        <w:autoSpaceDN w:val="0"/>
        <w:adjustRightInd w:val="0"/>
        <w:jc w:val="both"/>
        <w:rPr>
          <w:rFonts w:ascii="Times" w:hAnsi="Times" w:cs="Arial"/>
          <w:color w:val="000000"/>
        </w:rPr>
      </w:pPr>
      <w:r w:rsidRPr="00543C9A">
        <w:rPr>
          <w:rFonts w:ascii="Times" w:hAnsi="Times"/>
          <w:color w:val="000000"/>
        </w:rPr>
        <w:t>Inflammatory bowel disease (IBD) is made up of 3 clinical conditions: ulcerative colitis (UC), Crohn</w:t>
      </w:r>
      <w:r w:rsidRPr="00543C9A">
        <w:rPr>
          <w:rFonts w:ascii="Times" w:hAnsi="Times" w:cs="Arial"/>
          <w:color w:val="000000"/>
          <w:cs/>
        </w:rPr>
        <w:t>’</w:t>
      </w:r>
      <w:r w:rsidRPr="00543C9A">
        <w:rPr>
          <w:rFonts w:ascii="Times" w:hAnsi="Times"/>
          <w:color w:val="000000"/>
        </w:rPr>
        <w:t xml:space="preserve">s disease (CD), and indeterminate colitis (IC). The common denominator between them is </w:t>
      </w:r>
      <w:r>
        <w:rPr>
          <w:rFonts w:ascii="Times" w:hAnsi="Times"/>
          <w:color w:val="000000"/>
        </w:rPr>
        <w:t>bowel inflammation</w:t>
      </w:r>
      <w:r w:rsidRPr="00543C9A">
        <w:rPr>
          <w:rFonts w:ascii="Times" w:hAnsi="Times"/>
          <w:color w:val="000000"/>
        </w:rPr>
        <w:t xml:space="preserve"> associated with an </w:t>
      </w:r>
      <w:r>
        <w:rPr>
          <w:rFonts w:ascii="Times" w:hAnsi="Times"/>
          <w:color w:val="000000"/>
        </w:rPr>
        <w:t>abnormal</w:t>
      </w:r>
      <w:r w:rsidRPr="00543C9A">
        <w:rPr>
          <w:rFonts w:ascii="Times" w:hAnsi="Times"/>
          <w:color w:val="000000"/>
        </w:rPr>
        <w:t xml:space="preserve"> immune response. </w:t>
      </w:r>
      <w:r w:rsidR="004341E2" w:rsidRPr="00543C9A">
        <w:rPr>
          <w:rFonts w:ascii="Times" w:hAnsi="Times"/>
          <w:color w:val="000000"/>
        </w:rPr>
        <w:t>All</w:t>
      </w:r>
      <w:r w:rsidRPr="00543C9A">
        <w:rPr>
          <w:rFonts w:ascii="Times" w:hAnsi="Times"/>
          <w:color w:val="000000"/>
        </w:rPr>
        <w:t xml:space="preserve"> the</w:t>
      </w:r>
      <w:r>
        <w:rPr>
          <w:rFonts w:ascii="Times" w:hAnsi="Times"/>
          <w:color w:val="000000"/>
        </w:rPr>
        <w:t>se conditions</w:t>
      </w:r>
      <w:r w:rsidRPr="00543C9A">
        <w:rPr>
          <w:rFonts w:ascii="Times" w:hAnsi="Times"/>
          <w:color w:val="000000"/>
        </w:rPr>
        <w:t xml:space="preserve"> usually present chronic relapsing </w:t>
      </w:r>
      <w:r>
        <w:rPr>
          <w:rFonts w:ascii="Times" w:hAnsi="Times"/>
          <w:color w:val="000000"/>
        </w:rPr>
        <w:t>pattern</w:t>
      </w:r>
      <w:r w:rsidRPr="00543C9A">
        <w:rPr>
          <w:rFonts w:ascii="Times" w:hAnsi="Times"/>
          <w:color w:val="000000"/>
        </w:rPr>
        <w:t xml:space="preserve">, alternating between active and latent phases. The etiopathogenesis is unknown; however, genetic predisposition, immunological dysfunction, environmental factors, and alterations in intestinal permeability all play important roles. </w:t>
      </w:r>
      <w:r w:rsidRPr="00543C9A">
        <w:rPr>
          <w:rFonts w:ascii="Times" w:hAnsi="Times"/>
        </w:rPr>
        <w:t>Between 20 and 25% of patients with IBD develop it in childhood, normally during adolescence, and experi</w:t>
      </w:r>
      <w:r>
        <w:rPr>
          <w:rFonts w:ascii="Times" w:hAnsi="Times"/>
        </w:rPr>
        <w:t>ence significant repercussions o</w:t>
      </w:r>
      <w:r w:rsidRPr="00543C9A">
        <w:rPr>
          <w:rFonts w:ascii="Times" w:hAnsi="Times"/>
        </w:rPr>
        <w:t>n pubertal growth and development.</w:t>
      </w:r>
    </w:p>
    <w:p w14:paraId="63F8408D" w14:textId="77777777" w:rsidR="00543C9A" w:rsidRPr="00543C9A" w:rsidRDefault="00543C9A" w:rsidP="00543C9A">
      <w:pPr>
        <w:autoSpaceDE w:val="0"/>
        <w:autoSpaceDN w:val="0"/>
        <w:adjustRightInd w:val="0"/>
        <w:jc w:val="both"/>
        <w:rPr>
          <w:rFonts w:ascii="Times" w:hAnsi="Times" w:cs="Arial"/>
          <w:color w:val="000000"/>
        </w:rPr>
      </w:pPr>
    </w:p>
    <w:p w14:paraId="45D14327" w14:textId="77777777" w:rsidR="00543C9A" w:rsidRPr="00543C9A" w:rsidRDefault="00543C9A" w:rsidP="00543C9A">
      <w:pPr>
        <w:autoSpaceDE w:val="0"/>
        <w:autoSpaceDN w:val="0"/>
        <w:adjustRightInd w:val="0"/>
        <w:jc w:val="both"/>
        <w:rPr>
          <w:rFonts w:ascii="Times" w:hAnsi="Times" w:cs="Arial"/>
          <w:color w:val="000000"/>
        </w:rPr>
      </w:pPr>
      <w:r w:rsidRPr="00543C9A">
        <w:rPr>
          <w:rFonts w:ascii="Times" w:hAnsi="Times"/>
          <w:color w:val="000000"/>
        </w:rPr>
        <w:t xml:space="preserve">Infliximab is a chimeric monoclonal antibody of the IgG1 class that blocks tumour necrosis alpha factor (TNF-α) activity, a cytokine that plays an important role in the tissue inflammation mechanism of IBD. </w:t>
      </w:r>
      <w:r w:rsidRPr="00543C9A">
        <w:rPr>
          <w:rFonts w:ascii="Times" w:hAnsi="Times"/>
        </w:rPr>
        <w:t xml:space="preserve">The </w:t>
      </w:r>
      <w:r>
        <w:rPr>
          <w:rFonts w:ascii="Times" w:hAnsi="Times"/>
        </w:rPr>
        <w:t>advent</w:t>
      </w:r>
      <w:r w:rsidRPr="00543C9A">
        <w:rPr>
          <w:rFonts w:ascii="Times" w:hAnsi="Times"/>
        </w:rPr>
        <w:t xml:space="preserve"> of anti-TNFs represented a huge advance in treating these </w:t>
      </w:r>
      <w:r>
        <w:rPr>
          <w:rFonts w:ascii="Times" w:hAnsi="Times"/>
        </w:rPr>
        <w:t>conditions</w:t>
      </w:r>
      <w:r w:rsidRPr="00543C9A">
        <w:rPr>
          <w:rFonts w:ascii="Times" w:hAnsi="Times"/>
        </w:rPr>
        <w:t>; patients with CD refractory</w:t>
      </w:r>
      <w:r>
        <w:rPr>
          <w:rFonts w:ascii="Times" w:hAnsi="Times"/>
        </w:rPr>
        <w:t xml:space="preserve"> to medical therapy</w:t>
      </w:r>
      <w:r w:rsidRPr="00543C9A">
        <w:rPr>
          <w:rFonts w:ascii="Times" w:hAnsi="Times"/>
        </w:rPr>
        <w:t xml:space="preserve"> (mesalazine, corticosteroids, and purine analogues) benefit from infliximab use (recommendation 1A)</w:t>
      </w:r>
      <w:r w:rsidRPr="00543C9A">
        <w:rPr>
          <w:rFonts w:ascii="Times" w:hAnsi="Times"/>
          <w:color w:val="0081AD"/>
          <w:vertAlign w:val="superscript"/>
        </w:rPr>
        <w:t>2</w:t>
      </w:r>
      <w:r w:rsidRPr="00543C9A">
        <w:rPr>
          <w:rFonts w:ascii="Times" w:hAnsi="Times"/>
        </w:rPr>
        <w:t>.</w:t>
      </w:r>
      <w:r w:rsidRPr="00543C9A">
        <w:rPr>
          <w:rFonts w:ascii="Times" w:hAnsi="Times"/>
          <w:color w:val="000000"/>
        </w:rPr>
        <w:t xml:space="preserve"> Infliximab is also currently used in the treatment of other </w:t>
      </w:r>
      <w:r>
        <w:rPr>
          <w:rFonts w:ascii="Times" w:hAnsi="Times"/>
          <w:color w:val="000000"/>
        </w:rPr>
        <w:t>conditions</w:t>
      </w:r>
      <w:r w:rsidRPr="00543C9A">
        <w:rPr>
          <w:rFonts w:ascii="Times" w:hAnsi="Times"/>
          <w:color w:val="000000"/>
        </w:rPr>
        <w:t>, such as rheumatoid arthritis, ankylosing spondylitis, psoriasis, and psoriatic arthritis. Paradoxically, infliximab can induce or trigger psoriasis in some patients.</w:t>
      </w:r>
    </w:p>
    <w:p w14:paraId="080A1885" w14:textId="77777777" w:rsidR="00543C9A" w:rsidRPr="00543C9A" w:rsidRDefault="00543C9A" w:rsidP="00543C9A">
      <w:pPr>
        <w:autoSpaceDE w:val="0"/>
        <w:autoSpaceDN w:val="0"/>
        <w:adjustRightInd w:val="0"/>
        <w:jc w:val="both"/>
        <w:rPr>
          <w:rFonts w:ascii="Times" w:hAnsi="Times" w:cs="Arial"/>
          <w:color w:val="000000"/>
        </w:rPr>
      </w:pPr>
    </w:p>
    <w:p w14:paraId="065B68A2" w14:textId="122D82DE" w:rsidR="00543C9A" w:rsidRPr="00543C9A" w:rsidRDefault="00543C9A" w:rsidP="00543C9A">
      <w:pPr>
        <w:autoSpaceDE w:val="0"/>
        <w:autoSpaceDN w:val="0"/>
        <w:adjustRightInd w:val="0"/>
        <w:jc w:val="both"/>
        <w:rPr>
          <w:rFonts w:ascii="Times" w:hAnsi="Times" w:cs="Arial"/>
          <w:color w:val="000000"/>
        </w:rPr>
      </w:pPr>
      <w:r w:rsidRPr="00543C9A">
        <w:rPr>
          <w:rFonts w:ascii="Times" w:hAnsi="Times"/>
          <w:color w:val="000000"/>
        </w:rPr>
        <w:t xml:space="preserve">Psoriasis is one of the most </w:t>
      </w:r>
      <w:r>
        <w:rPr>
          <w:rFonts w:ascii="Times" w:hAnsi="Times"/>
          <w:color w:val="000000"/>
        </w:rPr>
        <w:t>common</w:t>
      </w:r>
      <w:r w:rsidRPr="00543C9A">
        <w:rPr>
          <w:rFonts w:ascii="Times" w:hAnsi="Times"/>
          <w:color w:val="000000"/>
        </w:rPr>
        <w:t xml:space="preserve"> dermatological diseases, affecting 1-2% of the general population. </w:t>
      </w:r>
      <w:r w:rsidRPr="00543C9A">
        <w:rPr>
          <w:rFonts w:ascii="Times" w:hAnsi="Times"/>
        </w:rPr>
        <w:t xml:space="preserve">Psoriasis is a chronic inflammatory </w:t>
      </w:r>
      <w:r>
        <w:rPr>
          <w:rFonts w:ascii="Times" w:hAnsi="Times"/>
        </w:rPr>
        <w:t>skin</w:t>
      </w:r>
      <w:r w:rsidRPr="00543C9A">
        <w:rPr>
          <w:rFonts w:ascii="Times" w:hAnsi="Times"/>
        </w:rPr>
        <w:t xml:space="preserve"> condition of polygenic inheritance associated with triggering factors such as trauma, infections (such as streptococcus), stress, and </w:t>
      </w:r>
      <w:r>
        <w:rPr>
          <w:rFonts w:ascii="Times" w:hAnsi="Times"/>
        </w:rPr>
        <w:t xml:space="preserve">pharmaceuticals, </w:t>
      </w:r>
      <w:r w:rsidR="004341E2">
        <w:rPr>
          <w:rFonts w:ascii="Times" w:hAnsi="Times"/>
        </w:rPr>
        <w:t xml:space="preserve">particularly </w:t>
      </w:r>
      <w:r w:rsidRPr="00543C9A">
        <w:rPr>
          <w:rFonts w:ascii="Times" w:hAnsi="Times"/>
        </w:rPr>
        <w:t>glucocorticoids, oral lithium, beta blockers, tetracyclines, and anti-malarial medications.</w:t>
      </w:r>
    </w:p>
    <w:p w14:paraId="7BC9B8CF" w14:textId="77777777" w:rsidR="00543C9A" w:rsidRPr="00543C9A" w:rsidRDefault="00543C9A" w:rsidP="00543C9A">
      <w:pPr>
        <w:autoSpaceDE w:val="0"/>
        <w:autoSpaceDN w:val="0"/>
        <w:adjustRightInd w:val="0"/>
        <w:jc w:val="both"/>
        <w:rPr>
          <w:rFonts w:ascii="Times" w:hAnsi="Times" w:cs="Arial"/>
          <w:color w:val="000000"/>
        </w:rPr>
      </w:pPr>
    </w:p>
    <w:p w14:paraId="04C3D29E" w14:textId="77777777" w:rsidR="00543C9A" w:rsidRPr="00543C9A" w:rsidRDefault="00543C9A" w:rsidP="00543C9A">
      <w:pPr>
        <w:autoSpaceDE w:val="0"/>
        <w:autoSpaceDN w:val="0"/>
        <w:adjustRightInd w:val="0"/>
        <w:jc w:val="both"/>
        <w:rPr>
          <w:rFonts w:ascii="Times" w:hAnsi="Times" w:cs="Arial"/>
        </w:rPr>
      </w:pPr>
      <w:r w:rsidRPr="00543C9A">
        <w:rPr>
          <w:rFonts w:ascii="Times" w:hAnsi="Times"/>
        </w:rPr>
        <w:t xml:space="preserve">Infliximab is associated with adverse </w:t>
      </w:r>
      <w:r>
        <w:rPr>
          <w:rFonts w:ascii="Times" w:hAnsi="Times"/>
        </w:rPr>
        <w:t>skin</w:t>
      </w:r>
      <w:r w:rsidRPr="00543C9A">
        <w:rPr>
          <w:rFonts w:ascii="Times" w:hAnsi="Times"/>
        </w:rPr>
        <w:t xml:space="preserve"> reactions such as rash, hives, itching, lupus-like rash, eczema, leukocytoclastic vasculitis, and cutaneous infections.</w:t>
      </w:r>
      <w:r w:rsidRPr="00543C9A">
        <w:rPr>
          <w:rFonts w:ascii="Times" w:hAnsi="Times"/>
          <w:color w:val="000000"/>
        </w:rPr>
        <w:t xml:space="preserve"> </w:t>
      </w:r>
      <w:r w:rsidRPr="00543C9A">
        <w:rPr>
          <w:rFonts w:ascii="Times" w:hAnsi="Times"/>
        </w:rPr>
        <w:t xml:space="preserve">Cases of anti TNF-α-induced psoriasis have been reported in recent years, generally after multiple doses, within </w:t>
      </w:r>
      <w:r>
        <w:rPr>
          <w:rFonts w:ascii="Times" w:hAnsi="Times"/>
        </w:rPr>
        <w:t>weeks to</w:t>
      </w:r>
      <w:r w:rsidRPr="00543C9A">
        <w:rPr>
          <w:rFonts w:ascii="Times" w:hAnsi="Times"/>
        </w:rPr>
        <w:t xml:space="preserve"> years after initiation of treatment.</w:t>
      </w:r>
    </w:p>
    <w:p w14:paraId="67739CC9" w14:textId="77777777" w:rsidR="00543C9A" w:rsidRPr="00543C9A" w:rsidRDefault="00543C9A" w:rsidP="00543C9A">
      <w:pPr>
        <w:jc w:val="both"/>
        <w:rPr>
          <w:rFonts w:ascii="Times" w:hAnsi="Times"/>
          <w:color w:val="FF0000"/>
        </w:rPr>
      </w:pPr>
    </w:p>
    <w:p w14:paraId="5952BD5C" w14:textId="77777777" w:rsidR="009A4F70" w:rsidRPr="00543C9A" w:rsidRDefault="009A4F70" w:rsidP="00543C9A">
      <w:pPr>
        <w:jc w:val="both"/>
        <w:rPr>
          <w:rFonts w:ascii="Times" w:hAnsi="Times"/>
        </w:rPr>
      </w:pPr>
      <w:bookmarkStart w:id="0" w:name="_GoBack"/>
      <w:bookmarkEnd w:id="0"/>
    </w:p>
    <w:sectPr w:rsidR="009A4F70" w:rsidRPr="00543C9A" w:rsidSect="009A4F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C9A"/>
    <w:rsid w:val="004341E2"/>
    <w:rsid w:val="00543C9A"/>
    <w:rsid w:val="009A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83ABDB"/>
  <w14:defaultImageDpi w14:val="300"/>
  <w15:docId w15:val="{EA7DC809-3A3E-4046-A369-F953107F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3C9A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Leonard</dc:creator>
  <cp:keywords/>
  <dc:description/>
  <cp:lastModifiedBy>Sarah Leonard</cp:lastModifiedBy>
  <cp:revision>2</cp:revision>
  <dcterms:created xsi:type="dcterms:W3CDTF">2017-01-03T12:41:00Z</dcterms:created>
  <dcterms:modified xsi:type="dcterms:W3CDTF">2019-10-23T16:07:00Z</dcterms:modified>
</cp:coreProperties>
</file>